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778FA" w14:textId="346E02B6" w:rsidR="009E71C3" w:rsidRDefault="007A004E" w:rsidP="007A004E">
      <w:pPr>
        <w:spacing w:line="480" w:lineRule="auto"/>
        <w:jc w:val="center"/>
        <w:rPr>
          <w:rFonts w:ascii="Arial" w:hAnsi="Arial" w:cs="Arial"/>
          <w:b/>
          <w:bCs/>
        </w:rPr>
      </w:pPr>
      <w:r>
        <w:rPr>
          <w:rFonts w:ascii="Arial" w:hAnsi="Arial" w:cs="Arial"/>
          <w:b/>
          <w:bCs/>
          <w:noProof/>
        </w:rPr>
        <w:drawing>
          <wp:inline distT="0" distB="0" distL="0" distR="0" wp14:anchorId="04D42A60" wp14:editId="65F99FA2">
            <wp:extent cx="2526918" cy="1403844"/>
            <wp:effectExtent l="0" t="0" r="6985" b="6350"/>
            <wp:docPr id="14987073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549039" cy="1416133"/>
                    </a:xfrm>
                    <a:prstGeom prst="rect">
                      <a:avLst/>
                    </a:prstGeom>
                    <a:noFill/>
                  </pic:spPr>
                </pic:pic>
              </a:graphicData>
            </a:graphic>
          </wp:inline>
        </w:drawing>
      </w:r>
    </w:p>
    <w:p w14:paraId="6BC35610" w14:textId="39347709" w:rsidR="00D74BE8" w:rsidRPr="007A004E" w:rsidRDefault="00D74BE8" w:rsidP="00B33187">
      <w:pPr>
        <w:spacing w:line="480" w:lineRule="auto"/>
        <w:jc w:val="center"/>
        <w:rPr>
          <w:rFonts w:ascii="Arial" w:hAnsi="Arial" w:cs="Arial"/>
          <w:b/>
          <w:bCs/>
          <w:sz w:val="28"/>
          <w:szCs w:val="28"/>
        </w:rPr>
      </w:pPr>
      <w:r w:rsidRPr="007A004E">
        <w:rPr>
          <w:rFonts w:ascii="Arial" w:hAnsi="Arial" w:cs="Arial"/>
          <w:b/>
          <w:bCs/>
          <w:sz w:val="28"/>
          <w:szCs w:val="28"/>
        </w:rPr>
        <w:t>Programme: MSc Public Health and Social Care in Practice</w:t>
      </w:r>
    </w:p>
    <w:p w14:paraId="61436590" w14:textId="0CBA8D17" w:rsidR="0069295A" w:rsidRPr="007A004E" w:rsidRDefault="0069295A" w:rsidP="00B33187">
      <w:pPr>
        <w:spacing w:line="480" w:lineRule="auto"/>
        <w:jc w:val="center"/>
        <w:rPr>
          <w:rFonts w:ascii="Arial" w:hAnsi="Arial" w:cs="Arial"/>
          <w:b/>
          <w:bCs/>
          <w:sz w:val="28"/>
          <w:szCs w:val="28"/>
        </w:rPr>
      </w:pPr>
      <w:r w:rsidRPr="007A004E">
        <w:rPr>
          <w:rFonts w:ascii="Arial" w:hAnsi="Arial" w:cs="Arial"/>
          <w:b/>
          <w:bCs/>
          <w:sz w:val="28"/>
          <w:szCs w:val="28"/>
        </w:rPr>
        <w:t>Module Title: Practice-Based Research</w:t>
      </w:r>
    </w:p>
    <w:p w14:paraId="40F92FF5" w14:textId="77777777" w:rsidR="007A004E" w:rsidRPr="007A004E" w:rsidRDefault="007A004E" w:rsidP="007A004E">
      <w:pPr>
        <w:spacing w:line="480" w:lineRule="auto"/>
        <w:jc w:val="center"/>
        <w:rPr>
          <w:rFonts w:ascii="Arial" w:hAnsi="Arial" w:cs="Arial"/>
          <w:b/>
          <w:bCs/>
          <w:sz w:val="28"/>
          <w:szCs w:val="28"/>
        </w:rPr>
      </w:pPr>
      <w:r w:rsidRPr="007A004E">
        <w:rPr>
          <w:rFonts w:ascii="Arial" w:hAnsi="Arial" w:cs="Arial"/>
          <w:b/>
          <w:bCs/>
          <w:sz w:val="28"/>
          <w:szCs w:val="28"/>
        </w:rPr>
        <w:t>Module Code: LCHS7008</w:t>
      </w:r>
    </w:p>
    <w:p w14:paraId="3C1306D0" w14:textId="77777777" w:rsidR="007A004E" w:rsidRDefault="007A004E" w:rsidP="00B33187">
      <w:pPr>
        <w:spacing w:line="480" w:lineRule="auto"/>
        <w:jc w:val="center"/>
        <w:rPr>
          <w:rFonts w:ascii="Arial" w:hAnsi="Arial" w:cs="Arial"/>
          <w:b/>
          <w:bCs/>
        </w:rPr>
      </w:pPr>
    </w:p>
    <w:p w14:paraId="0BD623A2" w14:textId="730A474A" w:rsidR="00D74BE8" w:rsidRPr="007A004E" w:rsidRDefault="00D74BE8" w:rsidP="00D74BE8">
      <w:pPr>
        <w:spacing w:line="480" w:lineRule="auto"/>
        <w:jc w:val="center"/>
        <w:rPr>
          <w:rFonts w:ascii="Arial" w:hAnsi="Arial" w:cs="Arial"/>
          <w:b/>
          <w:bCs/>
          <w:sz w:val="24"/>
          <w:szCs w:val="24"/>
        </w:rPr>
      </w:pPr>
      <w:r w:rsidRPr="007A004E">
        <w:rPr>
          <w:rFonts w:ascii="Arial" w:hAnsi="Arial" w:cs="Arial"/>
          <w:b/>
          <w:bCs/>
          <w:sz w:val="24"/>
          <w:szCs w:val="24"/>
        </w:rPr>
        <w:t>Assignment Title: Component 2</w:t>
      </w:r>
    </w:p>
    <w:p w14:paraId="32F9DDFB" w14:textId="3121A6D7" w:rsidR="00D74BE8" w:rsidRPr="007A004E" w:rsidRDefault="00D74BE8" w:rsidP="00D74BE8">
      <w:pPr>
        <w:spacing w:line="480" w:lineRule="auto"/>
        <w:jc w:val="center"/>
        <w:rPr>
          <w:rFonts w:ascii="Arial" w:hAnsi="Arial" w:cs="Arial"/>
          <w:b/>
          <w:bCs/>
          <w:sz w:val="24"/>
          <w:szCs w:val="24"/>
        </w:rPr>
      </w:pPr>
      <w:r w:rsidRPr="007A004E">
        <w:rPr>
          <w:rFonts w:ascii="Arial" w:hAnsi="Arial" w:cs="Arial"/>
          <w:b/>
          <w:bCs/>
          <w:sz w:val="24"/>
          <w:szCs w:val="24"/>
        </w:rPr>
        <w:t>Written Research Proposal</w:t>
      </w:r>
    </w:p>
    <w:p w14:paraId="60A2ECC6" w14:textId="77777777" w:rsidR="007A004E" w:rsidRDefault="007A004E" w:rsidP="00D74BE8">
      <w:pPr>
        <w:spacing w:line="480" w:lineRule="auto"/>
        <w:jc w:val="center"/>
        <w:rPr>
          <w:rFonts w:ascii="Arial" w:hAnsi="Arial" w:cs="Arial"/>
          <w:b/>
          <w:bCs/>
        </w:rPr>
      </w:pPr>
    </w:p>
    <w:p w14:paraId="06EF03D1" w14:textId="77777777" w:rsidR="007A004E" w:rsidRPr="001F44E7" w:rsidRDefault="007A004E" w:rsidP="00D74BE8">
      <w:pPr>
        <w:spacing w:line="480" w:lineRule="auto"/>
        <w:jc w:val="center"/>
        <w:rPr>
          <w:rFonts w:ascii="Arial" w:hAnsi="Arial" w:cs="Arial"/>
          <w:b/>
          <w:bCs/>
        </w:rPr>
      </w:pPr>
    </w:p>
    <w:p w14:paraId="24DBB1F4" w14:textId="3D27A2AC" w:rsidR="009E71C3" w:rsidRDefault="009E71C3" w:rsidP="009E71C3">
      <w:pPr>
        <w:spacing w:line="360" w:lineRule="auto"/>
        <w:jc w:val="center"/>
        <w:rPr>
          <w:rFonts w:ascii="Arial" w:hAnsi="Arial" w:cs="Arial"/>
          <w:b/>
          <w:bCs/>
          <w:sz w:val="24"/>
          <w:szCs w:val="24"/>
        </w:rPr>
      </w:pPr>
      <w:r w:rsidRPr="007A004E">
        <w:rPr>
          <w:rFonts w:ascii="Arial" w:hAnsi="Arial" w:cs="Arial"/>
          <w:b/>
          <w:bCs/>
          <w:sz w:val="24"/>
          <w:szCs w:val="24"/>
        </w:rPr>
        <w:t>The Effectiveness of Community-Based Mental Health Interventions in Reducing Hospital Readmission Rates in adults living with a mental health condition</w:t>
      </w:r>
      <w:r w:rsidR="007A004E" w:rsidRPr="007A004E">
        <w:rPr>
          <w:rFonts w:ascii="Arial" w:hAnsi="Arial" w:cs="Arial"/>
          <w:b/>
          <w:bCs/>
          <w:sz w:val="24"/>
          <w:szCs w:val="24"/>
        </w:rPr>
        <w:t xml:space="preserve">: A systematic </w:t>
      </w:r>
      <w:proofErr w:type="spellStart"/>
      <w:r w:rsidR="007A004E" w:rsidRPr="007A004E">
        <w:rPr>
          <w:rFonts w:ascii="Arial" w:hAnsi="Arial" w:cs="Arial"/>
          <w:b/>
          <w:bCs/>
          <w:sz w:val="24"/>
          <w:szCs w:val="24"/>
        </w:rPr>
        <w:t>Litrature</w:t>
      </w:r>
      <w:proofErr w:type="spellEnd"/>
      <w:r w:rsidR="007A004E" w:rsidRPr="007A004E">
        <w:rPr>
          <w:rFonts w:ascii="Arial" w:hAnsi="Arial" w:cs="Arial"/>
          <w:b/>
          <w:bCs/>
          <w:sz w:val="24"/>
          <w:szCs w:val="24"/>
        </w:rPr>
        <w:t xml:space="preserve"> Review </w:t>
      </w:r>
    </w:p>
    <w:p w14:paraId="5FB4DAE9" w14:textId="77777777" w:rsidR="007A004E" w:rsidRDefault="007A004E" w:rsidP="009E71C3">
      <w:pPr>
        <w:spacing w:line="360" w:lineRule="auto"/>
        <w:jc w:val="center"/>
        <w:rPr>
          <w:rFonts w:ascii="Arial" w:hAnsi="Arial" w:cs="Arial"/>
          <w:b/>
          <w:bCs/>
          <w:sz w:val="24"/>
          <w:szCs w:val="24"/>
        </w:rPr>
      </w:pPr>
    </w:p>
    <w:p w14:paraId="63577B26" w14:textId="77777777" w:rsidR="007A004E" w:rsidRPr="007A004E" w:rsidRDefault="007A004E" w:rsidP="009E71C3">
      <w:pPr>
        <w:spacing w:line="360" w:lineRule="auto"/>
        <w:jc w:val="center"/>
        <w:rPr>
          <w:rFonts w:ascii="Arial" w:hAnsi="Arial" w:cs="Arial"/>
          <w:b/>
          <w:bCs/>
          <w:sz w:val="24"/>
          <w:szCs w:val="24"/>
        </w:rPr>
      </w:pPr>
    </w:p>
    <w:p w14:paraId="0540B581" w14:textId="77777777" w:rsidR="007A004E" w:rsidRPr="007A004E" w:rsidRDefault="007A004E" w:rsidP="009E71C3">
      <w:pPr>
        <w:spacing w:line="360" w:lineRule="auto"/>
        <w:jc w:val="center"/>
        <w:rPr>
          <w:rFonts w:ascii="Arial" w:hAnsi="Arial" w:cs="Arial"/>
          <w:b/>
          <w:bCs/>
          <w:sz w:val="24"/>
          <w:szCs w:val="24"/>
        </w:rPr>
      </w:pPr>
    </w:p>
    <w:p w14:paraId="299226CD" w14:textId="77777777" w:rsidR="007A004E" w:rsidRPr="007A004E" w:rsidRDefault="007A004E" w:rsidP="009E71C3">
      <w:pPr>
        <w:spacing w:line="360" w:lineRule="auto"/>
        <w:jc w:val="center"/>
        <w:rPr>
          <w:rFonts w:ascii="Arial" w:hAnsi="Arial" w:cs="Arial"/>
          <w:b/>
          <w:bCs/>
          <w:sz w:val="24"/>
          <w:szCs w:val="24"/>
        </w:rPr>
      </w:pPr>
    </w:p>
    <w:p w14:paraId="1F0F402C" w14:textId="3057B5F8" w:rsidR="007A004E" w:rsidRPr="007A004E" w:rsidRDefault="007A004E" w:rsidP="007A004E">
      <w:pPr>
        <w:spacing w:line="480" w:lineRule="auto"/>
        <w:jc w:val="center"/>
        <w:rPr>
          <w:rFonts w:ascii="Arial" w:hAnsi="Arial" w:cs="Arial"/>
          <w:b/>
          <w:bCs/>
          <w:sz w:val="24"/>
          <w:szCs w:val="24"/>
        </w:rPr>
      </w:pPr>
      <w:r w:rsidRPr="007A004E">
        <w:rPr>
          <w:rFonts w:ascii="Arial" w:hAnsi="Arial" w:cs="Arial"/>
          <w:b/>
          <w:bCs/>
          <w:sz w:val="24"/>
          <w:szCs w:val="24"/>
        </w:rPr>
        <w:t xml:space="preserve">Student Name: Urvesh </w:t>
      </w:r>
      <w:proofErr w:type="spellStart"/>
      <w:r w:rsidRPr="007A004E">
        <w:rPr>
          <w:rFonts w:ascii="Arial" w:hAnsi="Arial" w:cs="Arial"/>
          <w:b/>
          <w:bCs/>
          <w:sz w:val="24"/>
          <w:szCs w:val="24"/>
        </w:rPr>
        <w:t>Chandrakantbhai</w:t>
      </w:r>
      <w:proofErr w:type="spellEnd"/>
      <w:r>
        <w:rPr>
          <w:rFonts w:ascii="Arial" w:hAnsi="Arial" w:cs="Arial"/>
          <w:b/>
          <w:bCs/>
          <w:sz w:val="24"/>
          <w:szCs w:val="24"/>
        </w:rPr>
        <w:t xml:space="preserve"> </w:t>
      </w:r>
      <w:r w:rsidRPr="007A004E">
        <w:rPr>
          <w:rFonts w:ascii="Arial" w:hAnsi="Arial" w:cs="Arial"/>
          <w:b/>
          <w:bCs/>
          <w:sz w:val="24"/>
          <w:szCs w:val="24"/>
        </w:rPr>
        <w:t>Rathod</w:t>
      </w:r>
    </w:p>
    <w:p w14:paraId="271D9C65" w14:textId="17277337" w:rsidR="007A004E" w:rsidRPr="007A004E" w:rsidRDefault="007A004E" w:rsidP="007A004E">
      <w:pPr>
        <w:spacing w:line="480" w:lineRule="auto"/>
        <w:jc w:val="center"/>
        <w:rPr>
          <w:rFonts w:ascii="Arial" w:hAnsi="Arial" w:cs="Arial"/>
          <w:b/>
          <w:bCs/>
          <w:sz w:val="24"/>
          <w:szCs w:val="24"/>
        </w:rPr>
      </w:pPr>
      <w:r w:rsidRPr="007A004E">
        <w:rPr>
          <w:rFonts w:ascii="Arial" w:hAnsi="Arial" w:cs="Arial"/>
          <w:b/>
          <w:bCs/>
          <w:sz w:val="24"/>
          <w:szCs w:val="24"/>
        </w:rPr>
        <w:t>Student ID:</w:t>
      </w:r>
      <w:r w:rsidRPr="007A004E">
        <w:t xml:space="preserve"> </w:t>
      </w:r>
      <w:r w:rsidRPr="007A004E">
        <w:rPr>
          <w:rFonts w:ascii="Arial" w:hAnsi="Arial" w:cs="Arial"/>
          <w:b/>
          <w:bCs/>
          <w:sz w:val="24"/>
          <w:szCs w:val="24"/>
        </w:rPr>
        <w:t>2431315</w:t>
      </w:r>
    </w:p>
    <w:p w14:paraId="1858BB1F" w14:textId="77777777" w:rsidR="007A004E" w:rsidRPr="007A004E" w:rsidRDefault="007A004E" w:rsidP="007A004E">
      <w:pPr>
        <w:spacing w:line="360" w:lineRule="auto"/>
        <w:jc w:val="center"/>
        <w:rPr>
          <w:rFonts w:ascii="Arial" w:hAnsi="Arial" w:cs="Arial"/>
          <w:b/>
          <w:bCs/>
          <w:sz w:val="24"/>
          <w:szCs w:val="24"/>
          <w:lang w:val="en-IN"/>
        </w:rPr>
      </w:pPr>
    </w:p>
    <w:p w14:paraId="401D4C54" w14:textId="77777777" w:rsidR="005A07A1" w:rsidRPr="007A004E" w:rsidRDefault="005A07A1">
      <w:pPr>
        <w:rPr>
          <w:rFonts w:ascii="Arial" w:hAnsi="Arial" w:cs="Arial"/>
          <w:b/>
          <w:bCs/>
          <w:sz w:val="24"/>
          <w:szCs w:val="24"/>
        </w:rPr>
      </w:pPr>
      <w:r w:rsidRPr="007A004E">
        <w:rPr>
          <w:rFonts w:ascii="Arial" w:hAnsi="Arial" w:cs="Arial"/>
          <w:b/>
          <w:bCs/>
          <w:sz w:val="24"/>
          <w:szCs w:val="24"/>
        </w:rPr>
        <w:br w:type="page"/>
      </w:r>
    </w:p>
    <w:sdt>
      <w:sdtPr>
        <w:rPr>
          <w:rFonts w:ascii="Arial MT" w:eastAsia="Arial MT" w:hAnsi="Arial MT" w:cs="Arial MT"/>
          <w:color w:val="auto"/>
          <w:sz w:val="22"/>
          <w:szCs w:val="22"/>
        </w:rPr>
        <w:id w:val="2040939357"/>
        <w:docPartObj>
          <w:docPartGallery w:val="Table of Contents"/>
          <w:docPartUnique/>
        </w:docPartObj>
      </w:sdtPr>
      <w:sdtEndPr>
        <w:rPr>
          <w:rFonts w:ascii="Arial" w:hAnsi="Arial" w:cs="Arial"/>
          <w:b/>
          <w:bCs/>
          <w:noProof/>
        </w:rPr>
      </w:sdtEndPr>
      <w:sdtContent>
        <w:p w14:paraId="103D3572" w14:textId="19110404" w:rsidR="005A07A1" w:rsidRPr="00A26036" w:rsidRDefault="005A07A1" w:rsidP="00A26036">
          <w:pPr>
            <w:pStyle w:val="TOCHeading"/>
            <w:spacing w:line="360" w:lineRule="auto"/>
            <w:jc w:val="center"/>
            <w:rPr>
              <w:rFonts w:ascii="Arial" w:hAnsi="Arial" w:cs="Arial"/>
              <w:b/>
              <w:bCs/>
              <w:color w:val="000000" w:themeColor="text1"/>
              <w:sz w:val="22"/>
              <w:szCs w:val="22"/>
            </w:rPr>
          </w:pPr>
          <w:r w:rsidRPr="00A26036">
            <w:rPr>
              <w:rFonts w:ascii="Arial" w:hAnsi="Arial" w:cs="Arial"/>
              <w:b/>
              <w:bCs/>
              <w:color w:val="000000" w:themeColor="text1"/>
              <w:sz w:val="22"/>
              <w:szCs w:val="22"/>
            </w:rPr>
            <w:t>Table of Contents</w:t>
          </w:r>
        </w:p>
        <w:p w14:paraId="08F73F8D" w14:textId="6E6EBB3D" w:rsidR="00A26036" w:rsidRPr="00A26036" w:rsidRDefault="005A07A1" w:rsidP="00A26036">
          <w:pPr>
            <w:pStyle w:val="TOC1"/>
            <w:tabs>
              <w:tab w:val="right" w:leader="dot" w:pos="9350"/>
            </w:tabs>
            <w:spacing w:line="360" w:lineRule="auto"/>
            <w:rPr>
              <w:rFonts w:ascii="Arial" w:eastAsiaTheme="minorEastAsia" w:hAnsi="Arial" w:cs="Arial"/>
              <w:noProof/>
              <w:kern w:val="2"/>
              <w:lang w:val="en-IN" w:eastAsia="en-IN"/>
              <w14:ligatures w14:val="standardContextual"/>
            </w:rPr>
          </w:pPr>
          <w:r w:rsidRPr="00A26036">
            <w:rPr>
              <w:rFonts w:ascii="Arial" w:hAnsi="Arial" w:cs="Arial"/>
            </w:rPr>
            <w:fldChar w:fldCharType="begin"/>
          </w:r>
          <w:r w:rsidRPr="00A26036">
            <w:rPr>
              <w:rFonts w:ascii="Arial" w:hAnsi="Arial" w:cs="Arial"/>
            </w:rPr>
            <w:instrText xml:space="preserve"> TOC \o "1-3" \h \z \u </w:instrText>
          </w:r>
          <w:r w:rsidRPr="00A26036">
            <w:rPr>
              <w:rFonts w:ascii="Arial" w:hAnsi="Arial" w:cs="Arial"/>
            </w:rPr>
            <w:fldChar w:fldCharType="separate"/>
          </w:r>
          <w:hyperlink w:anchor="_Toc216695533" w:history="1">
            <w:r w:rsidR="00A26036" w:rsidRPr="00A26036">
              <w:rPr>
                <w:rStyle w:val="Hyperlink"/>
                <w:rFonts w:ascii="Arial" w:hAnsi="Arial" w:cs="Arial"/>
                <w:noProof/>
              </w:rPr>
              <w:t>1. Prevalence of the Problem</w:t>
            </w:r>
            <w:r w:rsidR="00A26036" w:rsidRPr="00A26036">
              <w:rPr>
                <w:rFonts w:ascii="Arial" w:hAnsi="Arial" w:cs="Arial"/>
                <w:noProof/>
                <w:webHidden/>
              </w:rPr>
              <w:tab/>
            </w:r>
            <w:r w:rsidR="00A26036" w:rsidRPr="00A26036">
              <w:rPr>
                <w:rFonts w:ascii="Arial" w:hAnsi="Arial" w:cs="Arial"/>
                <w:noProof/>
                <w:webHidden/>
              </w:rPr>
              <w:fldChar w:fldCharType="begin"/>
            </w:r>
            <w:r w:rsidR="00A26036" w:rsidRPr="00A26036">
              <w:rPr>
                <w:rFonts w:ascii="Arial" w:hAnsi="Arial" w:cs="Arial"/>
                <w:noProof/>
                <w:webHidden/>
              </w:rPr>
              <w:instrText xml:space="preserve"> PAGEREF _Toc216695533 \h </w:instrText>
            </w:r>
            <w:r w:rsidR="00A26036" w:rsidRPr="00A26036">
              <w:rPr>
                <w:rFonts w:ascii="Arial" w:hAnsi="Arial" w:cs="Arial"/>
                <w:noProof/>
                <w:webHidden/>
              </w:rPr>
            </w:r>
            <w:r w:rsidR="00A26036" w:rsidRPr="00A26036">
              <w:rPr>
                <w:rFonts w:ascii="Arial" w:hAnsi="Arial" w:cs="Arial"/>
                <w:noProof/>
                <w:webHidden/>
              </w:rPr>
              <w:fldChar w:fldCharType="separate"/>
            </w:r>
            <w:r w:rsidR="00A26036" w:rsidRPr="00A26036">
              <w:rPr>
                <w:rFonts w:ascii="Arial" w:hAnsi="Arial" w:cs="Arial"/>
                <w:noProof/>
                <w:webHidden/>
              </w:rPr>
              <w:t>3</w:t>
            </w:r>
            <w:r w:rsidR="00A26036" w:rsidRPr="00A26036">
              <w:rPr>
                <w:rFonts w:ascii="Arial" w:hAnsi="Arial" w:cs="Arial"/>
                <w:noProof/>
                <w:webHidden/>
              </w:rPr>
              <w:fldChar w:fldCharType="end"/>
            </w:r>
          </w:hyperlink>
        </w:p>
        <w:p w14:paraId="104DB441" w14:textId="35E523E1" w:rsidR="00A26036" w:rsidRPr="00A26036" w:rsidRDefault="00A26036" w:rsidP="00A26036">
          <w:pPr>
            <w:pStyle w:val="TOC1"/>
            <w:tabs>
              <w:tab w:val="right" w:leader="dot" w:pos="9350"/>
            </w:tabs>
            <w:spacing w:line="360" w:lineRule="auto"/>
            <w:rPr>
              <w:rFonts w:ascii="Arial" w:eastAsiaTheme="minorEastAsia" w:hAnsi="Arial" w:cs="Arial"/>
              <w:noProof/>
              <w:kern w:val="2"/>
              <w:lang w:val="en-IN" w:eastAsia="en-IN"/>
              <w14:ligatures w14:val="standardContextual"/>
            </w:rPr>
          </w:pPr>
          <w:hyperlink w:anchor="_Toc216695534" w:history="1">
            <w:r w:rsidRPr="00A26036">
              <w:rPr>
                <w:rStyle w:val="Hyperlink"/>
                <w:rFonts w:ascii="Arial" w:hAnsi="Arial" w:cs="Arial"/>
                <w:noProof/>
              </w:rPr>
              <w:t>2. Introduction (Literature-Based Background)</w:t>
            </w:r>
            <w:r w:rsidRPr="00A26036">
              <w:rPr>
                <w:rFonts w:ascii="Arial" w:hAnsi="Arial" w:cs="Arial"/>
                <w:noProof/>
                <w:webHidden/>
              </w:rPr>
              <w:tab/>
            </w:r>
            <w:r w:rsidRPr="00A26036">
              <w:rPr>
                <w:rFonts w:ascii="Arial" w:hAnsi="Arial" w:cs="Arial"/>
                <w:noProof/>
                <w:webHidden/>
              </w:rPr>
              <w:fldChar w:fldCharType="begin"/>
            </w:r>
            <w:r w:rsidRPr="00A26036">
              <w:rPr>
                <w:rFonts w:ascii="Arial" w:hAnsi="Arial" w:cs="Arial"/>
                <w:noProof/>
                <w:webHidden/>
              </w:rPr>
              <w:instrText xml:space="preserve"> PAGEREF _Toc216695534 \h </w:instrText>
            </w:r>
            <w:r w:rsidRPr="00A26036">
              <w:rPr>
                <w:rFonts w:ascii="Arial" w:hAnsi="Arial" w:cs="Arial"/>
                <w:noProof/>
                <w:webHidden/>
              </w:rPr>
            </w:r>
            <w:r w:rsidRPr="00A26036">
              <w:rPr>
                <w:rFonts w:ascii="Arial" w:hAnsi="Arial" w:cs="Arial"/>
                <w:noProof/>
                <w:webHidden/>
              </w:rPr>
              <w:fldChar w:fldCharType="separate"/>
            </w:r>
            <w:r w:rsidRPr="00A26036">
              <w:rPr>
                <w:rFonts w:ascii="Arial" w:hAnsi="Arial" w:cs="Arial"/>
                <w:noProof/>
                <w:webHidden/>
              </w:rPr>
              <w:t>3</w:t>
            </w:r>
            <w:r w:rsidRPr="00A26036">
              <w:rPr>
                <w:rFonts w:ascii="Arial" w:hAnsi="Arial" w:cs="Arial"/>
                <w:noProof/>
                <w:webHidden/>
              </w:rPr>
              <w:fldChar w:fldCharType="end"/>
            </w:r>
          </w:hyperlink>
        </w:p>
        <w:p w14:paraId="1008E5A7" w14:textId="7950F59B" w:rsidR="00A26036" w:rsidRPr="00A26036" w:rsidRDefault="00A26036" w:rsidP="00A26036">
          <w:pPr>
            <w:pStyle w:val="TOC1"/>
            <w:tabs>
              <w:tab w:val="right" w:leader="dot" w:pos="9350"/>
            </w:tabs>
            <w:spacing w:line="360" w:lineRule="auto"/>
            <w:rPr>
              <w:rFonts w:ascii="Arial" w:eastAsiaTheme="minorEastAsia" w:hAnsi="Arial" w:cs="Arial"/>
              <w:noProof/>
              <w:kern w:val="2"/>
              <w:lang w:val="en-IN" w:eastAsia="en-IN"/>
              <w14:ligatures w14:val="standardContextual"/>
            </w:rPr>
          </w:pPr>
          <w:hyperlink w:anchor="_Toc216695535" w:history="1">
            <w:r w:rsidRPr="00A26036">
              <w:rPr>
                <w:rStyle w:val="Hyperlink"/>
                <w:rFonts w:ascii="Arial" w:hAnsi="Arial" w:cs="Arial"/>
                <w:noProof/>
              </w:rPr>
              <w:t>3. Research Question and Aim and Objectives</w:t>
            </w:r>
            <w:r w:rsidRPr="00A26036">
              <w:rPr>
                <w:rFonts w:ascii="Arial" w:hAnsi="Arial" w:cs="Arial"/>
                <w:noProof/>
                <w:webHidden/>
              </w:rPr>
              <w:tab/>
            </w:r>
            <w:r w:rsidRPr="00A26036">
              <w:rPr>
                <w:rFonts w:ascii="Arial" w:hAnsi="Arial" w:cs="Arial"/>
                <w:noProof/>
                <w:webHidden/>
              </w:rPr>
              <w:fldChar w:fldCharType="begin"/>
            </w:r>
            <w:r w:rsidRPr="00A26036">
              <w:rPr>
                <w:rFonts w:ascii="Arial" w:hAnsi="Arial" w:cs="Arial"/>
                <w:noProof/>
                <w:webHidden/>
              </w:rPr>
              <w:instrText xml:space="preserve"> PAGEREF _Toc216695535 \h </w:instrText>
            </w:r>
            <w:r w:rsidRPr="00A26036">
              <w:rPr>
                <w:rFonts w:ascii="Arial" w:hAnsi="Arial" w:cs="Arial"/>
                <w:noProof/>
                <w:webHidden/>
              </w:rPr>
            </w:r>
            <w:r w:rsidRPr="00A26036">
              <w:rPr>
                <w:rFonts w:ascii="Arial" w:hAnsi="Arial" w:cs="Arial"/>
                <w:noProof/>
                <w:webHidden/>
              </w:rPr>
              <w:fldChar w:fldCharType="separate"/>
            </w:r>
            <w:r w:rsidRPr="00A26036">
              <w:rPr>
                <w:rFonts w:ascii="Arial" w:hAnsi="Arial" w:cs="Arial"/>
                <w:noProof/>
                <w:webHidden/>
              </w:rPr>
              <w:t>4</w:t>
            </w:r>
            <w:r w:rsidRPr="00A26036">
              <w:rPr>
                <w:rFonts w:ascii="Arial" w:hAnsi="Arial" w:cs="Arial"/>
                <w:noProof/>
                <w:webHidden/>
              </w:rPr>
              <w:fldChar w:fldCharType="end"/>
            </w:r>
          </w:hyperlink>
        </w:p>
        <w:p w14:paraId="405EE872" w14:textId="24886E1B" w:rsidR="00A26036" w:rsidRPr="00A26036" w:rsidRDefault="00A26036" w:rsidP="00A26036">
          <w:pPr>
            <w:pStyle w:val="TOC1"/>
            <w:tabs>
              <w:tab w:val="right" w:leader="dot" w:pos="9350"/>
            </w:tabs>
            <w:spacing w:line="360" w:lineRule="auto"/>
            <w:rPr>
              <w:rFonts w:ascii="Arial" w:eastAsiaTheme="minorEastAsia" w:hAnsi="Arial" w:cs="Arial"/>
              <w:noProof/>
              <w:kern w:val="2"/>
              <w:lang w:val="en-IN" w:eastAsia="en-IN"/>
              <w14:ligatures w14:val="standardContextual"/>
            </w:rPr>
          </w:pPr>
          <w:hyperlink w:anchor="_Toc216695536" w:history="1">
            <w:r w:rsidRPr="00A26036">
              <w:rPr>
                <w:rStyle w:val="Hyperlink"/>
                <w:rFonts w:ascii="Arial" w:hAnsi="Arial" w:cs="Arial"/>
                <w:noProof/>
              </w:rPr>
              <w:t>4. Rationale</w:t>
            </w:r>
            <w:r w:rsidRPr="00A26036">
              <w:rPr>
                <w:rFonts w:ascii="Arial" w:hAnsi="Arial" w:cs="Arial"/>
                <w:noProof/>
                <w:webHidden/>
              </w:rPr>
              <w:tab/>
            </w:r>
            <w:r w:rsidRPr="00A26036">
              <w:rPr>
                <w:rFonts w:ascii="Arial" w:hAnsi="Arial" w:cs="Arial"/>
                <w:noProof/>
                <w:webHidden/>
              </w:rPr>
              <w:fldChar w:fldCharType="begin"/>
            </w:r>
            <w:r w:rsidRPr="00A26036">
              <w:rPr>
                <w:rFonts w:ascii="Arial" w:hAnsi="Arial" w:cs="Arial"/>
                <w:noProof/>
                <w:webHidden/>
              </w:rPr>
              <w:instrText xml:space="preserve"> PAGEREF _Toc216695536 \h </w:instrText>
            </w:r>
            <w:r w:rsidRPr="00A26036">
              <w:rPr>
                <w:rFonts w:ascii="Arial" w:hAnsi="Arial" w:cs="Arial"/>
                <w:noProof/>
                <w:webHidden/>
              </w:rPr>
            </w:r>
            <w:r w:rsidRPr="00A26036">
              <w:rPr>
                <w:rFonts w:ascii="Arial" w:hAnsi="Arial" w:cs="Arial"/>
                <w:noProof/>
                <w:webHidden/>
              </w:rPr>
              <w:fldChar w:fldCharType="separate"/>
            </w:r>
            <w:r w:rsidRPr="00A26036">
              <w:rPr>
                <w:rFonts w:ascii="Arial" w:hAnsi="Arial" w:cs="Arial"/>
                <w:noProof/>
                <w:webHidden/>
              </w:rPr>
              <w:t>5</w:t>
            </w:r>
            <w:r w:rsidRPr="00A26036">
              <w:rPr>
                <w:rFonts w:ascii="Arial" w:hAnsi="Arial" w:cs="Arial"/>
                <w:noProof/>
                <w:webHidden/>
              </w:rPr>
              <w:fldChar w:fldCharType="end"/>
            </w:r>
          </w:hyperlink>
        </w:p>
        <w:p w14:paraId="140840C6" w14:textId="692E886B" w:rsidR="00A26036" w:rsidRPr="00A26036" w:rsidRDefault="00A26036" w:rsidP="00A26036">
          <w:pPr>
            <w:pStyle w:val="TOC1"/>
            <w:tabs>
              <w:tab w:val="right" w:leader="dot" w:pos="9350"/>
            </w:tabs>
            <w:spacing w:line="360" w:lineRule="auto"/>
            <w:rPr>
              <w:rFonts w:ascii="Arial" w:eastAsiaTheme="minorEastAsia" w:hAnsi="Arial" w:cs="Arial"/>
              <w:noProof/>
              <w:kern w:val="2"/>
              <w:lang w:val="en-IN" w:eastAsia="en-IN"/>
              <w14:ligatures w14:val="standardContextual"/>
            </w:rPr>
          </w:pPr>
          <w:hyperlink w:anchor="_Toc216695537" w:history="1">
            <w:r w:rsidRPr="00A26036">
              <w:rPr>
                <w:rStyle w:val="Hyperlink"/>
                <w:rFonts w:ascii="Arial" w:hAnsi="Arial" w:cs="Arial"/>
                <w:noProof/>
              </w:rPr>
              <w:t>5. Research Methodology</w:t>
            </w:r>
            <w:r w:rsidRPr="00A26036">
              <w:rPr>
                <w:rFonts w:ascii="Arial" w:hAnsi="Arial" w:cs="Arial"/>
                <w:noProof/>
                <w:webHidden/>
              </w:rPr>
              <w:tab/>
            </w:r>
            <w:r w:rsidRPr="00A26036">
              <w:rPr>
                <w:rFonts w:ascii="Arial" w:hAnsi="Arial" w:cs="Arial"/>
                <w:noProof/>
                <w:webHidden/>
              </w:rPr>
              <w:fldChar w:fldCharType="begin"/>
            </w:r>
            <w:r w:rsidRPr="00A26036">
              <w:rPr>
                <w:rFonts w:ascii="Arial" w:hAnsi="Arial" w:cs="Arial"/>
                <w:noProof/>
                <w:webHidden/>
              </w:rPr>
              <w:instrText xml:space="preserve"> PAGEREF _Toc216695537 \h </w:instrText>
            </w:r>
            <w:r w:rsidRPr="00A26036">
              <w:rPr>
                <w:rFonts w:ascii="Arial" w:hAnsi="Arial" w:cs="Arial"/>
                <w:noProof/>
                <w:webHidden/>
              </w:rPr>
            </w:r>
            <w:r w:rsidRPr="00A26036">
              <w:rPr>
                <w:rFonts w:ascii="Arial" w:hAnsi="Arial" w:cs="Arial"/>
                <w:noProof/>
                <w:webHidden/>
              </w:rPr>
              <w:fldChar w:fldCharType="separate"/>
            </w:r>
            <w:r w:rsidRPr="00A26036">
              <w:rPr>
                <w:rFonts w:ascii="Arial" w:hAnsi="Arial" w:cs="Arial"/>
                <w:noProof/>
                <w:webHidden/>
              </w:rPr>
              <w:t>5</w:t>
            </w:r>
            <w:r w:rsidRPr="00A26036">
              <w:rPr>
                <w:rFonts w:ascii="Arial" w:hAnsi="Arial" w:cs="Arial"/>
                <w:noProof/>
                <w:webHidden/>
              </w:rPr>
              <w:fldChar w:fldCharType="end"/>
            </w:r>
          </w:hyperlink>
        </w:p>
        <w:p w14:paraId="1BA999DD" w14:textId="2A75A800" w:rsidR="00A26036" w:rsidRPr="00A26036" w:rsidRDefault="00A26036" w:rsidP="00A26036">
          <w:pPr>
            <w:pStyle w:val="TOC2"/>
            <w:tabs>
              <w:tab w:val="right" w:leader="dot" w:pos="9350"/>
            </w:tabs>
            <w:spacing w:line="360" w:lineRule="auto"/>
            <w:rPr>
              <w:rFonts w:ascii="Arial" w:eastAsiaTheme="minorEastAsia" w:hAnsi="Arial" w:cs="Arial"/>
              <w:noProof/>
              <w:kern w:val="2"/>
              <w:lang w:val="en-IN" w:eastAsia="en-IN"/>
              <w14:ligatures w14:val="standardContextual"/>
            </w:rPr>
          </w:pPr>
          <w:hyperlink w:anchor="_Toc216695538" w:history="1">
            <w:r w:rsidRPr="00A26036">
              <w:rPr>
                <w:rStyle w:val="Hyperlink"/>
                <w:rFonts w:ascii="Arial" w:hAnsi="Arial" w:cs="Arial"/>
                <w:noProof/>
              </w:rPr>
              <w:t>5.1 Research Philosophy</w:t>
            </w:r>
            <w:r w:rsidRPr="00A26036">
              <w:rPr>
                <w:rFonts w:ascii="Arial" w:hAnsi="Arial" w:cs="Arial"/>
                <w:noProof/>
                <w:webHidden/>
              </w:rPr>
              <w:tab/>
            </w:r>
            <w:r w:rsidRPr="00A26036">
              <w:rPr>
                <w:rFonts w:ascii="Arial" w:hAnsi="Arial" w:cs="Arial"/>
                <w:noProof/>
                <w:webHidden/>
              </w:rPr>
              <w:fldChar w:fldCharType="begin"/>
            </w:r>
            <w:r w:rsidRPr="00A26036">
              <w:rPr>
                <w:rFonts w:ascii="Arial" w:hAnsi="Arial" w:cs="Arial"/>
                <w:noProof/>
                <w:webHidden/>
              </w:rPr>
              <w:instrText xml:space="preserve"> PAGEREF _Toc216695538 \h </w:instrText>
            </w:r>
            <w:r w:rsidRPr="00A26036">
              <w:rPr>
                <w:rFonts w:ascii="Arial" w:hAnsi="Arial" w:cs="Arial"/>
                <w:noProof/>
                <w:webHidden/>
              </w:rPr>
            </w:r>
            <w:r w:rsidRPr="00A26036">
              <w:rPr>
                <w:rFonts w:ascii="Arial" w:hAnsi="Arial" w:cs="Arial"/>
                <w:noProof/>
                <w:webHidden/>
              </w:rPr>
              <w:fldChar w:fldCharType="separate"/>
            </w:r>
            <w:r w:rsidRPr="00A26036">
              <w:rPr>
                <w:rFonts w:ascii="Arial" w:hAnsi="Arial" w:cs="Arial"/>
                <w:noProof/>
                <w:webHidden/>
              </w:rPr>
              <w:t>5</w:t>
            </w:r>
            <w:r w:rsidRPr="00A26036">
              <w:rPr>
                <w:rFonts w:ascii="Arial" w:hAnsi="Arial" w:cs="Arial"/>
                <w:noProof/>
                <w:webHidden/>
              </w:rPr>
              <w:fldChar w:fldCharType="end"/>
            </w:r>
          </w:hyperlink>
        </w:p>
        <w:p w14:paraId="54807406" w14:textId="60577F38" w:rsidR="00A26036" w:rsidRPr="00A26036" w:rsidRDefault="00A26036" w:rsidP="00A26036">
          <w:pPr>
            <w:pStyle w:val="TOC2"/>
            <w:tabs>
              <w:tab w:val="right" w:leader="dot" w:pos="9350"/>
            </w:tabs>
            <w:spacing w:line="360" w:lineRule="auto"/>
            <w:rPr>
              <w:rFonts w:ascii="Arial" w:eastAsiaTheme="minorEastAsia" w:hAnsi="Arial" w:cs="Arial"/>
              <w:noProof/>
              <w:kern w:val="2"/>
              <w:lang w:val="en-IN" w:eastAsia="en-IN"/>
              <w14:ligatures w14:val="standardContextual"/>
            </w:rPr>
          </w:pPr>
          <w:hyperlink w:anchor="_Toc216695539" w:history="1">
            <w:r w:rsidRPr="00A26036">
              <w:rPr>
                <w:rStyle w:val="Hyperlink"/>
                <w:rFonts w:ascii="Arial" w:hAnsi="Arial" w:cs="Arial"/>
                <w:noProof/>
              </w:rPr>
              <w:t>5.2 Research Approach</w:t>
            </w:r>
            <w:r w:rsidRPr="00A26036">
              <w:rPr>
                <w:rFonts w:ascii="Arial" w:hAnsi="Arial" w:cs="Arial"/>
                <w:noProof/>
                <w:webHidden/>
              </w:rPr>
              <w:tab/>
            </w:r>
            <w:r w:rsidRPr="00A26036">
              <w:rPr>
                <w:rFonts w:ascii="Arial" w:hAnsi="Arial" w:cs="Arial"/>
                <w:noProof/>
                <w:webHidden/>
              </w:rPr>
              <w:fldChar w:fldCharType="begin"/>
            </w:r>
            <w:r w:rsidRPr="00A26036">
              <w:rPr>
                <w:rFonts w:ascii="Arial" w:hAnsi="Arial" w:cs="Arial"/>
                <w:noProof/>
                <w:webHidden/>
              </w:rPr>
              <w:instrText xml:space="preserve"> PAGEREF _Toc216695539 \h </w:instrText>
            </w:r>
            <w:r w:rsidRPr="00A26036">
              <w:rPr>
                <w:rFonts w:ascii="Arial" w:hAnsi="Arial" w:cs="Arial"/>
                <w:noProof/>
                <w:webHidden/>
              </w:rPr>
            </w:r>
            <w:r w:rsidRPr="00A26036">
              <w:rPr>
                <w:rFonts w:ascii="Arial" w:hAnsi="Arial" w:cs="Arial"/>
                <w:noProof/>
                <w:webHidden/>
              </w:rPr>
              <w:fldChar w:fldCharType="separate"/>
            </w:r>
            <w:r w:rsidRPr="00A26036">
              <w:rPr>
                <w:rFonts w:ascii="Arial" w:hAnsi="Arial" w:cs="Arial"/>
                <w:noProof/>
                <w:webHidden/>
              </w:rPr>
              <w:t>6</w:t>
            </w:r>
            <w:r w:rsidRPr="00A26036">
              <w:rPr>
                <w:rFonts w:ascii="Arial" w:hAnsi="Arial" w:cs="Arial"/>
                <w:noProof/>
                <w:webHidden/>
              </w:rPr>
              <w:fldChar w:fldCharType="end"/>
            </w:r>
          </w:hyperlink>
        </w:p>
        <w:p w14:paraId="5EEFE19F" w14:textId="1924465A" w:rsidR="00A26036" w:rsidRPr="00A26036" w:rsidRDefault="00A26036" w:rsidP="00A26036">
          <w:pPr>
            <w:pStyle w:val="TOC2"/>
            <w:tabs>
              <w:tab w:val="right" w:leader="dot" w:pos="9350"/>
            </w:tabs>
            <w:spacing w:line="360" w:lineRule="auto"/>
            <w:rPr>
              <w:rFonts w:ascii="Arial" w:eastAsiaTheme="minorEastAsia" w:hAnsi="Arial" w:cs="Arial"/>
              <w:noProof/>
              <w:kern w:val="2"/>
              <w:lang w:val="en-IN" w:eastAsia="en-IN"/>
              <w14:ligatures w14:val="standardContextual"/>
            </w:rPr>
          </w:pPr>
          <w:hyperlink w:anchor="_Toc216695540" w:history="1">
            <w:r w:rsidRPr="00A26036">
              <w:rPr>
                <w:rStyle w:val="Hyperlink"/>
                <w:rFonts w:ascii="Arial" w:hAnsi="Arial" w:cs="Arial"/>
                <w:noProof/>
              </w:rPr>
              <w:t>5.3 Research Design</w:t>
            </w:r>
            <w:r w:rsidRPr="00A26036">
              <w:rPr>
                <w:rFonts w:ascii="Arial" w:hAnsi="Arial" w:cs="Arial"/>
                <w:noProof/>
                <w:webHidden/>
              </w:rPr>
              <w:tab/>
            </w:r>
            <w:r w:rsidRPr="00A26036">
              <w:rPr>
                <w:rFonts w:ascii="Arial" w:hAnsi="Arial" w:cs="Arial"/>
                <w:noProof/>
                <w:webHidden/>
              </w:rPr>
              <w:fldChar w:fldCharType="begin"/>
            </w:r>
            <w:r w:rsidRPr="00A26036">
              <w:rPr>
                <w:rFonts w:ascii="Arial" w:hAnsi="Arial" w:cs="Arial"/>
                <w:noProof/>
                <w:webHidden/>
              </w:rPr>
              <w:instrText xml:space="preserve"> PAGEREF _Toc216695540 \h </w:instrText>
            </w:r>
            <w:r w:rsidRPr="00A26036">
              <w:rPr>
                <w:rFonts w:ascii="Arial" w:hAnsi="Arial" w:cs="Arial"/>
                <w:noProof/>
                <w:webHidden/>
              </w:rPr>
            </w:r>
            <w:r w:rsidRPr="00A26036">
              <w:rPr>
                <w:rFonts w:ascii="Arial" w:hAnsi="Arial" w:cs="Arial"/>
                <w:noProof/>
                <w:webHidden/>
              </w:rPr>
              <w:fldChar w:fldCharType="separate"/>
            </w:r>
            <w:r w:rsidRPr="00A26036">
              <w:rPr>
                <w:rFonts w:ascii="Arial" w:hAnsi="Arial" w:cs="Arial"/>
                <w:noProof/>
                <w:webHidden/>
              </w:rPr>
              <w:t>6</w:t>
            </w:r>
            <w:r w:rsidRPr="00A26036">
              <w:rPr>
                <w:rFonts w:ascii="Arial" w:hAnsi="Arial" w:cs="Arial"/>
                <w:noProof/>
                <w:webHidden/>
              </w:rPr>
              <w:fldChar w:fldCharType="end"/>
            </w:r>
          </w:hyperlink>
        </w:p>
        <w:p w14:paraId="33AF69A1" w14:textId="1527D7F0" w:rsidR="00A26036" w:rsidRPr="00A26036" w:rsidRDefault="00A26036" w:rsidP="00A26036">
          <w:pPr>
            <w:pStyle w:val="TOC2"/>
            <w:tabs>
              <w:tab w:val="right" w:leader="dot" w:pos="9350"/>
            </w:tabs>
            <w:spacing w:line="360" w:lineRule="auto"/>
            <w:rPr>
              <w:rFonts w:ascii="Arial" w:eastAsiaTheme="minorEastAsia" w:hAnsi="Arial" w:cs="Arial"/>
              <w:noProof/>
              <w:kern w:val="2"/>
              <w:lang w:val="en-IN" w:eastAsia="en-IN"/>
              <w14:ligatures w14:val="standardContextual"/>
            </w:rPr>
          </w:pPr>
          <w:hyperlink w:anchor="_Toc216695541" w:history="1">
            <w:r w:rsidRPr="00A26036">
              <w:rPr>
                <w:rStyle w:val="Hyperlink"/>
                <w:rFonts w:ascii="Arial" w:hAnsi="Arial" w:cs="Arial"/>
                <w:noProof/>
              </w:rPr>
              <w:t>5.4 Data Collection Method</w:t>
            </w:r>
            <w:r w:rsidRPr="00A26036">
              <w:rPr>
                <w:rFonts w:ascii="Arial" w:hAnsi="Arial" w:cs="Arial"/>
                <w:noProof/>
                <w:webHidden/>
              </w:rPr>
              <w:tab/>
            </w:r>
            <w:r w:rsidRPr="00A26036">
              <w:rPr>
                <w:rFonts w:ascii="Arial" w:hAnsi="Arial" w:cs="Arial"/>
                <w:noProof/>
                <w:webHidden/>
              </w:rPr>
              <w:fldChar w:fldCharType="begin"/>
            </w:r>
            <w:r w:rsidRPr="00A26036">
              <w:rPr>
                <w:rFonts w:ascii="Arial" w:hAnsi="Arial" w:cs="Arial"/>
                <w:noProof/>
                <w:webHidden/>
              </w:rPr>
              <w:instrText xml:space="preserve"> PAGEREF _Toc216695541 \h </w:instrText>
            </w:r>
            <w:r w:rsidRPr="00A26036">
              <w:rPr>
                <w:rFonts w:ascii="Arial" w:hAnsi="Arial" w:cs="Arial"/>
                <w:noProof/>
                <w:webHidden/>
              </w:rPr>
            </w:r>
            <w:r w:rsidRPr="00A26036">
              <w:rPr>
                <w:rFonts w:ascii="Arial" w:hAnsi="Arial" w:cs="Arial"/>
                <w:noProof/>
                <w:webHidden/>
              </w:rPr>
              <w:fldChar w:fldCharType="separate"/>
            </w:r>
            <w:r w:rsidRPr="00A26036">
              <w:rPr>
                <w:rFonts w:ascii="Arial" w:hAnsi="Arial" w:cs="Arial"/>
                <w:noProof/>
                <w:webHidden/>
              </w:rPr>
              <w:t>6</w:t>
            </w:r>
            <w:r w:rsidRPr="00A26036">
              <w:rPr>
                <w:rFonts w:ascii="Arial" w:hAnsi="Arial" w:cs="Arial"/>
                <w:noProof/>
                <w:webHidden/>
              </w:rPr>
              <w:fldChar w:fldCharType="end"/>
            </w:r>
          </w:hyperlink>
        </w:p>
        <w:p w14:paraId="6B74094C" w14:textId="2349A57C" w:rsidR="00A26036" w:rsidRPr="00A26036" w:rsidRDefault="00A26036" w:rsidP="00A26036">
          <w:pPr>
            <w:pStyle w:val="TOC2"/>
            <w:tabs>
              <w:tab w:val="right" w:leader="dot" w:pos="9350"/>
            </w:tabs>
            <w:spacing w:line="360" w:lineRule="auto"/>
            <w:rPr>
              <w:rFonts w:ascii="Arial" w:eastAsiaTheme="minorEastAsia" w:hAnsi="Arial" w:cs="Arial"/>
              <w:noProof/>
              <w:kern w:val="2"/>
              <w:lang w:val="en-IN" w:eastAsia="en-IN"/>
              <w14:ligatures w14:val="standardContextual"/>
            </w:rPr>
          </w:pPr>
          <w:hyperlink w:anchor="_Toc216695542" w:history="1">
            <w:r w:rsidRPr="00A26036">
              <w:rPr>
                <w:rStyle w:val="Hyperlink"/>
                <w:rFonts w:ascii="Arial" w:hAnsi="Arial" w:cs="Arial"/>
                <w:noProof/>
              </w:rPr>
              <w:t>5.5 Data Analysis</w:t>
            </w:r>
            <w:r w:rsidRPr="00A26036">
              <w:rPr>
                <w:rFonts w:ascii="Arial" w:hAnsi="Arial" w:cs="Arial"/>
                <w:noProof/>
                <w:webHidden/>
              </w:rPr>
              <w:tab/>
            </w:r>
            <w:r w:rsidRPr="00A26036">
              <w:rPr>
                <w:rFonts w:ascii="Arial" w:hAnsi="Arial" w:cs="Arial"/>
                <w:noProof/>
                <w:webHidden/>
              </w:rPr>
              <w:fldChar w:fldCharType="begin"/>
            </w:r>
            <w:r w:rsidRPr="00A26036">
              <w:rPr>
                <w:rFonts w:ascii="Arial" w:hAnsi="Arial" w:cs="Arial"/>
                <w:noProof/>
                <w:webHidden/>
              </w:rPr>
              <w:instrText xml:space="preserve"> PAGEREF _Toc216695542 \h </w:instrText>
            </w:r>
            <w:r w:rsidRPr="00A26036">
              <w:rPr>
                <w:rFonts w:ascii="Arial" w:hAnsi="Arial" w:cs="Arial"/>
                <w:noProof/>
                <w:webHidden/>
              </w:rPr>
            </w:r>
            <w:r w:rsidRPr="00A26036">
              <w:rPr>
                <w:rFonts w:ascii="Arial" w:hAnsi="Arial" w:cs="Arial"/>
                <w:noProof/>
                <w:webHidden/>
              </w:rPr>
              <w:fldChar w:fldCharType="separate"/>
            </w:r>
            <w:r w:rsidRPr="00A26036">
              <w:rPr>
                <w:rFonts w:ascii="Arial" w:hAnsi="Arial" w:cs="Arial"/>
                <w:noProof/>
                <w:webHidden/>
              </w:rPr>
              <w:t>7</w:t>
            </w:r>
            <w:r w:rsidRPr="00A26036">
              <w:rPr>
                <w:rFonts w:ascii="Arial" w:hAnsi="Arial" w:cs="Arial"/>
                <w:noProof/>
                <w:webHidden/>
              </w:rPr>
              <w:fldChar w:fldCharType="end"/>
            </w:r>
          </w:hyperlink>
        </w:p>
        <w:p w14:paraId="5D959135" w14:textId="4BBCF9BA" w:rsidR="00A26036" w:rsidRPr="00A26036" w:rsidRDefault="00A26036" w:rsidP="00A26036">
          <w:pPr>
            <w:pStyle w:val="TOC2"/>
            <w:tabs>
              <w:tab w:val="right" w:leader="dot" w:pos="9350"/>
            </w:tabs>
            <w:spacing w:line="360" w:lineRule="auto"/>
            <w:rPr>
              <w:rFonts w:ascii="Arial" w:eastAsiaTheme="minorEastAsia" w:hAnsi="Arial" w:cs="Arial"/>
              <w:noProof/>
              <w:kern w:val="2"/>
              <w:lang w:val="en-IN" w:eastAsia="en-IN"/>
              <w14:ligatures w14:val="standardContextual"/>
            </w:rPr>
          </w:pPr>
          <w:hyperlink w:anchor="_Toc216695543" w:history="1">
            <w:r w:rsidRPr="00A26036">
              <w:rPr>
                <w:rStyle w:val="Hyperlink"/>
                <w:rFonts w:ascii="Arial" w:hAnsi="Arial" w:cs="Arial"/>
                <w:noProof/>
              </w:rPr>
              <w:t>5.6 Search strategy</w:t>
            </w:r>
            <w:r w:rsidRPr="00A26036">
              <w:rPr>
                <w:rFonts w:ascii="Arial" w:hAnsi="Arial" w:cs="Arial"/>
                <w:noProof/>
                <w:webHidden/>
              </w:rPr>
              <w:tab/>
            </w:r>
            <w:r w:rsidRPr="00A26036">
              <w:rPr>
                <w:rFonts w:ascii="Arial" w:hAnsi="Arial" w:cs="Arial"/>
                <w:noProof/>
                <w:webHidden/>
              </w:rPr>
              <w:fldChar w:fldCharType="begin"/>
            </w:r>
            <w:r w:rsidRPr="00A26036">
              <w:rPr>
                <w:rFonts w:ascii="Arial" w:hAnsi="Arial" w:cs="Arial"/>
                <w:noProof/>
                <w:webHidden/>
              </w:rPr>
              <w:instrText xml:space="preserve"> PAGEREF _Toc216695543 \h </w:instrText>
            </w:r>
            <w:r w:rsidRPr="00A26036">
              <w:rPr>
                <w:rFonts w:ascii="Arial" w:hAnsi="Arial" w:cs="Arial"/>
                <w:noProof/>
                <w:webHidden/>
              </w:rPr>
            </w:r>
            <w:r w:rsidRPr="00A26036">
              <w:rPr>
                <w:rFonts w:ascii="Arial" w:hAnsi="Arial" w:cs="Arial"/>
                <w:noProof/>
                <w:webHidden/>
              </w:rPr>
              <w:fldChar w:fldCharType="separate"/>
            </w:r>
            <w:r w:rsidRPr="00A26036">
              <w:rPr>
                <w:rFonts w:ascii="Arial" w:hAnsi="Arial" w:cs="Arial"/>
                <w:noProof/>
                <w:webHidden/>
              </w:rPr>
              <w:t>7</w:t>
            </w:r>
            <w:r w:rsidRPr="00A26036">
              <w:rPr>
                <w:rFonts w:ascii="Arial" w:hAnsi="Arial" w:cs="Arial"/>
                <w:noProof/>
                <w:webHidden/>
              </w:rPr>
              <w:fldChar w:fldCharType="end"/>
            </w:r>
          </w:hyperlink>
        </w:p>
        <w:p w14:paraId="4DF08DF9" w14:textId="46E87FF0" w:rsidR="00A26036" w:rsidRPr="00A26036" w:rsidRDefault="00A26036" w:rsidP="00A26036">
          <w:pPr>
            <w:pStyle w:val="TOC2"/>
            <w:tabs>
              <w:tab w:val="right" w:leader="dot" w:pos="9350"/>
            </w:tabs>
            <w:spacing w:line="360" w:lineRule="auto"/>
            <w:rPr>
              <w:rFonts w:ascii="Arial" w:eastAsiaTheme="minorEastAsia" w:hAnsi="Arial" w:cs="Arial"/>
              <w:noProof/>
              <w:kern w:val="2"/>
              <w:lang w:val="en-IN" w:eastAsia="en-IN"/>
              <w14:ligatures w14:val="standardContextual"/>
            </w:rPr>
          </w:pPr>
          <w:hyperlink w:anchor="_Toc216695544" w:history="1">
            <w:r w:rsidRPr="00A26036">
              <w:rPr>
                <w:rStyle w:val="Hyperlink"/>
                <w:rFonts w:ascii="Arial" w:hAnsi="Arial" w:cs="Arial"/>
                <w:noProof/>
              </w:rPr>
              <w:t>5.7 Problem Context in Health and Social Care</w:t>
            </w:r>
            <w:r w:rsidRPr="00A26036">
              <w:rPr>
                <w:rFonts w:ascii="Arial" w:hAnsi="Arial" w:cs="Arial"/>
                <w:noProof/>
                <w:webHidden/>
              </w:rPr>
              <w:tab/>
            </w:r>
            <w:r w:rsidRPr="00A26036">
              <w:rPr>
                <w:rFonts w:ascii="Arial" w:hAnsi="Arial" w:cs="Arial"/>
                <w:noProof/>
                <w:webHidden/>
              </w:rPr>
              <w:fldChar w:fldCharType="begin"/>
            </w:r>
            <w:r w:rsidRPr="00A26036">
              <w:rPr>
                <w:rFonts w:ascii="Arial" w:hAnsi="Arial" w:cs="Arial"/>
                <w:noProof/>
                <w:webHidden/>
              </w:rPr>
              <w:instrText xml:space="preserve"> PAGEREF _Toc216695544 \h </w:instrText>
            </w:r>
            <w:r w:rsidRPr="00A26036">
              <w:rPr>
                <w:rFonts w:ascii="Arial" w:hAnsi="Arial" w:cs="Arial"/>
                <w:noProof/>
                <w:webHidden/>
              </w:rPr>
            </w:r>
            <w:r w:rsidRPr="00A26036">
              <w:rPr>
                <w:rFonts w:ascii="Arial" w:hAnsi="Arial" w:cs="Arial"/>
                <w:noProof/>
                <w:webHidden/>
              </w:rPr>
              <w:fldChar w:fldCharType="separate"/>
            </w:r>
            <w:r w:rsidRPr="00A26036">
              <w:rPr>
                <w:rFonts w:ascii="Arial" w:hAnsi="Arial" w:cs="Arial"/>
                <w:noProof/>
                <w:webHidden/>
              </w:rPr>
              <w:t>7</w:t>
            </w:r>
            <w:r w:rsidRPr="00A26036">
              <w:rPr>
                <w:rFonts w:ascii="Arial" w:hAnsi="Arial" w:cs="Arial"/>
                <w:noProof/>
                <w:webHidden/>
              </w:rPr>
              <w:fldChar w:fldCharType="end"/>
            </w:r>
          </w:hyperlink>
        </w:p>
        <w:p w14:paraId="20835CA1" w14:textId="4CC591BC" w:rsidR="00A26036" w:rsidRPr="00A26036" w:rsidRDefault="00A26036" w:rsidP="00A26036">
          <w:pPr>
            <w:pStyle w:val="TOC2"/>
            <w:tabs>
              <w:tab w:val="right" w:leader="dot" w:pos="9350"/>
            </w:tabs>
            <w:spacing w:line="360" w:lineRule="auto"/>
            <w:rPr>
              <w:rFonts w:ascii="Arial" w:eastAsiaTheme="minorEastAsia" w:hAnsi="Arial" w:cs="Arial"/>
              <w:noProof/>
              <w:kern w:val="2"/>
              <w:lang w:val="en-IN" w:eastAsia="en-IN"/>
              <w14:ligatures w14:val="standardContextual"/>
            </w:rPr>
          </w:pPr>
          <w:hyperlink w:anchor="_Toc216695545" w:history="1">
            <w:r w:rsidRPr="00A26036">
              <w:rPr>
                <w:rStyle w:val="Hyperlink"/>
                <w:rFonts w:ascii="Arial" w:hAnsi="Arial" w:cs="Arial"/>
                <w:noProof/>
              </w:rPr>
              <w:t>5.8 Ethical Considerations</w:t>
            </w:r>
            <w:r w:rsidRPr="00A26036">
              <w:rPr>
                <w:rFonts w:ascii="Arial" w:hAnsi="Arial" w:cs="Arial"/>
                <w:noProof/>
                <w:webHidden/>
              </w:rPr>
              <w:tab/>
            </w:r>
            <w:r w:rsidRPr="00A26036">
              <w:rPr>
                <w:rFonts w:ascii="Arial" w:hAnsi="Arial" w:cs="Arial"/>
                <w:noProof/>
                <w:webHidden/>
              </w:rPr>
              <w:fldChar w:fldCharType="begin"/>
            </w:r>
            <w:r w:rsidRPr="00A26036">
              <w:rPr>
                <w:rFonts w:ascii="Arial" w:hAnsi="Arial" w:cs="Arial"/>
                <w:noProof/>
                <w:webHidden/>
              </w:rPr>
              <w:instrText xml:space="preserve"> PAGEREF _Toc216695545 \h </w:instrText>
            </w:r>
            <w:r w:rsidRPr="00A26036">
              <w:rPr>
                <w:rFonts w:ascii="Arial" w:hAnsi="Arial" w:cs="Arial"/>
                <w:noProof/>
                <w:webHidden/>
              </w:rPr>
            </w:r>
            <w:r w:rsidRPr="00A26036">
              <w:rPr>
                <w:rFonts w:ascii="Arial" w:hAnsi="Arial" w:cs="Arial"/>
                <w:noProof/>
                <w:webHidden/>
              </w:rPr>
              <w:fldChar w:fldCharType="separate"/>
            </w:r>
            <w:r w:rsidRPr="00A26036">
              <w:rPr>
                <w:rFonts w:ascii="Arial" w:hAnsi="Arial" w:cs="Arial"/>
                <w:noProof/>
                <w:webHidden/>
              </w:rPr>
              <w:t>8</w:t>
            </w:r>
            <w:r w:rsidRPr="00A26036">
              <w:rPr>
                <w:rFonts w:ascii="Arial" w:hAnsi="Arial" w:cs="Arial"/>
                <w:noProof/>
                <w:webHidden/>
              </w:rPr>
              <w:fldChar w:fldCharType="end"/>
            </w:r>
          </w:hyperlink>
        </w:p>
        <w:p w14:paraId="6A8557CA" w14:textId="6156DF67" w:rsidR="00A26036" w:rsidRPr="00A26036" w:rsidRDefault="00A26036" w:rsidP="00A26036">
          <w:pPr>
            <w:pStyle w:val="TOC1"/>
            <w:tabs>
              <w:tab w:val="right" w:leader="dot" w:pos="9350"/>
            </w:tabs>
            <w:spacing w:line="360" w:lineRule="auto"/>
            <w:rPr>
              <w:rFonts w:ascii="Arial" w:eastAsiaTheme="minorEastAsia" w:hAnsi="Arial" w:cs="Arial"/>
              <w:noProof/>
              <w:kern w:val="2"/>
              <w:lang w:val="en-IN" w:eastAsia="en-IN"/>
              <w14:ligatures w14:val="standardContextual"/>
            </w:rPr>
          </w:pPr>
          <w:hyperlink w:anchor="_Toc216695546" w:history="1">
            <w:r w:rsidRPr="00A26036">
              <w:rPr>
                <w:rStyle w:val="Hyperlink"/>
                <w:rFonts w:ascii="Arial" w:hAnsi="Arial" w:cs="Arial"/>
                <w:noProof/>
              </w:rPr>
              <w:t>6. Implications of Research</w:t>
            </w:r>
            <w:r w:rsidRPr="00A26036">
              <w:rPr>
                <w:rFonts w:ascii="Arial" w:hAnsi="Arial" w:cs="Arial"/>
                <w:noProof/>
                <w:webHidden/>
              </w:rPr>
              <w:tab/>
            </w:r>
            <w:r w:rsidRPr="00A26036">
              <w:rPr>
                <w:rFonts w:ascii="Arial" w:hAnsi="Arial" w:cs="Arial"/>
                <w:noProof/>
                <w:webHidden/>
              </w:rPr>
              <w:fldChar w:fldCharType="begin"/>
            </w:r>
            <w:r w:rsidRPr="00A26036">
              <w:rPr>
                <w:rFonts w:ascii="Arial" w:hAnsi="Arial" w:cs="Arial"/>
                <w:noProof/>
                <w:webHidden/>
              </w:rPr>
              <w:instrText xml:space="preserve"> PAGEREF _Toc216695546 \h </w:instrText>
            </w:r>
            <w:r w:rsidRPr="00A26036">
              <w:rPr>
                <w:rFonts w:ascii="Arial" w:hAnsi="Arial" w:cs="Arial"/>
                <w:noProof/>
                <w:webHidden/>
              </w:rPr>
            </w:r>
            <w:r w:rsidRPr="00A26036">
              <w:rPr>
                <w:rFonts w:ascii="Arial" w:hAnsi="Arial" w:cs="Arial"/>
                <w:noProof/>
                <w:webHidden/>
              </w:rPr>
              <w:fldChar w:fldCharType="separate"/>
            </w:r>
            <w:r w:rsidRPr="00A26036">
              <w:rPr>
                <w:rFonts w:ascii="Arial" w:hAnsi="Arial" w:cs="Arial"/>
                <w:noProof/>
                <w:webHidden/>
              </w:rPr>
              <w:t>8</w:t>
            </w:r>
            <w:r w:rsidRPr="00A26036">
              <w:rPr>
                <w:rFonts w:ascii="Arial" w:hAnsi="Arial" w:cs="Arial"/>
                <w:noProof/>
                <w:webHidden/>
              </w:rPr>
              <w:fldChar w:fldCharType="end"/>
            </w:r>
          </w:hyperlink>
        </w:p>
        <w:p w14:paraId="1885CF48" w14:textId="1BC5A6B7" w:rsidR="00A26036" w:rsidRPr="00A26036" w:rsidRDefault="00A26036" w:rsidP="00A26036">
          <w:pPr>
            <w:pStyle w:val="TOC1"/>
            <w:tabs>
              <w:tab w:val="right" w:leader="dot" w:pos="9350"/>
            </w:tabs>
            <w:spacing w:line="360" w:lineRule="auto"/>
            <w:rPr>
              <w:rFonts w:ascii="Arial" w:eastAsiaTheme="minorEastAsia" w:hAnsi="Arial" w:cs="Arial"/>
              <w:noProof/>
              <w:kern w:val="2"/>
              <w:lang w:val="en-IN" w:eastAsia="en-IN"/>
              <w14:ligatures w14:val="standardContextual"/>
            </w:rPr>
          </w:pPr>
          <w:hyperlink w:anchor="_Toc216695547" w:history="1">
            <w:r w:rsidRPr="00A26036">
              <w:rPr>
                <w:rStyle w:val="Hyperlink"/>
                <w:rFonts w:ascii="Arial" w:hAnsi="Arial" w:cs="Arial"/>
                <w:noProof/>
              </w:rPr>
              <w:t>7. Plan of Work and Time Schedule</w:t>
            </w:r>
            <w:r w:rsidRPr="00A26036">
              <w:rPr>
                <w:rFonts w:ascii="Arial" w:hAnsi="Arial" w:cs="Arial"/>
                <w:noProof/>
                <w:webHidden/>
              </w:rPr>
              <w:tab/>
            </w:r>
            <w:r w:rsidRPr="00A26036">
              <w:rPr>
                <w:rFonts w:ascii="Arial" w:hAnsi="Arial" w:cs="Arial"/>
                <w:noProof/>
                <w:webHidden/>
              </w:rPr>
              <w:fldChar w:fldCharType="begin"/>
            </w:r>
            <w:r w:rsidRPr="00A26036">
              <w:rPr>
                <w:rFonts w:ascii="Arial" w:hAnsi="Arial" w:cs="Arial"/>
                <w:noProof/>
                <w:webHidden/>
              </w:rPr>
              <w:instrText xml:space="preserve"> PAGEREF _Toc216695547 \h </w:instrText>
            </w:r>
            <w:r w:rsidRPr="00A26036">
              <w:rPr>
                <w:rFonts w:ascii="Arial" w:hAnsi="Arial" w:cs="Arial"/>
                <w:noProof/>
                <w:webHidden/>
              </w:rPr>
            </w:r>
            <w:r w:rsidRPr="00A26036">
              <w:rPr>
                <w:rFonts w:ascii="Arial" w:hAnsi="Arial" w:cs="Arial"/>
                <w:noProof/>
                <w:webHidden/>
              </w:rPr>
              <w:fldChar w:fldCharType="separate"/>
            </w:r>
            <w:r w:rsidRPr="00A26036">
              <w:rPr>
                <w:rFonts w:ascii="Arial" w:hAnsi="Arial" w:cs="Arial"/>
                <w:noProof/>
                <w:webHidden/>
              </w:rPr>
              <w:t>9</w:t>
            </w:r>
            <w:r w:rsidRPr="00A26036">
              <w:rPr>
                <w:rFonts w:ascii="Arial" w:hAnsi="Arial" w:cs="Arial"/>
                <w:noProof/>
                <w:webHidden/>
              </w:rPr>
              <w:fldChar w:fldCharType="end"/>
            </w:r>
          </w:hyperlink>
        </w:p>
        <w:p w14:paraId="606DAA09" w14:textId="02F94C36" w:rsidR="00A26036" w:rsidRPr="00A26036" w:rsidRDefault="00A26036" w:rsidP="00A26036">
          <w:pPr>
            <w:pStyle w:val="TOC1"/>
            <w:tabs>
              <w:tab w:val="right" w:leader="dot" w:pos="9350"/>
            </w:tabs>
            <w:spacing w:line="360" w:lineRule="auto"/>
            <w:rPr>
              <w:rFonts w:ascii="Arial" w:eastAsiaTheme="minorEastAsia" w:hAnsi="Arial" w:cs="Arial"/>
              <w:noProof/>
              <w:kern w:val="2"/>
              <w:lang w:val="en-IN" w:eastAsia="en-IN"/>
              <w14:ligatures w14:val="standardContextual"/>
            </w:rPr>
          </w:pPr>
          <w:hyperlink w:anchor="_Toc216695548" w:history="1">
            <w:r w:rsidRPr="00A26036">
              <w:rPr>
                <w:rStyle w:val="Hyperlink"/>
                <w:rFonts w:ascii="Arial" w:hAnsi="Arial" w:cs="Arial"/>
                <w:noProof/>
              </w:rPr>
              <w:t>Reference List</w:t>
            </w:r>
            <w:r w:rsidRPr="00A26036">
              <w:rPr>
                <w:rFonts w:ascii="Arial" w:hAnsi="Arial" w:cs="Arial"/>
                <w:noProof/>
                <w:webHidden/>
              </w:rPr>
              <w:tab/>
            </w:r>
            <w:r w:rsidRPr="00A26036">
              <w:rPr>
                <w:rFonts w:ascii="Arial" w:hAnsi="Arial" w:cs="Arial"/>
                <w:noProof/>
                <w:webHidden/>
              </w:rPr>
              <w:fldChar w:fldCharType="begin"/>
            </w:r>
            <w:r w:rsidRPr="00A26036">
              <w:rPr>
                <w:rFonts w:ascii="Arial" w:hAnsi="Arial" w:cs="Arial"/>
                <w:noProof/>
                <w:webHidden/>
              </w:rPr>
              <w:instrText xml:space="preserve"> PAGEREF _Toc216695548 \h </w:instrText>
            </w:r>
            <w:r w:rsidRPr="00A26036">
              <w:rPr>
                <w:rFonts w:ascii="Arial" w:hAnsi="Arial" w:cs="Arial"/>
                <w:noProof/>
                <w:webHidden/>
              </w:rPr>
            </w:r>
            <w:r w:rsidRPr="00A26036">
              <w:rPr>
                <w:rFonts w:ascii="Arial" w:hAnsi="Arial" w:cs="Arial"/>
                <w:noProof/>
                <w:webHidden/>
              </w:rPr>
              <w:fldChar w:fldCharType="separate"/>
            </w:r>
            <w:r w:rsidRPr="00A26036">
              <w:rPr>
                <w:rFonts w:ascii="Arial" w:hAnsi="Arial" w:cs="Arial"/>
                <w:noProof/>
                <w:webHidden/>
              </w:rPr>
              <w:t>10</w:t>
            </w:r>
            <w:r w:rsidRPr="00A26036">
              <w:rPr>
                <w:rFonts w:ascii="Arial" w:hAnsi="Arial" w:cs="Arial"/>
                <w:noProof/>
                <w:webHidden/>
              </w:rPr>
              <w:fldChar w:fldCharType="end"/>
            </w:r>
          </w:hyperlink>
        </w:p>
        <w:p w14:paraId="17380074" w14:textId="6A2113E7" w:rsidR="005A07A1" w:rsidRPr="00A26036" w:rsidRDefault="005A07A1" w:rsidP="00A26036">
          <w:pPr>
            <w:spacing w:line="360" w:lineRule="auto"/>
            <w:jc w:val="both"/>
            <w:rPr>
              <w:rFonts w:ascii="Arial" w:hAnsi="Arial" w:cs="Arial"/>
            </w:rPr>
          </w:pPr>
          <w:r w:rsidRPr="00A26036">
            <w:rPr>
              <w:rFonts w:ascii="Arial" w:hAnsi="Arial" w:cs="Arial"/>
              <w:b/>
              <w:bCs/>
              <w:noProof/>
            </w:rPr>
            <w:fldChar w:fldCharType="end"/>
          </w:r>
        </w:p>
      </w:sdtContent>
    </w:sdt>
    <w:p w14:paraId="667C4C13" w14:textId="77777777" w:rsidR="005A07A1" w:rsidRPr="00A26036" w:rsidRDefault="005A07A1" w:rsidP="00A26036">
      <w:pPr>
        <w:spacing w:line="360" w:lineRule="auto"/>
        <w:rPr>
          <w:rFonts w:ascii="Arial" w:hAnsi="Arial" w:cs="Arial"/>
          <w:b/>
          <w:bCs/>
        </w:rPr>
      </w:pPr>
      <w:r w:rsidRPr="00A26036">
        <w:rPr>
          <w:rFonts w:ascii="Arial" w:hAnsi="Arial" w:cs="Arial"/>
          <w:b/>
          <w:bCs/>
        </w:rPr>
        <w:br w:type="page"/>
      </w:r>
    </w:p>
    <w:p w14:paraId="4E1F5A42" w14:textId="3F060F0D" w:rsidR="005A07A1" w:rsidRPr="001F44E7" w:rsidRDefault="005A07A1" w:rsidP="00D45121">
      <w:pPr>
        <w:pStyle w:val="Heading1"/>
      </w:pPr>
      <w:bookmarkStart w:id="0" w:name="_Toc216695533"/>
      <w:r w:rsidRPr="001F44E7">
        <w:lastRenderedPageBreak/>
        <w:t>1. Prevalence of the Problem</w:t>
      </w:r>
      <w:bookmarkEnd w:id="0"/>
      <w:r w:rsidRPr="001F44E7">
        <w:t xml:space="preserve"> </w:t>
      </w:r>
    </w:p>
    <w:p w14:paraId="7514B798" w14:textId="37425E46" w:rsidR="005A07A1" w:rsidRPr="009B0468" w:rsidRDefault="00D45121" w:rsidP="005A07A1">
      <w:pPr>
        <w:spacing w:line="360" w:lineRule="auto"/>
        <w:jc w:val="both"/>
        <w:rPr>
          <w:rFonts w:ascii="Arial" w:hAnsi="Arial" w:cs="Arial"/>
          <w:lang w:val="en-IN"/>
        </w:rPr>
      </w:pPr>
      <w:r w:rsidRPr="00D45121">
        <w:rPr>
          <w:rFonts w:ascii="Arial" w:hAnsi="Arial" w:cs="Arial"/>
        </w:rPr>
        <w:t>Hospital readmissions are still a heavy burden to adults living with mental-conditions, which signifies a structural issue in health and social care</w:t>
      </w:r>
      <w:r w:rsidR="006F4755">
        <w:rPr>
          <w:rFonts w:ascii="Arial" w:hAnsi="Arial" w:cs="Arial"/>
        </w:rPr>
        <w:t xml:space="preserve"> </w:t>
      </w:r>
      <w:r w:rsidR="006F4755" w:rsidRPr="006F4755">
        <w:rPr>
          <w:rFonts w:ascii="Arial" w:hAnsi="Arial" w:cs="Arial"/>
        </w:rPr>
        <w:t>(Cedrone et al., 2025)</w:t>
      </w:r>
      <w:r w:rsidRPr="00D45121">
        <w:rPr>
          <w:rFonts w:ascii="Arial" w:hAnsi="Arial" w:cs="Arial"/>
        </w:rPr>
        <w:t xml:space="preserve">. As an example, a psychiatric inpatient study </w:t>
      </w:r>
      <w:r w:rsidR="00E27713">
        <w:rPr>
          <w:rFonts w:ascii="Arial" w:hAnsi="Arial" w:cs="Arial"/>
        </w:rPr>
        <w:t xml:space="preserve">by </w:t>
      </w:r>
      <w:r w:rsidR="00E27713" w:rsidRPr="00E27713">
        <w:rPr>
          <w:rFonts w:ascii="Arial" w:hAnsi="Arial" w:cs="Arial"/>
          <w:lang w:val="en-IN"/>
        </w:rPr>
        <w:t xml:space="preserve">Owusu </w:t>
      </w:r>
      <w:r w:rsidR="00E27713" w:rsidRPr="00E27713">
        <w:rPr>
          <w:rFonts w:ascii="Arial" w:hAnsi="Arial" w:cs="Arial"/>
          <w:i/>
          <w:iCs/>
          <w:lang w:val="en-IN"/>
        </w:rPr>
        <w:t>et al.</w:t>
      </w:r>
      <w:r w:rsidR="00E27713" w:rsidRPr="00E27713">
        <w:rPr>
          <w:rFonts w:ascii="Arial" w:hAnsi="Arial" w:cs="Arial"/>
          <w:lang w:val="en-IN"/>
        </w:rPr>
        <w:t xml:space="preserve"> (2022)</w:t>
      </w:r>
      <w:r w:rsidRPr="00D45121">
        <w:rPr>
          <w:rFonts w:ascii="Arial" w:hAnsi="Arial" w:cs="Arial"/>
        </w:rPr>
        <w:t xml:space="preserve"> had </w:t>
      </w:r>
      <w:proofErr w:type="gramStart"/>
      <w:r w:rsidRPr="00D45121">
        <w:rPr>
          <w:rFonts w:ascii="Arial" w:hAnsi="Arial" w:cs="Arial"/>
        </w:rPr>
        <w:t>an</w:t>
      </w:r>
      <w:proofErr w:type="gramEnd"/>
      <w:r w:rsidRPr="00D45121">
        <w:rPr>
          <w:rFonts w:ascii="Arial" w:hAnsi="Arial" w:cs="Arial"/>
        </w:rPr>
        <w:t xml:space="preserve"> 12-month readmission rate of 16.4. A second analysis </w:t>
      </w:r>
      <w:r w:rsidR="00E27713">
        <w:rPr>
          <w:rFonts w:ascii="Arial" w:hAnsi="Arial" w:cs="Arial"/>
        </w:rPr>
        <w:t xml:space="preserve">by </w:t>
      </w:r>
      <w:r w:rsidR="00E27713" w:rsidRPr="00E27713">
        <w:rPr>
          <w:rFonts w:ascii="Arial" w:hAnsi="Arial" w:cs="Arial"/>
          <w:lang w:val="en-IN"/>
        </w:rPr>
        <w:t xml:space="preserve">Han </w:t>
      </w:r>
      <w:r w:rsidR="00E27713" w:rsidRPr="00E27713">
        <w:rPr>
          <w:rFonts w:ascii="Arial" w:hAnsi="Arial" w:cs="Arial"/>
          <w:i/>
          <w:iCs/>
          <w:lang w:val="en-IN"/>
        </w:rPr>
        <w:t xml:space="preserve">et al. </w:t>
      </w:r>
      <w:r w:rsidR="00E27713" w:rsidRPr="00E27713">
        <w:rPr>
          <w:rFonts w:ascii="Arial" w:hAnsi="Arial" w:cs="Arial"/>
          <w:lang w:val="en-IN"/>
        </w:rPr>
        <w:t>(2020)</w:t>
      </w:r>
      <w:r w:rsidRPr="00D45121">
        <w:rPr>
          <w:rFonts w:ascii="Arial" w:hAnsi="Arial" w:cs="Arial"/>
        </w:rPr>
        <w:t xml:space="preserve"> focused on reporting 30-day readmission and 1-year readmission rates that were found to be 16.7% and 33.8% respectively. These statistics indicate a trend whereby a large percentage of individuals with mental health issues discharged out of the hospital go back to be hospitalized in weeks to months, highlighting the continuity of care gaps. In addition, mental health conditions are prevalent in adult populations everywhere: in different settings, it has been estimated that approximately 15% of patients who come to the general-medical care have a comorbid mental-health disorder, such as depression, anxiety, bipolar disorder, or psychosis</w:t>
      </w:r>
      <w:r w:rsidR="007F2877">
        <w:rPr>
          <w:rFonts w:ascii="Arial" w:hAnsi="Arial" w:cs="Arial"/>
        </w:rPr>
        <w:t xml:space="preserve"> </w:t>
      </w:r>
      <w:r w:rsidR="007F2877" w:rsidRPr="007F2877">
        <w:rPr>
          <w:rFonts w:ascii="Arial" w:hAnsi="Arial" w:cs="Arial"/>
          <w:lang w:val="en-IN"/>
        </w:rPr>
        <w:t xml:space="preserve">(Sreenivasan </w:t>
      </w:r>
      <w:r w:rsidR="007F2877" w:rsidRPr="007F2877">
        <w:rPr>
          <w:rFonts w:ascii="Arial" w:hAnsi="Arial" w:cs="Arial"/>
          <w:i/>
          <w:iCs/>
          <w:lang w:val="en-IN"/>
        </w:rPr>
        <w:t>et al</w:t>
      </w:r>
      <w:r w:rsidR="007F2877" w:rsidRPr="007F2877">
        <w:rPr>
          <w:rFonts w:ascii="Arial" w:hAnsi="Arial" w:cs="Arial"/>
          <w:lang w:val="en-IN"/>
        </w:rPr>
        <w:t>., 2022)</w:t>
      </w:r>
      <w:r w:rsidRPr="00D45121">
        <w:rPr>
          <w:rFonts w:ascii="Arial" w:hAnsi="Arial" w:cs="Arial"/>
        </w:rPr>
        <w:t>. This broad prevalence and a high rate of readmission point to a two-sided issue: a large portion of the population is either living with a mental illness that has not been treated or managed, and a significant portion of the population hospitalized re-enter acute care shortly after being discharged</w:t>
      </w:r>
      <w:r w:rsidR="006F4755">
        <w:rPr>
          <w:rFonts w:ascii="Arial" w:hAnsi="Arial" w:cs="Arial"/>
        </w:rPr>
        <w:t xml:space="preserve"> </w:t>
      </w:r>
      <w:r w:rsidR="006F4755" w:rsidRPr="006F4755">
        <w:rPr>
          <w:rFonts w:ascii="Arial" w:hAnsi="Arial" w:cs="Arial"/>
        </w:rPr>
        <w:t>(Lekan et al., 2021)</w:t>
      </w:r>
      <w:r w:rsidRPr="00D45121">
        <w:rPr>
          <w:rFonts w:ascii="Arial" w:hAnsi="Arial" w:cs="Arial"/>
        </w:rPr>
        <w:t>. Combined, the incidence of mental illnesses and the likelihood of readmission are a significant community-wide and social-care issue. It highlights the necessity of timely community-based mental health care intervention, which helps to maintain a stable recovery and decrease the need to undergo recurrent inpatient health care</w:t>
      </w:r>
      <w:r w:rsidR="006F4755">
        <w:rPr>
          <w:rFonts w:ascii="Arial" w:hAnsi="Arial" w:cs="Arial"/>
        </w:rPr>
        <w:t xml:space="preserve"> </w:t>
      </w:r>
      <w:r w:rsidR="006F4755" w:rsidRPr="006F4755">
        <w:rPr>
          <w:rFonts w:ascii="Arial" w:hAnsi="Arial" w:cs="Arial"/>
        </w:rPr>
        <w:t>(Harvey et al., 2023)</w:t>
      </w:r>
      <w:r w:rsidR="009B0468" w:rsidRPr="009B0468">
        <w:rPr>
          <w:rFonts w:ascii="Arial" w:hAnsi="Arial" w:cs="Arial"/>
          <w:lang w:val="en-IN"/>
        </w:rPr>
        <w:t>.</w:t>
      </w:r>
    </w:p>
    <w:p w14:paraId="36D42DE4" w14:textId="77777777" w:rsidR="005A07A1" w:rsidRPr="001F44E7" w:rsidRDefault="005A07A1" w:rsidP="00D45121">
      <w:pPr>
        <w:pStyle w:val="Heading1"/>
      </w:pPr>
      <w:bookmarkStart w:id="1" w:name="_Toc216695534"/>
      <w:r w:rsidRPr="001F44E7">
        <w:t>2. Introduction (Literature-Based Background)</w:t>
      </w:r>
      <w:bookmarkEnd w:id="1"/>
    </w:p>
    <w:p w14:paraId="053851DF" w14:textId="01CC0BB8" w:rsidR="007F2877" w:rsidRDefault="00960259" w:rsidP="005A07A1">
      <w:pPr>
        <w:spacing w:line="360" w:lineRule="auto"/>
        <w:jc w:val="both"/>
        <w:rPr>
          <w:rFonts w:ascii="Arial" w:hAnsi="Arial" w:cs="Arial"/>
        </w:rPr>
      </w:pPr>
      <w:proofErr w:type="spellStart"/>
      <w:r w:rsidRPr="004322AA">
        <w:t>Killaspy</w:t>
      </w:r>
      <w:proofErr w:type="spellEnd"/>
      <w:r w:rsidRPr="004322AA">
        <w:t>,</w:t>
      </w:r>
      <w:r>
        <w:t xml:space="preserve"> </w:t>
      </w:r>
      <w:r w:rsidRPr="00960259">
        <w:rPr>
          <w:i/>
          <w:iCs/>
        </w:rPr>
        <w:t>et al</w:t>
      </w:r>
      <w:r>
        <w:t xml:space="preserve">., (2022) examined that </w:t>
      </w:r>
      <w:r>
        <w:rPr>
          <w:rFonts w:ascii="Arial" w:hAnsi="Arial" w:cs="Arial"/>
        </w:rPr>
        <w:t>t</w:t>
      </w:r>
      <w:r w:rsidR="00D45121" w:rsidRPr="00D45121">
        <w:rPr>
          <w:rFonts w:ascii="Arial" w:hAnsi="Arial" w:cs="Arial"/>
        </w:rPr>
        <w:t>he shift in providing mental-health care to inpatient care and community living is still a much-needed crossroads: although hospitali</w:t>
      </w:r>
      <w:r w:rsidR="007F2877">
        <w:rPr>
          <w:rFonts w:ascii="Arial" w:hAnsi="Arial" w:cs="Arial"/>
        </w:rPr>
        <w:t>s</w:t>
      </w:r>
      <w:r w:rsidR="00D45121" w:rsidRPr="00D45121">
        <w:rPr>
          <w:rFonts w:ascii="Arial" w:hAnsi="Arial" w:cs="Arial"/>
        </w:rPr>
        <w:t xml:space="preserve">ation might be associated with the alleviation of acute symptoms, many adults with serious mental illness (SMI) readmission soon after their discharge, which is an indication of the lack of proper aftercare and continuous support. In recent decades, </w:t>
      </w:r>
      <w:r w:rsidR="007F2877" w:rsidRPr="007F2877">
        <w:rPr>
          <w:rFonts w:ascii="Arial" w:hAnsi="Arial" w:cs="Arial"/>
          <w:lang w:val="en-IN"/>
        </w:rPr>
        <w:t xml:space="preserve">Harvey </w:t>
      </w:r>
      <w:r w:rsidR="007F2877" w:rsidRPr="007F2877">
        <w:rPr>
          <w:rFonts w:ascii="Arial" w:hAnsi="Arial" w:cs="Arial"/>
          <w:i/>
          <w:iCs/>
          <w:lang w:val="en-IN"/>
        </w:rPr>
        <w:t>et al.</w:t>
      </w:r>
      <w:r w:rsidR="007F2877" w:rsidRPr="007F2877">
        <w:rPr>
          <w:rFonts w:ascii="Arial" w:hAnsi="Arial" w:cs="Arial"/>
          <w:lang w:val="en-IN"/>
        </w:rPr>
        <w:t xml:space="preserve"> (2023)</w:t>
      </w:r>
      <w:r w:rsidR="007F2877">
        <w:rPr>
          <w:rFonts w:ascii="Arial" w:hAnsi="Arial" w:cs="Arial"/>
          <w:lang w:val="en-IN"/>
        </w:rPr>
        <w:t xml:space="preserve"> found that </w:t>
      </w:r>
      <w:r w:rsidR="00D45121" w:rsidRPr="00D45121">
        <w:rPr>
          <w:rFonts w:ascii="Arial" w:hAnsi="Arial" w:cs="Arial"/>
        </w:rPr>
        <w:t xml:space="preserve">scholars and policymakers have placed more importance on such a strategy as community-based mental-health interventions to lower readmission rates, enhance recovery, and ensure long-term stability. It is based on that expanding body of evidence that this research is aimed at investigating the mechanisms of such interventions, and what variables contribute to their efficacy. There are numerous community-based strategies that have been devised. Some of the most common ones examined are transitional or bridging interventions, which start </w:t>
      </w:r>
      <w:r w:rsidR="007F2877" w:rsidRPr="00D45121">
        <w:rPr>
          <w:rFonts w:ascii="Arial" w:hAnsi="Arial" w:cs="Arial"/>
        </w:rPr>
        <w:t>during</w:t>
      </w:r>
      <w:r w:rsidR="00D45121" w:rsidRPr="00D45121">
        <w:rPr>
          <w:rFonts w:ascii="Arial" w:hAnsi="Arial" w:cs="Arial"/>
        </w:rPr>
        <w:t xml:space="preserve"> hospitali</w:t>
      </w:r>
      <w:r w:rsidR="007F2877">
        <w:rPr>
          <w:rFonts w:ascii="Arial" w:hAnsi="Arial" w:cs="Arial"/>
        </w:rPr>
        <w:t>s</w:t>
      </w:r>
      <w:r w:rsidR="00D45121" w:rsidRPr="00D45121">
        <w:rPr>
          <w:rFonts w:ascii="Arial" w:hAnsi="Arial" w:cs="Arial"/>
        </w:rPr>
        <w:t>ation and proceed to the post-discharge stage</w:t>
      </w:r>
      <w:r w:rsidR="006F4755">
        <w:rPr>
          <w:rFonts w:ascii="Arial" w:hAnsi="Arial" w:cs="Arial"/>
        </w:rPr>
        <w:t xml:space="preserve"> </w:t>
      </w:r>
      <w:r w:rsidR="006F4755" w:rsidRPr="006F4755">
        <w:rPr>
          <w:rFonts w:ascii="Arial" w:hAnsi="Arial" w:cs="Arial"/>
        </w:rPr>
        <w:t>(Krawczyk et al., 2023)</w:t>
      </w:r>
      <w:r w:rsidR="00D45121" w:rsidRPr="00D45121">
        <w:rPr>
          <w:rFonts w:ascii="Arial" w:hAnsi="Arial" w:cs="Arial"/>
        </w:rPr>
        <w:t xml:space="preserve">. They are usually pre-discharge psycho-education, systematic needs assessment, medication reconciliation and education, discharge </w:t>
      </w:r>
      <w:r w:rsidR="00D45121" w:rsidRPr="00D45121">
        <w:rPr>
          <w:rFonts w:ascii="Arial" w:hAnsi="Arial" w:cs="Arial"/>
        </w:rPr>
        <w:lastRenderedPageBreak/>
        <w:t xml:space="preserve">planning, transition managers, and greater coordination of the inpatient and outpatient providers. </w:t>
      </w:r>
      <w:r w:rsidR="007F2877">
        <w:rPr>
          <w:rFonts w:ascii="Arial" w:hAnsi="Arial" w:cs="Arial"/>
        </w:rPr>
        <w:t xml:space="preserve">In contrast, </w:t>
      </w:r>
      <w:r w:rsidRPr="004322AA">
        <w:t>Taban</w:t>
      </w:r>
      <w:r>
        <w:t xml:space="preserve"> </w:t>
      </w:r>
      <w:r w:rsidRPr="00960259">
        <w:rPr>
          <w:i/>
          <w:iCs/>
        </w:rPr>
        <w:t>et al.</w:t>
      </w:r>
      <w:r w:rsidR="007F2877">
        <w:rPr>
          <w:i/>
          <w:iCs/>
        </w:rPr>
        <w:t xml:space="preserve"> </w:t>
      </w:r>
      <w:r w:rsidR="007F2877">
        <w:t>(2024)</w:t>
      </w:r>
      <w:r>
        <w:t xml:space="preserve">, pointed out that </w:t>
      </w:r>
      <w:r>
        <w:rPr>
          <w:rFonts w:ascii="Arial" w:hAnsi="Arial" w:cs="Arial"/>
        </w:rPr>
        <w:t>t</w:t>
      </w:r>
      <w:r w:rsidR="00D45121" w:rsidRPr="00D45121">
        <w:rPr>
          <w:rFonts w:ascii="Arial" w:hAnsi="Arial" w:cs="Arial"/>
        </w:rPr>
        <w:t xml:space="preserve">here are also long term community based programmes, e.g. the better known Assertive Community Treatment (ACT) or peer-led, recovery-based models, such as Clubhouse model of psychosocial rehabilitation. </w:t>
      </w:r>
    </w:p>
    <w:p w14:paraId="70FF9912" w14:textId="002D8872" w:rsidR="007F2877" w:rsidRPr="00D94524" w:rsidRDefault="00D45121" w:rsidP="005A07A1">
      <w:pPr>
        <w:spacing w:line="360" w:lineRule="auto"/>
        <w:jc w:val="both"/>
        <w:rPr>
          <w:rFonts w:ascii="Arial" w:hAnsi="Arial" w:cs="Arial"/>
          <w:lang w:val="en-GB"/>
        </w:rPr>
      </w:pPr>
      <w:r w:rsidRPr="00D45121">
        <w:rPr>
          <w:rFonts w:ascii="Arial" w:hAnsi="Arial" w:cs="Arial"/>
        </w:rPr>
        <w:t>Moreover,</w:t>
      </w:r>
      <w:r w:rsidR="007F2877">
        <w:rPr>
          <w:rFonts w:ascii="Arial" w:hAnsi="Arial" w:cs="Arial"/>
        </w:rPr>
        <w:t xml:space="preserve"> </w:t>
      </w:r>
      <w:r w:rsidR="007F2877" w:rsidRPr="007F2877">
        <w:rPr>
          <w:rFonts w:ascii="Arial" w:hAnsi="Arial" w:cs="Arial"/>
          <w:lang w:val="en-IN"/>
        </w:rPr>
        <w:t xml:space="preserve">Johansen </w:t>
      </w:r>
      <w:r w:rsidR="007F2877" w:rsidRPr="007F2877">
        <w:rPr>
          <w:rFonts w:ascii="Arial" w:hAnsi="Arial" w:cs="Arial"/>
          <w:i/>
          <w:iCs/>
          <w:lang w:val="en-IN"/>
        </w:rPr>
        <w:t>et al</w:t>
      </w:r>
      <w:r w:rsidR="007F2877" w:rsidRPr="007F2877">
        <w:rPr>
          <w:rFonts w:ascii="Arial" w:hAnsi="Arial" w:cs="Arial"/>
          <w:lang w:val="en-IN"/>
        </w:rPr>
        <w:t>. (2021)</w:t>
      </w:r>
      <w:r w:rsidR="007F2877">
        <w:rPr>
          <w:rFonts w:ascii="Arial" w:hAnsi="Arial" w:cs="Arial"/>
          <w:lang w:val="en-IN"/>
        </w:rPr>
        <w:t xml:space="preserve"> note that</w:t>
      </w:r>
      <w:r w:rsidRPr="00D45121">
        <w:rPr>
          <w:rFonts w:ascii="Arial" w:hAnsi="Arial" w:cs="Arial"/>
        </w:rPr>
        <w:t xml:space="preserve"> relapse-prevention treatment approaches used in outpatient community-care environments such as the Early Recognition Method (ERM) used with individuals diagnosed with disorder like schizophrenia or bipolar disorder are based on regular check-ups, early intervention in the case of relapse, and the use of patients, caregivers, and mental-health providers. There is mixed evidence on the effects of such interventions but sign-post to the possible benefits. </w:t>
      </w:r>
      <w:r w:rsidR="007F2877">
        <w:rPr>
          <w:rFonts w:ascii="Arial" w:hAnsi="Arial" w:cs="Arial"/>
        </w:rPr>
        <w:t xml:space="preserve">On the other hand, </w:t>
      </w:r>
      <w:proofErr w:type="spellStart"/>
      <w:r w:rsidR="00960259" w:rsidRPr="004322AA">
        <w:t>Obegu</w:t>
      </w:r>
      <w:proofErr w:type="spellEnd"/>
      <w:r w:rsidR="00960259">
        <w:t xml:space="preserve"> </w:t>
      </w:r>
      <w:r w:rsidR="00960259" w:rsidRPr="00960259">
        <w:rPr>
          <w:i/>
          <w:iCs/>
        </w:rPr>
        <w:t>et al</w:t>
      </w:r>
      <w:r w:rsidR="00960259">
        <w:t xml:space="preserve">., (2025) stated that </w:t>
      </w:r>
      <w:r w:rsidR="00960259">
        <w:rPr>
          <w:rFonts w:ascii="Arial" w:hAnsi="Arial" w:cs="Arial"/>
        </w:rPr>
        <w:t>p</w:t>
      </w:r>
      <w:r w:rsidRPr="00D45121">
        <w:rPr>
          <w:rFonts w:ascii="Arial" w:hAnsi="Arial" w:cs="Arial"/>
        </w:rPr>
        <w:t xml:space="preserve">revious systematic reviews suggested that partial risk reduction in early </w:t>
      </w:r>
      <w:proofErr w:type="spellStart"/>
      <w:r w:rsidRPr="00D45121">
        <w:rPr>
          <w:rFonts w:ascii="Arial" w:hAnsi="Arial" w:cs="Arial"/>
        </w:rPr>
        <w:t>rehospitalisation</w:t>
      </w:r>
      <w:proofErr w:type="spellEnd"/>
      <w:r w:rsidRPr="00D45121">
        <w:rPr>
          <w:rFonts w:ascii="Arial" w:hAnsi="Arial" w:cs="Arial"/>
        </w:rPr>
        <w:t xml:space="preserve"> of approximately 13.6 to 37.0</w:t>
      </w:r>
      <w:r w:rsidR="007F2877">
        <w:rPr>
          <w:rFonts w:ascii="Arial" w:hAnsi="Arial" w:cs="Arial"/>
        </w:rPr>
        <w:t xml:space="preserve">% </w:t>
      </w:r>
      <w:r w:rsidRPr="00D45121">
        <w:rPr>
          <w:rFonts w:ascii="Arial" w:hAnsi="Arial" w:cs="Arial"/>
        </w:rPr>
        <w:t>of such transitional interventions relative to normal discharge practices was absolute. Other reviews, though, have observed that many post-hospital community interventions did not have statistically significant finds on reducing readmission rates as opposed to usual care, and so this emphasizes the heterogeneity of the studies, populations, and elements of interventions</w:t>
      </w:r>
      <w:r w:rsidR="00D94524">
        <w:rPr>
          <w:rFonts w:ascii="Arial" w:hAnsi="Arial" w:cs="Arial"/>
        </w:rPr>
        <w:t xml:space="preserve"> </w:t>
      </w:r>
      <w:r w:rsidR="00D94524" w:rsidRPr="00D94524">
        <w:rPr>
          <w:rFonts w:ascii="Arial" w:hAnsi="Arial" w:cs="Arial"/>
        </w:rPr>
        <w:t>(Evans et al., 2020</w:t>
      </w:r>
      <w:r w:rsidR="00D94524">
        <w:rPr>
          <w:rFonts w:ascii="Arial" w:hAnsi="Arial" w:cs="Arial"/>
        </w:rPr>
        <w:t xml:space="preserve">; </w:t>
      </w:r>
      <w:r w:rsidR="00D94524" w:rsidRPr="00D94524">
        <w:rPr>
          <w:rFonts w:ascii="Arial" w:hAnsi="Arial" w:cs="Arial"/>
          <w:lang w:val="en-GB"/>
        </w:rPr>
        <w:t>Butler et al., 2023</w:t>
      </w:r>
      <w:r w:rsidR="00D94524" w:rsidRPr="00D94524">
        <w:rPr>
          <w:rFonts w:ascii="Arial" w:hAnsi="Arial" w:cs="Arial"/>
        </w:rPr>
        <w:t>)</w:t>
      </w:r>
      <w:r w:rsidRPr="00D45121">
        <w:rPr>
          <w:rFonts w:ascii="Arial" w:hAnsi="Arial" w:cs="Arial"/>
        </w:rPr>
        <w:t>.</w:t>
      </w:r>
    </w:p>
    <w:p w14:paraId="6B5A0311" w14:textId="43A9CADD" w:rsidR="005A07A1" w:rsidRPr="009B0468" w:rsidRDefault="00D45121" w:rsidP="005A07A1">
      <w:pPr>
        <w:spacing w:line="360" w:lineRule="auto"/>
        <w:jc w:val="both"/>
        <w:rPr>
          <w:rFonts w:ascii="Arial" w:hAnsi="Arial" w:cs="Arial"/>
          <w:lang w:val="en-IN"/>
        </w:rPr>
      </w:pPr>
      <w:r w:rsidRPr="00D45121">
        <w:rPr>
          <w:rFonts w:ascii="Arial" w:hAnsi="Arial" w:cs="Arial"/>
        </w:rPr>
        <w:t>Theoretically, it is possible to frame the deployment of community-based mental-health interventions along the lines of such behaviour-change models as the Health Belief Model (HBM). HBM postulates that perceived susceptibility to relapse (perceived susceptibility), perceived consequences of relapse would be severe (perceived severity), perceived benefits of follow-up would surpass barriers (perceived benefits versus barriers), and cues to action (community outreach or support) plus self-efficacy can increase the likelihood of people becoming and maintaining the preventive health behaviours of regular follow-up, taking medicines, and self-management</w:t>
      </w:r>
      <w:r w:rsidR="00D94524">
        <w:rPr>
          <w:rFonts w:ascii="Arial" w:hAnsi="Arial" w:cs="Arial"/>
        </w:rPr>
        <w:t xml:space="preserve"> </w:t>
      </w:r>
      <w:r w:rsidR="00D94524" w:rsidRPr="00D94524">
        <w:rPr>
          <w:rFonts w:ascii="Arial" w:hAnsi="Arial" w:cs="Arial"/>
        </w:rPr>
        <w:t>(Bachman, 2022</w:t>
      </w:r>
      <w:r w:rsidR="00D94524">
        <w:rPr>
          <w:rFonts w:ascii="Arial" w:hAnsi="Arial" w:cs="Arial"/>
        </w:rPr>
        <w:t xml:space="preserve">; </w:t>
      </w:r>
      <w:proofErr w:type="spellStart"/>
      <w:r w:rsidR="00D94524" w:rsidRPr="00D94524">
        <w:rPr>
          <w:rFonts w:ascii="Arial" w:hAnsi="Arial" w:cs="Arial"/>
        </w:rPr>
        <w:t>Yenew</w:t>
      </w:r>
      <w:proofErr w:type="spellEnd"/>
      <w:r w:rsidR="00D94524" w:rsidRPr="00D94524">
        <w:rPr>
          <w:rFonts w:ascii="Arial" w:hAnsi="Arial" w:cs="Arial"/>
        </w:rPr>
        <w:t xml:space="preserve"> et al., 2023)</w:t>
      </w:r>
      <w:r w:rsidRPr="00D45121">
        <w:rPr>
          <w:rFonts w:ascii="Arial" w:hAnsi="Arial" w:cs="Arial"/>
        </w:rPr>
        <w:t xml:space="preserve">. </w:t>
      </w:r>
      <w:proofErr w:type="spellStart"/>
      <w:r w:rsidR="00960259" w:rsidRPr="004322AA">
        <w:t>Mousavizadeh</w:t>
      </w:r>
      <w:proofErr w:type="spellEnd"/>
      <w:r w:rsidR="00960259">
        <w:t xml:space="preserve"> (2023) </w:t>
      </w:r>
      <w:proofErr w:type="spellStart"/>
      <w:r w:rsidR="00960259">
        <w:t>analy</w:t>
      </w:r>
      <w:r w:rsidR="007F2877">
        <w:t>s</w:t>
      </w:r>
      <w:r w:rsidR="00960259">
        <w:t>ed</w:t>
      </w:r>
      <w:proofErr w:type="spellEnd"/>
      <w:r w:rsidR="00960259">
        <w:t xml:space="preserve"> that </w:t>
      </w:r>
      <w:r w:rsidR="00960259">
        <w:rPr>
          <w:rFonts w:ascii="Arial" w:hAnsi="Arial" w:cs="Arial"/>
        </w:rPr>
        <w:t>l</w:t>
      </w:r>
      <w:r w:rsidRPr="00D45121">
        <w:rPr>
          <w:rFonts w:ascii="Arial" w:hAnsi="Arial" w:cs="Arial"/>
        </w:rPr>
        <w:t>ikewise, the relapse-prevention and relapse-management theories incorporated in community care (including the ones behind ERM) are concerned with timely detection of warning signs and prompt treatment- therefore disrupting the recurrence of acute episodes and readmission. Comparing these strategies, the latter should play a transitional care role as a short-term, structured between hospital and community intervention such as prevention of early readmission, that is effective in the short term</w:t>
      </w:r>
      <w:r w:rsidR="00AC1F4E">
        <w:rPr>
          <w:rFonts w:ascii="Arial" w:hAnsi="Arial" w:cs="Arial"/>
        </w:rPr>
        <w:t>.</w:t>
      </w:r>
      <w:r w:rsidRPr="00D45121">
        <w:rPr>
          <w:rFonts w:ascii="Arial" w:hAnsi="Arial" w:cs="Arial"/>
        </w:rPr>
        <w:t xml:space="preserve"> With the promising evidence that remains mixed, this study seeks to find the various forms of community based mental-health interventions in adults, their effectiveness in readmission reduction and propose effective policy and strategic actions</w:t>
      </w:r>
      <w:r w:rsidR="00D23E9F" w:rsidRPr="00D23E9F">
        <w:rPr>
          <w:rFonts w:ascii="Arial" w:hAnsi="Arial" w:cs="Arial"/>
          <w:lang w:val="en-IN"/>
        </w:rPr>
        <w:t xml:space="preserve">. </w:t>
      </w:r>
    </w:p>
    <w:p w14:paraId="77349DAE" w14:textId="43DDAFEC" w:rsidR="005A07A1" w:rsidRPr="001F44E7" w:rsidRDefault="00B33187" w:rsidP="00D45121">
      <w:pPr>
        <w:pStyle w:val="Heading1"/>
      </w:pPr>
      <w:bookmarkStart w:id="2" w:name="_Toc216695535"/>
      <w:r w:rsidRPr="001F44E7">
        <w:t>3</w:t>
      </w:r>
      <w:r w:rsidR="005A07A1" w:rsidRPr="001F44E7">
        <w:t xml:space="preserve">. Research </w:t>
      </w:r>
      <w:r w:rsidR="00845EFA">
        <w:t>Question and Aim and Objectives</w:t>
      </w:r>
      <w:bookmarkEnd w:id="2"/>
      <w:r w:rsidR="00845EFA">
        <w:t xml:space="preserve"> </w:t>
      </w:r>
    </w:p>
    <w:p w14:paraId="092B7E72" w14:textId="77777777" w:rsidR="00845EFA" w:rsidRPr="001F44E7" w:rsidRDefault="00845EFA" w:rsidP="00845EFA">
      <w:pPr>
        <w:spacing w:line="360" w:lineRule="auto"/>
        <w:jc w:val="both"/>
        <w:rPr>
          <w:rFonts w:ascii="Arial" w:hAnsi="Arial" w:cs="Arial"/>
          <w:b/>
          <w:bCs/>
        </w:rPr>
      </w:pPr>
      <w:r w:rsidRPr="001F44E7">
        <w:rPr>
          <w:rFonts w:ascii="Arial" w:hAnsi="Arial" w:cs="Arial"/>
          <w:b/>
          <w:bCs/>
        </w:rPr>
        <w:t>Research Question:</w:t>
      </w:r>
    </w:p>
    <w:p w14:paraId="649E854C" w14:textId="77777777" w:rsidR="00845EFA" w:rsidRPr="001F44E7" w:rsidRDefault="00845EFA" w:rsidP="00845EFA">
      <w:pPr>
        <w:widowControl/>
        <w:autoSpaceDE/>
        <w:autoSpaceDN/>
        <w:spacing w:line="360" w:lineRule="auto"/>
        <w:jc w:val="both"/>
        <w:rPr>
          <w:rFonts w:ascii="Arial" w:hAnsi="Arial" w:cs="Arial"/>
        </w:rPr>
      </w:pPr>
      <w:r w:rsidRPr="009B0468">
        <w:rPr>
          <w:rFonts w:ascii="Arial" w:hAnsi="Arial" w:cs="Arial"/>
          <w:lang w:val="en-GB"/>
        </w:rPr>
        <w:lastRenderedPageBreak/>
        <w:t>What are the different community-based mental health interventions, and assess their effectiveness in hospital readmission rates in case of adults dealing with mental health conditions</w:t>
      </w:r>
      <w:r w:rsidRPr="001F44E7">
        <w:rPr>
          <w:rFonts w:ascii="Arial" w:hAnsi="Arial" w:cs="Arial"/>
        </w:rPr>
        <w:t>?</w:t>
      </w:r>
    </w:p>
    <w:p w14:paraId="6F59039B" w14:textId="35929630" w:rsidR="00845EFA" w:rsidRPr="00845EFA" w:rsidRDefault="00845EFA" w:rsidP="005A07A1">
      <w:pPr>
        <w:spacing w:line="360" w:lineRule="auto"/>
        <w:jc w:val="both"/>
        <w:rPr>
          <w:rFonts w:ascii="Arial" w:hAnsi="Arial" w:cs="Arial"/>
          <w:b/>
          <w:bCs/>
          <w:lang w:val="en-GB"/>
        </w:rPr>
      </w:pPr>
      <w:r w:rsidRPr="00845EFA">
        <w:rPr>
          <w:rFonts w:ascii="Arial" w:hAnsi="Arial" w:cs="Arial"/>
          <w:b/>
          <w:bCs/>
          <w:lang w:val="en-GB"/>
        </w:rPr>
        <w:t xml:space="preserve">Research aim </w:t>
      </w:r>
    </w:p>
    <w:p w14:paraId="38921BD1" w14:textId="7CAC0C19" w:rsidR="005A07A1" w:rsidRPr="009B0468" w:rsidRDefault="009B0468" w:rsidP="005A07A1">
      <w:pPr>
        <w:spacing w:line="360" w:lineRule="auto"/>
        <w:jc w:val="both"/>
        <w:rPr>
          <w:rFonts w:ascii="Arial" w:hAnsi="Arial" w:cs="Arial"/>
          <w:lang w:val="en-IN"/>
        </w:rPr>
      </w:pPr>
      <w:r w:rsidRPr="009B0468">
        <w:rPr>
          <w:rFonts w:ascii="Arial" w:hAnsi="Arial" w:cs="Arial"/>
          <w:lang w:val="en-GB"/>
        </w:rPr>
        <w:t>The aim of this study is to assess the effectiveness of various community-based mental health interventions in reducing hospital readmission rates in adults living with mental health condition</w:t>
      </w:r>
      <w:r w:rsidR="005A07A1" w:rsidRPr="001F44E7">
        <w:rPr>
          <w:rFonts w:ascii="Arial" w:hAnsi="Arial" w:cs="Arial"/>
        </w:rPr>
        <w:t xml:space="preserve">. </w:t>
      </w:r>
    </w:p>
    <w:p w14:paraId="5841E14A" w14:textId="77777777" w:rsidR="005A07A1" w:rsidRPr="001F44E7" w:rsidRDefault="005A07A1" w:rsidP="005A07A1">
      <w:pPr>
        <w:spacing w:line="360" w:lineRule="auto"/>
        <w:jc w:val="both"/>
        <w:rPr>
          <w:rFonts w:ascii="Arial" w:hAnsi="Arial" w:cs="Arial"/>
          <w:b/>
          <w:bCs/>
        </w:rPr>
      </w:pPr>
      <w:r w:rsidRPr="001F44E7">
        <w:rPr>
          <w:rFonts w:ascii="Arial" w:hAnsi="Arial" w:cs="Arial"/>
          <w:b/>
          <w:bCs/>
        </w:rPr>
        <w:t>Objectives:</w:t>
      </w:r>
    </w:p>
    <w:p w14:paraId="726CAED8" w14:textId="77777777" w:rsidR="005A07A1" w:rsidRPr="001F44E7" w:rsidRDefault="005A07A1" w:rsidP="005A07A1">
      <w:pPr>
        <w:spacing w:line="360" w:lineRule="auto"/>
        <w:jc w:val="both"/>
        <w:rPr>
          <w:rFonts w:ascii="Arial" w:hAnsi="Arial" w:cs="Arial"/>
        </w:rPr>
      </w:pPr>
      <w:r w:rsidRPr="001F44E7">
        <w:rPr>
          <w:rFonts w:ascii="Arial" w:hAnsi="Arial" w:cs="Arial"/>
        </w:rPr>
        <w:t xml:space="preserve">The objectives of this paper are: </w:t>
      </w:r>
    </w:p>
    <w:p w14:paraId="532516EF" w14:textId="77777777" w:rsidR="009B0468" w:rsidRPr="009B0468" w:rsidRDefault="009B0468" w:rsidP="009B0468">
      <w:pPr>
        <w:widowControl/>
        <w:numPr>
          <w:ilvl w:val="0"/>
          <w:numId w:val="6"/>
        </w:numPr>
        <w:autoSpaceDE/>
        <w:autoSpaceDN/>
        <w:spacing w:line="360" w:lineRule="auto"/>
        <w:jc w:val="both"/>
        <w:rPr>
          <w:rFonts w:ascii="Arial" w:hAnsi="Arial" w:cs="Arial"/>
          <w:lang w:val="en-IN"/>
        </w:rPr>
      </w:pPr>
      <w:r w:rsidRPr="009B0468">
        <w:rPr>
          <w:rFonts w:ascii="Arial" w:hAnsi="Arial" w:cs="Arial"/>
          <w:lang w:val="en-GB"/>
        </w:rPr>
        <w:t>To identify different types of community-based mental health interventions for reducing readmission for adults.</w:t>
      </w:r>
    </w:p>
    <w:p w14:paraId="50EDC19D" w14:textId="77777777" w:rsidR="009B0468" w:rsidRPr="009B0468" w:rsidRDefault="009B0468" w:rsidP="009B0468">
      <w:pPr>
        <w:widowControl/>
        <w:numPr>
          <w:ilvl w:val="0"/>
          <w:numId w:val="6"/>
        </w:numPr>
        <w:autoSpaceDE/>
        <w:autoSpaceDN/>
        <w:spacing w:line="360" w:lineRule="auto"/>
        <w:jc w:val="both"/>
        <w:rPr>
          <w:rFonts w:ascii="Arial" w:hAnsi="Arial" w:cs="Arial"/>
          <w:lang w:val="en-IN"/>
        </w:rPr>
      </w:pPr>
      <w:r w:rsidRPr="009B0468">
        <w:rPr>
          <w:rFonts w:ascii="Arial" w:hAnsi="Arial" w:cs="Arial"/>
          <w:lang w:val="en-GB"/>
        </w:rPr>
        <w:t>To assess the impact of community-based mental health interventions on reducing readmission.</w:t>
      </w:r>
    </w:p>
    <w:p w14:paraId="06FBBB21" w14:textId="05F408D5" w:rsidR="005A07A1" w:rsidRPr="001F44E7" w:rsidRDefault="009B0468" w:rsidP="009B0468">
      <w:pPr>
        <w:widowControl/>
        <w:numPr>
          <w:ilvl w:val="0"/>
          <w:numId w:val="6"/>
        </w:numPr>
        <w:autoSpaceDE/>
        <w:autoSpaceDN/>
        <w:spacing w:line="360" w:lineRule="auto"/>
        <w:jc w:val="both"/>
        <w:rPr>
          <w:rFonts w:ascii="Arial" w:hAnsi="Arial" w:cs="Arial"/>
        </w:rPr>
      </w:pPr>
      <w:r w:rsidRPr="009B0468">
        <w:rPr>
          <w:rFonts w:ascii="Arial" w:hAnsi="Arial" w:cs="Arial"/>
          <w:lang w:val="en-GB"/>
        </w:rPr>
        <w:t>To recommend better policy implementations and strategic solutions to reduce hospital readmission rates through community-based mental health intervention</w:t>
      </w:r>
      <w:r>
        <w:rPr>
          <w:rFonts w:ascii="Arial" w:hAnsi="Arial" w:cs="Arial"/>
          <w:lang w:val="en-GB"/>
        </w:rPr>
        <w:t>s</w:t>
      </w:r>
      <w:r w:rsidR="005A07A1" w:rsidRPr="001F44E7">
        <w:rPr>
          <w:rFonts w:ascii="Arial" w:hAnsi="Arial" w:cs="Arial"/>
        </w:rPr>
        <w:t>.</w:t>
      </w:r>
    </w:p>
    <w:p w14:paraId="355910B7" w14:textId="6BCF0E79" w:rsidR="00B33187" w:rsidRPr="001F44E7" w:rsidRDefault="00B33187" w:rsidP="00D45121">
      <w:pPr>
        <w:pStyle w:val="Heading1"/>
      </w:pPr>
      <w:bookmarkStart w:id="3" w:name="_Toc216695536"/>
      <w:r w:rsidRPr="001F44E7">
        <w:t>4. Rationale</w:t>
      </w:r>
      <w:bookmarkEnd w:id="3"/>
      <w:r w:rsidRPr="001F44E7">
        <w:t xml:space="preserve"> </w:t>
      </w:r>
    </w:p>
    <w:p w14:paraId="1E797A64" w14:textId="2E864DF5" w:rsidR="00B33187" w:rsidRPr="001F44E7" w:rsidRDefault="00D45121" w:rsidP="00B33187">
      <w:pPr>
        <w:widowControl/>
        <w:autoSpaceDE/>
        <w:autoSpaceDN/>
        <w:spacing w:line="360" w:lineRule="auto"/>
        <w:jc w:val="both"/>
        <w:rPr>
          <w:rFonts w:ascii="Arial" w:hAnsi="Arial" w:cs="Arial"/>
        </w:rPr>
      </w:pPr>
      <w:r w:rsidRPr="00D45121">
        <w:rPr>
          <w:rFonts w:ascii="Arial" w:hAnsi="Arial" w:cs="Arial"/>
        </w:rPr>
        <w:t>The justification of studying the effectiveness of community-based mental-health interventions is because of an increasing awareness that hospital-based models cannot sufficiently aid in supporting adults with the chronic mental-health conditions. A large number of people get discharged with inadequate follow-up, hands-on skills, and social-care support and stand a high chance of worsening after discharge</w:t>
      </w:r>
      <w:r w:rsidR="00D94524">
        <w:rPr>
          <w:rFonts w:ascii="Arial" w:hAnsi="Arial" w:cs="Arial"/>
        </w:rPr>
        <w:t xml:space="preserve"> </w:t>
      </w:r>
      <w:r w:rsidR="00D94524" w:rsidRPr="00D94524">
        <w:rPr>
          <w:rFonts w:ascii="Arial" w:hAnsi="Arial" w:cs="Arial"/>
        </w:rPr>
        <w:t>(Cantrell, Chambers and Booth, 2024)</w:t>
      </w:r>
      <w:r w:rsidRPr="00D45121">
        <w:rPr>
          <w:rFonts w:ascii="Arial" w:hAnsi="Arial" w:cs="Arial"/>
        </w:rPr>
        <w:t>. The community-based models aim to offer personal, continual care closer to normal living, and thus may help avoid unnecessary readmissions and reduce the load on already overwhelmed and overstretched inpatient services</w:t>
      </w:r>
      <w:r w:rsidR="00960259">
        <w:rPr>
          <w:rFonts w:ascii="Arial" w:hAnsi="Arial" w:cs="Arial"/>
        </w:rPr>
        <w:t xml:space="preserve"> (</w:t>
      </w:r>
      <w:proofErr w:type="spellStart"/>
      <w:r w:rsidR="00960259" w:rsidRPr="004322AA">
        <w:t>Eboreime</w:t>
      </w:r>
      <w:proofErr w:type="spellEnd"/>
      <w:r w:rsidR="00960259" w:rsidRPr="004322AA">
        <w:t>,</w:t>
      </w:r>
      <w:r w:rsidR="00960259">
        <w:t xml:space="preserve"> </w:t>
      </w:r>
      <w:r w:rsidR="00960259" w:rsidRPr="00960259">
        <w:rPr>
          <w:i/>
          <w:iCs/>
        </w:rPr>
        <w:t>et al</w:t>
      </w:r>
      <w:r w:rsidR="00960259">
        <w:t>., 2022)</w:t>
      </w:r>
      <w:r w:rsidRPr="00D45121">
        <w:rPr>
          <w:rFonts w:ascii="Arial" w:hAnsi="Arial" w:cs="Arial"/>
        </w:rPr>
        <w:t>. Nevertheless, even though the application of such interventions is increasing throughout the health and social -care sector, the results of the interventions remain uneven and the evidence of effectiveness differs significantly by geographical, clinical and organisational backgrounds. This is why it becomes necessary to explore the particular elements that lead to the achievement of the implementation and comprehend the models that are most effective when applied to various groups of adults. Therefore, the given study is expected to produce the research-supported knowledge that will be able to inform service planning, prioritizing resources and policies, and any policy-related advancement in order to attain a more sustainable recovery</w:t>
      </w:r>
      <w:r w:rsidR="00B33187" w:rsidRPr="001F44E7">
        <w:rPr>
          <w:rFonts w:ascii="Arial" w:hAnsi="Arial" w:cs="Arial"/>
        </w:rPr>
        <w:t>.</w:t>
      </w:r>
    </w:p>
    <w:p w14:paraId="72480056" w14:textId="77777777" w:rsidR="005A07A1" w:rsidRPr="001F44E7" w:rsidRDefault="005A07A1" w:rsidP="00D45121">
      <w:pPr>
        <w:pStyle w:val="Heading1"/>
      </w:pPr>
      <w:bookmarkStart w:id="4" w:name="_Toc216695537"/>
      <w:r w:rsidRPr="001F44E7">
        <w:t>5. Research Methodology</w:t>
      </w:r>
      <w:bookmarkEnd w:id="4"/>
      <w:r w:rsidRPr="001F44E7">
        <w:t xml:space="preserve"> </w:t>
      </w:r>
    </w:p>
    <w:p w14:paraId="4F41CD31" w14:textId="77777777" w:rsidR="005A07A1" w:rsidRPr="001F44E7" w:rsidRDefault="005A07A1" w:rsidP="001F44E7">
      <w:pPr>
        <w:pStyle w:val="Heading2"/>
        <w:ind w:left="359"/>
        <w:rPr>
          <w:color w:val="auto"/>
          <w:sz w:val="22"/>
        </w:rPr>
      </w:pPr>
      <w:bookmarkStart w:id="5" w:name="_Toc216695538"/>
      <w:r w:rsidRPr="001F44E7">
        <w:rPr>
          <w:color w:val="auto"/>
          <w:sz w:val="22"/>
        </w:rPr>
        <w:t>5.1 Research Philosophy</w:t>
      </w:r>
      <w:bookmarkEnd w:id="5"/>
      <w:r w:rsidRPr="001F44E7">
        <w:rPr>
          <w:color w:val="auto"/>
          <w:sz w:val="22"/>
        </w:rPr>
        <w:t xml:space="preserve"> </w:t>
      </w:r>
    </w:p>
    <w:p w14:paraId="31DE3199" w14:textId="67ACF599" w:rsidR="005A07A1" w:rsidRPr="001F44E7" w:rsidRDefault="00D45121" w:rsidP="005A07A1">
      <w:pPr>
        <w:spacing w:line="360" w:lineRule="auto"/>
        <w:jc w:val="both"/>
        <w:rPr>
          <w:rFonts w:ascii="Arial" w:hAnsi="Arial" w:cs="Arial"/>
        </w:rPr>
      </w:pPr>
      <w:r w:rsidRPr="00D45121">
        <w:rPr>
          <w:rFonts w:ascii="Arial" w:hAnsi="Arial" w:cs="Arial"/>
        </w:rPr>
        <w:lastRenderedPageBreak/>
        <w:t xml:space="preserve">The ideal research philosophy used in this present study is the </w:t>
      </w:r>
      <w:r w:rsidRPr="00AC1F4E">
        <w:rPr>
          <w:rFonts w:ascii="Arial" w:hAnsi="Arial" w:cs="Arial"/>
          <w:b/>
          <w:bCs/>
        </w:rPr>
        <w:t>interpretivism,</w:t>
      </w:r>
      <w:r w:rsidRPr="00D45121">
        <w:rPr>
          <w:rFonts w:ascii="Arial" w:hAnsi="Arial" w:cs="Arial"/>
        </w:rPr>
        <w:t xml:space="preserve"> the reason being that, the effectiveness of community-based mental-health interventions cannot be comprehended in terms of a measurable outcome like readmission rates only. Interpretivism believes in the social construction and influence of reality by the individual experiences i.e., hospital return is not only dependent on the clinical variables but also personal, social, and contextual variables</w:t>
      </w:r>
      <w:r w:rsidR="00960259">
        <w:rPr>
          <w:rFonts w:ascii="Arial" w:hAnsi="Arial" w:cs="Arial"/>
        </w:rPr>
        <w:t xml:space="preserve"> (</w:t>
      </w:r>
      <w:r w:rsidR="00960259" w:rsidRPr="004322AA">
        <w:t>Dabholkar,</w:t>
      </w:r>
      <w:r w:rsidR="00960259">
        <w:t xml:space="preserve"> </w:t>
      </w:r>
      <w:r w:rsidR="00960259" w:rsidRPr="00960259">
        <w:rPr>
          <w:i/>
          <w:iCs/>
        </w:rPr>
        <w:t>et al.</w:t>
      </w:r>
      <w:r w:rsidR="00960259">
        <w:t>, 2023)</w:t>
      </w:r>
      <w:r w:rsidRPr="00D45121">
        <w:rPr>
          <w:rFonts w:ascii="Arial" w:hAnsi="Arial" w:cs="Arial"/>
        </w:rPr>
        <w:t xml:space="preserve">. This philosophy </w:t>
      </w:r>
      <w:r w:rsidR="00AC1F4E">
        <w:rPr>
          <w:rFonts w:ascii="Arial" w:hAnsi="Arial" w:cs="Arial"/>
        </w:rPr>
        <w:t xml:space="preserve">will </w:t>
      </w:r>
      <w:r w:rsidRPr="00D45121">
        <w:rPr>
          <w:rFonts w:ascii="Arial" w:hAnsi="Arial" w:cs="Arial"/>
        </w:rPr>
        <w:t>enable the researcher to investigate the perspectives of adults with mental health conditions on the meaning of community support, continuity of care, and recovery in the context of daily settings. Unlike positivism, which is objective in its approach, interpretivism appreciates the meaning of subjectivity</w:t>
      </w:r>
      <w:r w:rsidR="00AC1F4E">
        <w:rPr>
          <w:rFonts w:ascii="Arial" w:hAnsi="Arial" w:cs="Arial"/>
        </w:rPr>
        <w:t xml:space="preserve"> (</w:t>
      </w:r>
      <w:r w:rsidR="00AC1F4E" w:rsidRPr="00AC1F4E">
        <w:rPr>
          <w:rFonts w:ascii="Arial" w:hAnsi="Arial" w:cs="Arial"/>
        </w:rPr>
        <w:t>Pervin and Mokhtar, 2022)</w:t>
      </w:r>
      <w:r w:rsidRPr="00D45121">
        <w:rPr>
          <w:rFonts w:ascii="Arial" w:hAnsi="Arial" w:cs="Arial"/>
        </w:rPr>
        <w:t>, and can better understand why one type of intervention leads to long-term recovery and another does not</w:t>
      </w:r>
      <w:r w:rsidR="005A07A1" w:rsidRPr="001F44E7">
        <w:rPr>
          <w:rFonts w:ascii="Arial" w:hAnsi="Arial" w:cs="Arial"/>
        </w:rPr>
        <w:t>.</w:t>
      </w:r>
    </w:p>
    <w:p w14:paraId="34218463" w14:textId="77777777" w:rsidR="005A07A1" w:rsidRPr="001F44E7" w:rsidRDefault="005A07A1" w:rsidP="001F44E7">
      <w:pPr>
        <w:pStyle w:val="Heading2"/>
        <w:ind w:left="359"/>
        <w:rPr>
          <w:color w:val="auto"/>
          <w:sz w:val="22"/>
        </w:rPr>
      </w:pPr>
      <w:bookmarkStart w:id="6" w:name="_Toc216695539"/>
      <w:r w:rsidRPr="001F44E7">
        <w:rPr>
          <w:color w:val="auto"/>
          <w:sz w:val="22"/>
        </w:rPr>
        <w:t>5.2 Research Approach</w:t>
      </w:r>
      <w:bookmarkEnd w:id="6"/>
      <w:r w:rsidRPr="001F44E7">
        <w:rPr>
          <w:color w:val="auto"/>
          <w:sz w:val="22"/>
        </w:rPr>
        <w:t xml:space="preserve"> </w:t>
      </w:r>
    </w:p>
    <w:p w14:paraId="387D4D12" w14:textId="7633EA62" w:rsidR="005A07A1" w:rsidRPr="00A117C5" w:rsidRDefault="00D45121" w:rsidP="005A07A1">
      <w:pPr>
        <w:spacing w:line="360" w:lineRule="auto"/>
        <w:jc w:val="both"/>
        <w:rPr>
          <w:rFonts w:ascii="Arial" w:hAnsi="Arial" w:cs="Arial"/>
          <w:lang w:val="en-IN"/>
        </w:rPr>
      </w:pPr>
      <w:r w:rsidRPr="00D45121">
        <w:rPr>
          <w:rFonts w:ascii="Arial" w:hAnsi="Arial" w:cs="Arial"/>
        </w:rPr>
        <w:t xml:space="preserve">This </w:t>
      </w:r>
      <w:r w:rsidR="00AC1F4E">
        <w:rPr>
          <w:rFonts w:ascii="Arial" w:hAnsi="Arial" w:cs="Arial"/>
        </w:rPr>
        <w:t>study</w:t>
      </w:r>
      <w:r w:rsidRPr="00D45121">
        <w:rPr>
          <w:rFonts w:ascii="Arial" w:hAnsi="Arial" w:cs="Arial"/>
        </w:rPr>
        <w:t xml:space="preserve"> will use inductive approach to research where evidence will be obtained through the existing literature on community-based mental-health interventions and then build more general explanations regarding the impact of these models on hospital readmission</w:t>
      </w:r>
      <w:r w:rsidR="00960259">
        <w:rPr>
          <w:rFonts w:ascii="Arial" w:hAnsi="Arial" w:cs="Arial"/>
        </w:rPr>
        <w:t xml:space="preserve"> (</w:t>
      </w:r>
      <w:r w:rsidR="00960259" w:rsidRPr="004322AA">
        <w:t>Savaglio</w:t>
      </w:r>
      <w:r w:rsidR="00960259">
        <w:t xml:space="preserve"> </w:t>
      </w:r>
      <w:r w:rsidR="00960259" w:rsidRPr="00960259">
        <w:rPr>
          <w:i/>
          <w:iCs/>
        </w:rPr>
        <w:t>et al.</w:t>
      </w:r>
      <w:r w:rsidR="00960259">
        <w:t>, 2024)</w:t>
      </w:r>
      <w:r w:rsidRPr="00D45121">
        <w:rPr>
          <w:rFonts w:ascii="Arial" w:hAnsi="Arial" w:cs="Arial"/>
        </w:rPr>
        <w:t xml:space="preserve">. It entails development of insights based on particular observations as opposed to testing specific hypotheses which is important since the processes that community support mitigates readmission are highly context-specific and not fully </w:t>
      </w:r>
      <w:proofErr w:type="spellStart"/>
      <w:r w:rsidRPr="00D45121">
        <w:rPr>
          <w:rFonts w:ascii="Arial" w:hAnsi="Arial" w:cs="Arial"/>
        </w:rPr>
        <w:t>theorised</w:t>
      </w:r>
      <w:proofErr w:type="spellEnd"/>
      <w:r w:rsidRPr="00D45121">
        <w:rPr>
          <w:rFonts w:ascii="Arial" w:hAnsi="Arial" w:cs="Arial"/>
        </w:rPr>
        <w:t>. Unlike deductive testing of prescribed interventions, induction provides flexibility, which enables new information about the effectiveness of interventions and contextual variations between adult mental-</w:t>
      </w:r>
      <w:proofErr w:type="spellStart"/>
      <w:r w:rsidRPr="00D45121">
        <w:rPr>
          <w:rFonts w:ascii="Arial" w:hAnsi="Arial" w:cs="Arial"/>
        </w:rPr>
        <w:t>healths</w:t>
      </w:r>
      <w:proofErr w:type="spellEnd"/>
      <w:r w:rsidR="005A07A1" w:rsidRPr="001F44E7">
        <w:rPr>
          <w:rFonts w:ascii="Arial" w:hAnsi="Arial" w:cs="Arial"/>
        </w:rPr>
        <w:t>.</w:t>
      </w:r>
    </w:p>
    <w:p w14:paraId="3A027651" w14:textId="77777777" w:rsidR="005A07A1" w:rsidRPr="001F44E7" w:rsidRDefault="005A07A1" w:rsidP="005A07A1">
      <w:pPr>
        <w:pStyle w:val="Heading2"/>
        <w:rPr>
          <w:color w:val="auto"/>
          <w:sz w:val="22"/>
        </w:rPr>
      </w:pPr>
      <w:bookmarkStart w:id="7" w:name="_Toc216695540"/>
      <w:r w:rsidRPr="001F44E7">
        <w:rPr>
          <w:color w:val="auto"/>
          <w:sz w:val="22"/>
        </w:rPr>
        <w:t>5.3 Research Design</w:t>
      </w:r>
      <w:bookmarkEnd w:id="7"/>
      <w:r w:rsidRPr="001F44E7">
        <w:rPr>
          <w:color w:val="auto"/>
          <w:sz w:val="22"/>
        </w:rPr>
        <w:t xml:space="preserve"> </w:t>
      </w:r>
    </w:p>
    <w:p w14:paraId="115DBF04" w14:textId="62D89AB1" w:rsidR="005A07A1" w:rsidRPr="00A117C5" w:rsidRDefault="00D45121" w:rsidP="005A07A1">
      <w:pPr>
        <w:spacing w:line="360" w:lineRule="auto"/>
        <w:jc w:val="both"/>
        <w:rPr>
          <w:rFonts w:ascii="Arial" w:hAnsi="Arial" w:cs="Arial"/>
          <w:lang w:val="en-IN"/>
        </w:rPr>
      </w:pPr>
      <w:r w:rsidRPr="00D45121">
        <w:rPr>
          <w:rFonts w:ascii="Arial" w:hAnsi="Arial" w:cs="Arial"/>
        </w:rPr>
        <w:t>The research design that the current study use</w:t>
      </w:r>
      <w:r w:rsidR="00AC1F4E">
        <w:rPr>
          <w:rFonts w:ascii="Arial" w:hAnsi="Arial" w:cs="Arial"/>
        </w:rPr>
        <w:t>d</w:t>
      </w:r>
      <w:r w:rsidRPr="00D45121">
        <w:rPr>
          <w:rFonts w:ascii="Arial" w:hAnsi="Arial" w:cs="Arial"/>
        </w:rPr>
        <w:t xml:space="preserve"> is</w:t>
      </w:r>
      <w:r w:rsidR="00845EFA">
        <w:rPr>
          <w:rFonts w:ascii="Arial" w:hAnsi="Arial" w:cs="Arial"/>
          <w:b/>
          <w:bCs/>
        </w:rPr>
        <w:t xml:space="preserve"> Secondary research design</w:t>
      </w:r>
      <w:r w:rsidRPr="00D45121">
        <w:rPr>
          <w:rFonts w:ascii="Arial" w:hAnsi="Arial" w:cs="Arial"/>
        </w:rPr>
        <w:t xml:space="preserve">, which </w:t>
      </w:r>
      <w:r w:rsidR="00AC1F4E">
        <w:rPr>
          <w:rFonts w:ascii="Arial" w:hAnsi="Arial" w:cs="Arial"/>
        </w:rPr>
        <w:t xml:space="preserve">will </w:t>
      </w:r>
      <w:r w:rsidRPr="00D45121">
        <w:rPr>
          <w:rFonts w:ascii="Arial" w:hAnsi="Arial" w:cs="Arial"/>
        </w:rPr>
        <w:t>enable the researcher to study and record the manner in which community based mental health interventions have been applied and their association with hospital readmission outcomes of adults with mental health conditions. The design is aimed at describing the aspects of intervention, situations of delivery, service-user experiences, and reported effects without controlling variables through a systematic literature review</w:t>
      </w:r>
      <w:r w:rsidR="00960259">
        <w:rPr>
          <w:rFonts w:ascii="Arial" w:hAnsi="Arial" w:cs="Arial"/>
        </w:rPr>
        <w:t xml:space="preserve"> (</w:t>
      </w:r>
      <w:proofErr w:type="spellStart"/>
      <w:r w:rsidR="00960259" w:rsidRPr="004322AA">
        <w:t>Giannios</w:t>
      </w:r>
      <w:proofErr w:type="spellEnd"/>
      <w:r w:rsidR="00960259" w:rsidRPr="004322AA">
        <w:t>,</w:t>
      </w:r>
      <w:r w:rsidR="00960259">
        <w:t xml:space="preserve"> </w:t>
      </w:r>
      <w:r w:rsidR="00960259" w:rsidRPr="00960259">
        <w:rPr>
          <w:i/>
          <w:iCs/>
        </w:rPr>
        <w:t xml:space="preserve">et al., </w:t>
      </w:r>
      <w:r w:rsidR="00960259">
        <w:t>202)</w:t>
      </w:r>
      <w:r w:rsidRPr="00D45121">
        <w:rPr>
          <w:rFonts w:ascii="Arial" w:hAnsi="Arial" w:cs="Arial"/>
        </w:rPr>
        <w:t xml:space="preserve">. </w:t>
      </w:r>
      <w:r w:rsidR="00845EFA">
        <w:rPr>
          <w:rFonts w:ascii="Arial" w:hAnsi="Arial" w:cs="Arial"/>
        </w:rPr>
        <w:t xml:space="preserve">Secondary research design is appropriate for </w:t>
      </w:r>
      <w:r w:rsidR="00845EFA" w:rsidRPr="00845EFA">
        <w:rPr>
          <w:rFonts w:ascii="Arial" w:hAnsi="Arial" w:cs="Arial"/>
        </w:rPr>
        <w:t>synthesize findings from multiple independent primary studies to produce a single, stronger conclusion or identify overall effects</w:t>
      </w:r>
      <w:r w:rsidR="00845EFA">
        <w:rPr>
          <w:rFonts w:ascii="Arial" w:hAnsi="Arial" w:cs="Arial"/>
        </w:rPr>
        <w:t xml:space="preserve"> which is necessary for </w:t>
      </w:r>
      <w:r w:rsidR="00845EFA" w:rsidRPr="00D45121">
        <w:rPr>
          <w:rFonts w:ascii="Arial" w:hAnsi="Arial" w:cs="Arial"/>
        </w:rPr>
        <w:t>systematic literature review</w:t>
      </w:r>
      <w:r w:rsidR="00845EFA">
        <w:rPr>
          <w:rFonts w:ascii="Arial" w:hAnsi="Arial" w:cs="Arial"/>
        </w:rPr>
        <w:t xml:space="preserve">.  </w:t>
      </w:r>
    </w:p>
    <w:p w14:paraId="5475A5BD" w14:textId="77777777" w:rsidR="005A07A1" w:rsidRPr="001F44E7" w:rsidRDefault="005A07A1" w:rsidP="005A07A1">
      <w:pPr>
        <w:pStyle w:val="Heading2"/>
        <w:rPr>
          <w:color w:val="auto"/>
          <w:sz w:val="22"/>
        </w:rPr>
      </w:pPr>
      <w:bookmarkStart w:id="8" w:name="_Toc216695541"/>
      <w:r w:rsidRPr="001F44E7">
        <w:rPr>
          <w:color w:val="auto"/>
          <w:sz w:val="22"/>
        </w:rPr>
        <w:t>5.4 Data Collection Method</w:t>
      </w:r>
      <w:bookmarkEnd w:id="8"/>
    </w:p>
    <w:p w14:paraId="406420B9" w14:textId="4A3F0EBD" w:rsidR="005A07A1" w:rsidRPr="001F44E7" w:rsidRDefault="00D45121" w:rsidP="005A07A1">
      <w:pPr>
        <w:spacing w:line="360" w:lineRule="auto"/>
        <w:jc w:val="both"/>
        <w:rPr>
          <w:rFonts w:ascii="Arial" w:hAnsi="Arial" w:cs="Arial"/>
        </w:rPr>
      </w:pPr>
      <w:r w:rsidRPr="00D45121">
        <w:rPr>
          <w:rFonts w:ascii="Arial" w:hAnsi="Arial" w:cs="Arial"/>
        </w:rPr>
        <w:t xml:space="preserve">A </w:t>
      </w:r>
      <w:r w:rsidRPr="00AC1F4E">
        <w:rPr>
          <w:rFonts w:ascii="Arial" w:hAnsi="Arial" w:cs="Arial"/>
          <w:b/>
          <w:bCs/>
        </w:rPr>
        <w:t>systematic literature review</w:t>
      </w:r>
      <w:r w:rsidRPr="00D45121">
        <w:rPr>
          <w:rFonts w:ascii="Arial" w:hAnsi="Arial" w:cs="Arial"/>
        </w:rPr>
        <w:t xml:space="preserve"> will be the </w:t>
      </w:r>
      <w:r w:rsidR="00AC1F4E">
        <w:rPr>
          <w:rFonts w:ascii="Arial" w:hAnsi="Arial" w:cs="Arial"/>
        </w:rPr>
        <w:t xml:space="preserve">main </w:t>
      </w:r>
      <w:r w:rsidRPr="00D45121">
        <w:rPr>
          <w:rFonts w:ascii="Arial" w:hAnsi="Arial" w:cs="Arial"/>
        </w:rPr>
        <w:t xml:space="preserve">source of data collection in this research, as it will allow organizing the retrieval and appraisal of the existing literature on community-based mental-health programs and the impact they have on hospital readmission among adults. Secondary information will be obtained through peer-reviewed journals, governmental policies, </w:t>
      </w:r>
      <w:r w:rsidRPr="00D45121">
        <w:rPr>
          <w:rFonts w:ascii="Arial" w:hAnsi="Arial" w:cs="Arial"/>
        </w:rPr>
        <w:lastRenderedPageBreak/>
        <w:t>reports on service-evaluation, and publications of mental-health organisations, and will enable one to access a wide range of evidence base without the fieldwork practical and ethical constraints</w:t>
      </w:r>
      <w:r w:rsidR="00960259">
        <w:rPr>
          <w:rFonts w:ascii="Arial" w:hAnsi="Arial" w:cs="Arial"/>
        </w:rPr>
        <w:t xml:space="preserve"> (</w:t>
      </w:r>
      <w:r w:rsidR="00960259" w:rsidRPr="004322AA">
        <w:t>Schwartz</w:t>
      </w:r>
      <w:r w:rsidR="00960259">
        <w:t xml:space="preserve"> </w:t>
      </w:r>
      <w:r w:rsidR="00960259" w:rsidRPr="00960259">
        <w:rPr>
          <w:i/>
          <w:iCs/>
        </w:rPr>
        <w:t>et al.</w:t>
      </w:r>
      <w:r w:rsidR="00960259">
        <w:t>, 2025)</w:t>
      </w:r>
      <w:r w:rsidRPr="00D45121">
        <w:rPr>
          <w:rFonts w:ascii="Arial" w:hAnsi="Arial" w:cs="Arial"/>
        </w:rPr>
        <w:t xml:space="preserve">. It will include the search of academic databases, including Google Scholar, Scopus and PubMed, to identify the studies published in the last ten years and use of inclusion criteria based on population, type of intervention and outcomes of readmission. Some of the data that will be extracted are the characteristics of the interventions, implementation models, follow up plans and the reported readmission outcomes. Such an approach </w:t>
      </w:r>
      <w:r w:rsidR="00AC1F4E">
        <w:rPr>
          <w:rFonts w:ascii="Arial" w:hAnsi="Arial" w:cs="Arial"/>
        </w:rPr>
        <w:t xml:space="preserve">will be </w:t>
      </w:r>
      <w:r w:rsidRPr="00D45121">
        <w:rPr>
          <w:rFonts w:ascii="Arial" w:hAnsi="Arial" w:cs="Arial"/>
        </w:rPr>
        <w:t>suitable considering the nature of the dissertation, which involves generali</w:t>
      </w:r>
      <w:r w:rsidR="00AC1F4E">
        <w:rPr>
          <w:rFonts w:ascii="Arial" w:hAnsi="Arial" w:cs="Arial"/>
        </w:rPr>
        <w:t>s</w:t>
      </w:r>
      <w:r w:rsidRPr="00D45121">
        <w:rPr>
          <w:rFonts w:ascii="Arial" w:hAnsi="Arial" w:cs="Arial"/>
        </w:rPr>
        <w:t>ation of heterogeneous evidence in order to determine trends, gaps, and practice and policy implications</w:t>
      </w:r>
      <w:r w:rsidR="005A07A1" w:rsidRPr="001F44E7">
        <w:rPr>
          <w:rFonts w:ascii="Arial" w:hAnsi="Arial" w:cs="Arial"/>
        </w:rPr>
        <w:t>.</w:t>
      </w:r>
    </w:p>
    <w:p w14:paraId="5C48239C" w14:textId="77777777" w:rsidR="005A07A1" w:rsidRPr="001F44E7" w:rsidRDefault="005A07A1" w:rsidP="001F44E7">
      <w:pPr>
        <w:pStyle w:val="Heading2"/>
        <w:ind w:left="359"/>
        <w:rPr>
          <w:color w:val="auto"/>
          <w:sz w:val="22"/>
        </w:rPr>
      </w:pPr>
      <w:bookmarkStart w:id="9" w:name="_Toc216695542"/>
      <w:r w:rsidRPr="001F44E7">
        <w:rPr>
          <w:color w:val="auto"/>
          <w:sz w:val="22"/>
        </w:rPr>
        <w:t>5.5 Data Analysis</w:t>
      </w:r>
      <w:bookmarkEnd w:id="9"/>
      <w:r w:rsidRPr="001F44E7">
        <w:rPr>
          <w:color w:val="auto"/>
          <w:sz w:val="22"/>
        </w:rPr>
        <w:t xml:space="preserve"> </w:t>
      </w:r>
    </w:p>
    <w:p w14:paraId="568AFFAC" w14:textId="3F43CBF9" w:rsidR="005A07A1" w:rsidRPr="001F44E7" w:rsidRDefault="00D45121" w:rsidP="005A07A1">
      <w:pPr>
        <w:spacing w:line="360" w:lineRule="auto"/>
        <w:jc w:val="both"/>
        <w:rPr>
          <w:rFonts w:ascii="Arial" w:hAnsi="Arial" w:cs="Arial"/>
        </w:rPr>
      </w:pPr>
      <w:r w:rsidRPr="00AC1F4E">
        <w:rPr>
          <w:rFonts w:ascii="Arial" w:hAnsi="Arial" w:cs="Arial"/>
          <w:b/>
          <w:bCs/>
        </w:rPr>
        <w:t>Thematic analysis</w:t>
      </w:r>
      <w:r w:rsidRPr="00D45121">
        <w:rPr>
          <w:rFonts w:ascii="Arial" w:hAnsi="Arial" w:cs="Arial"/>
        </w:rPr>
        <w:t xml:space="preserve"> will be used to synthesise and interpret the findings produced as a result of systematic review to allow identification of common concepts in terms of their relation to the effect of community-based mental-health interventions on hospital </w:t>
      </w:r>
      <w:r w:rsidR="00AC1F4E" w:rsidRPr="00D45121">
        <w:rPr>
          <w:rFonts w:ascii="Arial" w:hAnsi="Arial" w:cs="Arial"/>
        </w:rPr>
        <w:t>reminders</w:t>
      </w:r>
      <w:r w:rsidRPr="00D45121">
        <w:rPr>
          <w:rFonts w:ascii="Arial" w:hAnsi="Arial" w:cs="Arial"/>
        </w:rPr>
        <w:t xml:space="preserve"> among adults. In this approach, iterative coding of extracted data is carried out in which codes are grouped into descriptive categories, associated with the components of the intervention, and a wider analytical theme, explaining mechanism of effectiveness, is created, including continuity of care, relapse prevention, or social support</w:t>
      </w:r>
      <w:r w:rsidR="00960259">
        <w:rPr>
          <w:rFonts w:ascii="Arial" w:hAnsi="Arial" w:cs="Arial"/>
        </w:rPr>
        <w:t xml:space="preserve"> (</w:t>
      </w:r>
      <w:r w:rsidR="00960259" w:rsidRPr="004322AA">
        <w:t>Horvat Golob,</w:t>
      </w:r>
      <w:r w:rsidR="00960259">
        <w:t xml:space="preserve"> 2025)</w:t>
      </w:r>
      <w:r w:rsidRPr="00D45121">
        <w:rPr>
          <w:rFonts w:ascii="Arial" w:hAnsi="Arial" w:cs="Arial"/>
        </w:rPr>
        <w:t xml:space="preserve">. The method </w:t>
      </w:r>
      <w:r w:rsidR="00AC1F4E">
        <w:rPr>
          <w:rFonts w:ascii="Arial" w:hAnsi="Arial" w:cs="Arial"/>
        </w:rPr>
        <w:t>will be</w:t>
      </w:r>
      <w:r w:rsidRPr="00D45121">
        <w:rPr>
          <w:rFonts w:ascii="Arial" w:hAnsi="Arial" w:cs="Arial"/>
        </w:rPr>
        <w:t xml:space="preserve"> appropriate as evidence is provided by a wide range of qualitative and quantitative materials and needs a </w:t>
      </w:r>
      <w:r w:rsidR="00AC1F4E" w:rsidRPr="00D45121">
        <w:rPr>
          <w:rFonts w:ascii="Arial" w:hAnsi="Arial" w:cs="Arial"/>
        </w:rPr>
        <w:t>flexible</w:t>
      </w:r>
      <w:r w:rsidRPr="00D45121">
        <w:rPr>
          <w:rFonts w:ascii="Arial" w:hAnsi="Arial" w:cs="Arial"/>
        </w:rPr>
        <w:t xml:space="preserve"> but organi</w:t>
      </w:r>
      <w:r w:rsidR="00AC1F4E">
        <w:rPr>
          <w:rFonts w:ascii="Arial" w:hAnsi="Arial" w:cs="Arial"/>
        </w:rPr>
        <w:t>s</w:t>
      </w:r>
      <w:r w:rsidRPr="00D45121">
        <w:rPr>
          <w:rFonts w:ascii="Arial" w:hAnsi="Arial" w:cs="Arial"/>
        </w:rPr>
        <w:t xml:space="preserve">ed procedure. Thematic analysis </w:t>
      </w:r>
      <w:r w:rsidR="00AC1F4E">
        <w:rPr>
          <w:rFonts w:ascii="Arial" w:hAnsi="Arial" w:cs="Arial"/>
        </w:rPr>
        <w:t xml:space="preserve">will </w:t>
      </w:r>
      <w:r w:rsidRPr="00D45121">
        <w:rPr>
          <w:rFonts w:ascii="Arial" w:hAnsi="Arial" w:cs="Arial"/>
        </w:rPr>
        <w:t xml:space="preserve">thus assist in building an integrative conceptualization of intervention effects, point to variation in implementation situations and clarify gaps in which more service innovation or policy </w:t>
      </w:r>
      <w:proofErr w:type="spellStart"/>
      <w:r w:rsidRPr="00D45121">
        <w:rPr>
          <w:rFonts w:ascii="Arial" w:hAnsi="Arial" w:cs="Arial"/>
        </w:rPr>
        <w:t>reinformations</w:t>
      </w:r>
      <w:proofErr w:type="spellEnd"/>
      <w:r w:rsidRPr="00D45121">
        <w:rPr>
          <w:rFonts w:ascii="Arial" w:hAnsi="Arial" w:cs="Arial"/>
        </w:rPr>
        <w:t xml:space="preserve"> are needed</w:t>
      </w:r>
      <w:r w:rsidR="005A07A1" w:rsidRPr="001F44E7">
        <w:rPr>
          <w:rFonts w:ascii="Arial" w:hAnsi="Arial" w:cs="Arial"/>
        </w:rPr>
        <w:t>.</w:t>
      </w:r>
    </w:p>
    <w:p w14:paraId="2D7F47D2" w14:textId="71F9A08F" w:rsidR="005A07A1" w:rsidRPr="001F44E7" w:rsidRDefault="005A07A1" w:rsidP="001F44E7">
      <w:pPr>
        <w:pStyle w:val="Heading2"/>
        <w:ind w:left="359"/>
        <w:rPr>
          <w:color w:val="auto"/>
          <w:sz w:val="22"/>
        </w:rPr>
      </w:pPr>
      <w:bookmarkStart w:id="10" w:name="_Toc216695543"/>
      <w:r w:rsidRPr="001F44E7">
        <w:rPr>
          <w:color w:val="auto"/>
          <w:sz w:val="22"/>
        </w:rPr>
        <w:t xml:space="preserve">5.6 </w:t>
      </w:r>
      <w:r w:rsidR="00845EFA">
        <w:rPr>
          <w:color w:val="auto"/>
          <w:sz w:val="22"/>
        </w:rPr>
        <w:t>Search strategy</w:t>
      </w:r>
      <w:bookmarkEnd w:id="10"/>
      <w:r w:rsidR="00845EFA">
        <w:rPr>
          <w:color w:val="auto"/>
          <w:sz w:val="22"/>
        </w:rPr>
        <w:t xml:space="preserve"> </w:t>
      </w:r>
    </w:p>
    <w:p w14:paraId="35E2817C" w14:textId="5662D652" w:rsidR="005A07A1" w:rsidRPr="001F44E7" w:rsidRDefault="00D45121" w:rsidP="005A07A1">
      <w:pPr>
        <w:spacing w:line="360" w:lineRule="auto"/>
        <w:jc w:val="both"/>
        <w:rPr>
          <w:rFonts w:ascii="Arial" w:hAnsi="Arial" w:cs="Arial"/>
        </w:rPr>
      </w:pPr>
      <w:r w:rsidRPr="00D45121">
        <w:rPr>
          <w:rFonts w:ascii="Arial" w:hAnsi="Arial" w:cs="Arial"/>
        </w:rPr>
        <w:t xml:space="preserve">No direct human participants </w:t>
      </w:r>
      <w:r w:rsidR="00AC1F4E">
        <w:rPr>
          <w:rFonts w:ascii="Arial" w:hAnsi="Arial" w:cs="Arial"/>
        </w:rPr>
        <w:t xml:space="preserve">will be </w:t>
      </w:r>
      <w:r w:rsidRPr="00D45121">
        <w:rPr>
          <w:rFonts w:ascii="Arial" w:hAnsi="Arial" w:cs="Arial"/>
        </w:rPr>
        <w:t>recruited in this secondary data systematic review. Alternatively, the purposive sampling method will be used to identify useful peer-reviewed articles that focus on community-based mental-health programs and related hospital readmission rates. The sample will include research undertaken on adults with diagnosed mental health condition according to the literature included</w:t>
      </w:r>
      <w:r w:rsidR="00960259">
        <w:rPr>
          <w:rFonts w:ascii="Arial" w:hAnsi="Arial" w:cs="Arial"/>
        </w:rPr>
        <w:t xml:space="preserve"> (</w:t>
      </w:r>
      <w:r w:rsidR="00960259" w:rsidRPr="004322AA">
        <w:t>Teshima,</w:t>
      </w:r>
      <w:r w:rsidR="00960259">
        <w:t xml:space="preserve"> 2024)</w:t>
      </w:r>
      <w:r w:rsidRPr="00D45121">
        <w:rPr>
          <w:rFonts w:ascii="Arial" w:hAnsi="Arial" w:cs="Arial"/>
        </w:rPr>
        <w:t>. The use of relevance, time period and quality of research filters ensures that evidence is appropriate in terms of contexts and populations. This methodology also reduces sampling bias, as included studies are up to date a collective representation of varied adult experiences, service models, and diverse clinical pathways, as opposed to the perspective of one practitioner or locality</w:t>
      </w:r>
      <w:r w:rsidR="005A07A1" w:rsidRPr="001F44E7">
        <w:rPr>
          <w:rFonts w:ascii="Arial" w:hAnsi="Arial" w:cs="Arial"/>
        </w:rPr>
        <w:t>.</w:t>
      </w:r>
    </w:p>
    <w:p w14:paraId="6DD04122" w14:textId="1EF4AC64" w:rsidR="00F260C7" w:rsidRPr="001F44E7" w:rsidRDefault="005A07A1" w:rsidP="001F44E7">
      <w:pPr>
        <w:pStyle w:val="Heading2"/>
        <w:ind w:left="359"/>
        <w:rPr>
          <w:color w:val="auto"/>
          <w:sz w:val="22"/>
        </w:rPr>
      </w:pPr>
      <w:bookmarkStart w:id="11" w:name="_Toc216695544"/>
      <w:r w:rsidRPr="001F44E7">
        <w:rPr>
          <w:color w:val="auto"/>
          <w:sz w:val="22"/>
        </w:rPr>
        <w:t>5.7</w:t>
      </w:r>
      <w:r w:rsidR="00F260C7" w:rsidRPr="001F44E7">
        <w:rPr>
          <w:color w:val="auto"/>
          <w:sz w:val="22"/>
        </w:rPr>
        <w:t xml:space="preserve"> </w:t>
      </w:r>
      <w:r w:rsidR="0064678F" w:rsidRPr="0064678F">
        <w:rPr>
          <w:color w:val="auto"/>
          <w:sz w:val="22"/>
        </w:rPr>
        <w:t>Problem Context in Health and Social Care</w:t>
      </w:r>
      <w:bookmarkEnd w:id="11"/>
    </w:p>
    <w:p w14:paraId="1FA74846" w14:textId="78891C35" w:rsidR="00F260C7" w:rsidRPr="001F44E7" w:rsidRDefault="00D45121" w:rsidP="001F44E7">
      <w:pPr>
        <w:spacing w:line="360" w:lineRule="auto"/>
        <w:jc w:val="both"/>
        <w:rPr>
          <w:rFonts w:ascii="Arial" w:hAnsi="Arial" w:cs="Arial"/>
          <w:lang w:val="en-GB"/>
        </w:rPr>
      </w:pPr>
      <w:r w:rsidRPr="00D45121">
        <w:rPr>
          <w:rFonts w:ascii="Arial" w:hAnsi="Arial" w:cs="Arial"/>
        </w:rPr>
        <w:t xml:space="preserve">Recurrent hospital admissions in adults with a mental health issue is a chronic issue in the health </w:t>
      </w:r>
      <w:r w:rsidRPr="00D45121">
        <w:rPr>
          <w:rFonts w:ascii="Arial" w:hAnsi="Arial" w:cs="Arial"/>
        </w:rPr>
        <w:lastRenderedPageBreak/>
        <w:t>and social-care environments</w:t>
      </w:r>
      <w:r w:rsidR="00960259">
        <w:rPr>
          <w:rFonts w:ascii="Arial" w:hAnsi="Arial" w:cs="Arial"/>
        </w:rPr>
        <w:t xml:space="preserve"> (</w:t>
      </w:r>
      <w:r w:rsidR="00960259" w:rsidRPr="004322AA">
        <w:t>Rahmat</w:t>
      </w:r>
      <w:r w:rsidR="00960259">
        <w:t xml:space="preserve"> </w:t>
      </w:r>
      <w:r w:rsidR="00960259" w:rsidRPr="00960259">
        <w:rPr>
          <w:i/>
          <w:iCs/>
        </w:rPr>
        <w:t>et al</w:t>
      </w:r>
      <w:r w:rsidR="00960259">
        <w:t>., 2025)</w:t>
      </w:r>
      <w:r w:rsidRPr="00D45121">
        <w:rPr>
          <w:rFonts w:ascii="Arial" w:hAnsi="Arial" w:cs="Arial"/>
        </w:rPr>
        <w:t>. A high number of adults relapse or show clinical decline soon after discharge which usually results in unintended readmission and strain on inpatient services</w:t>
      </w:r>
      <w:r w:rsidR="00D94524">
        <w:rPr>
          <w:rFonts w:ascii="Arial" w:hAnsi="Arial" w:cs="Arial"/>
        </w:rPr>
        <w:t xml:space="preserve"> </w:t>
      </w:r>
      <w:r w:rsidR="00D94524" w:rsidRPr="00D94524">
        <w:rPr>
          <w:rFonts w:ascii="Arial" w:hAnsi="Arial" w:cs="Arial"/>
        </w:rPr>
        <w:t>(Lambe et al., 2022)</w:t>
      </w:r>
      <w:r w:rsidRPr="00D45121">
        <w:rPr>
          <w:rFonts w:ascii="Arial" w:hAnsi="Arial" w:cs="Arial"/>
        </w:rPr>
        <w:t>. It is also a common report by the community services that the severely mentally ill adults still experience the problem of medication compliance, housing insecurity, and follow-up support, which contribute to the vulnerability of relapsing to acute care. This trend suggests that health and social-care systems remain incapable of ensuring continuity of care in non-hospital settings. Therefore, avoidable readmissions continue to be frequent and expensive, which points out a significant and persistent service gap</w:t>
      </w:r>
      <w:r w:rsidR="00F260C7" w:rsidRPr="001F44E7">
        <w:rPr>
          <w:rFonts w:ascii="Arial" w:hAnsi="Arial" w:cs="Arial"/>
          <w:lang w:val="en-GB"/>
        </w:rPr>
        <w:t xml:space="preserve">. </w:t>
      </w:r>
    </w:p>
    <w:p w14:paraId="4D8E3063" w14:textId="58937BB9" w:rsidR="005A07A1" w:rsidRPr="001F44E7" w:rsidRDefault="001F44E7" w:rsidP="001F44E7">
      <w:pPr>
        <w:pStyle w:val="Heading2"/>
        <w:ind w:left="359"/>
        <w:rPr>
          <w:color w:val="auto"/>
          <w:sz w:val="22"/>
        </w:rPr>
      </w:pPr>
      <w:bookmarkStart w:id="12" w:name="_Toc216695545"/>
      <w:r w:rsidRPr="001F44E7">
        <w:rPr>
          <w:color w:val="auto"/>
          <w:sz w:val="22"/>
        </w:rPr>
        <w:t>5.8 Ethical</w:t>
      </w:r>
      <w:r w:rsidR="005A07A1" w:rsidRPr="001F44E7">
        <w:rPr>
          <w:color w:val="auto"/>
          <w:sz w:val="22"/>
        </w:rPr>
        <w:t xml:space="preserve"> Considerations</w:t>
      </w:r>
      <w:bookmarkEnd w:id="12"/>
    </w:p>
    <w:p w14:paraId="62E32499" w14:textId="280481A4" w:rsidR="005A07A1" w:rsidRPr="001F44E7" w:rsidRDefault="00D45121" w:rsidP="005A07A1">
      <w:pPr>
        <w:spacing w:line="360" w:lineRule="auto"/>
        <w:jc w:val="both"/>
        <w:rPr>
          <w:rFonts w:ascii="Arial" w:hAnsi="Arial" w:cs="Arial"/>
        </w:rPr>
      </w:pPr>
      <w:r w:rsidRPr="00D45121">
        <w:rPr>
          <w:rFonts w:ascii="Arial" w:hAnsi="Arial" w:cs="Arial"/>
        </w:rPr>
        <w:t>Since the research seeks secondary data that was obtained in the form of a systematic literature review, this study does not involve human subjects directly, and thus low possibility of physical or psychological harm</w:t>
      </w:r>
      <w:r w:rsidR="00960259">
        <w:rPr>
          <w:rFonts w:ascii="Arial" w:hAnsi="Arial" w:cs="Arial"/>
        </w:rPr>
        <w:t xml:space="preserve"> (</w:t>
      </w:r>
      <w:r w:rsidR="00960259" w:rsidRPr="004322AA">
        <w:t>Cappo</w:t>
      </w:r>
      <w:r w:rsidR="00960259">
        <w:t xml:space="preserve"> </w:t>
      </w:r>
      <w:r w:rsidR="00960259" w:rsidRPr="00960259">
        <w:rPr>
          <w:i/>
          <w:iCs/>
        </w:rPr>
        <w:t>et al</w:t>
      </w:r>
      <w:r w:rsidR="00960259">
        <w:t>., 2023)</w:t>
      </w:r>
      <w:r w:rsidRPr="00D45121">
        <w:rPr>
          <w:rFonts w:ascii="Arial" w:hAnsi="Arial" w:cs="Arial"/>
        </w:rPr>
        <w:t>. However, ethical issues are still significant such as the fact that all studies included had to be initially carried out with due ethical clearance and that the information about any participant was anonymised in the respective studies. Citation of sources, plagiarism and disclosure of information about data interpretation must be observed. The review will be based on ethical reporting criteria like PRISMA which will minimize bias and guarantee integrity. Besides, the researcher should also identify any digital tools used and comply with institutional ethical standards</w:t>
      </w:r>
      <w:r w:rsidR="005A07A1" w:rsidRPr="001F44E7">
        <w:rPr>
          <w:rFonts w:ascii="Arial" w:hAnsi="Arial" w:cs="Arial"/>
        </w:rPr>
        <w:t>.</w:t>
      </w:r>
    </w:p>
    <w:p w14:paraId="3EFFEB3B" w14:textId="77777777" w:rsidR="005A07A1" w:rsidRPr="001F44E7" w:rsidRDefault="005A07A1" w:rsidP="00D45121">
      <w:pPr>
        <w:pStyle w:val="Heading1"/>
      </w:pPr>
      <w:bookmarkStart w:id="13" w:name="_Toc216695546"/>
      <w:r w:rsidRPr="001F44E7">
        <w:t>6. Implications of Research</w:t>
      </w:r>
      <w:bookmarkEnd w:id="13"/>
      <w:r w:rsidRPr="001F44E7">
        <w:t xml:space="preserve"> </w:t>
      </w:r>
    </w:p>
    <w:p w14:paraId="1682FF7F" w14:textId="59A06C06" w:rsidR="005A07A1" w:rsidRDefault="00D45121" w:rsidP="005A07A1">
      <w:pPr>
        <w:spacing w:line="360" w:lineRule="auto"/>
        <w:jc w:val="both"/>
        <w:rPr>
          <w:rFonts w:ascii="Arial" w:hAnsi="Arial" w:cs="Arial"/>
        </w:rPr>
      </w:pPr>
      <w:r w:rsidRPr="00D45121">
        <w:rPr>
          <w:rFonts w:ascii="Arial" w:hAnsi="Arial" w:cs="Arial"/>
        </w:rPr>
        <w:t xml:space="preserve">The systematic review results hold great significance to the mental-health policy, clinical practice, and future research. The findings can guide the policy makers in their development of </w:t>
      </w:r>
      <w:r w:rsidR="00AC1F4E" w:rsidRPr="00D45121">
        <w:rPr>
          <w:rFonts w:ascii="Arial" w:hAnsi="Arial" w:cs="Arial"/>
        </w:rPr>
        <w:t>community-based</w:t>
      </w:r>
      <w:r w:rsidRPr="00D45121">
        <w:rPr>
          <w:rFonts w:ascii="Arial" w:hAnsi="Arial" w:cs="Arial"/>
        </w:rPr>
        <w:t xml:space="preserve"> service models that focus on continuity of care, relapse prevention and long-term psychosocial services that can in turn minimize unnecessary readmissions and pressure on the inpatient services. To practitioners, the evidence has the potential to indicate most helpful aspects of interventions among complex mental-need adults, and encourage greater integration between NHS, local authorities, and voluntary providers</w:t>
      </w:r>
      <w:r w:rsidR="00960259">
        <w:rPr>
          <w:rFonts w:ascii="Arial" w:hAnsi="Arial" w:cs="Arial"/>
        </w:rPr>
        <w:t xml:space="preserve"> (</w:t>
      </w:r>
      <w:proofErr w:type="spellStart"/>
      <w:r w:rsidR="00960259" w:rsidRPr="0052736B">
        <w:t>Teggart</w:t>
      </w:r>
      <w:proofErr w:type="spellEnd"/>
      <w:r w:rsidR="00960259">
        <w:t xml:space="preserve"> </w:t>
      </w:r>
      <w:r w:rsidR="00960259" w:rsidRPr="00960259">
        <w:rPr>
          <w:i/>
          <w:iCs/>
        </w:rPr>
        <w:t>et al</w:t>
      </w:r>
      <w:r w:rsidR="00960259">
        <w:t>., 2023)</w:t>
      </w:r>
      <w:r w:rsidRPr="00D45121">
        <w:rPr>
          <w:rFonts w:ascii="Arial" w:hAnsi="Arial" w:cs="Arial"/>
        </w:rPr>
        <w:t>. To the researchers, the review may reveal the knowledge gaps, including the varied response of the population, or cost-effectiveness and can be used to foster future studies with potential to optimize intervention design and implementation within the real-life community setting</w:t>
      </w:r>
      <w:r w:rsidR="005A07A1" w:rsidRPr="001F44E7">
        <w:rPr>
          <w:rFonts w:ascii="Arial" w:hAnsi="Arial" w:cs="Arial"/>
        </w:rPr>
        <w:t>.</w:t>
      </w:r>
    </w:p>
    <w:p w14:paraId="464EB895" w14:textId="77777777" w:rsidR="007A004E" w:rsidRDefault="007A004E" w:rsidP="005A07A1">
      <w:pPr>
        <w:spacing w:line="360" w:lineRule="auto"/>
        <w:jc w:val="both"/>
        <w:rPr>
          <w:rFonts w:ascii="Arial" w:hAnsi="Arial" w:cs="Arial"/>
        </w:rPr>
      </w:pPr>
    </w:p>
    <w:p w14:paraId="49C97E35" w14:textId="77777777" w:rsidR="007A004E" w:rsidRDefault="007A004E" w:rsidP="005A07A1">
      <w:pPr>
        <w:spacing w:line="360" w:lineRule="auto"/>
        <w:jc w:val="both"/>
        <w:rPr>
          <w:rFonts w:ascii="Arial" w:hAnsi="Arial" w:cs="Arial"/>
        </w:rPr>
      </w:pPr>
    </w:p>
    <w:p w14:paraId="09892AF7" w14:textId="77777777" w:rsidR="007A004E" w:rsidRDefault="007A004E" w:rsidP="005A07A1">
      <w:pPr>
        <w:spacing w:line="360" w:lineRule="auto"/>
        <w:jc w:val="both"/>
        <w:rPr>
          <w:rFonts w:ascii="Arial" w:hAnsi="Arial" w:cs="Arial"/>
        </w:rPr>
      </w:pPr>
    </w:p>
    <w:p w14:paraId="3A0937C0" w14:textId="77777777" w:rsidR="007A004E" w:rsidRDefault="007A004E" w:rsidP="005A07A1">
      <w:pPr>
        <w:spacing w:line="360" w:lineRule="auto"/>
        <w:jc w:val="both"/>
        <w:rPr>
          <w:rFonts w:ascii="Arial" w:hAnsi="Arial" w:cs="Arial"/>
        </w:rPr>
      </w:pPr>
    </w:p>
    <w:p w14:paraId="2F79E888" w14:textId="77777777" w:rsidR="007A004E" w:rsidRPr="001F44E7" w:rsidRDefault="007A004E" w:rsidP="005A07A1">
      <w:pPr>
        <w:spacing w:line="360" w:lineRule="auto"/>
        <w:jc w:val="both"/>
        <w:rPr>
          <w:rFonts w:ascii="Arial" w:hAnsi="Arial" w:cs="Arial"/>
        </w:rPr>
      </w:pPr>
    </w:p>
    <w:p w14:paraId="3A9068BA" w14:textId="77777777" w:rsidR="005A07A1" w:rsidRDefault="005A07A1" w:rsidP="00D45121">
      <w:pPr>
        <w:pStyle w:val="Heading1"/>
      </w:pPr>
      <w:bookmarkStart w:id="14" w:name="_Toc216695547"/>
      <w:r w:rsidRPr="001F44E7">
        <w:t>7. Plan of Work and Time Schedule</w:t>
      </w:r>
      <w:bookmarkEnd w:id="14"/>
      <w:r w:rsidRPr="001F44E7">
        <w:t xml:space="preserve"> </w:t>
      </w:r>
    </w:p>
    <w:tbl>
      <w:tblPr>
        <w:tblW w:w="5000" w:type="pct"/>
        <w:tblLook w:val="04A0" w:firstRow="1" w:lastRow="0" w:firstColumn="1" w:lastColumn="0" w:noHBand="0" w:noVBand="1"/>
      </w:tblPr>
      <w:tblGrid>
        <w:gridCol w:w="3798"/>
        <w:gridCol w:w="308"/>
        <w:gridCol w:w="308"/>
        <w:gridCol w:w="308"/>
        <w:gridCol w:w="307"/>
        <w:gridCol w:w="307"/>
        <w:gridCol w:w="307"/>
        <w:gridCol w:w="307"/>
        <w:gridCol w:w="307"/>
        <w:gridCol w:w="307"/>
        <w:gridCol w:w="398"/>
        <w:gridCol w:w="398"/>
        <w:gridCol w:w="398"/>
        <w:gridCol w:w="398"/>
        <w:gridCol w:w="398"/>
        <w:gridCol w:w="398"/>
        <w:gridCol w:w="398"/>
      </w:tblGrid>
      <w:tr w:rsidR="00FE0576" w:rsidRPr="00FE0576" w14:paraId="7351B287" w14:textId="77777777" w:rsidTr="00FE0576">
        <w:trPr>
          <w:trHeight w:val="290"/>
        </w:trPr>
        <w:tc>
          <w:tcPr>
            <w:tcW w:w="1714" w:type="pct"/>
            <w:tcBorders>
              <w:top w:val="single" w:sz="4" w:space="0" w:color="auto"/>
              <w:left w:val="single" w:sz="4" w:space="0" w:color="auto"/>
              <w:bottom w:val="single" w:sz="4" w:space="0" w:color="auto"/>
              <w:right w:val="single" w:sz="4" w:space="0" w:color="auto"/>
            </w:tcBorders>
            <w:noWrap/>
            <w:vAlign w:val="center"/>
            <w:hideMark/>
          </w:tcPr>
          <w:p w14:paraId="49253254" w14:textId="77777777" w:rsidR="00FE0576" w:rsidRPr="00FE0576" w:rsidRDefault="00FE0576" w:rsidP="00FE0576">
            <w:pPr>
              <w:widowControl/>
              <w:autoSpaceDE/>
              <w:autoSpaceDN/>
              <w:spacing w:line="360" w:lineRule="auto"/>
              <w:jc w:val="center"/>
              <w:rPr>
                <w:rFonts w:ascii="Arial" w:eastAsia="Times New Roman" w:hAnsi="Arial" w:cs="Arial"/>
                <w:b/>
                <w:bCs/>
                <w:color w:val="000000"/>
                <w:lang w:val="en-IN" w:eastAsia="zh-TW"/>
              </w:rPr>
            </w:pPr>
            <w:r w:rsidRPr="00FE0576">
              <w:rPr>
                <w:rFonts w:ascii="Arial" w:eastAsia="Times New Roman" w:hAnsi="Arial" w:cs="Arial"/>
                <w:b/>
                <w:bCs/>
                <w:color w:val="000000"/>
                <w:lang w:val="en-IN" w:eastAsia="zh-TW"/>
              </w:rPr>
              <w:t>Activity / Week</w:t>
            </w:r>
          </w:p>
        </w:tc>
        <w:tc>
          <w:tcPr>
            <w:tcW w:w="205" w:type="pct"/>
            <w:tcBorders>
              <w:top w:val="single" w:sz="4" w:space="0" w:color="auto"/>
              <w:left w:val="nil"/>
              <w:bottom w:val="single" w:sz="4" w:space="0" w:color="auto"/>
              <w:right w:val="single" w:sz="4" w:space="0" w:color="auto"/>
            </w:tcBorders>
            <w:noWrap/>
            <w:vAlign w:val="center"/>
            <w:hideMark/>
          </w:tcPr>
          <w:p w14:paraId="33088CA5" w14:textId="77777777" w:rsidR="00FE0576" w:rsidRPr="00FE0576" w:rsidRDefault="00FE0576" w:rsidP="00FE0576">
            <w:pPr>
              <w:widowControl/>
              <w:autoSpaceDE/>
              <w:autoSpaceDN/>
              <w:spacing w:line="360" w:lineRule="auto"/>
              <w:jc w:val="center"/>
              <w:rPr>
                <w:rFonts w:ascii="Arial" w:eastAsia="Times New Roman" w:hAnsi="Arial" w:cs="Arial"/>
                <w:b/>
                <w:bCs/>
                <w:color w:val="000000"/>
                <w:lang w:val="en-IN" w:eastAsia="zh-TW"/>
              </w:rPr>
            </w:pPr>
            <w:r w:rsidRPr="00FE0576">
              <w:rPr>
                <w:rFonts w:ascii="Arial" w:eastAsia="Times New Roman" w:hAnsi="Arial" w:cs="Arial"/>
                <w:b/>
                <w:bCs/>
                <w:color w:val="000000"/>
                <w:lang w:val="en-IN" w:eastAsia="zh-TW"/>
              </w:rPr>
              <w:t>1</w:t>
            </w:r>
          </w:p>
        </w:tc>
        <w:tc>
          <w:tcPr>
            <w:tcW w:w="205" w:type="pct"/>
            <w:tcBorders>
              <w:top w:val="single" w:sz="4" w:space="0" w:color="auto"/>
              <w:left w:val="nil"/>
              <w:bottom w:val="single" w:sz="4" w:space="0" w:color="auto"/>
              <w:right w:val="single" w:sz="4" w:space="0" w:color="auto"/>
            </w:tcBorders>
            <w:noWrap/>
            <w:vAlign w:val="center"/>
            <w:hideMark/>
          </w:tcPr>
          <w:p w14:paraId="6A085E65" w14:textId="77777777" w:rsidR="00FE0576" w:rsidRPr="00FE0576" w:rsidRDefault="00FE0576" w:rsidP="00FE0576">
            <w:pPr>
              <w:widowControl/>
              <w:autoSpaceDE/>
              <w:autoSpaceDN/>
              <w:spacing w:line="360" w:lineRule="auto"/>
              <w:jc w:val="center"/>
              <w:rPr>
                <w:rFonts w:ascii="Arial" w:eastAsia="Times New Roman" w:hAnsi="Arial" w:cs="Arial"/>
                <w:b/>
                <w:bCs/>
                <w:color w:val="000000"/>
                <w:lang w:val="en-IN" w:eastAsia="zh-TW"/>
              </w:rPr>
            </w:pPr>
            <w:r w:rsidRPr="00FE0576">
              <w:rPr>
                <w:rFonts w:ascii="Arial" w:eastAsia="Times New Roman" w:hAnsi="Arial" w:cs="Arial"/>
                <w:b/>
                <w:bCs/>
                <w:color w:val="000000"/>
                <w:lang w:val="en-IN" w:eastAsia="zh-TW"/>
              </w:rPr>
              <w:t>2</w:t>
            </w:r>
          </w:p>
        </w:tc>
        <w:tc>
          <w:tcPr>
            <w:tcW w:w="205" w:type="pct"/>
            <w:tcBorders>
              <w:top w:val="single" w:sz="4" w:space="0" w:color="auto"/>
              <w:left w:val="nil"/>
              <w:bottom w:val="single" w:sz="4" w:space="0" w:color="auto"/>
              <w:right w:val="single" w:sz="4" w:space="0" w:color="auto"/>
            </w:tcBorders>
            <w:noWrap/>
            <w:vAlign w:val="center"/>
            <w:hideMark/>
          </w:tcPr>
          <w:p w14:paraId="5E1A3B55" w14:textId="77777777" w:rsidR="00FE0576" w:rsidRPr="00FE0576" w:rsidRDefault="00FE0576" w:rsidP="00FE0576">
            <w:pPr>
              <w:widowControl/>
              <w:autoSpaceDE/>
              <w:autoSpaceDN/>
              <w:spacing w:line="360" w:lineRule="auto"/>
              <w:jc w:val="center"/>
              <w:rPr>
                <w:rFonts w:ascii="Arial" w:eastAsia="Times New Roman" w:hAnsi="Arial" w:cs="Arial"/>
                <w:b/>
                <w:bCs/>
                <w:color w:val="000000"/>
                <w:lang w:val="en-IN" w:eastAsia="zh-TW"/>
              </w:rPr>
            </w:pPr>
            <w:r w:rsidRPr="00FE0576">
              <w:rPr>
                <w:rFonts w:ascii="Arial" w:eastAsia="Times New Roman" w:hAnsi="Arial" w:cs="Arial"/>
                <w:b/>
                <w:bCs/>
                <w:color w:val="000000"/>
                <w:lang w:val="en-IN" w:eastAsia="zh-TW"/>
              </w:rPr>
              <w:t>3</w:t>
            </w:r>
          </w:p>
        </w:tc>
        <w:tc>
          <w:tcPr>
            <w:tcW w:w="205" w:type="pct"/>
            <w:tcBorders>
              <w:top w:val="single" w:sz="4" w:space="0" w:color="auto"/>
              <w:left w:val="nil"/>
              <w:bottom w:val="single" w:sz="4" w:space="0" w:color="auto"/>
              <w:right w:val="single" w:sz="4" w:space="0" w:color="auto"/>
            </w:tcBorders>
            <w:noWrap/>
            <w:vAlign w:val="center"/>
            <w:hideMark/>
          </w:tcPr>
          <w:p w14:paraId="2F630246" w14:textId="77777777" w:rsidR="00FE0576" w:rsidRPr="00FE0576" w:rsidRDefault="00FE0576" w:rsidP="00FE0576">
            <w:pPr>
              <w:widowControl/>
              <w:autoSpaceDE/>
              <w:autoSpaceDN/>
              <w:spacing w:line="360" w:lineRule="auto"/>
              <w:jc w:val="center"/>
              <w:rPr>
                <w:rFonts w:ascii="Arial" w:eastAsia="Times New Roman" w:hAnsi="Arial" w:cs="Arial"/>
                <w:b/>
                <w:bCs/>
                <w:color w:val="000000"/>
                <w:lang w:val="en-IN" w:eastAsia="zh-TW"/>
              </w:rPr>
            </w:pPr>
            <w:r w:rsidRPr="00FE0576">
              <w:rPr>
                <w:rFonts w:ascii="Arial" w:eastAsia="Times New Roman" w:hAnsi="Arial" w:cs="Arial"/>
                <w:b/>
                <w:bCs/>
                <w:color w:val="000000"/>
                <w:lang w:val="en-IN" w:eastAsia="zh-TW"/>
              </w:rPr>
              <w:t>4</w:t>
            </w:r>
          </w:p>
        </w:tc>
        <w:tc>
          <w:tcPr>
            <w:tcW w:w="205" w:type="pct"/>
            <w:tcBorders>
              <w:top w:val="single" w:sz="4" w:space="0" w:color="auto"/>
              <w:left w:val="nil"/>
              <w:bottom w:val="single" w:sz="4" w:space="0" w:color="auto"/>
              <w:right w:val="single" w:sz="4" w:space="0" w:color="auto"/>
            </w:tcBorders>
            <w:noWrap/>
            <w:vAlign w:val="center"/>
            <w:hideMark/>
          </w:tcPr>
          <w:p w14:paraId="045AFB78" w14:textId="77777777" w:rsidR="00FE0576" w:rsidRPr="00FE0576" w:rsidRDefault="00FE0576" w:rsidP="00FE0576">
            <w:pPr>
              <w:widowControl/>
              <w:autoSpaceDE/>
              <w:autoSpaceDN/>
              <w:spacing w:line="360" w:lineRule="auto"/>
              <w:jc w:val="center"/>
              <w:rPr>
                <w:rFonts w:ascii="Arial" w:eastAsia="Times New Roman" w:hAnsi="Arial" w:cs="Arial"/>
                <w:b/>
                <w:bCs/>
                <w:color w:val="000000"/>
                <w:lang w:val="en-IN" w:eastAsia="zh-TW"/>
              </w:rPr>
            </w:pPr>
            <w:r w:rsidRPr="00FE0576">
              <w:rPr>
                <w:rFonts w:ascii="Arial" w:eastAsia="Times New Roman" w:hAnsi="Arial" w:cs="Arial"/>
                <w:b/>
                <w:bCs/>
                <w:color w:val="000000"/>
                <w:lang w:val="en-IN" w:eastAsia="zh-TW"/>
              </w:rPr>
              <w:t>5</w:t>
            </w:r>
          </w:p>
        </w:tc>
        <w:tc>
          <w:tcPr>
            <w:tcW w:w="205" w:type="pct"/>
            <w:tcBorders>
              <w:top w:val="single" w:sz="4" w:space="0" w:color="auto"/>
              <w:left w:val="nil"/>
              <w:bottom w:val="single" w:sz="4" w:space="0" w:color="auto"/>
              <w:right w:val="single" w:sz="4" w:space="0" w:color="auto"/>
            </w:tcBorders>
            <w:noWrap/>
            <w:vAlign w:val="center"/>
            <w:hideMark/>
          </w:tcPr>
          <w:p w14:paraId="316DDB60" w14:textId="77777777" w:rsidR="00FE0576" w:rsidRPr="00FE0576" w:rsidRDefault="00FE0576" w:rsidP="00FE0576">
            <w:pPr>
              <w:widowControl/>
              <w:autoSpaceDE/>
              <w:autoSpaceDN/>
              <w:spacing w:line="360" w:lineRule="auto"/>
              <w:jc w:val="center"/>
              <w:rPr>
                <w:rFonts w:ascii="Arial" w:eastAsia="Times New Roman" w:hAnsi="Arial" w:cs="Arial"/>
                <w:b/>
                <w:bCs/>
                <w:color w:val="000000"/>
                <w:lang w:val="en-IN" w:eastAsia="zh-TW"/>
              </w:rPr>
            </w:pPr>
            <w:r w:rsidRPr="00FE0576">
              <w:rPr>
                <w:rFonts w:ascii="Arial" w:eastAsia="Times New Roman" w:hAnsi="Arial" w:cs="Arial"/>
                <w:b/>
                <w:bCs/>
                <w:color w:val="000000"/>
                <w:lang w:val="en-IN" w:eastAsia="zh-TW"/>
              </w:rPr>
              <w:t>6</w:t>
            </w:r>
          </w:p>
        </w:tc>
        <w:tc>
          <w:tcPr>
            <w:tcW w:w="205" w:type="pct"/>
            <w:tcBorders>
              <w:top w:val="single" w:sz="4" w:space="0" w:color="auto"/>
              <w:left w:val="nil"/>
              <w:bottom w:val="single" w:sz="4" w:space="0" w:color="auto"/>
              <w:right w:val="single" w:sz="4" w:space="0" w:color="auto"/>
            </w:tcBorders>
            <w:noWrap/>
            <w:vAlign w:val="center"/>
            <w:hideMark/>
          </w:tcPr>
          <w:p w14:paraId="5E85AEDD" w14:textId="77777777" w:rsidR="00FE0576" w:rsidRPr="00FE0576" w:rsidRDefault="00FE0576" w:rsidP="00FE0576">
            <w:pPr>
              <w:widowControl/>
              <w:autoSpaceDE/>
              <w:autoSpaceDN/>
              <w:spacing w:line="360" w:lineRule="auto"/>
              <w:jc w:val="center"/>
              <w:rPr>
                <w:rFonts w:ascii="Arial" w:eastAsia="Times New Roman" w:hAnsi="Arial" w:cs="Arial"/>
                <w:b/>
                <w:bCs/>
                <w:color w:val="000000"/>
                <w:lang w:val="en-IN" w:eastAsia="zh-TW"/>
              </w:rPr>
            </w:pPr>
            <w:r w:rsidRPr="00FE0576">
              <w:rPr>
                <w:rFonts w:ascii="Arial" w:eastAsia="Times New Roman" w:hAnsi="Arial" w:cs="Arial"/>
                <w:b/>
                <w:bCs/>
                <w:color w:val="000000"/>
                <w:lang w:val="en-IN" w:eastAsia="zh-TW"/>
              </w:rPr>
              <w:t>7</w:t>
            </w:r>
          </w:p>
        </w:tc>
        <w:tc>
          <w:tcPr>
            <w:tcW w:w="205" w:type="pct"/>
            <w:tcBorders>
              <w:top w:val="single" w:sz="4" w:space="0" w:color="auto"/>
              <w:left w:val="nil"/>
              <w:bottom w:val="single" w:sz="4" w:space="0" w:color="auto"/>
              <w:right w:val="single" w:sz="4" w:space="0" w:color="auto"/>
            </w:tcBorders>
            <w:noWrap/>
            <w:vAlign w:val="center"/>
            <w:hideMark/>
          </w:tcPr>
          <w:p w14:paraId="49924EF1" w14:textId="77777777" w:rsidR="00FE0576" w:rsidRPr="00FE0576" w:rsidRDefault="00FE0576" w:rsidP="00FE0576">
            <w:pPr>
              <w:widowControl/>
              <w:autoSpaceDE/>
              <w:autoSpaceDN/>
              <w:spacing w:line="360" w:lineRule="auto"/>
              <w:jc w:val="center"/>
              <w:rPr>
                <w:rFonts w:ascii="Arial" w:eastAsia="Times New Roman" w:hAnsi="Arial" w:cs="Arial"/>
                <w:b/>
                <w:bCs/>
                <w:color w:val="000000"/>
                <w:lang w:val="en-IN" w:eastAsia="zh-TW"/>
              </w:rPr>
            </w:pPr>
            <w:r w:rsidRPr="00FE0576">
              <w:rPr>
                <w:rFonts w:ascii="Arial" w:eastAsia="Times New Roman" w:hAnsi="Arial" w:cs="Arial"/>
                <w:b/>
                <w:bCs/>
                <w:color w:val="000000"/>
                <w:lang w:val="en-IN" w:eastAsia="zh-TW"/>
              </w:rPr>
              <w:t>8</w:t>
            </w:r>
          </w:p>
        </w:tc>
        <w:tc>
          <w:tcPr>
            <w:tcW w:w="205" w:type="pct"/>
            <w:tcBorders>
              <w:top w:val="single" w:sz="4" w:space="0" w:color="auto"/>
              <w:left w:val="nil"/>
              <w:bottom w:val="single" w:sz="4" w:space="0" w:color="auto"/>
              <w:right w:val="single" w:sz="4" w:space="0" w:color="auto"/>
            </w:tcBorders>
            <w:noWrap/>
            <w:vAlign w:val="center"/>
            <w:hideMark/>
          </w:tcPr>
          <w:p w14:paraId="0CEB5AA8" w14:textId="77777777" w:rsidR="00FE0576" w:rsidRPr="00FE0576" w:rsidRDefault="00FE0576" w:rsidP="00FE0576">
            <w:pPr>
              <w:widowControl/>
              <w:autoSpaceDE/>
              <w:autoSpaceDN/>
              <w:spacing w:line="360" w:lineRule="auto"/>
              <w:jc w:val="center"/>
              <w:rPr>
                <w:rFonts w:ascii="Arial" w:eastAsia="Times New Roman" w:hAnsi="Arial" w:cs="Arial"/>
                <w:b/>
                <w:bCs/>
                <w:color w:val="000000"/>
                <w:lang w:val="en-IN" w:eastAsia="zh-TW"/>
              </w:rPr>
            </w:pPr>
            <w:r w:rsidRPr="00FE0576">
              <w:rPr>
                <w:rFonts w:ascii="Arial" w:eastAsia="Times New Roman" w:hAnsi="Arial" w:cs="Arial"/>
                <w:b/>
                <w:bCs/>
                <w:color w:val="000000"/>
                <w:lang w:val="en-IN" w:eastAsia="zh-TW"/>
              </w:rPr>
              <w:t>9</w:t>
            </w:r>
          </w:p>
        </w:tc>
        <w:tc>
          <w:tcPr>
            <w:tcW w:w="205" w:type="pct"/>
            <w:tcBorders>
              <w:top w:val="single" w:sz="4" w:space="0" w:color="auto"/>
              <w:left w:val="nil"/>
              <w:bottom w:val="single" w:sz="4" w:space="0" w:color="auto"/>
              <w:right w:val="single" w:sz="4" w:space="0" w:color="auto"/>
            </w:tcBorders>
            <w:noWrap/>
            <w:vAlign w:val="center"/>
            <w:hideMark/>
          </w:tcPr>
          <w:p w14:paraId="3C01901C" w14:textId="77777777" w:rsidR="00FE0576" w:rsidRPr="00FE0576" w:rsidRDefault="00FE0576" w:rsidP="00FE0576">
            <w:pPr>
              <w:widowControl/>
              <w:autoSpaceDE/>
              <w:autoSpaceDN/>
              <w:spacing w:line="360" w:lineRule="auto"/>
              <w:jc w:val="center"/>
              <w:rPr>
                <w:rFonts w:ascii="Arial" w:eastAsia="Times New Roman" w:hAnsi="Arial" w:cs="Arial"/>
                <w:b/>
                <w:bCs/>
                <w:color w:val="000000"/>
                <w:lang w:val="en-IN" w:eastAsia="zh-TW"/>
              </w:rPr>
            </w:pPr>
            <w:r w:rsidRPr="00FE0576">
              <w:rPr>
                <w:rFonts w:ascii="Arial" w:eastAsia="Times New Roman" w:hAnsi="Arial" w:cs="Arial"/>
                <w:b/>
                <w:bCs/>
                <w:color w:val="000000"/>
                <w:lang w:val="en-IN" w:eastAsia="zh-TW"/>
              </w:rPr>
              <w:t>10</w:t>
            </w:r>
          </w:p>
        </w:tc>
        <w:tc>
          <w:tcPr>
            <w:tcW w:w="205" w:type="pct"/>
            <w:tcBorders>
              <w:top w:val="single" w:sz="4" w:space="0" w:color="auto"/>
              <w:left w:val="nil"/>
              <w:bottom w:val="single" w:sz="4" w:space="0" w:color="auto"/>
              <w:right w:val="single" w:sz="4" w:space="0" w:color="auto"/>
            </w:tcBorders>
            <w:noWrap/>
            <w:vAlign w:val="center"/>
            <w:hideMark/>
          </w:tcPr>
          <w:p w14:paraId="23025B0A" w14:textId="77777777" w:rsidR="00FE0576" w:rsidRPr="00FE0576" w:rsidRDefault="00FE0576" w:rsidP="00FE0576">
            <w:pPr>
              <w:widowControl/>
              <w:autoSpaceDE/>
              <w:autoSpaceDN/>
              <w:spacing w:line="360" w:lineRule="auto"/>
              <w:jc w:val="center"/>
              <w:rPr>
                <w:rFonts w:ascii="Arial" w:eastAsia="Times New Roman" w:hAnsi="Arial" w:cs="Arial"/>
                <w:b/>
                <w:bCs/>
                <w:color w:val="000000"/>
                <w:lang w:val="en-IN" w:eastAsia="zh-TW"/>
              </w:rPr>
            </w:pPr>
            <w:r w:rsidRPr="00FE0576">
              <w:rPr>
                <w:rFonts w:ascii="Arial" w:eastAsia="Times New Roman" w:hAnsi="Arial" w:cs="Arial"/>
                <w:b/>
                <w:bCs/>
                <w:color w:val="000000"/>
                <w:lang w:val="en-IN" w:eastAsia="zh-TW"/>
              </w:rPr>
              <w:t>11</w:t>
            </w:r>
          </w:p>
        </w:tc>
        <w:tc>
          <w:tcPr>
            <w:tcW w:w="205" w:type="pct"/>
            <w:tcBorders>
              <w:top w:val="single" w:sz="4" w:space="0" w:color="auto"/>
              <w:left w:val="nil"/>
              <w:bottom w:val="single" w:sz="4" w:space="0" w:color="auto"/>
              <w:right w:val="single" w:sz="4" w:space="0" w:color="auto"/>
            </w:tcBorders>
            <w:noWrap/>
            <w:vAlign w:val="center"/>
            <w:hideMark/>
          </w:tcPr>
          <w:p w14:paraId="2C6B5272" w14:textId="77777777" w:rsidR="00FE0576" w:rsidRPr="00FE0576" w:rsidRDefault="00FE0576" w:rsidP="00FE0576">
            <w:pPr>
              <w:widowControl/>
              <w:autoSpaceDE/>
              <w:autoSpaceDN/>
              <w:spacing w:line="360" w:lineRule="auto"/>
              <w:jc w:val="center"/>
              <w:rPr>
                <w:rFonts w:ascii="Arial" w:eastAsia="Times New Roman" w:hAnsi="Arial" w:cs="Arial"/>
                <w:b/>
                <w:bCs/>
                <w:color w:val="000000"/>
                <w:lang w:val="en-IN" w:eastAsia="zh-TW"/>
              </w:rPr>
            </w:pPr>
            <w:r w:rsidRPr="00FE0576">
              <w:rPr>
                <w:rFonts w:ascii="Arial" w:eastAsia="Times New Roman" w:hAnsi="Arial" w:cs="Arial"/>
                <w:b/>
                <w:bCs/>
                <w:color w:val="000000"/>
                <w:lang w:val="en-IN" w:eastAsia="zh-TW"/>
              </w:rPr>
              <w:t>12</w:t>
            </w:r>
          </w:p>
        </w:tc>
        <w:tc>
          <w:tcPr>
            <w:tcW w:w="205" w:type="pct"/>
            <w:tcBorders>
              <w:top w:val="single" w:sz="4" w:space="0" w:color="auto"/>
              <w:left w:val="nil"/>
              <w:bottom w:val="single" w:sz="4" w:space="0" w:color="auto"/>
              <w:right w:val="single" w:sz="4" w:space="0" w:color="auto"/>
            </w:tcBorders>
            <w:noWrap/>
            <w:vAlign w:val="center"/>
            <w:hideMark/>
          </w:tcPr>
          <w:p w14:paraId="2C46A1A7" w14:textId="77777777" w:rsidR="00FE0576" w:rsidRPr="00FE0576" w:rsidRDefault="00FE0576" w:rsidP="00FE0576">
            <w:pPr>
              <w:widowControl/>
              <w:autoSpaceDE/>
              <w:autoSpaceDN/>
              <w:spacing w:line="360" w:lineRule="auto"/>
              <w:jc w:val="center"/>
              <w:rPr>
                <w:rFonts w:ascii="Arial" w:eastAsia="Times New Roman" w:hAnsi="Arial" w:cs="Arial"/>
                <w:b/>
                <w:bCs/>
                <w:color w:val="000000"/>
                <w:lang w:val="en-IN" w:eastAsia="zh-TW"/>
              </w:rPr>
            </w:pPr>
            <w:r w:rsidRPr="00FE0576">
              <w:rPr>
                <w:rFonts w:ascii="Arial" w:eastAsia="Times New Roman" w:hAnsi="Arial" w:cs="Arial"/>
                <w:b/>
                <w:bCs/>
                <w:color w:val="000000"/>
                <w:lang w:val="en-IN" w:eastAsia="zh-TW"/>
              </w:rPr>
              <w:t>13</w:t>
            </w:r>
          </w:p>
        </w:tc>
        <w:tc>
          <w:tcPr>
            <w:tcW w:w="205" w:type="pct"/>
            <w:tcBorders>
              <w:top w:val="single" w:sz="4" w:space="0" w:color="auto"/>
              <w:left w:val="nil"/>
              <w:bottom w:val="single" w:sz="4" w:space="0" w:color="auto"/>
              <w:right w:val="single" w:sz="4" w:space="0" w:color="auto"/>
            </w:tcBorders>
            <w:noWrap/>
            <w:vAlign w:val="center"/>
            <w:hideMark/>
          </w:tcPr>
          <w:p w14:paraId="2CB44D06" w14:textId="77777777" w:rsidR="00FE0576" w:rsidRPr="00FE0576" w:rsidRDefault="00FE0576" w:rsidP="00FE0576">
            <w:pPr>
              <w:widowControl/>
              <w:autoSpaceDE/>
              <w:autoSpaceDN/>
              <w:spacing w:line="360" w:lineRule="auto"/>
              <w:jc w:val="center"/>
              <w:rPr>
                <w:rFonts w:ascii="Arial" w:eastAsia="Times New Roman" w:hAnsi="Arial" w:cs="Arial"/>
                <w:b/>
                <w:bCs/>
                <w:color w:val="000000"/>
                <w:lang w:val="en-IN" w:eastAsia="zh-TW"/>
              </w:rPr>
            </w:pPr>
            <w:r w:rsidRPr="00FE0576">
              <w:rPr>
                <w:rFonts w:ascii="Arial" w:eastAsia="Times New Roman" w:hAnsi="Arial" w:cs="Arial"/>
                <w:b/>
                <w:bCs/>
                <w:color w:val="000000"/>
                <w:lang w:val="en-IN" w:eastAsia="zh-TW"/>
              </w:rPr>
              <w:t>14</w:t>
            </w:r>
          </w:p>
        </w:tc>
        <w:tc>
          <w:tcPr>
            <w:tcW w:w="205" w:type="pct"/>
            <w:tcBorders>
              <w:top w:val="single" w:sz="4" w:space="0" w:color="auto"/>
              <w:left w:val="nil"/>
              <w:bottom w:val="single" w:sz="4" w:space="0" w:color="auto"/>
              <w:right w:val="single" w:sz="4" w:space="0" w:color="auto"/>
            </w:tcBorders>
            <w:noWrap/>
            <w:vAlign w:val="center"/>
            <w:hideMark/>
          </w:tcPr>
          <w:p w14:paraId="1BFBB25A" w14:textId="77777777" w:rsidR="00FE0576" w:rsidRPr="00FE0576" w:rsidRDefault="00FE0576" w:rsidP="00FE0576">
            <w:pPr>
              <w:widowControl/>
              <w:autoSpaceDE/>
              <w:autoSpaceDN/>
              <w:spacing w:line="360" w:lineRule="auto"/>
              <w:jc w:val="center"/>
              <w:rPr>
                <w:rFonts w:ascii="Arial" w:eastAsia="Times New Roman" w:hAnsi="Arial" w:cs="Arial"/>
                <w:b/>
                <w:bCs/>
                <w:color w:val="000000"/>
                <w:lang w:val="en-IN" w:eastAsia="zh-TW"/>
              </w:rPr>
            </w:pPr>
            <w:r w:rsidRPr="00FE0576">
              <w:rPr>
                <w:rFonts w:ascii="Arial" w:eastAsia="Times New Roman" w:hAnsi="Arial" w:cs="Arial"/>
                <w:b/>
                <w:bCs/>
                <w:color w:val="000000"/>
                <w:lang w:val="en-IN" w:eastAsia="zh-TW"/>
              </w:rPr>
              <w:t>15</w:t>
            </w:r>
          </w:p>
        </w:tc>
        <w:tc>
          <w:tcPr>
            <w:tcW w:w="205" w:type="pct"/>
            <w:tcBorders>
              <w:top w:val="single" w:sz="4" w:space="0" w:color="auto"/>
              <w:left w:val="nil"/>
              <w:bottom w:val="single" w:sz="4" w:space="0" w:color="auto"/>
              <w:right w:val="single" w:sz="4" w:space="0" w:color="auto"/>
            </w:tcBorders>
            <w:noWrap/>
            <w:vAlign w:val="center"/>
            <w:hideMark/>
          </w:tcPr>
          <w:p w14:paraId="21F5F200" w14:textId="77777777" w:rsidR="00FE0576" w:rsidRPr="00FE0576" w:rsidRDefault="00FE0576" w:rsidP="00FE0576">
            <w:pPr>
              <w:widowControl/>
              <w:autoSpaceDE/>
              <w:autoSpaceDN/>
              <w:spacing w:line="360" w:lineRule="auto"/>
              <w:jc w:val="center"/>
              <w:rPr>
                <w:rFonts w:ascii="Arial" w:eastAsia="Times New Roman" w:hAnsi="Arial" w:cs="Arial"/>
                <w:b/>
                <w:bCs/>
                <w:color w:val="000000"/>
                <w:lang w:val="en-IN" w:eastAsia="zh-TW"/>
              </w:rPr>
            </w:pPr>
            <w:r w:rsidRPr="00FE0576">
              <w:rPr>
                <w:rFonts w:ascii="Arial" w:eastAsia="Times New Roman" w:hAnsi="Arial" w:cs="Arial"/>
                <w:b/>
                <w:bCs/>
                <w:color w:val="000000"/>
                <w:lang w:val="en-IN" w:eastAsia="zh-TW"/>
              </w:rPr>
              <w:t>16</w:t>
            </w:r>
          </w:p>
        </w:tc>
      </w:tr>
      <w:tr w:rsidR="00FE0576" w:rsidRPr="00FE0576" w14:paraId="021A0700" w14:textId="77777777" w:rsidTr="00FE0576">
        <w:trPr>
          <w:trHeight w:val="290"/>
        </w:trPr>
        <w:tc>
          <w:tcPr>
            <w:tcW w:w="1714" w:type="pct"/>
            <w:tcBorders>
              <w:top w:val="nil"/>
              <w:left w:val="single" w:sz="4" w:space="0" w:color="auto"/>
              <w:bottom w:val="single" w:sz="4" w:space="0" w:color="auto"/>
              <w:right w:val="single" w:sz="4" w:space="0" w:color="auto"/>
            </w:tcBorders>
            <w:noWrap/>
            <w:vAlign w:val="center"/>
            <w:hideMark/>
          </w:tcPr>
          <w:p w14:paraId="203ADEA7" w14:textId="77777777" w:rsidR="00FE0576" w:rsidRPr="00FE0576" w:rsidRDefault="00FE0576" w:rsidP="00FE0576">
            <w:pPr>
              <w:widowControl/>
              <w:autoSpaceDE/>
              <w:autoSpaceDN/>
              <w:spacing w:line="360" w:lineRule="auto"/>
              <w:rPr>
                <w:rFonts w:ascii="Arial" w:eastAsia="Times New Roman" w:hAnsi="Arial" w:cs="Arial"/>
                <w:color w:val="000000"/>
                <w:lang w:val="en-IN" w:eastAsia="zh-TW"/>
              </w:rPr>
            </w:pPr>
            <w:r w:rsidRPr="00FE0576">
              <w:rPr>
                <w:rFonts w:ascii="Arial" w:eastAsia="Times New Roman" w:hAnsi="Arial" w:cs="Arial"/>
                <w:color w:val="000000"/>
                <w:lang w:val="en-IN" w:eastAsia="zh-TW"/>
              </w:rPr>
              <w:t>Topic confirmation and refinement</w:t>
            </w:r>
          </w:p>
        </w:tc>
        <w:tc>
          <w:tcPr>
            <w:tcW w:w="205" w:type="pct"/>
            <w:tcBorders>
              <w:top w:val="nil"/>
              <w:left w:val="nil"/>
              <w:bottom w:val="single" w:sz="4" w:space="0" w:color="auto"/>
              <w:right w:val="single" w:sz="4" w:space="0" w:color="auto"/>
            </w:tcBorders>
            <w:shd w:val="clear" w:color="000000" w:fill="548235"/>
            <w:noWrap/>
            <w:vAlign w:val="center"/>
            <w:hideMark/>
          </w:tcPr>
          <w:p w14:paraId="0D7C7F04"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c>
          <w:tcPr>
            <w:tcW w:w="205" w:type="pct"/>
            <w:tcBorders>
              <w:top w:val="nil"/>
              <w:left w:val="nil"/>
              <w:bottom w:val="single" w:sz="4" w:space="0" w:color="auto"/>
              <w:right w:val="single" w:sz="4" w:space="0" w:color="auto"/>
            </w:tcBorders>
            <w:shd w:val="clear" w:color="000000" w:fill="548235"/>
            <w:noWrap/>
            <w:vAlign w:val="center"/>
            <w:hideMark/>
          </w:tcPr>
          <w:p w14:paraId="7C2187D4"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c>
          <w:tcPr>
            <w:tcW w:w="205" w:type="pct"/>
            <w:tcBorders>
              <w:top w:val="nil"/>
              <w:left w:val="nil"/>
              <w:bottom w:val="single" w:sz="4" w:space="0" w:color="auto"/>
              <w:right w:val="single" w:sz="4" w:space="0" w:color="auto"/>
            </w:tcBorders>
            <w:noWrap/>
            <w:vAlign w:val="center"/>
            <w:hideMark/>
          </w:tcPr>
          <w:p w14:paraId="2D64C5E1"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c>
          <w:tcPr>
            <w:tcW w:w="205" w:type="pct"/>
            <w:tcBorders>
              <w:top w:val="nil"/>
              <w:left w:val="nil"/>
              <w:bottom w:val="single" w:sz="4" w:space="0" w:color="auto"/>
              <w:right w:val="single" w:sz="4" w:space="0" w:color="auto"/>
            </w:tcBorders>
            <w:noWrap/>
            <w:vAlign w:val="center"/>
            <w:hideMark/>
          </w:tcPr>
          <w:p w14:paraId="0E0817F1"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c>
          <w:tcPr>
            <w:tcW w:w="205" w:type="pct"/>
            <w:tcBorders>
              <w:top w:val="nil"/>
              <w:left w:val="nil"/>
              <w:bottom w:val="single" w:sz="4" w:space="0" w:color="auto"/>
              <w:right w:val="single" w:sz="4" w:space="0" w:color="auto"/>
            </w:tcBorders>
            <w:noWrap/>
            <w:vAlign w:val="center"/>
            <w:hideMark/>
          </w:tcPr>
          <w:p w14:paraId="678B2BCD"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c>
          <w:tcPr>
            <w:tcW w:w="205" w:type="pct"/>
            <w:tcBorders>
              <w:top w:val="nil"/>
              <w:left w:val="nil"/>
              <w:bottom w:val="single" w:sz="4" w:space="0" w:color="auto"/>
              <w:right w:val="single" w:sz="4" w:space="0" w:color="auto"/>
            </w:tcBorders>
            <w:noWrap/>
            <w:vAlign w:val="center"/>
            <w:hideMark/>
          </w:tcPr>
          <w:p w14:paraId="611C3A9A"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c>
          <w:tcPr>
            <w:tcW w:w="205" w:type="pct"/>
            <w:tcBorders>
              <w:top w:val="nil"/>
              <w:left w:val="nil"/>
              <w:bottom w:val="single" w:sz="4" w:space="0" w:color="auto"/>
              <w:right w:val="single" w:sz="4" w:space="0" w:color="auto"/>
            </w:tcBorders>
            <w:noWrap/>
            <w:vAlign w:val="center"/>
            <w:hideMark/>
          </w:tcPr>
          <w:p w14:paraId="13010BB3"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c>
          <w:tcPr>
            <w:tcW w:w="205" w:type="pct"/>
            <w:tcBorders>
              <w:top w:val="nil"/>
              <w:left w:val="nil"/>
              <w:bottom w:val="single" w:sz="4" w:space="0" w:color="auto"/>
              <w:right w:val="single" w:sz="4" w:space="0" w:color="auto"/>
            </w:tcBorders>
            <w:noWrap/>
            <w:vAlign w:val="center"/>
            <w:hideMark/>
          </w:tcPr>
          <w:p w14:paraId="2A2A9F21"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c>
          <w:tcPr>
            <w:tcW w:w="205" w:type="pct"/>
            <w:tcBorders>
              <w:top w:val="nil"/>
              <w:left w:val="nil"/>
              <w:bottom w:val="single" w:sz="4" w:space="0" w:color="auto"/>
              <w:right w:val="single" w:sz="4" w:space="0" w:color="auto"/>
            </w:tcBorders>
            <w:noWrap/>
            <w:vAlign w:val="center"/>
            <w:hideMark/>
          </w:tcPr>
          <w:p w14:paraId="40278B4E"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c>
          <w:tcPr>
            <w:tcW w:w="205" w:type="pct"/>
            <w:tcBorders>
              <w:top w:val="nil"/>
              <w:left w:val="nil"/>
              <w:bottom w:val="single" w:sz="4" w:space="0" w:color="auto"/>
              <w:right w:val="single" w:sz="4" w:space="0" w:color="auto"/>
            </w:tcBorders>
            <w:noWrap/>
            <w:vAlign w:val="center"/>
            <w:hideMark/>
          </w:tcPr>
          <w:p w14:paraId="481812C4"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c>
          <w:tcPr>
            <w:tcW w:w="205" w:type="pct"/>
            <w:tcBorders>
              <w:top w:val="nil"/>
              <w:left w:val="nil"/>
              <w:bottom w:val="single" w:sz="4" w:space="0" w:color="auto"/>
              <w:right w:val="single" w:sz="4" w:space="0" w:color="auto"/>
            </w:tcBorders>
            <w:noWrap/>
            <w:vAlign w:val="center"/>
            <w:hideMark/>
          </w:tcPr>
          <w:p w14:paraId="5E94C477"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c>
          <w:tcPr>
            <w:tcW w:w="205" w:type="pct"/>
            <w:tcBorders>
              <w:top w:val="nil"/>
              <w:left w:val="nil"/>
              <w:bottom w:val="single" w:sz="4" w:space="0" w:color="auto"/>
              <w:right w:val="single" w:sz="4" w:space="0" w:color="auto"/>
            </w:tcBorders>
            <w:noWrap/>
            <w:vAlign w:val="center"/>
            <w:hideMark/>
          </w:tcPr>
          <w:p w14:paraId="0C41EC37"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c>
          <w:tcPr>
            <w:tcW w:w="205" w:type="pct"/>
            <w:tcBorders>
              <w:top w:val="nil"/>
              <w:left w:val="nil"/>
              <w:bottom w:val="single" w:sz="4" w:space="0" w:color="auto"/>
              <w:right w:val="single" w:sz="4" w:space="0" w:color="auto"/>
            </w:tcBorders>
            <w:noWrap/>
            <w:vAlign w:val="center"/>
            <w:hideMark/>
          </w:tcPr>
          <w:p w14:paraId="580FAB6F"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c>
          <w:tcPr>
            <w:tcW w:w="205" w:type="pct"/>
            <w:tcBorders>
              <w:top w:val="nil"/>
              <w:left w:val="nil"/>
              <w:bottom w:val="single" w:sz="4" w:space="0" w:color="auto"/>
              <w:right w:val="single" w:sz="4" w:space="0" w:color="auto"/>
            </w:tcBorders>
            <w:noWrap/>
            <w:vAlign w:val="center"/>
            <w:hideMark/>
          </w:tcPr>
          <w:p w14:paraId="6C3096AA"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c>
          <w:tcPr>
            <w:tcW w:w="205" w:type="pct"/>
            <w:tcBorders>
              <w:top w:val="nil"/>
              <w:left w:val="nil"/>
              <w:bottom w:val="single" w:sz="4" w:space="0" w:color="auto"/>
              <w:right w:val="single" w:sz="4" w:space="0" w:color="auto"/>
            </w:tcBorders>
            <w:noWrap/>
            <w:vAlign w:val="center"/>
            <w:hideMark/>
          </w:tcPr>
          <w:p w14:paraId="1F10F3B1"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c>
          <w:tcPr>
            <w:tcW w:w="205" w:type="pct"/>
            <w:tcBorders>
              <w:top w:val="nil"/>
              <w:left w:val="nil"/>
              <w:bottom w:val="single" w:sz="4" w:space="0" w:color="auto"/>
              <w:right w:val="single" w:sz="4" w:space="0" w:color="auto"/>
            </w:tcBorders>
            <w:noWrap/>
            <w:vAlign w:val="center"/>
            <w:hideMark/>
          </w:tcPr>
          <w:p w14:paraId="6861918F"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r>
      <w:tr w:rsidR="00FE0576" w:rsidRPr="00FE0576" w14:paraId="23F265AB" w14:textId="77777777" w:rsidTr="00FE0576">
        <w:trPr>
          <w:trHeight w:val="290"/>
        </w:trPr>
        <w:tc>
          <w:tcPr>
            <w:tcW w:w="1714" w:type="pct"/>
            <w:tcBorders>
              <w:top w:val="nil"/>
              <w:left w:val="single" w:sz="4" w:space="0" w:color="auto"/>
              <w:bottom w:val="single" w:sz="4" w:space="0" w:color="auto"/>
              <w:right w:val="single" w:sz="4" w:space="0" w:color="auto"/>
            </w:tcBorders>
            <w:noWrap/>
            <w:vAlign w:val="center"/>
            <w:hideMark/>
          </w:tcPr>
          <w:p w14:paraId="3B8B3BA1" w14:textId="77777777" w:rsidR="00FE0576" w:rsidRPr="00FE0576" w:rsidRDefault="00FE0576" w:rsidP="00FE0576">
            <w:pPr>
              <w:widowControl/>
              <w:autoSpaceDE/>
              <w:autoSpaceDN/>
              <w:spacing w:line="360" w:lineRule="auto"/>
              <w:rPr>
                <w:rFonts w:ascii="Arial" w:eastAsia="Times New Roman" w:hAnsi="Arial" w:cs="Arial"/>
                <w:color w:val="000000"/>
                <w:lang w:val="en-IN" w:eastAsia="zh-TW"/>
              </w:rPr>
            </w:pPr>
            <w:r w:rsidRPr="00FE0576">
              <w:rPr>
                <w:rFonts w:ascii="Arial" w:eastAsia="Times New Roman" w:hAnsi="Arial" w:cs="Arial"/>
                <w:color w:val="000000"/>
                <w:lang w:val="en-IN" w:eastAsia="zh-TW"/>
              </w:rPr>
              <w:t>Aim, objectives and research question finalisation</w:t>
            </w:r>
          </w:p>
        </w:tc>
        <w:tc>
          <w:tcPr>
            <w:tcW w:w="205" w:type="pct"/>
            <w:tcBorders>
              <w:top w:val="nil"/>
              <w:left w:val="nil"/>
              <w:bottom w:val="single" w:sz="4" w:space="0" w:color="auto"/>
              <w:right w:val="single" w:sz="4" w:space="0" w:color="auto"/>
            </w:tcBorders>
            <w:noWrap/>
            <w:vAlign w:val="center"/>
            <w:hideMark/>
          </w:tcPr>
          <w:p w14:paraId="677B64E8"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c>
          <w:tcPr>
            <w:tcW w:w="205" w:type="pct"/>
            <w:tcBorders>
              <w:top w:val="nil"/>
              <w:left w:val="nil"/>
              <w:bottom w:val="single" w:sz="4" w:space="0" w:color="auto"/>
              <w:right w:val="single" w:sz="4" w:space="0" w:color="auto"/>
            </w:tcBorders>
            <w:shd w:val="clear" w:color="000000" w:fill="548235"/>
            <w:noWrap/>
            <w:vAlign w:val="center"/>
            <w:hideMark/>
          </w:tcPr>
          <w:p w14:paraId="03DB0BD3"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c>
          <w:tcPr>
            <w:tcW w:w="205" w:type="pct"/>
            <w:tcBorders>
              <w:top w:val="nil"/>
              <w:left w:val="nil"/>
              <w:bottom w:val="single" w:sz="4" w:space="0" w:color="auto"/>
              <w:right w:val="single" w:sz="4" w:space="0" w:color="auto"/>
            </w:tcBorders>
            <w:shd w:val="clear" w:color="000000" w:fill="548235"/>
            <w:noWrap/>
            <w:vAlign w:val="center"/>
            <w:hideMark/>
          </w:tcPr>
          <w:p w14:paraId="05615494"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c>
          <w:tcPr>
            <w:tcW w:w="205" w:type="pct"/>
            <w:tcBorders>
              <w:top w:val="nil"/>
              <w:left w:val="nil"/>
              <w:bottom w:val="single" w:sz="4" w:space="0" w:color="auto"/>
              <w:right w:val="single" w:sz="4" w:space="0" w:color="auto"/>
            </w:tcBorders>
            <w:noWrap/>
            <w:vAlign w:val="center"/>
            <w:hideMark/>
          </w:tcPr>
          <w:p w14:paraId="01F66AB7"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c>
          <w:tcPr>
            <w:tcW w:w="205" w:type="pct"/>
            <w:tcBorders>
              <w:top w:val="nil"/>
              <w:left w:val="nil"/>
              <w:bottom w:val="single" w:sz="4" w:space="0" w:color="auto"/>
              <w:right w:val="single" w:sz="4" w:space="0" w:color="auto"/>
            </w:tcBorders>
            <w:noWrap/>
            <w:vAlign w:val="center"/>
            <w:hideMark/>
          </w:tcPr>
          <w:p w14:paraId="6568A3C1"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c>
          <w:tcPr>
            <w:tcW w:w="205" w:type="pct"/>
            <w:tcBorders>
              <w:top w:val="nil"/>
              <w:left w:val="nil"/>
              <w:bottom w:val="single" w:sz="4" w:space="0" w:color="auto"/>
              <w:right w:val="single" w:sz="4" w:space="0" w:color="auto"/>
            </w:tcBorders>
            <w:noWrap/>
            <w:vAlign w:val="center"/>
            <w:hideMark/>
          </w:tcPr>
          <w:p w14:paraId="7A5F0292"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c>
          <w:tcPr>
            <w:tcW w:w="205" w:type="pct"/>
            <w:tcBorders>
              <w:top w:val="nil"/>
              <w:left w:val="nil"/>
              <w:bottom w:val="single" w:sz="4" w:space="0" w:color="auto"/>
              <w:right w:val="single" w:sz="4" w:space="0" w:color="auto"/>
            </w:tcBorders>
            <w:noWrap/>
            <w:vAlign w:val="center"/>
            <w:hideMark/>
          </w:tcPr>
          <w:p w14:paraId="29F29B9E"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c>
          <w:tcPr>
            <w:tcW w:w="205" w:type="pct"/>
            <w:tcBorders>
              <w:top w:val="nil"/>
              <w:left w:val="nil"/>
              <w:bottom w:val="single" w:sz="4" w:space="0" w:color="auto"/>
              <w:right w:val="single" w:sz="4" w:space="0" w:color="auto"/>
            </w:tcBorders>
            <w:noWrap/>
            <w:vAlign w:val="center"/>
            <w:hideMark/>
          </w:tcPr>
          <w:p w14:paraId="5B48CA8C"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c>
          <w:tcPr>
            <w:tcW w:w="205" w:type="pct"/>
            <w:tcBorders>
              <w:top w:val="nil"/>
              <w:left w:val="nil"/>
              <w:bottom w:val="single" w:sz="4" w:space="0" w:color="auto"/>
              <w:right w:val="single" w:sz="4" w:space="0" w:color="auto"/>
            </w:tcBorders>
            <w:noWrap/>
            <w:vAlign w:val="center"/>
            <w:hideMark/>
          </w:tcPr>
          <w:p w14:paraId="128F4803"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c>
          <w:tcPr>
            <w:tcW w:w="205" w:type="pct"/>
            <w:tcBorders>
              <w:top w:val="nil"/>
              <w:left w:val="nil"/>
              <w:bottom w:val="single" w:sz="4" w:space="0" w:color="auto"/>
              <w:right w:val="single" w:sz="4" w:space="0" w:color="auto"/>
            </w:tcBorders>
            <w:noWrap/>
            <w:vAlign w:val="center"/>
            <w:hideMark/>
          </w:tcPr>
          <w:p w14:paraId="1DCA44D4"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c>
          <w:tcPr>
            <w:tcW w:w="205" w:type="pct"/>
            <w:tcBorders>
              <w:top w:val="nil"/>
              <w:left w:val="nil"/>
              <w:bottom w:val="single" w:sz="4" w:space="0" w:color="auto"/>
              <w:right w:val="single" w:sz="4" w:space="0" w:color="auto"/>
            </w:tcBorders>
            <w:noWrap/>
            <w:vAlign w:val="center"/>
            <w:hideMark/>
          </w:tcPr>
          <w:p w14:paraId="73BF3328"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c>
          <w:tcPr>
            <w:tcW w:w="205" w:type="pct"/>
            <w:tcBorders>
              <w:top w:val="nil"/>
              <w:left w:val="nil"/>
              <w:bottom w:val="single" w:sz="4" w:space="0" w:color="auto"/>
              <w:right w:val="single" w:sz="4" w:space="0" w:color="auto"/>
            </w:tcBorders>
            <w:noWrap/>
            <w:vAlign w:val="center"/>
            <w:hideMark/>
          </w:tcPr>
          <w:p w14:paraId="091A83F0"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c>
          <w:tcPr>
            <w:tcW w:w="205" w:type="pct"/>
            <w:tcBorders>
              <w:top w:val="nil"/>
              <w:left w:val="nil"/>
              <w:bottom w:val="single" w:sz="4" w:space="0" w:color="auto"/>
              <w:right w:val="single" w:sz="4" w:space="0" w:color="auto"/>
            </w:tcBorders>
            <w:noWrap/>
            <w:vAlign w:val="center"/>
            <w:hideMark/>
          </w:tcPr>
          <w:p w14:paraId="59445225"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c>
          <w:tcPr>
            <w:tcW w:w="205" w:type="pct"/>
            <w:tcBorders>
              <w:top w:val="nil"/>
              <w:left w:val="nil"/>
              <w:bottom w:val="single" w:sz="4" w:space="0" w:color="auto"/>
              <w:right w:val="single" w:sz="4" w:space="0" w:color="auto"/>
            </w:tcBorders>
            <w:noWrap/>
            <w:vAlign w:val="center"/>
            <w:hideMark/>
          </w:tcPr>
          <w:p w14:paraId="2D104BFB"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c>
          <w:tcPr>
            <w:tcW w:w="205" w:type="pct"/>
            <w:tcBorders>
              <w:top w:val="nil"/>
              <w:left w:val="nil"/>
              <w:bottom w:val="single" w:sz="4" w:space="0" w:color="auto"/>
              <w:right w:val="single" w:sz="4" w:space="0" w:color="auto"/>
            </w:tcBorders>
            <w:noWrap/>
            <w:vAlign w:val="center"/>
            <w:hideMark/>
          </w:tcPr>
          <w:p w14:paraId="653F9D4B"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c>
          <w:tcPr>
            <w:tcW w:w="205" w:type="pct"/>
            <w:tcBorders>
              <w:top w:val="nil"/>
              <w:left w:val="nil"/>
              <w:bottom w:val="single" w:sz="4" w:space="0" w:color="auto"/>
              <w:right w:val="single" w:sz="4" w:space="0" w:color="auto"/>
            </w:tcBorders>
            <w:noWrap/>
            <w:vAlign w:val="center"/>
            <w:hideMark/>
          </w:tcPr>
          <w:p w14:paraId="54824087"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r>
      <w:tr w:rsidR="00FE0576" w:rsidRPr="00FE0576" w14:paraId="3F75416B" w14:textId="77777777" w:rsidTr="00FE0576">
        <w:trPr>
          <w:trHeight w:val="290"/>
        </w:trPr>
        <w:tc>
          <w:tcPr>
            <w:tcW w:w="1714" w:type="pct"/>
            <w:tcBorders>
              <w:top w:val="nil"/>
              <w:left w:val="single" w:sz="4" w:space="0" w:color="auto"/>
              <w:bottom w:val="single" w:sz="4" w:space="0" w:color="auto"/>
              <w:right w:val="single" w:sz="4" w:space="0" w:color="auto"/>
            </w:tcBorders>
            <w:noWrap/>
            <w:vAlign w:val="center"/>
            <w:hideMark/>
          </w:tcPr>
          <w:p w14:paraId="253316CE" w14:textId="77777777" w:rsidR="00FE0576" w:rsidRPr="00FE0576" w:rsidRDefault="00FE0576" w:rsidP="00FE0576">
            <w:pPr>
              <w:widowControl/>
              <w:autoSpaceDE/>
              <w:autoSpaceDN/>
              <w:spacing w:line="360" w:lineRule="auto"/>
              <w:rPr>
                <w:rFonts w:ascii="Arial" w:eastAsia="Times New Roman" w:hAnsi="Arial" w:cs="Arial"/>
                <w:color w:val="000000"/>
                <w:lang w:val="en-IN" w:eastAsia="zh-TW"/>
              </w:rPr>
            </w:pPr>
            <w:r w:rsidRPr="00FE0576">
              <w:rPr>
                <w:rFonts w:ascii="Arial" w:eastAsia="Times New Roman" w:hAnsi="Arial" w:cs="Arial"/>
                <w:color w:val="000000"/>
                <w:lang w:val="en-IN" w:eastAsia="zh-TW"/>
              </w:rPr>
              <w:t>Development of review protocol (PRISMA)</w:t>
            </w:r>
          </w:p>
        </w:tc>
        <w:tc>
          <w:tcPr>
            <w:tcW w:w="205" w:type="pct"/>
            <w:tcBorders>
              <w:top w:val="nil"/>
              <w:left w:val="nil"/>
              <w:bottom w:val="single" w:sz="4" w:space="0" w:color="auto"/>
              <w:right w:val="single" w:sz="4" w:space="0" w:color="auto"/>
            </w:tcBorders>
            <w:noWrap/>
            <w:vAlign w:val="center"/>
            <w:hideMark/>
          </w:tcPr>
          <w:p w14:paraId="33FEB3D4"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c>
          <w:tcPr>
            <w:tcW w:w="205" w:type="pct"/>
            <w:tcBorders>
              <w:top w:val="nil"/>
              <w:left w:val="nil"/>
              <w:bottom w:val="single" w:sz="4" w:space="0" w:color="auto"/>
              <w:right w:val="single" w:sz="4" w:space="0" w:color="auto"/>
            </w:tcBorders>
            <w:noWrap/>
            <w:vAlign w:val="center"/>
            <w:hideMark/>
          </w:tcPr>
          <w:p w14:paraId="4D45A16F"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c>
          <w:tcPr>
            <w:tcW w:w="205" w:type="pct"/>
            <w:tcBorders>
              <w:top w:val="nil"/>
              <w:left w:val="nil"/>
              <w:bottom w:val="single" w:sz="4" w:space="0" w:color="auto"/>
              <w:right w:val="single" w:sz="4" w:space="0" w:color="auto"/>
            </w:tcBorders>
            <w:shd w:val="clear" w:color="000000" w:fill="548235"/>
            <w:noWrap/>
            <w:vAlign w:val="center"/>
            <w:hideMark/>
          </w:tcPr>
          <w:p w14:paraId="034EFBDD"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c>
          <w:tcPr>
            <w:tcW w:w="205" w:type="pct"/>
            <w:tcBorders>
              <w:top w:val="nil"/>
              <w:left w:val="nil"/>
              <w:bottom w:val="single" w:sz="4" w:space="0" w:color="auto"/>
              <w:right w:val="single" w:sz="4" w:space="0" w:color="auto"/>
            </w:tcBorders>
            <w:shd w:val="clear" w:color="000000" w:fill="548235"/>
            <w:noWrap/>
            <w:vAlign w:val="center"/>
            <w:hideMark/>
          </w:tcPr>
          <w:p w14:paraId="08210D47"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c>
          <w:tcPr>
            <w:tcW w:w="205" w:type="pct"/>
            <w:tcBorders>
              <w:top w:val="nil"/>
              <w:left w:val="nil"/>
              <w:bottom w:val="single" w:sz="4" w:space="0" w:color="auto"/>
              <w:right w:val="single" w:sz="4" w:space="0" w:color="auto"/>
            </w:tcBorders>
            <w:noWrap/>
            <w:vAlign w:val="center"/>
            <w:hideMark/>
          </w:tcPr>
          <w:p w14:paraId="770714EA"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c>
          <w:tcPr>
            <w:tcW w:w="205" w:type="pct"/>
            <w:tcBorders>
              <w:top w:val="nil"/>
              <w:left w:val="nil"/>
              <w:bottom w:val="single" w:sz="4" w:space="0" w:color="auto"/>
              <w:right w:val="single" w:sz="4" w:space="0" w:color="auto"/>
            </w:tcBorders>
            <w:noWrap/>
            <w:vAlign w:val="center"/>
            <w:hideMark/>
          </w:tcPr>
          <w:p w14:paraId="65BA47B6"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c>
          <w:tcPr>
            <w:tcW w:w="205" w:type="pct"/>
            <w:tcBorders>
              <w:top w:val="nil"/>
              <w:left w:val="nil"/>
              <w:bottom w:val="single" w:sz="4" w:space="0" w:color="auto"/>
              <w:right w:val="single" w:sz="4" w:space="0" w:color="auto"/>
            </w:tcBorders>
            <w:noWrap/>
            <w:vAlign w:val="center"/>
            <w:hideMark/>
          </w:tcPr>
          <w:p w14:paraId="365E05A2"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c>
          <w:tcPr>
            <w:tcW w:w="205" w:type="pct"/>
            <w:tcBorders>
              <w:top w:val="nil"/>
              <w:left w:val="nil"/>
              <w:bottom w:val="single" w:sz="4" w:space="0" w:color="auto"/>
              <w:right w:val="single" w:sz="4" w:space="0" w:color="auto"/>
            </w:tcBorders>
            <w:noWrap/>
            <w:vAlign w:val="center"/>
            <w:hideMark/>
          </w:tcPr>
          <w:p w14:paraId="500ADCA3"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c>
          <w:tcPr>
            <w:tcW w:w="205" w:type="pct"/>
            <w:tcBorders>
              <w:top w:val="nil"/>
              <w:left w:val="nil"/>
              <w:bottom w:val="single" w:sz="4" w:space="0" w:color="auto"/>
              <w:right w:val="single" w:sz="4" w:space="0" w:color="auto"/>
            </w:tcBorders>
            <w:noWrap/>
            <w:vAlign w:val="center"/>
            <w:hideMark/>
          </w:tcPr>
          <w:p w14:paraId="4BBF2950"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c>
          <w:tcPr>
            <w:tcW w:w="205" w:type="pct"/>
            <w:tcBorders>
              <w:top w:val="nil"/>
              <w:left w:val="nil"/>
              <w:bottom w:val="single" w:sz="4" w:space="0" w:color="auto"/>
              <w:right w:val="single" w:sz="4" w:space="0" w:color="auto"/>
            </w:tcBorders>
            <w:noWrap/>
            <w:vAlign w:val="center"/>
            <w:hideMark/>
          </w:tcPr>
          <w:p w14:paraId="7FA0C291"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c>
          <w:tcPr>
            <w:tcW w:w="205" w:type="pct"/>
            <w:tcBorders>
              <w:top w:val="nil"/>
              <w:left w:val="nil"/>
              <w:bottom w:val="single" w:sz="4" w:space="0" w:color="auto"/>
              <w:right w:val="single" w:sz="4" w:space="0" w:color="auto"/>
            </w:tcBorders>
            <w:noWrap/>
            <w:vAlign w:val="center"/>
            <w:hideMark/>
          </w:tcPr>
          <w:p w14:paraId="55553314"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c>
          <w:tcPr>
            <w:tcW w:w="205" w:type="pct"/>
            <w:tcBorders>
              <w:top w:val="nil"/>
              <w:left w:val="nil"/>
              <w:bottom w:val="single" w:sz="4" w:space="0" w:color="auto"/>
              <w:right w:val="single" w:sz="4" w:space="0" w:color="auto"/>
            </w:tcBorders>
            <w:noWrap/>
            <w:vAlign w:val="center"/>
            <w:hideMark/>
          </w:tcPr>
          <w:p w14:paraId="40957097"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c>
          <w:tcPr>
            <w:tcW w:w="205" w:type="pct"/>
            <w:tcBorders>
              <w:top w:val="nil"/>
              <w:left w:val="nil"/>
              <w:bottom w:val="single" w:sz="4" w:space="0" w:color="auto"/>
              <w:right w:val="single" w:sz="4" w:space="0" w:color="auto"/>
            </w:tcBorders>
            <w:noWrap/>
            <w:vAlign w:val="center"/>
            <w:hideMark/>
          </w:tcPr>
          <w:p w14:paraId="400D2107"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c>
          <w:tcPr>
            <w:tcW w:w="205" w:type="pct"/>
            <w:tcBorders>
              <w:top w:val="nil"/>
              <w:left w:val="nil"/>
              <w:bottom w:val="single" w:sz="4" w:space="0" w:color="auto"/>
              <w:right w:val="single" w:sz="4" w:space="0" w:color="auto"/>
            </w:tcBorders>
            <w:noWrap/>
            <w:vAlign w:val="center"/>
            <w:hideMark/>
          </w:tcPr>
          <w:p w14:paraId="52B8F105"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c>
          <w:tcPr>
            <w:tcW w:w="205" w:type="pct"/>
            <w:tcBorders>
              <w:top w:val="nil"/>
              <w:left w:val="nil"/>
              <w:bottom w:val="single" w:sz="4" w:space="0" w:color="auto"/>
              <w:right w:val="single" w:sz="4" w:space="0" w:color="auto"/>
            </w:tcBorders>
            <w:noWrap/>
            <w:vAlign w:val="center"/>
            <w:hideMark/>
          </w:tcPr>
          <w:p w14:paraId="1C0320BD"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c>
          <w:tcPr>
            <w:tcW w:w="205" w:type="pct"/>
            <w:tcBorders>
              <w:top w:val="nil"/>
              <w:left w:val="nil"/>
              <w:bottom w:val="single" w:sz="4" w:space="0" w:color="auto"/>
              <w:right w:val="single" w:sz="4" w:space="0" w:color="auto"/>
            </w:tcBorders>
            <w:noWrap/>
            <w:vAlign w:val="center"/>
            <w:hideMark/>
          </w:tcPr>
          <w:p w14:paraId="3F0BB6EC"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r>
      <w:tr w:rsidR="00FE0576" w:rsidRPr="00FE0576" w14:paraId="5ABB22F7" w14:textId="77777777" w:rsidTr="00FE0576">
        <w:trPr>
          <w:trHeight w:val="290"/>
        </w:trPr>
        <w:tc>
          <w:tcPr>
            <w:tcW w:w="1714" w:type="pct"/>
            <w:tcBorders>
              <w:top w:val="nil"/>
              <w:left w:val="single" w:sz="4" w:space="0" w:color="auto"/>
              <w:bottom w:val="single" w:sz="4" w:space="0" w:color="auto"/>
              <w:right w:val="single" w:sz="4" w:space="0" w:color="auto"/>
            </w:tcBorders>
            <w:noWrap/>
            <w:vAlign w:val="center"/>
            <w:hideMark/>
          </w:tcPr>
          <w:p w14:paraId="105B7CDE" w14:textId="77777777" w:rsidR="00FE0576" w:rsidRPr="00FE0576" w:rsidRDefault="00FE0576" w:rsidP="00FE0576">
            <w:pPr>
              <w:widowControl/>
              <w:autoSpaceDE/>
              <w:autoSpaceDN/>
              <w:spacing w:line="360" w:lineRule="auto"/>
              <w:rPr>
                <w:rFonts w:ascii="Arial" w:eastAsia="Times New Roman" w:hAnsi="Arial" w:cs="Arial"/>
                <w:color w:val="000000"/>
                <w:lang w:val="en-IN" w:eastAsia="zh-TW"/>
              </w:rPr>
            </w:pPr>
            <w:r w:rsidRPr="00FE0576">
              <w:rPr>
                <w:rFonts w:ascii="Arial" w:eastAsia="Times New Roman" w:hAnsi="Arial" w:cs="Arial"/>
                <w:color w:val="000000"/>
                <w:lang w:val="en-IN" w:eastAsia="zh-TW"/>
              </w:rPr>
              <w:t>Database search (PubMed, Google Scholar)</w:t>
            </w:r>
          </w:p>
        </w:tc>
        <w:tc>
          <w:tcPr>
            <w:tcW w:w="205" w:type="pct"/>
            <w:tcBorders>
              <w:top w:val="nil"/>
              <w:left w:val="nil"/>
              <w:bottom w:val="single" w:sz="4" w:space="0" w:color="auto"/>
              <w:right w:val="single" w:sz="4" w:space="0" w:color="auto"/>
            </w:tcBorders>
            <w:noWrap/>
            <w:vAlign w:val="center"/>
            <w:hideMark/>
          </w:tcPr>
          <w:p w14:paraId="20D1FFB5"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c>
          <w:tcPr>
            <w:tcW w:w="205" w:type="pct"/>
            <w:tcBorders>
              <w:top w:val="nil"/>
              <w:left w:val="nil"/>
              <w:bottom w:val="single" w:sz="4" w:space="0" w:color="auto"/>
              <w:right w:val="single" w:sz="4" w:space="0" w:color="auto"/>
            </w:tcBorders>
            <w:noWrap/>
            <w:vAlign w:val="center"/>
            <w:hideMark/>
          </w:tcPr>
          <w:p w14:paraId="334B78EE"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c>
          <w:tcPr>
            <w:tcW w:w="205" w:type="pct"/>
            <w:tcBorders>
              <w:top w:val="nil"/>
              <w:left w:val="nil"/>
              <w:bottom w:val="single" w:sz="4" w:space="0" w:color="auto"/>
              <w:right w:val="single" w:sz="4" w:space="0" w:color="auto"/>
            </w:tcBorders>
            <w:noWrap/>
            <w:vAlign w:val="center"/>
            <w:hideMark/>
          </w:tcPr>
          <w:p w14:paraId="716B0272"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c>
          <w:tcPr>
            <w:tcW w:w="205" w:type="pct"/>
            <w:tcBorders>
              <w:top w:val="nil"/>
              <w:left w:val="nil"/>
              <w:bottom w:val="single" w:sz="4" w:space="0" w:color="auto"/>
              <w:right w:val="single" w:sz="4" w:space="0" w:color="auto"/>
            </w:tcBorders>
            <w:shd w:val="clear" w:color="000000" w:fill="548235"/>
            <w:noWrap/>
            <w:vAlign w:val="center"/>
            <w:hideMark/>
          </w:tcPr>
          <w:p w14:paraId="3149D443"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c>
          <w:tcPr>
            <w:tcW w:w="205" w:type="pct"/>
            <w:tcBorders>
              <w:top w:val="nil"/>
              <w:left w:val="nil"/>
              <w:bottom w:val="single" w:sz="4" w:space="0" w:color="auto"/>
              <w:right w:val="single" w:sz="4" w:space="0" w:color="auto"/>
            </w:tcBorders>
            <w:shd w:val="clear" w:color="000000" w:fill="548235"/>
            <w:noWrap/>
            <w:vAlign w:val="center"/>
            <w:hideMark/>
          </w:tcPr>
          <w:p w14:paraId="7860EA20"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c>
          <w:tcPr>
            <w:tcW w:w="205" w:type="pct"/>
            <w:tcBorders>
              <w:top w:val="nil"/>
              <w:left w:val="nil"/>
              <w:bottom w:val="single" w:sz="4" w:space="0" w:color="auto"/>
              <w:right w:val="single" w:sz="4" w:space="0" w:color="auto"/>
            </w:tcBorders>
            <w:noWrap/>
            <w:vAlign w:val="center"/>
            <w:hideMark/>
          </w:tcPr>
          <w:p w14:paraId="3902BB05"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c>
          <w:tcPr>
            <w:tcW w:w="205" w:type="pct"/>
            <w:tcBorders>
              <w:top w:val="nil"/>
              <w:left w:val="nil"/>
              <w:bottom w:val="single" w:sz="4" w:space="0" w:color="auto"/>
              <w:right w:val="single" w:sz="4" w:space="0" w:color="auto"/>
            </w:tcBorders>
            <w:noWrap/>
            <w:vAlign w:val="center"/>
            <w:hideMark/>
          </w:tcPr>
          <w:p w14:paraId="38CD9026"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c>
          <w:tcPr>
            <w:tcW w:w="205" w:type="pct"/>
            <w:tcBorders>
              <w:top w:val="nil"/>
              <w:left w:val="nil"/>
              <w:bottom w:val="single" w:sz="4" w:space="0" w:color="auto"/>
              <w:right w:val="single" w:sz="4" w:space="0" w:color="auto"/>
            </w:tcBorders>
            <w:noWrap/>
            <w:vAlign w:val="center"/>
            <w:hideMark/>
          </w:tcPr>
          <w:p w14:paraId="411FD9C5"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c>
          <w:tcPr>
            <w:tcW w:w="205" w:type="pct"/>
            <w:tcBorders>
              <w:top w:val="nil"/>
              <w:left w:val="nil"/>
              <w:bottom w:val="single" w:sz="4" w:space="0" w:color="auto"/>
              <w:right w:val="single" w:sz="4" w:space="0" w:color="auto"/>
            </w:tcBorders>
            <w:noWrap/>
            <w:vAlign w:val="center"/>
            <w:hideMark/>
          </w:tcPr>
          <w:p w14:paraId="7DF23DD8"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c>
          <w:tcPr>
            <w:tcW w:w="205" w:type="pct"/>
            <w:tcBorders>
              <w:top w:val="nil"/>
              <w:left w:val="nil"/>
              <w:bottom w:val="single" w:sz="4" w:space="0" w:color="auto"/>
              <w:right w:val="single" w:sz="4" w:space="0" w:color="auto"/>
            </w:tcBorders>
            <w:noWrap/>
            <w:vAlign w:val="center"/>
            <w:hideMark/>
          </w:tcPr>
          <w:p w14:paraId="513B7B28"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c>
          <w:tcPr>
            <w:tcW w:w="205" w:type="pct"/>
            <w:tcBorders>
              <w:top w:val="nil"/>
              <w:left w:val="nil"/>
              <w:bottom w:val="single" w:sz="4" w:space="0" w:color="auto"/>
              <w:right w:val="single" w:sz="4" w:space="0" w:color="auto"/>
            </w:tcBorders>
            <w:noWrap/>
            <w:vAlign w:val="center"/>
            <w:hideMark/>
          </w:tcPr>
          <w:p w14:paraId="71F098C0"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c>
          <w:tcPr>
            <w:tcW w:w="205" w:type="pct"/>
            <w:tcBorders>
              <w:top w:val="nil"/>
              <w:left w:val="nil"/>
              <w:bottom w:val="single" w:sz="4" w:space="0" w:color="auto"/>
              <w:right w:val="single" w:sz="4" w:space="0" w:color="auto"/>
            </w:tcBorders>
            <w:noWrap/>
            <w:vAlign w:val="center"/>
            <w:hideMark/>
          </w:tcPr>
          <w:p w14:paraId="3620FB2E"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c>
          <w:tcPr>
            <w:tcW w:w="205" w:type="pct"/>
            <w:tcBorders>
              <w:top w:val="nil"/>
              <w:left w:val="nil"/>
              <w:bottom w:val="single" w:sz="4" w:space="0" w:color="auto"/>
              <w:right w:val="single" w:sz="4" w:space="0" w:color="auto"/>
            </w:tcBorders>
            <w:noWrap/>
            <w:vAlign w:val="center"/>
            <w:hideMark/>
          </w:tcPr>
          <w:p w14:paraId="2A50F040"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c>
          <w:tcPr>
            <w:tcW w:w="205" w:type="pct"/>
            <w:tcBorders>
              <w:top w:val="nil"/>
              <w:left w:val="nil"/>
              <w:bottom w:val="single" w:sz="4" w:space="0" w:color="auto"/>
              <w:right w:val="single" w:sz="4" w:space="0" w:color="auto"/>
            </w:tcBorders>
            <w:noWrap/>
            <w:vAlign w:val="center"/>
            <w:hideMark/>
          </w:tcPr>
          <w:p w14:paraId="7E1D873C"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c>
          <w:tcPr>
            <w:tcW w:w="205" w:type="pct"/>
            <w:tcBorders>
              <w:top w:val="nil"/>
              <w:left w:val="nil"/>
              <w:bottom w:val="single" w:sz="4" w:space="0" w:color="auto"/>
              <w:right w:val="single" w:sz="4" w:space="0" w:color="auto"/>
            </w:tcBorders>
            <w:noWrap/>
            <w:vAlign w:val="center"/>
            <w:hideMark/>
          </w:tcPr>
          <w:p w14:paraId="4DDA0DA5"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c>
          <w:tcPr>
            <w:tcW w:w="205" w:type="pct"/>
            <w:tcBorders>
              <w:top w:val="nil"/>
              <w:left w:val="nil"/>
              <w:bottom w:val="single" w:sz="4" w:space="0" w:color="auto"/>
              <w:right w:val="single" w:sz="4" w:space="0" w:color="auto"/>
            </w:tcBorders>
            <w:noWrap/>
            <w:vAlign w:val="center"/>
            <w:hideMark/>
          </w:tcPr>
          <w:p w14:paraId="414A4EBB"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r>
      <w:tr w:rsidR="00FE0576" w:rsidRPr="00FE0576" w14:paraId="5ACA1CEB" w14:textId="77777777" w:rsidTr="00FE0576">
        <w:trPr>
          <w:trHeight w:val="290"/>
        </w:trPr>
        <w:tc>
          <w:tcPr>
            <w:tcW w:w="1714" w:type="pct"/>
            <w:tcBorders>
              <w:top w:val="nil"/>
              <w:left w:val="single" w:sz="4" w:space="0" w:color="auto"/>
              <w:bottom w:val="single" w:sz="4" w:space="0" w:color="auto"/>
              <w:right w:val="single" w:sz="4" w:space="0" w:color="auto"/>
            </w:tcBorders>
            <w:noWrap/>
            <w:vAlign w:val="center"/>
            <w:hideMark/>
          </w:tcPr>
          <w:p w14:paraId="58393F10" w14:textId="77777777" w:rsidR="00FE0576" w:rsidRPr="00FE0576" w:rsidRDefault="00FE0576" w:rsidP="00FE0576">
            <w:pPr>
              <w:widowControl/>
              <w:autoSpaceDE/>
              <w:autoSpaceDN/>
              <w:spacing w:line="360" w:lineRule="auto"/>
              <w:rPr>
                <w:rFonts w:ascii="Arial" w:eastAsia="Times New Roman" w:hAnsi="Arial" w:cs="Arial"/>
                <w:color w:val="000000"/>
                <w:lang w:val="en-IN" w:eastAsia="zh-TW"/>
              </w:rPr>
            </w:pPr>
            <w:r w:rsidRPr="00FE0576">
              <w:rPr>
                <w:rFonts w:ascii="Arial" w:eastAsia="Times New Roman" w:hAnsi="Arial" w:cs="Arial"/>
                <w:color w:val="000000"/>
                <w:lang w:val="en-IN" w:eastAsia="zh-TW"/>
              </w:rPr>
              <w:t>Title and abstract screening</w:t>
            </w:r>
          </w:p>
        </w:tc>
        <w:tc>
          <w:tcPr>
            <w:tcW w:w="205" w:type="pct"/>
            <w:tcBorders>
              <w:top w:val="nil"/>
              <w:left w:val="nil"/>
              <w:bottom w:val="single" w:sz="4" w:space="0" w:color="auto"/>
              <w:right w:val="single" w:sz="4" w:space="0" w:color="auto"/>
            </w:tcBorders>
            <w:noWrap/>
            <w:vAlign w:val="center"/>
            <w:hideMark/>
          </w:tcPr>
          <w:p w14:paraId="273520C8"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c>
          <w:tcPr>
            <w:tcW w:w="205" w:type="pct"/>
            <w:tcBorders>
              <w:top w:val="nil"/>
              <w:left w:val="nil"/>
              <w:bottom w:val="single" w:sz="4" w:space="0" w:color="auto"/>
              <w:right w:val="single" w:sz="4" w:space="0" w:color="auto"/>
            </w:tcBorders>
            <w:noWrap/>
            <w:vAlign w:val="center"/>
            <w:hideMark/>
          </w:tcPr>
          <w:p w14:paraId="3C375593"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c>
          <w:tcPr>
            <w:tcW w:w="205" w:type="pct"/>
            <w:tcBorders>
              <w:top w:val="nil"/>
              <w:left w:val="nil"/>
              <w:bottom w:val="single" w:sz="4" w:space="0" w:color="auto"/>
              <w:right w:val="single" w:sz="4" w:space="0" w:color="auto"/>
            </w:tcBorders>
            <w:noWrap/>
            <w:vAlign w:val="center"/>
            <w:hideMark/>
          </w:tcPr>
          <w:p w14:paraId="31DAB5BB"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c>
          <w:tcPr>
            <w:tcW w:w="205" w:type="pct"/>
            <w:tcBorders>
              <w:top w:val="nil"/>
              <w:left w:val="nil"/>
              <w:bottom w:val="single" w:sz="4" w:space="0" w:color="auto"/>
              <w:right w:val="single" w:sz="4" w:space="0" w:color="auto"/>
            </w:tcBorders>
            <w:noWrap/>
            <w:vAlign w:val="center"/>
            <w:hideMark/>
          </w:tcPr>
          <w:p w14:paraId="2E7A8BCB"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c>
          <w:tcPr>
            <w:tcW w:w="205" w:type="pct"/>
            <w:tcBorders>
              <w:top w:val="nil"/>
              <w:left w:val="nil"/>
              <w:bottom w:val="single" w:sz="4" w:space="0" w:color="auto"/>
              <w:right w:val="single" w:sz="4" w:space="0" w:color="auto"/>
            </w:tcBorders>
            <w:shd w:val="clear" w:color="000000" w:fill="548235"/>
            <w:noWrap/>
            <w:vAlign w:val="center"/>
            <w:hideMark/>
          </w:tcPr>
          <w:p w14:paraId="2E51C1D0"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c>
          <w:tcPr>
            <w:tcW w:w="205" w:type="pct"/>
            <w:tcBorders>
              <w:top w:val="nil"/>
              <w:left w:val="nil"/>
              <w:bottom w:val="single" w:sz="4" w:space="0" w:color="auto"/>
              <w:right w:val="single" w:sz="4" w:space="0" w:color="auto"/>
            </w:tcBorders>
            <w:shd w:val="clear" w:color="000000" w:fill="548235"/>
            <w:noWrap/>
            <w:vAlign w:val="center"/>
            <w:hideMark/>
          </w:tcPr>
          <w:p w14:paraId="118524F4"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c>
          <w:tcPr>
            <w:tcW w:w="205" w:type="pct"/>
            <w:tcBorders>
              <w:top w:val="nil"/>
              <w:left w:val="nil"/>
              <w:bottom w:val="single" w:sz="4" w:space="0" w:color="auto"/>
              <w:right w:val="single" w:sz="4" w:space="0" w:color="auto"/>
            </w:tcBorders>
            <w:noWrap/>
            <w:vAlign w:val="center"/>
            <w:hideMark/>
          </w:tcPr>
          <w:p w14:paraId="3BE756B1"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c>
          <w:tcPr>
            <w:tcW w:w="205" w:type="pct"/>
            <w:tcBorders>
              <w:top w:val="nil"/>
              <w:left w:val="nil"/>
              <w:bottom w:val="single" w:sz="4" w:space="0" w:color="auto"/>
              <w:right w:val="single" w:sz="4" w:space="0" w:color="auto"/>
            </w:tcBorders>
            <w:noWrap/>
            <w:vAlign w:val="center"/>
            <w:hideMark/>
          </w:tcPr>
          <w:p w14:paraId="34F5AB07"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c>
          <w:tcPr>
            <w:tcW w:w="205" w:type="pct"/>
            <w:tcBorders>
              <w:top w:val="nil"/>
              <w:left w:val="nil"/>
              <w:bottom w:val="single" w:sz="4" w:space="0" w:color="auto"/>
              <w:right w:val="single" w:sz="4" w:space="0" w:color="auto"/>
            </w:tcBorders>
            <w:noWrap/>
            <w:vAlign w:val="center"/>
            <w:hideMark/>
          </w:tcPr>
          <w:p w14:paraId="4FAF0681"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c>
          <w:tcPr>
            <w:tcW w:w="205" w:type="pct"/>
            <w:tcBorders>
              <w:top w:val="nil"/>
              <w:left w:val="nil"/>
              <w:bottom w:val="single" w:sz="4" w:space="0" w:color="auto"/>
              <w:right w:val="single" w:sz="4" w:space="0" w:color="auto"/>
            </w:tcBorders>
            <w:noWrap/>
            <w:vAlign w:val="center"/>
            <w:hideMark/>
          </w:tcPr>
          <w:p w14:paraId="08997056"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c>
          <w:tcPr>
            <w:tcW w:w="205" w:type="pct"/>
            <w:tcBorders>
              <w:top w:val="nil"/>
              <w:left w:val="nil"/>
              <w:bottom w:val="single" w:sz="4" w:space="0" w:color="auto"/>
              <w:right w:val="single" w:sz="4" w:space="0" w:color="auto"/>
            </w:tcBorders>
            <w:noWrap/>
            <w:vAlign w:val="center"/>
            <w:hideMark/>
          </w:tcPr>
          <w:p w14:paraId="0177552F"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c>
          <w:tcPr>
            <w:tcW w:w="205" w:type="pct"/>
            <w:tcBorders>
              <w:top w:val="nil"/>
              <w:left w:val="nil"/>
              <w:bottom w:val="single" w:sz="4" w:space="0" w:color="auto"/>
              <w:right w:val="single" w:sz="4" w:space="0" w:color="auto"/>
            </w:tcBorders>
            <w:noWrap/>
            <w:vAlign w:val="center"/>
            <w:hideMark/>
          </w:tcPr>
          <w:p w14:paraId="5A0B998E"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c>
          <w:tcPr>
            <w:tcW w:w="205" w:type="pct"/>
            <w:tcBorders>
              <w:top w:val="nil"/>
              <w:left w:val="nil"/>
              <w:bottom w:val="single" w:sz="4" w:space="0" w:color="auto"/>
              <w:right w:val="single" w:sz="4" w:space="0" w:color="auto"/>
            </w:tcBorders>
            <w:noWrap/>
            <w:vAlign w:val="center"/>
            <w:hideMark/>
          </w:tcPr>
          <w:p w14:paraId="0A0EC03F"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c>
          <w:tcPr>
            <w:tcW w:w="205" w:type="pct"/>
            <w:tcBorders>
              <w:top w:val="nil"/>
              <w:left w:val="nil"/>
              <w:bottom w:val="single" w:sz="4" w:space="0" w:color="auto"/>
              <w:right w:val="single" w:sz="4" w:space="0" w:color="auto"/>
            </w:tcBorders>
            <w:noWrap/>
            <w:vAlign w:val="center"/>
            <w:hideMark/>
          </w:tcPr>
          <w:p w14:paraId="72F1DFCA"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c>
          <w:tcPr>
            <w:tcW w:w="205" w:type="pct"/>
            <w:tcBorders>
              <w:top w:val="nil"/>
              <w:left w:val="nil"/>
              <w:bottom w:val="single" w:sz="4" w:space="0" w:color="auto"/>
              <w:right w:val="single" w:sz="4" w:space="0" w:color="auto"/>
            </w:tcBorders>
            <w:noWrap/>
            <w:vAlign w:val="center"/>
            <w:hideMark/>
          </w:tcPr>
          <w:p w14:paraId="44233D59"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c>
          <w:tcPr>
            <w:tcW w:w="205" w:type="pct"/>
            <w:tcBorders>
              <w:top w:val="nil"/>
              <w:left w:val="nil"/>
              <w:bottom w:val="single" w:sz="4" w:space="0" w:color="auto"/>
              <w:right w:val="single" w:sz="4" w:space="0" w:color="auto"/>
            </w:tcBorders>
            <w:noWrap/>
            <w:vAlign w:val="center"/>
            <w:hideMark/>
          </w:tcPr>
          <w:p w14:paraId="16F547A4"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r>
      <w:tr w:rsidR="00FE0576" w:rsidRPr="00FE0576" w14:paraId="64A3FB57" w14:textId="77777777" w:rsidTr="00FE0576">
        <w:trPr>
          <w:trHeight w:val="290"/>
        </w:trPr>
        <w:tc>
          <w:tcPr>
            <w:tcW w:w="1714" w:type="pct"/>
            <w:tcBorders>
              <w:top w:val="nil"/>
              <w:left w:val="single" w:sz="4" w:space="0" w:color="auto"/>
              <w:bottom w:val="single" w:sz="4" w:space="0" w:color="auto"/>
              <w:right w:val="single" w:sz="4" w:space="0" w:color="auto"/>
            </w:tcBorders>
            <w:noWrap/>
            <w:vAlign w:val="center"/>
            <w:hideMark/>
          </w:tcPr>
          <w:p w14:paraId="16C44202" w14:textId="77777777" w:rsidR="00FE0576" w:rsidRPr="00FE0576" w:rsidRDefault="00FE0576" w:rsidP="00FE0576">
            <w:pPr>
              <w:widowControl/>
              <w:autoSpaceDE/>
              <w:autoSpaceDN/>
              <w:spacing w:line="360" w:lineRule="auto"/>
              <w:rPr>
                <w:rFonts w:ascii="Arial" w:eastAsia="Times New Roman" w:hAnsi="Arial" w:cs="Arial"/>
                <w:color w:val="000000"/>
                <w:lang w:val="en-IN" w:eastAsia="zh-TW"/>
              </w:rPr>
            </w:pPr>
            <w:r w:rsidRPr="00FE0576">
              <w:rPr>
                <w:rFonts w:ascii="Arial" w:eastAsia="Times New Roman" w:hAnsi="Arial" w:cs="Arial"/>
                <w:color w:val="000000"/>
                <w:lang w:val="en-IN" w:eastAsia="zh-TW"/>
              </w:rPr>
              <w:t>Full-text screening</w:t>
            </w:r>
          </w:p>
        </w:tc>
        <w:tc>
          <w:tcPr>
            <w:tcW w:w="205" w:type="pct"/>
            <w:tcBorders>
              <w:top w:val="nil"/>
              <w:left w:val="nil"/>
              <w:bottom w:val="single" w:sz="4" w:space="0" w:color="auto"/>
              <w:right w:val="single" w:sz="4" w:space="0" w:color="auto"/>
            </w:tcBorders>
            <w:noWrap/>
            <w:vAlign w:val="center"/>
            <w:hideMark/>
          </w:tcPr>
          <w:p w14:paraId="02250A04"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c>
          <w:tcPr>
            <w:tcW w:w="205" w:type="pct"/>
            <w:tcBorders>
              <w:top w:val="nil"/>
              <w:left w:val="nil"/>
              <w:bottom w:val="single" w:sz="4" w:space="0" w:color="auto"/>
              <w:right w:val="single" w:sz="4" w:space="0" w:color="auto"/>
            </w:tcBorders>
            <w:noWrap/>
            <w:vAlign w:val="center"/>
            <w:hideMark/>
          </w:tcPr>
          <w:p w14:paraId="61FDF346"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c>
          <w:tcPr>
            <w:tcW w:w="205" w:type="pct"/>
            <w:tcBorders>
              <w:top w:val="nil"/>
              <w:left w:val="nil"/>
              <w:bottom w:val="single" w:sz="4" w:space="0" w:color="auto"/>
              <w:right w:val="single" w:sz="4" w:space="0" w:color="auto"/>
            </w:tcBorders>
            <w:noWrap/>
            <w:vAlign w:val="center"/>
            <w:hideMark/>
          </w:tcPr>
          <w:p w14:paraId="666AAAA2"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c>
          <w:tcPr>
            <w:tcW w:w="205" w:type="pct"/>
            <w:tcBorders>
              <w:top w:val="nil"/>
              <w:left w:val="nil"/>
              <w:bottom w:val="single" w:sz="4" w:space="0" w:color="auto"/>
              <w:right w:val="single" w:sz="4" w:space="0" w:color="auto"/>
            </w:tcBorders>
            <w:noWrap/>
            <w:vAlign w:val="center"/>
            <w:hideMark/>
          </w:tcPr>
          <w:p w14:paraId="2520F068"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c>
          <w:tcPr>
            <w:tcW w:w="205" w:type="pct"/>
            <w:tcBorders>
              <w:top w:val="nil"/>
              <w:left w:val="nil"/>
              <w:bottom w:val="single" w:sz="4" w:space="0" w:color="auto"/>
              <w:right w:val="single" w:sz="4" w:space="0" w:color="auto"/>
            </w:tcBorders>
            <w:noWrap/>
            <w:vAlign w:val="center"/>
            <w:hideMark/>
          </w:tcPr>
          <w:p w14:paraId="7BB37A4D"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c>
          <w:tcPr>
            <w:tcW w:w="205" w:type="pct"/>
            <w:tcBorders>
              <w:top w:val="nil"/>
              <w:left w:val="nil"/>
              <w:bottom w:val="single" w:sz="4" w:space="0" w:color="auto"/>
              <w:right w:val="single" w:sz="4" w:space="0" w:color="auto"/>
            </w:tcBorders>
            <w:shd w:val="clear" w:color="000000" w:fill="548235"/>
            <w:noWrap/>
            <w:vAlign w:val="center"/>
            <w:hideMark/>
          </w:tcPr>
          <w:p w14:paraId="2F67E8D7"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c>
          <w:tcPr>
            <w:tcW w:w="205" w:type="pct"/>
            <w:tcBorders>
              <w:top w:val="nil"/>
              <w:left w:val="nil"/>
              <w:bottom w:val="single" w:sz="4" w:space="0" w:color="auto"/>
              <w:right w:val="single" w:sz="4" w:space="0" w:color="auto"/>
            </w:tcBorders>
            <w:shd w:val="clear" w:color="000000" w:fill="548235"/>
            <w:noWrap/>
            <w:vAlign w:val="center"/>
            <w:hideMark/>
          </w:tcPr>
          <w:p w14:paraId="405C462A"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c>
          <w:tcPr>
            <w:tcW w:w="205" w:type="pct"/>
            <w:tcBorders>
              <w:top w:val="nil"/>
              <w:left w:val="nil"/>
              <w:bottom w:val="single" w:sz="4" w:space="0" w:color="auto"/>
              <w:right w:val="single" w:sz="4" w:space="0" w:color="auto"/>
            </w:tcBorders>
            <w:noWrap/>
            <w:vAlign w:val="center"/>
            <w:hideMark/>
          </w:tcPr>
          <w:p w14:paraId="2EFC8CBB"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c>
          <w:tcPr>
            <w:tcW w:w="205" w:type="pct"/>
            <w:tcBorders>
              <w:top w:val="nil"/>
              <w:left w:val="nil"/>
              <w:bottom w:val="single" w:sz="4" w:space="0" w:color="auto"/>
              <w:right w:val="single" w:sz="4" w:space="0" w:color="auto"/>
            </w:tcBorders>
            <w:noWrap/>
            <w:vAlign w:val="center"/>
            <w:hideMark/>
          </w:tcPr>
          <w:p w14:paraId="29AFA2C0"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c>
          <w:tcPr>
            <w:tcW w:w="205" w:type="pct"/>
            <w:tcBorders>
              <w:top w:val="nil"/>
              <w:left w:val="nil"/>
              <w:bottom w:val="single" w:sz="4" w:space="0" w:color="auto"/>
              <w:right w:val="single" w:sz="4" w:space="0" w:color="auto"/>
            </w:tcBorders>
            <w:noWrap/>
            <w:vAlign w:val="center"/>
            <w:hideMark/>
          </w:tcPr>
          <w:p w14:paraId="520357CC"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c>
          <w:tcPr>
            <w:tcW w:w="205" w:type="pct"/>
            <w:tcBorders>
              <w:top w:val="nil"/>
              <w:left w:val="nil"/>
              <w:bottom w:val="single" w:sz="4" w:space="0" w:color="auto"/>
              <w:right w:val="single" w:sz="4" w:space="0" w:color="auto"/>
            </w:tcBorders>
            <w:noWrap/>
            <w:vAlign w:val="center"/>
            <w:hideMark/>
          </w:tcPr>
          <w:p w14:paraId="654C01DA"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c>
          <w:tcPr>
            <w:tcW w:w="205" w:type="pct"/>
            <w:tcBorders>
              <w:top w:val="nil"/>
              <w:left w:val="nil"/>
              <w:bottom w:val="single" w:sz="4" w:space="0" w:color="auto"/>
              <w:right w:val="single" w:sz="4" w:space="0" w:color="auto"/>
            </w:tcBorders>
            <w:noWrap/>
            <w:vAlign w:val="center"/>
            <w:hideMark/>
          </w:tcPr>
          <w:p w14:paraId="2FEFF2BF"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c>
          <w:tcPr>
            <w:tcW w:w="205" w:type="pct"/>
            <w:tcBorders>
              <w:top w:val="nil"/>
              <w:left w:val="nil"/>
              <w:bottom w:val="single" w:sz="4" w:space="0" w:color="auto"/>
              <w:right w:val="single" w:sz="4" w:space="0" w:color="auto"/>
            </w:tcBorders>
            <w:noWrap/>
            <w:vAlign w:val="center"/>
            <w:hideMark/>
          </w:tcPr>
          <w:p w14:paraId="2340481B"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c>
          <w:tcPr>
            <w:tcW w:w="205" w:type="pct"/>
            <w:tcBorders>
              <w:top w:val="nil"/>
              <w:left w:val="nil"/>
              <w:bottom w:val="single" w:sz="4" w:space="0" w:color="auto"/>
              <w:right w:val="single" w:sz="4" w:space="0" w:color="auto"/>
            </w:tcBorders>
            <w:noWrap/>
            <w:vAlign w:val="center"/>
            <w:hideMark/>
          </w:tcPr>
          <w:p w14:paraId="741AE88E"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c>
          <w:tcPr>
            <w:tcW w:w="205" w:type="pct"/>
            <w:tcBorders>
              <w:top w:val="nil"/>
              <w:left w:val="nil"/>
              <w:bottom w:val="single" w:sz="4" w:space="0" w:color="auto"/>
              <w:right w:val="single" w:sz="4" w:space="0" w:color="auto"/>
            </w:tcBorders>
            <w:noWrap/>
            <w:vAlign w:val="center"/>
            <w:hideMark/>
          </w:tcPr>
          <w:p w14:paraId="47588AFE"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c>
          <w:tcPr>
            <w:tcW w:w="205" w:type="pct"/>
            <w:tcBorders>
              <w:top w:val="nil"/>
              <w:left w:val="nil"/>
              <w:bottom w:val="single" w:sz="4" w:space="0" w:color="auto"/>
              <w:right w:val="single" w:sz="4" w:space="0" w:color="auto"/>
            </w:tcBorders>
            <w:noWrap/>
            <w:vAlign w:val="center"/>
            <w:hideMark/>
          </w:tcPr>
          <w:p w14:paraId="2AD91268"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r>
      <w:tr w:rsidR="00FE0576" w:rsidRPr="00FE0576" w14:paraId="2E57D870" w14:textId="77777777" w:rsidTr="00FE0576">
        <w:trPr>
          <w:trHeight w:val="290"/>
        </w:trPr>
        <w:tc>
          <w:tcPr>
            <w:tcW w:w="1714" w:type="pct"/>
            <w:tcBorders>
              <w:top w:val="nil"/>
              <w:left w:val="single" w:sz="4" w:space="0" w:color="auto"/>
              <w:bottom w:val="single" w:sz="4" w:space="0" w:color="auto"/>
              <w:right w:val="single" w:sz="4" w:space="0" w:color="auto"/>
            </w:tcBorders>
            <w:noWrap/>
            <w:vAlign w:val="center"/>
            <w:hideMark/>
          </w:tcPr>
          <w:p w14:paraId="01EE3777" w14:textId="77777777" w:rsidR="00FE0576" w:rsidRPr="00FE0576" w:rsidRDefault="00FE0576" w:rsidP="00FE0576">
            <w:pPr>
              <w:widowControl/>
              <w:autoSpaceDE/>
              <w:autoSpaceDN/>
              <w:spacing w:line="360" w:lineRule="auto"/>
              <w:rPr>
                <w:rFonts w:ascii="Arial" w:eastAsia="Times New Roman" w:hAnsi="Arial" w:cs="Arial"/>
                <w:color w:val="000000"/>
                <w:lang w:val="en-IN" w:eastAsia="zh-TW"/>
              </w:rPr>
            </w:pPr>
            <w:r w:rsidRPr="00FE0576">
              <w:rPr>
                <w:rFonts w:ascii="Arial" w:eastAsia="Times New Roman" w:hAnsi="Arial" w:cs="Arial"/>
                <w:color w:val="000000"/>
                <w:lang w:val="en-IN" w:eastAsia="zh-TW"/>
              </w:rPr>
              <w:t>PRISMA flow diagram preparation</w:t>
            </w:r>
          </w:p>
        </w:tc>
        <w:tc>
          <w:tcPr>
            <w:tcW w:w="205" w:type="pct"/>
            <w:tcBorders>
              <w:top w:val="nil"/>
              <w:left w:val="nil"/>
              <w:bottom w:val="single" w:sz="4" w:space="0" w:color="auto"/>
              <w:right w:val="single" w:sz="4" w:space="0" w:color="auto"/>
            </w:tcBorders>
            <w:noWrap/>
            <w:vAlign w:val="center"/>
            <w:hideMark/>
          </w:tcPr>
          <w:p w14:paraId="2AD27133"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c>
          <w:tcPr>
            <w:tcW w:w="205" w:type="pct"/>
            <w:tcBorders>
              <w:top w:val="nil"/>
              <w:left w:val="nil"/>
              <w:bottom w:val="single" w:sz="4" w:space="0" w:color="auto"/>
              <w:right w:val="single" w:sz="4" w:space="0" w:color="auto"/>
            </w:tcBorders>
            <w:noWrap/>
            <w:vAlign w:val="center"/>
            <w:hideMark/>
          </w:tcPr>
          <w:p w14:paraId="664D885F"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c>
          <w:tcPr>
            <w:tcW w:w="205" w:type="pct"/>
            <w:tcBorders>
              <w:top w:val="nil"/>
              <w:left w:val="nil"/>
              <w:bottom w:val="single" w:sz="4" w:space="0" w:color="auto"/>
              <w:right w:val="single" w:sz="4" w:space="0" w:color="auto"/>
            </w:tcBorders>
            <w:noWrap/>
            <w:vAlign w:val="center"/>
            <w:hideMark/>
          </w:tcPr>
          <w:p w14:paraId="477582FF"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c>
          <w:tcPr>
            <w:tcW w:w="205" w:type="pct"/>
            <w:tcBorders>
              <w:top w:val="nil"/>
              <w:left w:val="nil"/>
              <w:bottom w:val="single" w:sz="4" w:space="0" w:color="auto"/>
              <w:right w:val="single" w:sz="4" w:space="0" w:color="auto"/>
            </w:tcBorders>
            <w:noWrap/>
            <w:vAlign w:val="center"/>
            <w:hideMark/>
          </w:tcPr>
          <w:p w14:paraId="022F4C5A"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c>
          <w:tcPr>
            <w:tcW w:w="205" w:type="pct"/>
            <w:tcBorders>
              <w:top w:val="nil"/>
              <w:left w:val="nil"/>
              <w:bottom w:val="single" w:sz="4" w:space="0" w:color="auto"/>
              <w:right w:val="single" w:sz="4" w:space="0" w:color="auto"/>
            </w:tcBorders>
            <w:noWrap/>
            <w:vAlign w:val="center"/>
            <w:hideMark/>
          </w:tcPr>
          <w:p w14:paraId="6B90D8C2"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c>
          <w:tcPr>
            <w:tcW w:w="205" w:type="pct"/>
            <w:tcBorders>
              <w:top w:val="nil"/>
              <w:left w:val="nil"/>
              <w:bottom w:val="single" w:sz="4" w:space="0" w:color="auto"/>
              <w:right w:val="single" w:sz="4" w:space="0" w:color="auto"/>
            </w:tcBorders>
            <w:noWrap/>
            <w:vAlign w:val="center"/>
            <w:hideMark/>
          </w:tcPr>
          <w:p w14:paraId="2ED86FEF"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c>
          <w:tcPr>
            <w:tcW w:w="205" w:type="pct"/>
            <w:tcBorders>
              <w:top w:val="nil"/>
              <w:left w:val="nil"/>
              <w:bottom w:val="single" w:sz="4" w:space="0" w:color="auto"/>
              <w:right w:val="single" w:sz="4" w:space="0" w:color="auto"/>
            </w:tcBorders>
            <w:shd w:val="clear" w:color="000000" w:fill="548235"/>
            <w:noWrap/>
            <w:vAlign w:val="center"/>
            <w:hideMark/>
          </w:tcPr>
          <w:p w14:paraId="404AEC21"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c>
          <w:tcPr>
            <w:tcW w:w="205" w:type="pct"/>
            <w:tcBorders>
              <w:top w:val="nil"/>
              <w:left w:val="nil"/>
              <w:bottom w:val="single" w:sz="4" w:space="0" w:color="auto"/>
              <w:right w:val="single" w:sz="4" w:space="0" w:color="auto"/>
            </w:tcBorders>
            <w:noWrap/>
            <w:vAlign w:val="center"/>
            <w:hideMark/>
          </w:tcPr>
          <w:p w14:paraId="155192B2"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c>
          <w:tcPr>
            <w:tcW w:w="205" w:type="pct"/>
            <w:tcBorders>
              <w:top w:val="nil"/>
              <w:left w:val="nil"/>
              <w:bottom w:val="single" w:sz="4" w:space="0" w:color="auto"/>
              <w:right w:val="single" w:sz="4" w:space="0" w:color="auto"/>
            </w:tcBorders>
            <w:noWrap/>
            <w:vAlign w:val="center"/>
            <w:hideMark/>
          </w:tcPr>
          <w:p w14:paraId="75756EEF"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c>
          <w:tcPr>
            <w:tcW w:w="205" w:type="pct"/>
            <w:tcBorders>
              <w:top w:val="nil"/>
              <w:left w:val="nil"/>
              <w:bottom w:val="single" w:sz="4" w:space="0" w:color="auto"/>
              <w:right w:val="single" w:sz="4" w:space="0" w:color="auto"/>
            </w:tcBorders>
            <w:noWrap/>
            <w:vAlign w:val="center"/>
            <w:hideMark/>
          </w:tcPr>
          <w:p w14:paraId="352DB079"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c>
          <w:tcPr>
            <w:tcW w:w="205" w:type="pct"/>
            <w:tcBorders>
              <w:top w:val="nil"/>
              <w:left w:val="nil"/>
              <w:bottom w:val="single" w:sz="4" w:space="0" w:color="auto"/>
              <w:right w:val="single" w:sz="4" w:space="0" w:color="auto"/>
            </w:tcBorders>
            <w:noWrap/>
            <w:vAlign w:val="center"/>
            <w:hideMark/>
          </w:tcPr>
          <w:p w14:paraId="34D7F04B"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c>
          <w:tcPr>
            <w:tcW w:w="205" w:type="pct"/>
            <w:tcBorders>
              <w:top w:val="nil"/>
              <w:left w:val="nil"/>
              <w:bottom w:val="single" w:sz="4" w:space="0" w:color="auto"/>
              <w:right w:val="single" w:sz="4" w:space="0" w:color="auto"/>
            </w:tcBorders>
            <w:noWrap/>
            <w:vAlign w:val="center"/>
            <w:hideMark/>
          </w:tcPr>
          <w:p w14:paraId="5B2A3B05"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c>
          <w:tcPr>
            <w:tcW w:w="205" w:type="pct"/>
            <w:tcBorders>
              <w:top w:val="nil"/>
              <w:left w:val="nil"/>
              <w:bottom w:val="single" w:sz="4" w:space="0" w:color="auto"/>
              <w:right w:val="single" w:sz="4" w:space="0" w:color="auto"/>
            </w:tcBorders>
            <w:noWrap/>
            <w:vAlign w:val="center"/>
            <w:hideMark/>
          </w:tcPr>
          <w:p w14:paraId="7E271D7B"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c>
          <w:tcPr>
            <w:tcW w:w="205" w:type="pct"/>
            <w:tcBorders>
              <w:top w:val="nil"/>
              <w:left w:val="nil"/>
              <w:bottom w:val="single" w:sz="4" w:space="0" w:color="auto"/>
              <w:right w:val="single" w:sz="4" w:space="0" w:color="auto"/>
            </w:tcBorders>
            <w:noWrap/>
            <w:vAlign w:val="center"/>
            <w:hideMark/>
          </w:tcPr>
          <w:p w14:paraId="3DA302C0"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c>
          <w:tcPr>
            <w:tcW w:w="205" w:type="pct"/>
            <w:tcBorders>
              <w:top w:val="nil"/>
              <w:left w:val="nil"/>
              <w:bottom w:val="single" w:sz="4" w:space="0" w:color="auto"/>
              <w:right w:val="single" w:sz="4" w:space="0" w:color="auto"/>
            </w:tcBorders>
            <w:noWrap/>
            <w:vAlign w:val="center"/>
            <w:hideMark/>
          </w:tcPr>
          <w:p w14:paraId="31AD5E63"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c>
          <w:tcPr>
            <w:tcW w:w="205" w:type="pct"/>
            <w:tcBorders>
              <w:top w:val="nil"/>
              <w:left w:val="nil"/>
              <w:bottom w:val="single" w:sz="4" w:space="0" w:color="auto"/>
              <w:right w:val="single" w:sz="4" w:space="0" w:color="auto"/>
            </w:tcBorders>
            <w:noWrap/>
            <w:vAlign w:val="center"/>
            <w:hideMark/>
          </w:tcPr>
          <w:p w14:paraId="630ABF40"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r>
      <w:tr w:rsidR="00FE0576" w:rsidRPr="00FE0576" w14:paraId="7798A85B" w14:textId="77777777" w:rsidTr="00FE0576">
        <w:trPr>
          <w:trHeight w:val="290"/>
        </w:trPr>
        <w:tc>
          <w:tcPr>
            <w:tcW w:w="1714" w:type="pct"/>
            <w:tcBorders>
              <w:top w:val="nil"/>
              <w:left w:val="single" w:sz="4" w:space="0" w:color="auto"/>
              <w:bottom w:val="single" w:sz="4" w:space="0" w:color="auto"/>
              <w:right w:val="single" w:sz="4" w:space="0" w:color="auto"/>
            </w:tcBorders>
            <w:noWrap/>
            <w:vAlign w:val="center"/>
            <w:hideMark/>
          </w:tcPr>
          <w:p w14:paraId="7B170086" w14:textId="77777777" w:rsidR="00FE0576" w:rsidRPr="00FE0576" w:rsidRDefault="00FE0576" w:rsidP="00FE0576">
            <w:pPr>
              <w:widowControl/>
              <w:autoSpaceDE/>
              <w:autoSpaceDN/>
              <w:spacing w:line="360" w:lineRule="auto"/>
              <w:rPr>
                <w:rFonts w:ascii="Arial" w:eastAsia="Times New Roman" w:hAnsi="Arial" w:cs="Arial"/>
                <w:color w:val="000000"/>
                <w:lang w:val="en-IN" w:eastAsia="zh-TW"/>
              </w:rPr>
            </w:pPr>
            <w:r w:rsidRPr="00FE0576">
              <w:rPr>
                <w:rFonts w:ascii="Arial" w:eastAsia="Times New Roman" w:hAnsi="Arial" w:cs="Arial"/>
                <w:color w:val="000000"/>
                <w:lang w:val="en-IN" w:eastAsia="zh-TW"/>
              </w:rPr>
              <w:t>Data extraction</w:t>
            </w:r>
          </w:p>
        </w:tc>
        <w:tc>
          <w:tcPr>
            <w:tcW w:w="205" w:type="pct"/>
            <w:tcBorders>
              <w:top w:val="nil"/>
              <w:left w:val="nil"/>
              <w:bottom w:val="single" w:sz="4" w:space="0" w:color="auto"/>
              <w:right w:val="single" w:sz="4" w:space="0" w:color="auto"/>
            </w:tcBorders>
            <w:noWrap/>
            <w:vAlign w:val="center"/>
            <w:hideMark/>
          </w:tcPr>
          <w:p w14:paraId="3C7C0B97"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c>
          <w:tcPr>
            <w:tcW w:w="205" w:type="pct"/>
            <w:tcBorders>
              <w:top w:val="nil"/>
              <w:left w:val="nil"/>
              <w:bottom w:val="single" w:sz="4" w:space="0" w:color="auto"/>
              <w:right w:val="single" w:sz="4" w:space="0" w:color="auto"/>
            </w:tcBorders>
            <w:noWrap/>
            <w:vAlign w:val="center"/>
            <w:hideMark/>
          </w:tcPr>
          <w:p w14:paraId="7DD583E2"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c>
          <w:tcPr>
            <w:tcW w:w="205" w:type="pct"/>
            <w:tcBorders>
              <w:top w:val="nil"/>
              <w:left w:val="nil"/>
              <w:bottom w:val="single" w:sz="4" w:space="0" w:color="auto"/>
              <w:right w:val="single" w:sz="4" w:space="0" w:color="auto"/>
            </w:tcBorders>
            <w:noWrap/>
            <w:vAlign w:val="center"/>
            <w:hideMark/>
          </w:tcPr>
          <w:p w14:paraId="033161C0"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c>
          <w:tcPr>
            <w:tcW w:w="205" w:type="pct"/>
            <w:tcBorders>
              <w:top w:val="nil"/>
              <w:left w:val="nil"/>
              <w:bottom w:val="single" w:sz="4" w:space="0" w:color="auto"/>
              <w:right w:val="single" w:sz="4" w:space="0" w:color="auto"/>
            </w:tcBorders>
            <w:noWrap/>
            <w:vAlign w:val="center"/>
            <w:hideMark/>
          </w:tcPr>
          <w:p w14:paraId="187FC4EA"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c>
          <w:tcPr>
            <w:tcW w:w="205" w:type="pct"/>
            <w:tcBorders>
              <w:top w:val="nil"/>
              <w:left w:val="nil"/>
              <w:bottom w:val="single" w:sz="4" w:space="0" w:color="auto"/>
              <w:right w:val="single" w:sz="4" w:space="0" w:color="auto"/>
            </w:tcBorders>
            <w:noWrap/>
            <w:vAlign w:val="center"/>
            <w:hideMark/>
          </w:tcPr>
          <w:p w14:paraId="78B20765"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c>
          <w:tcPr>
            <w:tcW w:w="205" w:type="pct"/>
            <w:tcBorders>
              <w:top w:val="nil"/>
              <w:left w:val="nil"/>
              <w:bottom w:val="single" w:sz="4" w:space="0" w:color="auto"/>
              <w:right w:val="single" w:sz="4" w:space="0" w:color="auto"/>
            </w:tcBorders>
            <w:noWrap/>
            <w:vAlign w:val="center"/>
            <w:hideMark/>
          </w:tcPr>
          <w:p w14:paraId="60D29BFC"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c>
          <w:tcPr>
            <w:tcW w:w="205" w:type="pct"/>
            <w:tcBorders>
              <w:top w:val="nil"/>
              <w:left w:val="nil"/>
              <w:bottom w:val="single" w:sz="4" w:space="0" w:color="auto"/>
              <w:right w:val="single" w:sz="4" w:space="0" w:color="auto"/>
            </w:tcBorders>
            <w:noWrap/>
            <w:vAlign w:val="center"/>
            <w:hideMark/>
          </w:tcPr>
          <w:p w14:paraId="0AB6FAC7"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c>
          <w:tcPr>
            <w:tcW w:w="205" w:type="pct"/>
            <w:tcBorders>
              <w:top w:val="nil"/>
              <w:left w:val="nil"/>
              <w:bottom w:val="single" w:sz="4" w:space="0" w:color="auto"/>
              <w:right w:val="single" w:sz="4" w:space="0" w:color="auto"/>
            </w:tcBorders>
            <w:shd w:val="clear" w:color="000000" w:fill="548235"/>
            <w:noWrap/>
            <w:vAlign w:val="center"/>
            <w:hideMark/>
          </w:tcPr>
          <w:p w14:paraId="28BF4ACF"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c>
          <w:tcPr>
            <w:tcW w:w="205" w:type="pct"/>
            <w:tcBorders>
              <w:top w:val="nil"/>
              <w:left w:val="nil"/>
              <w:bottom w:val="single" w:sz="4" w:space="0" w:color="auto"/>
              <w:right w:val="single" w:sz="4" w:space="0" w:color="auto"/>
            </w:tcBorders>
            <w:shd w:val="clear" w:color="000000" w:fill="548235"/>
            <w:noWrap/>
            <w:vAlign w:val="center"/>
            <w:hideMark/>
          </w:tcPr>
          <w:p w14:paraId="4DA5A89C"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c>
          <w:tcPr>
            <w:tcW w:w="205" w:type="pct"/>
            <w:tcBorders>
              <w:top w:val="nil"/>
              <w:left w:val="nil"/>
              <w:bottom w:val="single" w:sz="4" w:space="0" w:color="auto"/>
              <w:right w:val="single" w:sz="4" w:space="0" w:color="auto"/>
            </w:tcBorders>
            <w:noWrap/>
            <w:vAlign w:val="center"/>
            <w:hideMark/>
          </w:tcPr>
          <w:p w14:paraId="67425876"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c>
          <w:tcPr>
            <w:tcW w:w="205" w:type="pct"/>
            <w:tcBorders>
              <w:top w:val="nil"/>
              <w:left w:val="nil"/>
              <w:bottom w:val="single" w:sz="4" w:space="0" w:color="auto"/>
              <w:right w:val="single" w:sz="4" w:space="0" w:color="auto"/>
            </w:tcBorders>
            <w:noWrap/>
            <w:vAlign w:val="center"/>
            <w:hideMark/>
          </w:tcPr>
          <w:p w14:paraId="7748A75E"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c>
          <w:tcPr>
            <w:tcW w:w="205" w:type="pct"/>
            <w:tcBorders>
              <w:top w:val="nil"/>
              <w:left w:val="nil"/>
              <w:bottom w:val="single" w:sz="4" w:space="0" w:color="auto"/>
              <w:right w:val="single" w:sz="4" w:space="0" w:color="auto"/>
            </w:tcBorders>
            <w:noWrap/>
            <w:vAlign w:val="center"/>
            <w:hideMark/>
          </w:tcPr>
          <w:p w14:paraId="3949AEB2"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c>
          <w:tcPr>
            <w:tcW w:w="205" w:type="pct"/>
            <w:tcBorders>
              <w:top w:val="nil"/>
              <w:left w:val="nil"/>
              <w:bottom w:val="single" w:sz="4" w:space="0" w:color="auto"/>
              <w:right w:val="single" w:sz="4" w:space="0" w:color="auto"/>
            </w:tcBorders>
            <w:noWrap/>
            <w:vAlign w:val="center"/>
            <w:hideMark/>
          </w:tcPr>
          <w:p w14:paraId="5ABFABB8"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c>
          <w:tcPr>
            <w:tcW w:w="205" w:type="pct"/>
            <w:tcBorders>
              <w:top w:val="nil"/>
              <w:left w:val="nil"/>
              <w:bottom w:val="single" w:sz="4" w:space="0" w:color="auto"/>
              <w:right w:val="single" w:sz="4" w:space="0" w:color="auto"/>
            </w:tcBorders>
            <w:noWrap/>
            <w:vAlign w:val="center"/>
            <w:hideMark/>
          </w:tcPr>
          <w:p w14:paraId="062B8F82"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c>
          <w:tcPr>
            <w:tcW w:w="205" w:type="pct"/>
            <w:tcBorders>
              <w:top w:val="nil"/>
              <w:left w:val="nil"/>
              <w:bottom w:val="single" w:sz="4" w:space="0" w:color="auto"/>
              <w:right w:val="single" w:sz="4" w:space="0" w:color="auto"/>
            </w:tcBorders>
            <w:noWrap/>
            <w:vAlign w:val="center"/>
            <w:hideMark/>
          </w:tcPr>
          <w:p w14:paraId="502D23A6"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c>
          <w:tcPr>
            <w:tcW w:w="205" w:type="pct"/>
            <w:tcBorders>
              <w:top w:val="nil"/>
              <w:left w:val="nil"/>
              <w:bottom w:val="single" w:sz="4" w:space="0" w:color="auto"/>
              <w:right w:val="single" w:sz="4" w:space="0" w:color="auto"/>
            </w:tcBorders>
            <w:noWrap/>
            <w:vAlign w:val="center"/>
            <w:hideMark/>
          </w:tcPr>
          <w:p w14:paraId="6EBD84B3"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r>
      <w:tr w:rsidR="00FE0576" w:rsidRPr="00FE0576" w14:paraId="05701143" w14:textId="77777777" w:rsidTr="00FE0576">
        <w:trPr>
          <w:trHeight w:val="290"/>
        </w:trPr>
        <w:tc>
          <w:tcPr>
            <w:tcW w:w="1714" w:type="pct"/>
            <w:tcBorders>
              <w:top w:val="nil"/>
              <w:left w:val="single" w:sz="4" w:space="0" w:color="auto"/>
              <w:bottom w:val="single" w:sz="4" w:space="0" w:color="auto"/>
              <w:right w:val="single" w:sz="4" w:space="0" w:color="auto"/>
            </w:tcBorders>
            <w:noWrap/>
            <w:vAlign w:val="center"/>
            <w:hideMark/>
          </w:tcPr>
          <w:p w14:paraId="367FA977" w14:textId="77777777" w:rsidR="00FE0576" w:rsidRPr="00FE0576" w:rsidRDefault="00FE0576" w:rsidP="00FE0576">
            <w:pPr>
              <w:widowControl/>
              <w:autoSpaceDE/>
              <w:autoSpaceDN/>
              <w:spacing w:line="360" w:lineRule="auto"/>
              <w:rPr>
                <w:rFonts w:ascii="Arial" w:eastAsia="Times New Roman" w:hAnsi="Arial" w:cs="Arial"/>
                <w:color w:val="000000"/>
                <w:lang w:val="en-IN" w:eastAsia="zh-TW"/>
              </w:rPr>
            </w:pPr>
            <w:r w:rsidRPr="00FE0576">
              <w:rPr>
                <w:rFonts w:ascii="Arial" w:eastAsia="Times New Roman" w:hAnsi="Arial" w:cs="Arial"/>
                <w:color w:val="000000"/>
                <w:lang w:val="en-IN" w:eastAsia="zh-TW"/>
              </w:rPr>
              <w:t>Quality appraisal</w:t>
            </w:r>
          </w:p>
        </w:tc>
        <w:tc>
          <w:tcPr>
            <w:tcW w:w="205" w:type="pct"/>
            <w:tcBorders>
              <w:top w:val="nil"/>
              <w:left w:val="nil"/>
              <w:bottom w:val="single" w:sz="4" w:space="0" w:color="auto"/>
              <w:right w:val="single" w:sz="4" w:space="0" w:color="auto"/>
            </w:tcBorders>
            <w:noWrap/>
            <w:vAlign w:val="center"/>
            <w:hideMark/>
          </w:tcPr>
          <w:p w14:paraId="5A94FE30"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c>
          <w:tcPr>
            <w:tcW w:w="205" w:type="pct"/>
            <w:tcBorders>
              <w:top w:val="nil"/>
              <w:left w:val="nil"/>
              <w:bottom w:val="single" w:sz="4" w:space="0" w:color="auto"/>
              <w:right w:val="single" w:sz="4" w:space="0" w:color="auto"/>
            </w:tcBorders>
            <w:noWrap/>
            <w:vAlign w:val="center"/>
            <w:hideMark/>
          </w:tcPr>
          <w:p w14:paraId="20E86DFA"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c>
          <w:tcPr>
            <w:tcW w:w="205" w:type="pct"/>
            <w:tcBorders>
              <w:top w:val="nil"/>
              <w:left w:val="nil"/>
              <w:bottom w:val="single" w:sz="4" w:space="0" w:color="auto"/>
              <w:right w:val="single" w:sz="4" w:space="0" w:color="auto"/>
            </w:tcBorders>
            <w:noWrap/>
            <w:vAlign w:val="center"/>
            <w:hideMark/>
          </w:tcPr>
          <w:p w14:paraId="0FCFD0F0"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c>
          <w:tcPr>
            <w:tcW w:w="205" w:type="pct"/>
            <w:tcBorders>
              <w:top w:val="nil"/>
              <w:left w:val="nil"/>
              <w:bottom w:val="single" w:sz="4" w:space="0" w:color="auto"/>
              <w:right w:val="single" w:sz="4" w:space="0" w:color="auto"/>
            </w:tcBorders>
            <w:noWrap/>
            <w:vAlign w:val="center"/>
            <w:hideMark/>
          </w:tcPr>
          <w:p w14:paraId="328F34BF"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c>
          <w:tcPr>
            <w:tcW w:w="205" w:type="pct"/>
            <w:tcBorders>
              <w:top w:val="nil"/>
              <w:left w:val="nil"/>
              <w:bottom w:val="single" w:sz="4" w:space="0" w:color="auto"/>
              <w:right w:val="single" w:sz="4" w:space="0" w:color="auto"/>
            </w:tcBorders>
            <w:noWrap/>
            <w:vAlign w:val="center"/>
            <w:hideMark/>
          </w:tcPr>
          <w:p w14:paraId="3AE747A6"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c>
          <w:tcPr>
            <w:tcW w:w="205" w:type="pct"/>
            <w:tcBorders>
              <w:top w:val="nil"/>
              <w:left w:val="nil"/>
              <w:bottom w:val="single" w:sz="4" w:space="0" w:color="auto"/>
              <w:right w:val="single" w:sz="4" w:space="0" w:color="auto"/>
            </w:tcBorders>
            <w:noWrap/>
            <w:vAlign w:val="center"/>
            <w:hideMark/>
          </w:tcPr>
          <w:p w14:paraId="55B470FD"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c>
          <w:tcPr>
            <w:tcW w:w="205" w:type="pct"/>
            <w:tcBorders>
              <w:top w:val="nil"/>
              <w:left w:val="nil"/>
              <w:bottom w:val="single" w:sz="4" w:space="0" w:color="auto"/>
              <w:right w:val="single" w:sz="4" w:space="0" w:color="auto"/>
            </w:tcBorders>
            <w:noWrap/>
            <w:vAlign w:val="center"/>
            <w:hideMark/>
          </w:tcPr>
          <w:p w14:paraId="065F70E8"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c>
          <w:tcPr>
            <w:tcW w:w="205" w:type="pct"/>
            <w:tcBorders>
              <w:top w:val="nil"/>
              <w:left w:val="nil"/>
              <w:bottom w:val="single" w:sz="4" w:space="0" w:color="auto"/>
              <w:right w:val="single" w:sz="4" w:space="0" w:color="auto"/>
            </w:tcBorders>
            <w:noWrap/>
            <w:vAlign w:val="center"/>
            <w:hideMark/>
          </w:tcPr>
          <w:p w14:paraId="167B2357"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c>
          <w:tcPr>
            <w:tcW w:w="205" w:type="pct"/>
            <w:tcBorders>
              <w:top w:val="nil"/>
              <w:left w:val="nil"/>
              <w:bottom w:val="single" w:sz="4" w:space="0" w:color="auto"/>
              <w:right w:val="single" w:sz="4" w:space="0" w:color="auto"/>
            </w:tcBorders>
            <w:shd w:val="clear" w:color="000000" w:fill="548235"/>
            <w:noWrap/>
            <w:vAlign w:val="center"/>
            <w:hideMark/>
          </w:tcPr>
          <w:p w14:paraId="0D0776C8"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c>
          <w:tcPr>
            <w:tcW w:w="205" w:type="pct"/>
            <w:tcBorders>
              <w:top w:val="nil"/>
              <w:left w:val="nil"/>
              <w:bottom w:val="single" w:sz="4" w:space="0" w:color="auto"/>
              <w:right w:val="single" w:sz="4" w:space="0" w:color="auto"/>
            </w:tcBorders>
            <w:shd w:val="clear" w:color="000000" w:fill="548235"/>
            <w:noWrap/>
            <w:vAlign w:val="center"/>
            <w:hideMark/>
          </w:tcPr>
          <w:p w14:paraId="726496A4"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c>
          <w:tcPr>
            <w:tcW w:w="205" w:type="pct"/>
            <w:tcBorders>
              <w:top w:val="nil"/>
              <w:left w:val="nil"/>
              <w:bottom w:val="single" w:sz="4" w:space="0" w:color="auto"/>
              <w:right w:val="single" w:sz="4" w:space="0" w:color="auto"/>
            </w:tcBorders>
            <w:noWrap/>
            <w:vAlign w:val="center"/>
            <w:hideMark/>
          </w:tcPr>
          <w:p w14:paraId="17F4166E"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c>
          <w:tcPr>
            <w:tcW w:w="205" w:type="pct"/>
            <w:tcBorders>
              <w:top w:val="nil"/>
              <w:left w:val="nil"/>
              <w:bottom w:val="single" w:sz="4" w:space="0" w:color="auto"/>
              <w:right w:val="single" w:sz="4" w:space="0" w:color="auto"/>
            </w:tcBorders>
            <w:noWrap/>
            <w:vAlign w:val="center"/>
            <w:hideMark/>
          </w:tcPr>
          <w:p w14:paraId="0A0D2F63"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c>
          <w:tcPr>
            <w:tcW w:w="205" w:type="pct"/>
            <w:tcBorders>
              <w:top w:val="nil"/>
              <w:left w:val="nil"/>
              <w:bottom w:val="single" w:sz="4" w:space="0" w:color="auto"/>
              <w:right w:val="single" w:sz="4" w:space="0" w:color="auto"/>
            </w:tcBorders>
            <w:noWrap/>
            <w:vAlign w:val="center"/>
            <w:hideMark/>
          </w:tcPr>
          <w:p w14:paraId="36DFAFFF"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c>
          <w:tcPr>
            <w:tcW w:w="205" w:type="pct"/>
            <w:tcBorders>
              <w:top w:val="nil"/>
              <w:left w:val="nil"/>
              <w:bottom w:val="single" w:sz="4" w:space="0" w:color="auto"/>
              <w:right w:val="single" w:sz="4" w:space="0" w:color="auto"/>
            </w:tcBorders>
            <w:noWrap/>
            <w:vAlign w:val="center"/>
            <w:hideMark/>
          </w:tcPr>
          <w:p w14:paraId="3E6FAAF8"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c>
          <w:tcPr>
            <w:tcW w:w="205" w:type="pct"/>
            <w:tcBorders>
              <w:top w:val="nil"/>
              <w:left w:val="nil"/>
              <w:bottom w:val="single" w:sz="4" w:space="0" w:color="auto"/>
              <w:right w:val="single" w:sz="4" w:space="0" w:color="auto"/>
            </w:tcBorders>
            <w:noWrap/>
            <w:vAlign w:val="center"/>
            <w:hideMark/>
          </w:tcPr>
          <w:p w14:paraId="5CFEC40F"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c>
          <w:tcPr>
            <w:tcW w:w="205" w:type="pct"/>
            <w:tcBorders>
              <w:top w:val="nil"/>
              <w:left w:val="nil"/>
              <w:bottom w:val="single" w:sz="4" w:space="0" w:color="auto"/>
              <w:right w:val="single" w:sz="4" w:space="0" w:color="auto"/>
            </w:tcBorders>
            <w:noWrap/>
            <w:vAlign w:val="center"/>
            <w:hideMark/>
          </w:tcPr>
          <w:p w14:paraId="34B456BB"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r>
      <w:tr w:rsidR="00FE0576" w:rsidRPr="00FE0576" w14:paraId="6EE9CEC0" w14:textId="77777777" w:rsidTr="00FE0576">
        <w:trPr>
          <w:trHeight w:val="290"/>
        </w:trPr>
        <w:tc>
          <w:tcPr>
            <w:tcW w:w="1714" w:type="pct"/>
            <w:tcBorders>
              <w:top w:val="nil"/>
              <w:left w:val="single" w:sz="4" w:space="0" w:color="auto"/>
              <w:bottom w:val="single" w:sz="4" w:space="0" w:color="auto"/>
              <w:right w:val="single" w:sz="4" w:space="0" w:color="auto"/>
            </w:tcBorders>
            <w:noWrap/>
            <w:vAlign w:val="center"/>
            <w:hideMark/>
          </w:tcPr>
          <w:p w14:paraId="3752FC33" w14:textId="77777777" w:rsidR="00FE0576" w:rsidRPr="00FE0576" w:rsidRDefault="00FE0576" w:rsidP="00FE0576">
            <w:pPr>
              <w:widowControl/>
              <w:autoSpaceDE/>
              <w:autoSpaceDN/>
              <w:spacing w:line="360" w:lineRule="auto"/>
              <w:rPr>
                <w:rFonts w:ascii="Arial" w:eastAsia="Times New Roman" w:hAnsi="Arial" w:cs="Arial"/>
                <w:color w:val="000000"/>
                <w:lang w:val="en-IN" w:eastAsia="zh-TW"/>
              </w:rPr>
            </w:pPr>
            <w:r w:rsidRPr="00FE0576">
              <w:rPr>
                <w:rFonts w:ascii="Arial" w:eastAsia="Times New Roman" w:hAnsi="Arial" w:cs="Arial"/>
                <w:color w:val="000000"/>
                <w:lang w:val="en-IN" w:eastAsia="zh-TW"/>
              </w:rPr>
              <w:t>Thematic analysis and coding</w:t>
            </w:r>
          </w:p>
        </w:tc>
        <w:tc>
          <w:tcPr>
            <w:tcW w:w="205" w:type="pct"/>
            <w:tcBorders>
              <w:top w:val="nil"/>
              <w:left w:val="nil"/>
              <w:bottom w:val="single" w:sz="4" w:space="0" w:color="auto"/>
              <w:right w:val="single" w:sz="4" w:space="0" w:color="auto"/>
            </w:tcBorders>
            <w:noWrap/>
            <w:vAlign w:val="center"/>
            <w:hideMark/>
          </w:tcPr>
          <w:p w14:paraId="05A20799"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c>
          <w:tcPr>
            <w:tcW w:w="205" w:type="pct"/>
            <w:tcBorders>
              <w:top w:val="nil"/>
              <w:left w:val="nil"/>
              <w:bottom w:val="single" w:sz="4" w:space="0" w:color="auto"/>
              <w:right w:val="single" w:sz="4" w:space="0" w:color="auto"/>
            </w:tcBorders>
            <w:noWrap/>
            <w:vAlign w:val="center"/>
            <w:hideMark/>
          </w:tcPr>
          <w:p w14:paraId="340A2E9B"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c>
          <w:tcPr>
            <w:tcW w:w="205" w:type="pct"/>
            <w:tcBorders>
              <w:top w:val="nil"/>
              <w:left w:val="nil"/>
              <w:bottom w:val="single" w:sz="4" w:space="0" w:color="auto"/>
              <w:right w:val="single" w:sz="4" w:space="0" w:color="auto"/>
            </w:tcBorders>
            <w:noWrap/>
            <w:vAlign w:val="center"/>
            <w:hideMark/>
          </w:tcPr>
          <w:p w14:paraId="05AAC8BA"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c>
          <w:tcPr>
            <w:tcW w:w="205" w:type="pct"/>
            <w:tcBorders>
              <w:top w:val="nil"/>
              <w:left w:val="nil"/>
              <w:bottom w:val="single" w:sz="4" w:space="0" w:color="auto"/>
              <w:right w:val="single" w:sz="4" w:space="0" w:color="auto"/>
            </w:tcBorders>
            <w:noWrap/>
            <w:vAlign w:val="center"/>
            <w:hideMark/>
          </w:tcPr>
          <w:p w14:paraId="03E347F0"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c>
          <w:tcPr>
            <w:tcW w:w="205" w:type="pct"/>
            <w:tcBorders>
              <w:top w:val="nil"/>
              <w:left w:val="nil"/>
              <w:bottom w:val="single" w:sz="4" w:space="0" w:color="auto"/>
              <w:right w:val="single" w:sz="4" w:space="0" w:color="auto"/>
            </w:tcBorders>
            <w:noWrap/>
            <w:vAlign w:val="center"/>
            <w:hideMark/>
          </w:tcPr>
          <w:p w14:paraId="414B76CA"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c>
          <w:tcPr>
            <w:tcW w:w="205" w:type="pct"/>
            <w:tcBorders>
              <w:top w:val="nil"/>
              <w:left w:val="nil"/>
              <w:bottom w:val="single" w:sz="4" w:space="0" w:color="auto"/>
              <w:right w:val="single" w:sz="4" w:space="0" w:color="auto"/>
            </w:tcBorders>
            <w:noWrap/>
            <w:vAlign w:val="center"/>
            <w:hideMark/>
          </w:tcPr>
          <w:p w14:paraId="0718EA7E"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c>
          <w:tcPr>
            <w:tcW w:w="205" w:type="pct"/>
            <w:tcBorders>
              <w:top w:val="nil"/>
              <w:left w:val="nil"/>
              <w:bottom w:val="single" w:sz="4" w:space="0" w:color="auto"/>
              <w:right w:val="single" w:sz="4" w:space="0" w:color="auto"/>
            </w:tcBorders>
            <w:noWrap/>
            <w:vAlign w:val="center"/>
            <w:hideMark/>
          </w:tcPr>
          <w:p w14:paraId="61E8A5B5"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c>
          <w:tcPr>
            <w:tcW w:w="205" w:type="pct"/>
            <w:tcBorders>
              <w:top w:val="nil"/>
              <w:left w:val="nil"/>
              <w:bottom w:val="single" w:sz="4" w:space="0" w:color="auto"/>
              <w:right w:val="single" w:sz="4" w:space="0" w:color="auto"/>
            </w:tcBorders>
            <w:noWrap/>
            <w:vAlign w:val="center"/>
            <w:hideMark/>
          </w:tcPr>
          <w:p w14:paraId="352A0AF7"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c>
          <w:tcPr>
            <w:tcW w:w="205" w:type="pct"/>
            <w:tcBorders>
              <w:top w:val="nil"/>
              <w:left w:val="nil"/>
              <w:bottom w:val="single" w:sz="4" w:space="0" w:color="auto"/>
              <w:right w:val="single" w:sz="4" w:space="0" w:color="auto"/>
            </w:tcBorders>
            <w:noWrap/>
            <w:vAlign w:val="center"/>
            <w:hideMark/>
          </w:tcPr>
          <w:p w14:paraId="28F36306"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c>
          <w:tcPr>
            <w:tcW w:w="205" w:type="pct"/>
            <w:tcBorders>
              <w:top w:val="nil"/>
              <w:left w:val="nil"/>
              <w:bottom w:val="single" w:sz="4" w:space="0" w:color="auto"/>
              <w:right w:val="single" w:sz="4" w:space="0" w:color="auto"/>
            </w:tcBorders>
            <w:shd w:val="clear" w:color="000000" w:fill="548235"/>
            <w:noWrap/>
            <w:vAlign w:val="center"/>
            <w:hideMark/>
          </w:tcPr>
          <w:p w14:paraId="1C2AA6FD"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c>
          <w:tcPr>
            <w:tcW w:w="205" w:type="pct"/>
            <w:tcBorders>
              <w:top w:val="nil"/>
              <w:left w:val="nil"/>
              <w:bottom w:val="single" w:sz="4" w:space="0" w:color="auto"/>
              <w:right w:val="single" w:sz="4" w:space="0" w:color="auto"/>
            </w:tcBorders>
            <w:shd w:val="clear" w:color="000000" w:fill="548235"/>
            <w:noWrap/>
            <w:vAlign w:val="center"/>
            <w:hideMark/>
          </w:tcPr>
          <w:p w14:paraId="2B54E82A"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c>
          <w:tcPr>
            <w:tcW w:w="205" w:type="pct"/>
            <w:tcBorders>
              <w:top w:val="nil"/>
              <w:left w:val="nil"/>
              <w:bottom w:val="single" w:sz="4" w:space="0" w:color="auto"/>
              <w:right w:val="single" w:sz="4" w:space="0" w:color="auto"/>
            </w:tcBorders>
            <w:noWrap/>
            <w:vAlign w:val="center"/>
            <w:hideMark/>
          </w:tcPr>
          <w:p w14:paraId="735B6C32"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c>
          <w:tcPr>
            <w:tcW w:w="205" w:type="pct"/>
            <w:tcBorders>
              <w:top w:val="nil"/>
              <w:left w:val="nil"/>
              <w:bottom w:val="single" w:sz="4" w:space="0" w:color="auto"/>
              <w:right w:val="single" w:sz="4" w:space="0" w:color="auto"/>
            </w:tcBorders>
            <w:noWrap/>
            <w:vAlign w:val="center"/>
            <w:hideMark/>
          </w:tcPr>
          <w:p w14:paraId="1552AB4F"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c>
          <w:tcPr>
            <w:tcW w:w="205" w:type="pct"/>
            <w:tcBorders>
              <w:top w:val="nil"/>
              <w:left w:val="nil"/>
              <w:bottom w:val="single" w:sz="4" w:space="0" w:color="auto"/>
              <w:right w:val="single" w:sz="4" w:space="0" w:color="auto"/>
            </w:tcBorders>
            <w:noWrap/>
            <w:vAlign w:val="center"/>
            <w:hideMark/>
          </w:tcPr>
          <w:p w14:paraId="1F82B3F8"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c>
          <w:tcPr>
            <w:tcW w:w="205" w:type="pct"/>
            <w:tcBorders>
              <w:top w:val="nil"/>
              <w:left w:val="nil"/>
              <w:bottom w:val="single" w:sz="4" w:space="0" w:color="auto"/>
              <w:right w:val="single" w:sz="4" w:space="0" w:color="auto"/>
            </w:tcBorders>
            <w:noWrap/>
            <w:vAlign w:val="center"/>
            <w:hideMark/>
          </w:tcPr>
          <w:p w14:paraId="743EE265"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c>
          <w:tcPr>
            <w:tcW w:w="205" w:type="pct"/>
            <w:tcBorders>
              <w:top w:val="nil"/>
              <w:left w:val="nil"/>
              <w:bottom w:val="single" w:sz="4" w:space="0" w:color="auto"/>
              <w:right w:val="single" w:sz="4" w:space="0" w:color="auto"/>
            </w:tcBorders>
            <w:noWrap/>
            <w:vAlign w:val="center"/>
            <w:hideMark/>
          </w:tcPr>
          <w:p w14:paraId="2B802A77"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r>
      <w:tr w:rsidR="00FE0576" w:rsidRPr="00FE0576" w14:paraId="19C5E7E4" w14:textId="77777777" w:rsidTr="00FE0576">
        <w:trPr>
          <w:trHeight w:val="290"/>
        </w:trPr>
        <w:tc>
          <w:tcPr>
            <w:tcW w:w="1714" w:type="pct"/>
            <w:tcBorders>
              <w:top w:val="nil"/>
              <w:left w:val="single" w:sz="4" w:space="0" w:color="auto"/>
              <w:bottom w:val="single" w:sz="4" w:space="0" w:color="auto"/>
              <w:right w:val="single" w:sz="4" w:space="0" w:color="auto"/>
            </w:tcBorders>
            <w:noWrap/>
            <w:vAlign w:val="center"/>
            <w:hideMark/>
          </w:tcPr>
          <w:p w14:paraId="1AAD8C72" w14:textId="77777777" w:rsidR="00FE0576" w:rsidRPr="00FE0576" w:rsidRDefault="00FE0576" w:rsidP="00FE0576">
            <w:pPr>
              <w:widowControl/>
              <w:autoSpaceDE/>
              <w:autoSpaceDN/>
              <w:spacing w:line="360" w:lineRule="auto"/>
              <w:rPr>
                <w:rFonts w:ascii="Arial" w:eastAsia="Times New Roman" w:hAnsi="Arial" w:cs="Arial"/>
                <w:color w:val="000000"/>
                <w:lang w:val="en-IN" w:eastAsia="zh-TW"/>
              </w:rPr>
            </w:pPr>
            <w:r w:rsidRPr="00FE0576">
              <w:rPr>
                <w:rFonts w:ascii="Arial" w:eastAsia="Times New Roman" w:hAnsi="Arial" w:cs="Arial"/>
                <w:color w:val="000000"/>
                <w:lang w:val="en-IN" w:eastAsia="zh-TW"/>
              </w:rPr>
              <w:t>Synthesis of findings</w:t>
            </w:r>
          </w:p>
        </w:tc>
        <w:tc>
          <w:tcPr>
            <w:tcW w:w="205" w:type="pct"/>
            <w:tcBorders>
              <w:top w:val="nil"/>
              <w:left w:val="nil"/>
              <w:bottom w:val="single" w:sz="4" w:space="0" w:color="auto"/>
              <w:right w:val="single" w:sz="4" w:space="0" w:color="auto"/>
            </w:tcBorders>
            <w:noWrap/>
            <w:vAlign w:val="center"/>
            <w:hideMark/>
          </w:tcPr>
          <w:p w14:paraId="0EF1AC16"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c>
          <w:tcPr>
            <w:tcW w:w="205" w:type="pct"/>
            <w:tcBorders>
              <w:top w:val="nil"/>
              <w:left w:val="nil"/>
              <w:bottom w:val="single" w:sz="4" w:space="0" w:color="auto"/>
              <w:right w:val="single" w:sz="4" w:space="0" w:color="auto"/>
            </w:tcBorders>
            <w:noWrap/>
            <w:vAlign w:val="center"/>
            <w:hideMark/>
          </w:tcPr>
          <w:p w14:paraId="68638415"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c>
          <w:tcPr>
            <w:tcW w:w="205" w:type="pct"/>
            <w:tcBorders>
              <w:top w:val="nil"/>
              <w:left w:val="nil"/>
              <w:bottom w:val="single" w:sz="4" w:space="0" w:color="auto"/>
              <w:right w:val="single" w:sz="4" w:space="0" w:color="auto"/>
            </w:tcBorders>
            <w:noWrap/>
            <w:vAlign w:val="center"/>
            <w:hideMark/>
          </w:tcPr>
          <w:p w14:paraId="4CCF0D65"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c>
          <w:tcPr>
            <w:tcW w:w="205" w:type="pct"/>
            <w:tcBorders>
              <w:top w:val="nil"/>
              <w:left w:val="nil"/>
              <w:bottom w:val="single" w:sz="4" w:space="0" w:color="auto"/>
              <w:right w:val="single" w:sz="4" w:space="0" w:color="auto"/>
            </w:tcBorders>
            <w:noWrap/>
            <w:vAlign w:val="center"/>
            <w:hideMark/>
          </w:tcPr>
          <w:p w14:paraId="3E41A785"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c>
          <w:tcPr>
            <w:tcW w:w="205" w:type="pct"/>
            <w:tcBorders>
              <w:top w:val="nil"/>
              <w:left w:val="nil"/>
              <w:bottom w:val="single" w:sz="4" w:space="0" w:color="auto"/>
              <w:right w:val="single" w:sz="4" w:space="0" w:color="auto"/>
            </w:tcBorders>
            <w:noWrap/>
            <w:vAlign w:val="center"/>
            <w:hideMark/>
          </w:tcPr>
          <w:p w14:paraId="77C46C42"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c>
          <w:tcPr>
            <w:tcW w:w="205" w:type="pct"/>
            <w:tcBorders>
              <w:top w:val="nil"/>
              <w:left w:val="nil"/>
              <w:bottom w:val="single" w:sz="4" w:space="0" w:color="auto"/>
              <w:right w:val="single" w:sz="4" w:space="0" w:color="auto"/>
            </w:tcBorders>
            <w:noWrap/>
            <w:vAlign w:val="center"/>
            <w:hideMark/>
          </w:tcPr>
          <w:p w14:paraId="457A231A"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c>
          <w:tcPr>
            <w:tcW w:w="205" w:type="pct"/>
            <w:tcBorders>
              <w:top w:val="nil"/>
              <w:left w:val="nil"/>
              <w:bottom w:val="single" w:sz="4" w:space="0" w:color="auto"/>
              <w:right w:val="single" w:sz="4" w:space="0" w:color="auto"/>
            </w:tcBorders>
            <w:noWrap/>
            <w:vAlign w:val="center"/>
            <w:hideMark/>
          </w:tcPr>
          <w:p w14:paraId="79A1717C"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c>
          <w:tcPr>
            <w:tcW w:w="205" w:type="pct"/>
            <w:tcBorders>
              <w:top w:val="nil"/>
              <w:left w:val="nil"/>
              <w:bottom w:val="single" w:sz="4" w:space="0" w:color="auto"/>
              <w:right w:val="single" w:sz="4" w:space="0" w:color="auto"/>
            </w:tcBorders>
            <w:noWrap/>
            <w:vAlign w:val="center"/>
            <w:hideMark/>
          </w:tcPr>
          <w:p w14:paraId="418BA878"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c>
          <w:tcPr>
            <w:tcW w:w="205" w:type="pct"/>
            <w:tcBorders>
              <w:top w:val="nil"/>
              <w:left w:val="nil"/>
              <w:bottom w:val="single" w:sz="4" w:space="0" w:color="auto"/>
              <w:right w:val="single" w:sz="4" w:space="0" w:color="auto"/>
            </w:tcBorders>
            <w:noWrap/>
            <w:vAlign w:val="center"/>
            <w:hideMark/>
          </w:tcPr>
          <w:p w14:paraId="25CAD857"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c>
          <w:tcPr>
            <w:tcW w:w="205" w:type="pct"/>
            <w:tcBorders>
              <w:top w:val="nil"/>
              <w:left w:val="nil"/>
              <w:bottom w:val="single" w:sz="4" w:space="0" w:color="auto"/>
              <w:right w:val="single" w:sz="4" w:space="0" w:color="auto"/>
            </w:tcBorders>
            <w:noWrap/>
            <w:vAlign w:val="center"/>
            <w:hideMark/>
          </w:tcPr>
          <w:p w14:paraId="71DA45CA"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c>
          <w:tcPr>
            <w:tcW w:w="205" w:type="pct"/>
            <w:tcBorders>
              <w:top w:val="nil"/>
              <w:left w:val="nil"/>
              <w:bottom w:val="single" w:sz="4" w:space="0" w:color="auto"/>
              <w:right w:val="single" w:sz="4" w:space="0" w:color="auto"/>
            </w:tcBorders>
            <w:shd w:val="clear" w:color="000000" w:fill="548235"/>
            <w:noWrap/>
            <w:vAlign w:val="center"/>
            <w:hideMark/>
          </w:tcPr>
          <w:p w14:paraId="5DB43B76"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c>
          <w:tcPr>
            <w:tcW w:w="205" w:type="pct"/>
            <w:tcBorders>
              <w:top w:val="nil"/>
              <w:left w:val="nil"/>
              <w:bottom w:val="single" w:sz="4" w:space="0" w:color="auto"/>
              <w:right w:val="single" w:sz="4" w:space="0" w:color="auto"/>
            </w:tcBorders>
            <w:shd w:val="clear" w:color="000000" w:fill="548235"/>
            <w:noWrap/>
            <w:vAlign w:val="center"/>
            <w:hideMark/>
          </w:tcPr>
          <w:p w14:paraId="6659F90E"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c>
          <w:tcPr>
            <w:tcW w:w="205" w:type="pct"/>
            <w:tcBorders>
              <w:top w:val="nil"/>
              <w:left w:val="nil"/>
              <w:bottom w:val="single" w:sz="4" w:space="0" w:color="auto"/>
              <w:right w:val="single" w:sz="4" w:space="0" w:color="auto"/>
            </w:tcBorders>
            <w:noWrap/>
            <w:vAlign w:val="center"/>
            <w:hideMark/>
          </w:tcPr>
          <w:p w14:paraId="24B46A1A"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c>
          <w:tcPr>
            <w:tcW w:w="205" w:type="pct"/>
            <w:tcBorders>
              <w:top w:val="nil"/>
              <w:left w:val="nil"/>
              <w:bottom w:val="single" w:sz="4" w:space="0" w:color="auto"/>
              <w:right w:val="single" w:sz="4" w:space="0" w:color="auto"/>
            </w:tcBorders>
            <w:noWrap/>
            <w:vAlign w:val="center"/>
            <w:hideMark/>
          </w:tcPr>
          <w:p w14:paraId="38571D05"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c>
          <w:tcPr>
            <w:tcW w:w="205" w:type="pct"/>
            <w:tcBorders>
              <w:top w:val="nil"/>
              <w:left w:val="nil"/>
              <w:bottom w:val="single" w:sz="4" w:space="0" w:color="auto"/>
              <w:right w:val="single" w:sz="4" w:space="0" w:color="auto"/>
            </w:tcBorders>
            <w:noWrap/>
            <w:vAlign w:val="center"/>
            <w:hideMark/>
          </w:tcPr>
          <w:p w14:paraId="01011DCA"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c>
          <w:tcPr>
            <w:tcW w:w="205" w:type="pct"/>
            <w:tcBorders>
              <w:top w:val="nil"/>
              <w:left w:val="nil"/>
              <w:bottom w:val="single" w:sz="4" w:space="0" w:color="auto"/>
              <w:right w:val="single" w:sz="4" w:space="0" w:color="auto"/>
            </w:tcBorders>
            <w:noWrap/>
            <w:vAlign w:val="center"/>
            <w:hideMark/>
          </w:tcPr>
          <w:p w14:paraId="22E0811D"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r>
      <w:tr w:rsidR="00FE0576" w:rsidRPr="00FE0576" w14:paraId="7B47711E" w14:textId="77777777" w:rsidTr="00FE0576">
        <w:trPr>
          <w:trHeight w:val="290"/>
        </w:trPr>
        <w:tc>
          <w:tcPr>
            <w:tcW w:w="1714" w:type="pct"/>
            <w:tcBorders>
              <w:top w:val="nil"/>
              <w:left w:val="single" w:sz="4" w:space="0" w:color="auto"/>
              <w:bottom w:val="single" w:sz="4" w:space="0" w:color="auto"/>
              <w:right w:val="single" w:sz="4" w:space="0" w:color="auto"/>
            </w:tcBorders>
            <w:noWrap/>
            <w:vAlign w:val="center"/>
            <w:hideMark/>
          </w:tcPr>
          <w:p w14:paraId="585DD734" w14:textId="77777777" w:rsidR="00FE0576" w:rsidRPr="00FE0576" w:rsidRDefault="00FE0576" w:rsidP="00FE0576">
            <w:pPr>
              <w:widowControl/>
              <w:autoSpaceDE/>
              <w:autoSpaceDN/>
              <w:spacing w:line="360" w:lineRule="auto"/>
              <w:rPr>
                <w:rFonts w:ascii="Arial" w:eastAsia="Times New Roman" w:hAnsi="Arial" w:cs="Arial"/>
                <w:color w:val="000000"/>
                <w:lang w:val="en-IN" w:eastAsia="zh-TW"/>
              </w:rPr>
            </w:pPr>
            <w:r w:rsidRPr="00FE0576">
              <w:rPr>
                <w:rFonts w:ascii="Arial" w:eastAsia="Times New Roman" w:hAnsi="Arial" w:cs="Arial"/>
                <w:color w:val="000000"/>
                <w:lang w:val="en-IN" w:eastAsia="zh-TW"/>
              </w:rPr>
              <w:t>Writing findings/results section</w:t>
            </w:r>
          </w:p>
        </w:tc>
        <w:tc>
          <w:tcPr>
            <w:tcW w:w="205" w:type="pct"/>
            <w:tcBorders>
              <w:top w:val="nil"/>
              <w:left w:val="nil"/>
              <w:bottom w:val="single" w:sz="4" w:space="0" w:color="auto"/>
              <w:right w:val="single" w:sz="4" w:space="0" w:color="auto"/>
            </w:tcBorders>
            <w:noWrap/>
            <w:vAlign w:val="center"/>
            <w:hideMark/>
          </w:tcPr>
          <w:p w14:paraId="2315BF05"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c>
          <w:tcPr>
            <w:tcW w:w="205" w:type="pct"/>
            <w:tcBorders>
              <w:top w:val="nil"/>
              <w:left w:val="nil"/>
              <w:bottom w:val="single" w:sz="4" w:space="0" w:color="auto"/>
              <w:right w:val="single" w:sz="4" w:space="0" w:color="auto"/>
            </w:tcBorders>
            <w:noWrap/>
            <w:vAlign w:val="center"/>
            <w:hideMark/>
          </w:tcPr>
          <w:p w14:paraId="144DEBCD"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c>
          <w:tcPr>
            <w:tcW w:w="205" w:type="pct"/>
            <w:tcBorders>
              <w:top w:val="nil"/>
              <w:left w:val="nil"/>
              <w:bottom w:val="single" w:sz="4" w:space="0" w:color="auto"/>
              <w:right w:val="single" w:sz="4" w:space="0" w:color="auto"/>
            </w:tcBorders>
            <w:noWrap/>
            <w:vAlign w:val="center"/>
            <w:hideMark/>
          </w:tcPr>
          <w:p w14:paraId="0C5BC7CE"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c>
          <w:tcPr>
            <w:tcW w:w="205" w:type="pct"/>
            <w:tcBorders>
              <w:top w:val="nil"/>
              <w:left w:val="nil"/>
              <w:bottom w:val="single" w:sz="4" w:space="0" w:color="auto"/>
              <w:right w:val="single" w:sz="4" w:space="0" w:color="auto"/>
            </w:tcBorders>
            <w:noWrap/>
            <w:vAlign w:val="center"/>
            <w:hideMark/>
          </w:tcPr>
          <w:p w14:paraId="380CE362"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c>
          <w:tcPr>
            <w:tcW w:w="205" w:type="pct"/>
            <w:tcBorders>
              <w:top w:val="nil"/>
              <w:left w:val="nil"/>
              <w:bottom w:val="single" w:sz="4" w:space="0" w:color="auto"/>
              <w:right w:val="single" w:sz="4" w:space="0" w:color="auto"/>
            </w:tcBorders>
            <w:noWrap/>
            <w:vAlign w:val="center"/>
            <w:hideMark/>
          </w:tcPr>
          <w:p w14:paraId="617BED42"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c>
          <w:tcPr>
            <w:tcW w:w="205" w:type="pct"/>
            <w:tcBorders>
              <w:top w:val="nil"/>
              <w:left w:val="nil"/>
              <w:bottom w:val="single" w:sz="4" w:space="0" w:color="auto"/>
              <w:right w:val="single" w:sz="4" w:space="0" w:color="auto"/>
            </w:tcBorders>
            <w:noWrap/>
            <w:vAlign w:val="center"/>
            <w:hideMark/>
          </w:tcPr>
          <w:p w14:paraId="6A49E1D4"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c>
          <w:tcPr>
            <w:tcW w:w="205" w:type="pct"/>
            <w:tcBorders>
              <w:top w:val="nil"/>
              <w:left w:val="nil"/>
              <w:bottom w:val="single" w:sz="4" w:space="0" w:color="auto"/>
              <w:right w:val="single" w:sz="4" w:space="0" w:color="auto"/>
            </w:tcBorders>
            <w:noWrap/>
            <w:vAlign w:val="center"/>
            <w:hideMark/>
          </w:tcPr>
          <w:p w14:paraId="2F696E97"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c>
          <w:tcPr>
            <w:tcW w:w="205" w:type="pct"/>
            <w:tcBorders>
              <w:top w:val="nil"/>
              <w:left w:val="nil"/>
              <w:bottom w:val="single" w:sz="4" w:space="0" w:color="auto"/>
              <w:right w:val="single" w:sz="4" w:space="0" w:color="auto"/>
            </w:tcBorders>
            <w:noWrap/>
            <w:vAlign w:val="center"/>
            <w:hideMark/>
          </w:tcPr>
          <w:p w14:paraId="7AC451E5"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c>
          <w:tcPr>
            <w:tcW w:w="205" w:type="pct"/>
            <w:tcBorders>
              <w:top w:val="nil"/>
              <w:left w:val="nil"/>
              <w:bottom w:val="single" w:sz="4" w:space="0" w:color="auto"/>
              <w:right w:val="single" w:sz="4" w:space="0" w:color="auto"/>
            </w:tcBorders>
            <w:noWrap/>
            <w:vAlign w:val="center"/>
            <w:hideMark/>
          </w:tcPr>
          <w:p w14:paraId="5886C37D"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c>
          <w:tcPr>
            <w:tcW w:w="205" w:type="pct"/>
            <w:tcBorders>
              <w:top w:val="nil"/>
              <w:left w:val="nil"/>
              <w:bottom w:val="single" w:sz="4" w:space="0" w:color="auto"/>
              <w:right w:val="single" w:sz="4" w:space="0" w:color="auto"/>
            </w:tcBorders>
            <w:noWrap/>
            <w:vAlign w:val="center"/>
            <w:hideMark/>
          </w:tcPr>
          <w:p w14:paraId="450671A5"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c>
          <w:tcPr>
            <w:tcW w:w="205" w:type="pct"/>
            <w:tcBorders>
              <w:top w:val="nil"/>
              <w:left w:val="nil"/>
              <w:bottom w:val="single" w:sz="4" w:space="0" w:color="auto"/>
              <w:right w:val="single" w:sz="4" w:space="0" w:color="auto"/>
            </w:tcBorders>
            <w:noWrap/>
            <w:vAlign w:val="center"/>
            <w:hideMark/>
          </w:tcPr>
          <w:p w14:paraId="23429B9D"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c>
          <w:tcPr>
            <w:tcW w:w="205" w:type="pct"/>
            <w:tcBorders>
              <w:top w:val="nil"/>
              <w:left w:val="nil"/>
              <w:bottom w:val="single" w:sz="4" w:space="0" w:color="auto"/>
              <w:right w:val="single" w:sz="4" w:space="0" w:color="auto"/>
            </w:tcBorders>
            <w:shd w:val="clear" w:color="000000" w:fill="548235"/>
            <w:noWrap/>
            <w:vAlign w:val="center"/>
            <w:hideMark/>
          </w:tcPr>
          <w:p w14:paraId="4D589340"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c>
          <w:tcPr>
            <w:tcW w:w="205" w:type="pct"/>
            <w:tcBorders>
              <w:top w:val="nil"/>
              <w:left w:val="nil"/>
              <w:bottom w:val="single" w:sz="4" w:space="0" w:color="auto"/>
              <w:right w:val="single" w:sz="4" w:space="0" w:color="auto"/>
            </w:tcBorders>
            <w:noWrap/>
            <w:vAlign w:val="center"/>
            <w:hideMark/>
          </w:tcPr>
          <w:p w14:paraId="5A15E773"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c>
          <w:tcPr>
            <w:tcW w:w="205" w:type="pct"/>
            <w:tcBorders>
              <w:top w:val="nil"/>
              <w:left w:val="nil"/>
              <w:bottom w:val="single" w:sz="4" w:space="0" w:color="auto"/>
              <w:right w:val="single" w:sz="4" w:space="0" w:color="auto"/>
            </w:tcBorders>
            <w:noWrap/>
            <w:vAlign w:val="center"/>
            <w:hideMark/>
          </w:tcPr>
          <w:p w14:paraId="155D0185"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c>
          <w:tcPr>
            <w:tcW w:w="205" w:type="pct"/>
            <w:tcBorders>
              <w:top w:val="nil"/>
              <w:left w:val="nil"/>
              <w:bottom w:val="single" w:sz="4" w:space="0" w:color="auto"/>
              <w:right w:val="single" w:sz="4" w:space="0" w:color="auto"/>
            </w:tcBorders>
            <w:noWrap/>
            <w:vAlign w:val="center"/>
            <w:hideMark/>
          </w:tcPr>
          <w:p w14:paraId="2C0FFD85"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c>
          <w:tcPr>
            <w:tcW w:w="205" w:type="pct"/>
            <w:tcBorders>
              <w:top w:val="nil"/>
              <w:left w:val="nil"/>
              <w:bottom w:val="single" w:sz="4" w:space="0" w:color="auto"/>
              <w:right w:val="single" w:sz="4" w:space="0" w:color="auto"/>
            </w:tcBorders>
            <w:noWrap/>
            <w:vAlign w:val="center"/>
            <w:hideMark/>
          </w:tcPr>
          <w:p w14:paraId="7C7DA59D"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r>
      <w:tr w:rsidR="00FE0576" w:rsidRPr="00FE0576" w14:paraId="0FCF6441" w14:textId="77777777" w:rsidTr="00FE0576">
        <w:trPr>
          <w:trHeight w:val="290"/>
        </w:trPr>
        <w:tc>
          <w:tcPr>
            <w:tcW w:w="1714" w:type="pct"/>
            <w:tcBorders>
              <w:top w:val="nil"/>
              <w:left w:val="single" w:sz="4" w:space="0" w:color="auto"/>
              <w:bottom w:val="single" w:sz="4" w:space="0" w:color="auto"/>
              <w:right w:val="single" w:sz="4" w:space="0" w:color="auto"/>
            </w:tcBorders>
            <w:noWrap/>
            <w:vAlign w:val="center"/>
            <w:hideMark/>
          </w:tcPr>
          <w:p w14:paraId="7ECB7A1D" w14:textId="77777777" w:rsidR="00FE0576" w:rsidRPr="00FE0576" w:rsidRDefault="00FE0576" w:rsidP="00FE0576">
            <w:pPr>
              <w:widowControl/>
              <w:autoSpaceDE/>
              <w:autoSpaceDN/>
              <w:spacing w:line="360" w:lineRule="auto"/>
              <w:rPr>
                <w:rFonts w:ascii="Arial" w:eastAsia="Times New Roman" w:hAnsi="Arial" w:cs="Arial"/>
                <w:color w:val="000000"/>
                <w:lang w:val="en-IN" w:eastAsia="zh-TW"/>
              </w:rPr>
            </w:pPr>
            <w:r w:rsidRPr="00FE0576">
              <w:rPr>
                <w:rFonts w:ascii="Arial" w:eastAsia="Times New Roman" w:hAnsi="Arial" w:cs="Arial"/>
                <w:color w:val="000000"/>
                <w:lang w:val="en-IN" w:eastAsia="zh-TW"/>
              </w:rPr>
              <w:t>Writing methodology, ethics and implications</w:t>
            </w:r>
          </w:p>
        </w:tc>
        <w:tc>
          <w:tcPr>
            <w:tcW w:w="205" w:type="pct"/>
            <w:tcBorders>
              <w:top w:val="nil"/>
              <w:left w:val="nil"/>
              <w:bottom w:val="single" w:sz="4" w:space="0" w:color="auto"/>
              <w:right w:val="single" w:sz="4" w:space="0" w:color="auto"/>
            </w:tcBorders>
            <w:noWrap/>
            <w:vAlign w:val="center"/>
            <w:hideMark/>
          </w:tcPr>
          <w:p w14:paraId="5F18B23B"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c>
          <w:tcPr>
            <w:tcW w:w="205" w:type="pct"/>
            <w:tcBorders>
              <w:top w:val="nil"/>
              <w:left w:val="nil"/>
              <w:bottom w:val="single" w:sz="4" w:space="0" w:color="auto"/>
              <w:right w:val="single" w:sz="4" w:space="0" w:color="auto"/>
            </w:tcBorders>
            <w:noWrap/>
            <w:vAlign w:val="center"/>
            <w:hideMark/>
          </w:tcPr>
          <w:p w14:paraId="517A5979"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c>
          <w:tcPr>
            <w:tcW w:w="205" w:type="pct"/>
            <w:tcBorders>
              <w:top w:val="nil"/>
              <w:left w:val="nil"/>
              <w:bottom w:val="single" w:sz="4" w:space="0" w:color="auto"/>
              <w:right w:val="single" w:sz="4" w:space="0" w:color="auto"/>
            </w:tcBorders>
            <w:noWrap/>
            <w:vAlign w:val="center"/>
            <w:hideMark/>
          </w:tcPr>
          <w:p w14:paraId="5DC76134"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c>
          <w:tcPr>
            <w:tcW w:w="205" w:type="pct"/>
            <w:tcBorders>
              <w:top w:val="nil"/>
              <w:left w:val="nil"/>
              <w:bottom w:val="single" w:sz="4" w:space="0" w:color="auto"/>
              <w:right w:val="single" w:sz="4" w:space="0" w:color="auto"/>
            </w:tcBorders>
            <w:noWrap/>
            <w:vAlign w:val="center"/>
            <w:hideMark/>
          </w:tcPr>
          <w:p w14:paraId="44E8F775"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c>
          <w:tcPr>
            <w:tcW w:w="205" w:type="pct"/>
            <w:tcBorders>
              <w:top w:val="nil"/>
              <w:left w:val="nil"/>
              <w:bottom w:val="single" w:sz="4" w:space="0" w:color="auto"/>
              <w:right w:val="single" w:sz="4" w:space="0" w:color="auto"/>
            </w:tcBorders>
            <w:noWrap/>
            <w:vAlign w:val="center"/>
            <w:hideMark/>
          </w:tcPr>
          <w:p w14:paraId="386A2F1A"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c>
          <w:tcPr>
            <w:tcW w:w="205" w:type="pct"/>
            <w:tcBorders>
              <w:top w:val="nil"/>
              <w:left w:val="nil"/>
              <w:bottom w:val="single" w:sz="4" w:space="0" w:color="auto"/>
              <w:right w:val="single" w:sz="4" w:space="0" w:color="auto"/>
            </w:tcBorders>
            <w:noWrap/>
            <w:vAlign w:val="center"/>
            <w:hideMark/>
          </w:tcPr>
          <w:p w14:paraId="5C9DCBFD"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c>
          <w:tcPr>
            <w:tcW w:w="205" w:type="pct"/>
            <w:tcBorders>
              <w:top w:val="nil"/>
              <w:left w:val="nil"/>
              <w:bottom w:val="single" w:sz="4" w:space="0" w:color="auto"/>
              <w:right w:val="single" w:sz="4" w:space="0" w:color="auto"/>
            </w:tcBorders>
            <w:noWrap/>
            <w:vAlign w:val="center"/>
            <w:hideMark/>
          </w:tcPr>
          <w:p w14:paraId="2CA7970E"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c>
          <w:tcPr>
            <w:tcW w:w="205" w:type="pct"/>
            <w:tcBorders>
              <w:top w:val="nil"/>
              <w:left w:val="nil"/>
              <w:bottom w:val="single" w:sz="4" w:space="0" w:color="auto"/>
              <w:right w:val="single" w:sz="4" w:space="0" w:color="auto"/>
            </w:tcBorders>
            <w:noWrap/>
            <w:vAlign w:val="center"/>
            <w:hideMark/>
          </w:tcPr>
          <w:p w14:paraId="345ACE60"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c>
          <w:tcPr>
            <w:tcW w:w="205" w:type="pct"/>
            <w:tcBorders>
              <w:top w:val="nil"/>
              <w:left w:val="nil"/>
              <w:bottom w:val="single" w:sz="4" w:space="0" w:color="auto"/>
              <w:right w:val="single" w:sz="4" w:space="0" w:color="auto"/>
            </w:tcBorders>
            <w:noWrap/>
            <w:vAlign w:val="center"/>
            <w:hideMark/>
          </w:tcPr>
          <w:p w14:paraId="1AAC0DFF"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c>
          <w:tcPr>
            <w:tcW w:w="205" w:type="pct"/>
            <w:tcBorders>
              <w:top w:val="nil"/>
              <w:left w:val="nil"/>
              <w:bottom w:val="single" w:sz="4" w:space="0" w:color="auto"/>
              <w:right w:val="single" w:sz="4" w:space="0" w:color="auto"/>
            </w:tcBorders>
            <w:noWrap/>
            <w:vAlign w:val="center"/>
            <w:hideMark/>
          </w:tcPr>
          <w:p w14:paraId="55A1B04D"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c>
          <w:tcPr>
            <w:tcW w:w="205" w:type="pct"/>
            <w:tcBorders>
              <w:top w:val="nil"/>
              <w:left w:val="nil"/>
              <w:bottom w:val="single" w:sz="4" w:space="0" w:color="auto"/>
              <w:right w:val="single" w:sz="4" w:space="0" w:color="auto"/>
            </w:tcBorders>
            <w:noWrap/>
            <w:vAlign w:val="center"/>
            <w:hideMark/>
          </w:tcPr>
          <w:p w14:paraId="36F54A72"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c>
          <w:tcPr>
            <w:tcW w:w="205" w:type="pct"/>
            <w:tcBorders>
              <w:top w:val="nil"/>
              <w:left w:val="nil"/>
              <w:bottom w:val="single" w:sz="4" w:space="0" w:color="auto"/>
              <w:right w:val="single" w:sz="4" w:space="0" w:color="auto"/>
            </w:tcBorders>
            <w:noWrap/>
            <w:vAlign w:val="center"/>
            <w:hideMark/>
          </w:tcPr>
          <w:p w14:paraId="7B35D466"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c>
          <w:tcPr>
            <w:tcW w:w="205" w:type="pct"/>
            <w:tcBorders>
              <w:top w:val="nil"/>
              <w:left w:val="nil"/>
              <w:bottom w:val="single" w:sz="4" w:space="0" w:color="auto"/>
              <w:right w:val="single" w:sz="4" w:space="0" w:color="auto"/>
            </w:tcBorders>
            <w:shd w:val="clear" w:color="000000" w:fill="548235"/>
            <w:noWrap/>
            <w:vAlign w:val="center"/>
            <w:hideMark/>
          </w:tcPr>
          <w:p w14:paraId="5B2236DA"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c>
          <w:tcPr>
            <w:tcW w:w="205" w:type="pct"/>
            <w:tcBorders>
              <w:top w:val="nil"/>
              <w:left w:val="nil"/>
              <w:bottom w:val="single" w:sz="4" w:space="0" w:color="auto"/>
              <w:right w:val="single" w:sz="4" w:space="0" w:color="auto"/>
            </w:tcBorders>
            <w:noWrap/>
            <w:vAlign w:val="center"/>
            <w:hideMark/>
          </w:tcPr>
          <w:p w14:paraId="4A9F3551"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c>
          <w:tcPr>
            <w:tcW w:w="205" w:type="pct"/>
            <w:tcBorders>
              <w:top w:val="nil"/>
              <w:left w:val="nil"/>
              <w:bottom w:val="single" w:sz="4" w:space="0" w:color="auto"/>
              <w:right w:val="single" w:sz="4" w:space="0" w:color="auto"/>
            </w:tcBorders>
            <w:noWrap/>
            <w:vAlign w:val="center"/>
            <w:hideMark/>
          </w:tcPr>
          <w:p w14:paraId="58CD4262"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c>
          <w:tcPr>
            <w:tcW w:w="205" w:type="pct"/>
            <w:tcBorders>
              <w:top w:val="nil"/>
              <w:left w:val="nil"/>
              <w:bottom w:val="single" w:sz="4" w:space="0" w:color="auto"/>
              <w:right w:val="single" w:sz="4" w:space="0" w:color="auto"/>
            </w:tcBorders>
            <w:noWrap/>
            <w:vAlign w:val="center"/>
            <w:hideMark/>
          </w:tcPr>
          <w:p w14:paraId="5578A143"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r>
      <w:tr w:rsidR="00FE0576" w:rsidRPr="00FE0576" w14:paraId="39189482" w14:textId="77777777" w:rsidTr="00FE0576">
        <w:trPr>
          <w:trHeight w:val="290"/>
        </w:trPr>
        <w:tc>
          <w:tcPr>
            <w:tcW w:w="1714" w:type="pct"/>
            <w:tcBorders>
              <w:top w:val="nil"/>
              <w:left w:val="single" w:sz="4" w:space="0" w:color="auto"/>
              <w:bottom w:val="single" w:sz="4" w:space="0" w:color="auto"/>
              <w:right w:val="single" w:sz="4" w:space="0" w:color="auto"/>
            </w:tcBorders>
            <w:noWrap/>
            <w:vAlign w:val="center"/>
            <w:hideMark/>
          </w:tcPr>
          <w:p w14:paraId="2245CE15" w14:textId="77777777" w:rsidR="00FE0576" w:rsidRPr="00FE0576" w:rsidRDefault="00FE0576" w:rsidP="00FE0576">
            <w:pPr>
              <w:widowControl/>
              <w:autoSpaceDE/>
              <w:autoSpaceDN/>
              <w:spacing w:line="360" w:lineRule="auto"/>
              <w:rPr>
                <w:rFonts w:ascii="Arial" w:eastAsia="Times New Roman" w:hAnsi="Arial" w:cs="Arial"/>
                <w:color w:val="000000"/>
                <w:lang w:val="en-IN" w:eastAsia="zh-TW"/>
              </w:rPr>
            </w:pPr>
            <w:r w:rsidRPr="00FE0576">
              <w:rPr>
                <w:rFonts w:ascii="Arial" w:eastAsia="Times New Roman" w:hAnsi="Arial" w:cs="Arial"/>
                <w:color w:val="000000"/>
                <w:lang w:val="en-IN" w:eastAsia="zh-TW"/>
              </w:rPr>
              <w:t>Draft review and integration of chapters</w:t>
            </w:r>
          </w:p>
        </w:tc>
        <w:tc>
          <w:tcPr>
            <w:tcW w:w="205" w:type="pct"/>
            <w:tcBorders>
              <w:top w:val="nil"/>
              <w:left w:val="nil"/>
              <w:bottom w:val="single" w:sz="4" w:space="0" w:color="auto"/>
              <w:right w:val="single" w:sz="4" w:space="0" w:color="auto"/>
            </w:tcBorders>
            <w:noWrap/>
            <w:vAlign w:val="center"/>
            <w:hideMark/>
          </w:tcPr>
          <w:p w14:paraId="6AFFC582"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c>
          <w:tcPr>
            <w:tcW w:w="205" w:type="pct"/>
            <w:tcBorders>
              <w:top w:val="nil"/>
              <w:left w:val="nil"/>
              <w:bottom w:val="single" w:sz="4" w:space="0" w:color="auto"/>
              <w:right w:val="single" w:sz="4" w:space="0" w:color="auto"/>
            </w:tcBorders>
            <w:noWrap/>
            <w:vAlign w:val="center"/>
            <w:hideMark/>
          </w:tcPr>
          <w:p w14:paraId="7148E9CF"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c>
          <w:tcPr>
            <w:tcW w:w="205" w:type="pct"/>
            <w:tcBorders>
              <w:top w:val="nil"/>
              <w:left w:val="nil"/>
              <w:bottom w:val="single" w:sz="4" w:space="0" w:color="auto"/>
              <w:right w:val="single" w:sz="4" w:space="0" w:color="auto"/>
            </w:tcBorders>
            <w:noWrap/>
            <w:vAlign w:val="center"/>
            <w:hideMark/>
          </w:tcPr>
          <w:p w14:paraId="153EA576"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c>
          <w:tcPr>
            <w:tcW w:w="205" w:type="pct"/>
            <w:tcBorders>
              <w:top w:val="nil"/>
              <w:left w:val="nil"/>
              <w:bottom w:val="single" w:sz="4" w:space="0" w:color="auto"/>
              <w:right w:val="single" w:sz="4" w:space="0" w:color="auto"/>
            </w:tcBorders>
            <w:noWrap/>
            <w:vAlign w:val="center"/>
            <w:hideMark/>
          </w:tcPr>
          <w:p w14:paraId="1F5E4BB4"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c>
          <w:tcPr>
            <w:tcW w:w="205" w:type="pct"/>
            <w:tcBorders>
              <w:top w:val="nil"/>
              <w:left w:val="nil"/>
              <w:bottom w:val="single" w:sz="4" w:space="0" w:color="auto"/>
              <w:right w:val="single" w:sz="4" w:space="0" w:color="auto"/>
            </w:tcBorders>
            <w:noWrap/>
            <w:vAlign w:val="center"/>
            <w:hideMark/>
          </w:tcPr>
          <w:p w14:paraId="7F8AF5D4"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c>
          <w:tcPr>
            <w:tcW w:w="205" w:type="pct"/>
            <w:tcBorders>
              <w:top w:val="nil"/>
              <w:left w:val="nil"/>
              <w:bottom w:val="single" w:sz="4" w:space="0" w:color="auto"/>
              <w:right w:val="single" w:sz="4" w:space="0" w:color="auto"/>
            </w:tcBorders>
            <w:noWrap/>
            <w:vAlign w:val="center"/>
            <w:hideMark/>
          </w:tcPr>
          <w:p w14:paraId="1105C420"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c>
          <w:tcPr>
            <w:tcW w:w="205" w:type="pct"/>
            <w:tcBorders>
              <w:top w:val="nil"/>
              <w:left w:val="nil"/>
              <w:bottom w:val="single" w:sz="4" w:space="0" w:color="auto"/>
              <w:right w:val="single" w:sz="4" w:space="0" w:color="auto"/>
            </w:tcBorders>
            <w:noWrap/>
            <w:vAlign w:val="center"/>
            <w:hideMark/>
          </w:tcPr>
          <w:p w14:paraId="2541A7B7"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c>
          <w:tcPr>
            <w:tcW w:w="205" w:type="pct"/>
            <w:tcBorders>
              <w:top w:val="nil"/>
              <w:left w:val="nil"/>
              <w:bottom w:val="single" w:sz="4" w:space="0" w:color="auto"/>
              <w:right w:val="single" w:sz="4" w:space="0" w:color="auto"/>
            </w:tcBorders>
            <w:noWrap/>
            <w:vAlign w:val="center"/>
            <w:hideMark/>
          </w:tcPr>
          <w:p w14:paraId="62CBD1C6"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c>
          <w:tcPr>
            <w:tcW w:w="205" w:type="pct"/>
            <w:tcBorders>
              <w:top w:val="nil"/>
              <w:left w:val="nil"/>
              <w:bottom w:val="single" w:sz="4" w:space="0" w:color="auto"/>
              <w:right w:val="single" w:sz="4" w:space="0" w:color="auto"/>
            </w:tcBorders>
            <w:noWrap/>
            <w:vAlign w:val="center"/>
            <w:hideMark/>
          </w:tcPr>
          <w:p w14:paraId="403B7EE8"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c>
          <w:tcPr>
            <w:tcW w:w="205" w:type="pct"/>
            <w:tcBorders>
              <w:top w:val="nil"/>
              <w:left w:val="nil"/>
              <w:bottom w:val="single" w:sz="4" w:space="0" w:color="auto"/>
              <w:right w:val="single" w:sz="4" w:space="0" w:color="auto"/>
            </w:tcBorders>
            <w:noWrap/>
            <w:vAlign w:val="center"/>
            <w:hideMark/>
          </w:tcPr>
          <w:p w14:paraId="45806C4A"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c>
          <w:tcPr>
            <w:tcW w:w="205" w:type="pct"/>
            <w:tcBorders>
              <w:top w:val="nil"/>
              <w:left w:val="nil"/>
              <w:bottom w:val="single" w:sz="4" w:space="0" w:color="auto"/>
              <w:right w:val="single" w:sz="4" w:space="0" w:color="auto"/>
            </w:tcBorders>
            <w:noWrap/>
            <w:vAlign w:val="center"/>
            <w:hideMark/>
          </w:tcPr>
          <w:p w14:paraId="6AC71CD6"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c>
          <w:tcPr>
            <w:tcW w:w="205" w:type="pct"/>
            <w:tcBorders>
              <w:top w:val="nil"/>
              <w:left w:val="nil"/>
              <w:bottom w:val="single" w:sz="4" w:space="0" w:color="auto"/>
              <w:right w:val="single" w:sz="4" w:space="0" w:color="auto"/>
            </w:tcBorders>
            <w:noWrap/>
            <w:vAlign w:val="center"/>
            <w:hideMark/>
          </w:tcPr>
          <w:p w14:paraId="73AA224B"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c>
          <w:tcPr>
            <w:tcW w:w="205" w:type="pct"/>
            <w:tcBorders>
              <w:top w:val="nil"/>
              <w:left w:val="nil"/>
              <w:bottom w:val="single" w:sz="4" w:space="0" w:color="auto"/>
              <w:right w:val="single" w:sz="4" w:space="0" w:color="auto"/>
            </w:tcBorders>
            <w:noWrap/>
            <w:vAlign w:val="center"/>
            <w:hideMark/>
          </w:tcPr>
          <w:p w14:paraId="60F28E75"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c>
          <w:tcPr>
            <w:tcW w:w="205" w:type="pct"/>
            <w:tcBorders>
              <w:top w:val="nil"/>
              <w:left w:val="nil"/>
              <w:bottom w:val="single" w:sz="4" w:space="0" w:color="auto"/>
              <w:right w:val="single" w:sz="4" w:space="0" w:color="auto"/>
            </w:tcBorders>
            <w:shd w:val="clear" w:color="000000" w:fill="548235"/>
            <w:noWrap/>
            <w:vAlign w:val="center"/>
            <w:hideMark/>
          </w:tcPr>
          <w:p w14:paraId="544FF80B"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c>
          <w:tcPr>
            <w:tcW w:w="205" w:type="pct"/>
            <w:tcBorders>
              <w:top w:val="nil"/>
              <w:left w:val="nil"/>
              <w:bottom w:val="single" w:sz="4" w:space="0" w:color="auto"/>
              <w:right w:val="single" w:sz="4" w:space="0" w:color="auto"/>
            </w:tcBorders>
            <w:noWrap/>
            <w:vAlign w:val="center"/>
            <w:hideMark/>
          </w:tcPr>
          <w:p w14:paraId="1AEB9A29"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c>
          <w:tcPr>
            <w:tcW w:w="205" w:type="pct"/>
            <w:tcBorders>
              <w:top w:val="nil"/>
              <w:left w:val="nil"/>
              <w:bottom w:val="single" w:sz="4" w:space="0" w:color="auto"/>
              <w:right w:val="single" w:sz="4" w:space="0" w:color="auto"/>
            </w:tcBorders>
            <w:noWrap/>
            <w:vAlign w:val="center"/>
            <w:hideMark/>
          </w:tcPr>
          <w:p w14:paraId="5B85DA67"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r>
      <w:tr w:rsidR="00FE0576" w:rsidRPr="00FE0576" w14:paraId="5F8A69CB" w14:textId="77777777" w:rsidTr="00FE0576">
        <w:trPr>
          <w:trHeight w:val="290"/>
        </w:trPr>
        <w:tc>
          <w:tcPr>
            <w:tcW w:w="1714" w:type="pct"/>
            <w:tcBorders>
              <w:top w:val="nil"/>
              <w:left w:val="single" w:sz="4" w:space="0" w:color="auto"/>
              <w:bottom w:val="single" w:sz="4" w:space="0" w:color="auto"/>
              <w:right w:val="single" w:sz="4" w:space="0" w:color="auto"/>
            </w:tcBorders>
            <w:noWrap/>
            <w:vAlign w:val="center"/>
            <w:hideMark/>
          </w:tcPr>
          <w:p w14:paraId="7F061910" w14:textId="77777777" w:rsidR="00FE0576" w:rsidRPr="00FE0576" w:rsidRDefault="00FE0576" w:rsidP="00FE0576">
            <w:pPr>
              <w:widowControl/>
              <w:autoSpaceDE/>
              <w:autoSpaceDN/>
              <w:spacing w:line="360" w:lineRule="auto"/>
              <w:rPr>
                <w:rFonts w:ascii="Arial" w:eastAsia="Times New Roman" w:hAnsi="Arial" w:cs="Arial"/>
                <w:color w:val="000000"/>
                <w:lang w:val="en-IN" w:eastAsia="zh-TW"/>
              </w:rPr>
            </w:pPr>
            <w:r w:rsidRPr="00FE0576">
              <w:rPr>
                <w:rFonts w:ascii="Arial" w:eastAsia="Times New Roman" w:hAnsi="Arial" w:cs="Arial"/>
                <w:color w:val="000000"/>
                <w:lang w:val="en-IN" w:eastAsia="zh-TW"/>
              </w:rPr>
              <w:t>Proofreading, formatting and referencing</w:t>
            </w:r>
          </w:p>
        </w:tc>
        <w:tc>
          <w:tcPr>
            <w:tcW w:w="205" w:type="pct"/>
            <w:tcBorders>
              <w:top w:val="nil"/>
              <w:left w:val="nil"/>
              <w:bottom w:val="single" w:sz="4" w:space="0" w:color="auto"/>
              <w:right w:val="single" w:sz="4" w:space="0" w:color="auto"/>
            </w:tcBorders>
            <w:noWrap/>
            <w:vAlign w:val="center"/>
            <w:hideMark/>
          </w:tcPr>
          <w:p w14:paraId="27FC72D9"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c>
          <w:tcPr>
            <w:tcW w:w="205" w:type="pct"/>
            <w:tcBorders>
              <w:top w:val="nil"/>
              <w:left w:val="nil"/>
              <w:bottom w:val="single" w:sz="4" w:space="0" w:color="auto"/>
              <w:right w:val="single" w:sz="4" w:space="0" w:color="auto"/>
            </w:tcBorders>
            <w:noWrap/>
            <w:vAlign w:val="center"/>
            <w:hideMark/>
          </w:tcPr>
          <w:p w14:paraId="1ACEC860"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c>
          <w:tcPr>
            <w:tcW w:w="205" w:type="pct"/>
            <w:tcBorders>
              <w:top w:val="nil"/>
              <w:left w:val="nil"/>
              <w:bottom w:val="single" w:sz="4" w:space="0" w:color="auto"/>
              <w:right w:val="single" w:sz="4" w:space="0" w:color="auto"/>
            </w:tcBorders>
            <w:noWrap/>
            <w:vAlign w:val="center"/>
            <w:hideMark/>
          </w:tcPr>
          <w:p w14:paraId="09E9C0AD"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c>
          <w:tcPr>
            <w:tcW w:w="205" w:type="pct"/>
            <w:tcBorders>
              <w:top w:val="nil"/>
              <w:left w:val="nil"/>
              <w:bottom w:val="single" w:sz="4" w:space="0" w:color="auto"/>
              <w:right w:val="single" w:sz="4" w:space="0" w:color="auto"/>
            </w:tcBorders>
            <w:noWrap/>
            <w:vAlign w:val="center"/>
            <w:hideMark/>
          </w:tcPr>
          <w:p w14:paraId="6791705B"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c>
          <w:tcPr>
            <w:tcW w:w="205" w:type="pct"/>
            <w:tcBorders>
              <w:top w:val="nil"/>
              <w:left w:val="nil"/>
              <w:bottom w:val="single" w:sz="4" w:space="0" w:color="auto"/>
              <w:right w:val="single" w:sz="4" w:space="0" w:color="auto"/>
            </w:tcBorders>
            <w:noWrap/>
            <w:vAlign w:val="center"/>
            <w:hideMark/>
          </w:tcPr>
          <w:p w14:paraId="51904626"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c>
          <w:tcPr>
            <w:tcW w:w="205" w:type="pct"/>
            <w:tcBorders>
              <w:top w:val="nil"/>
              <w:left w:val="nil"/>
              <w:bottom w:val="single" w:sz="4" w:space="0" w:color="auto"/>
              <w:right w:val="single" w:sz="4" w:space="0" w:color="auto"/>
            </w:tcBorders>
            <w:noWrap/>
            <w:vAlign w:val="center"/>
            <w:hideMark/>
          </w:tcPr>
          <w:p w14:paraId="26DFF9A5"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c>
          <w:tcPr>
            <w:tcW w:w="205" w:type="pct"/>
            <w:tcBorders>
              <w:top w:val="nil"/>
              <w:left w:val="nil"/>
              <w:bottom w:val="single" w:sz="4" w:space="0" w:color="auto"/>
              <w:right w:val="single" w:sz="4" w:space="0" w:color="auto"/>
            </w:tcBorders>
            <w:noWrap/>
            <w:vAlign w:val="center"/>
            <w:hideMark/>
          </w:tcPr>
          <w:p w14:paraId="7979009C"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c>
          <w:tcPr>
            <w:tcW w:w="205" w:type="pct"/>
            <w:tcBorders>
              <w:top w:val="nil"/>
              <w:left w:val="nil"/>
              <w:bottom w:val="single" w:sz="4" w:space="0" w:color="auto"/>
              <w:right w:val="single" w:sz="4" w:space="0" w:color="auto"/>
            </w:tcBorders>
            <w:noWrap/>
            <w:vAlign w:val="center"/>
            <w:hideMark/>
          </w:tcPr>
          <w:p w14:paraId="3219606D"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c>
          <w:tcPr>
            <w:tcW w:w="205" w:type="pct"/>
            <w:tcBorders>
              <w:top w:val="nil"/>
              <w:left w:val="nil"/>
              <w:bottom w:val="single" w:sz="4" w:space="0" w:color="auto"/>
              <w:right w:val="single" w:sz="4" w:space="0" w:color="auto"/>
            </w:tcBorders>
            <w:noWrap/>
            <w:vAlign w:val="center"/>
            <w:hideMark/>
          </w:tcPr>
          <w:p w14:paraId="129503E7"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c>
          <w:tcPr>
            <w:tcW w:w="205" w:type="pct"/>
            <w:tcBorders>
              <w:top w:val="nil"/>
              <w:left w:val="nil"/>
              <w:bottom w:val="single" w:sz="4" w:space="0" w:color="auto"/>
              <w:right w:val="single" w:sz="4" w:space="0" w:color="auto"/>
            </w:tcBorders>
            <w:noWrap/>
            <w:vAlign w:val="center"/>
            <w:hideMark/>
          </w:tcPr>
          <w:p w14:paraId="79C36146"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c>
          <w:tcPr>
            <w:tcW w:w="205" w:type="pct"/>
            <w:tcBorders>
              <w:top w:val="nil"/>
              <w:left w:val="nil"/>
              <w:bottom w:val="single" w:sz="4" w:space="0" w:color="auto"/>
              <w:right w:val="single" w:sz="4" w:space="0" w:color="auto"/>
            </w:tcBorders>
            <w:noWrap/>
            <w:vAlign w:val="center"/>
            <w:hideMark/>
          </w:tcPr>
          <w:p w14:paraId="5777A8A6"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c>
          <w:tcPr>
            <w:tcW w:w="205" w:type="pct"/>
            <w:tcBorders>
              <w:top w:val="nil"/>
              <w:left w:val="nil"/>
              <w:bottom w:val="single" w:sz="4" w:space="0" w:color="auto"/>
              <w:right w:val="single" w:sz="4" w:space="0" w:color="auto"/>
            </w:tcBorders>
            <w:noWrap/>
            <w:vAlign w:val="center"/>
            <w:hideMark/>
          </w:tcPr>
          <w:p w14:paraId="248DC9A3"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c>
          <w:tcPr>
            <w:tcW w:w="205" w:type="pct"/>
            <w:tcBorders>
              <w:top w:val="nil"/>
              <w:left w:val="nil"/>
              <w:bottom w:val="single" w:sz="4" w:space="0" w:color="auto"/>
              <w:right w:val="single" w:sz="4" w:space="0" w:color="auto"/>
            </w:tcBorders>
            <w:noWrap/>
            <w:vAlign w:val="center"/>
            <w:hideMark/>
          </w:tcPr>
          <w:p w14:paraId="6E7D4A2E"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c>
          <w:tcPr>
            <w:tcW w:w="205" w:type="pct"/>
            <w:tcBorders>
              <w:top w:val="nil"/>
              <w:left w:val="nil"/>
              <w:bottom w:val="single" w:sz="4" w:space="0" w:color="auto"/>
              <w:right w:val="single" w:sz="4" w:space="0" w:color="auto"/>
            </w:tcBorders>
            <w:noWrap/>
            <w:vAlign w:val="center"/>
            <w:hideMark/>
          </w:tcPr>
          <w:p w14:paraId="5793A9FD"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c>
          <w:tcPr>
            <w:tcW w:w="205" w:type="pct"/>
            <w:tcBorders>
              <w:top w:val="nil"/>
              <w:left w:val="nil"/>
              <w:bottom w:val="single" w:sz="4" w:space="0" w:color="auto"/>
              <w:right w:val="single" w:sz="4" w:space="0" w:color="auto"/>
            </w:tcBorders>
            <w:shd w:val="clear" w:color="000000" w:fill="548235"/>
            <w:noWrap/>
            <w:vAlign w:val="center"/>
            <w:hideMark/>
          </w:tcPr>
          <w:p w14:paraId="56ED42AC"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c>
          <w:tcPr>
            <w:tcW w:w="205" w:type="pct"/>
            <w:tcBorders>
              <w:top w:val="nil"/>
              <w:left w:val="nil"/>
              <w:bottom w:val="single" w:sz="4" w:space="0" w:color="auto"/>
              <w:right w:val="single" w:sz="4" w:space="0" w:color="auto"/>
            </w:tcBorders>
            <w:noWrap/>
            <w:vAlign w:val="center"/>
            <w:hideMark/>
          </w:tcPr>
          <w:p w14:paraId="6723B2AC"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r>
      <w:tr w:rsidR="00FE0576" w:rsidRPr="00FE0576" w14:paraId="6E1CF9B4" w14:textId="77777777" w:rsidTr="00FE0576">
        <w:trPr>
          <w:trHeight w:val="290"/>
        </w:trPr>
        <w:tc>
          <w:tcPr>
            <w:tcW w:w="1714" w:type="pct"/>
            <w:tcBorders>
              <w:top w:val="nil"/>
              <w:left w:val="single" w:sz="4" w:space="0" w:color="auto"/>
              <w:bottom w:val="single" w:sz="4" w:space="0" w:color="auto"/>
              <w:right w:val="single" w:sz="4" w:space="0" w:color="auto"/>
            </w:tcBorders>
            <w:noWrap/>
            <w:vAlign w:val="center"/>
            <w:hideMark/>
          </w:tcPr>
          <w:p w14:paraId="5C096D82" w14:textId="77777777" w:rsidR="00FE0576" w:rsidRPr="00FE0576" w:rsidRDefault="00FE0576" w:rsidP="00FE0576">
            <w:pPr>
              <w:widowControl/>
              <w:autoSpaceDE/>
              <w:autoSpaceDN/>
              <w:spacing w:line="360" w:lineRule="auto"/>
              <w:rPr>
                <w:rFonts w:ascii="Arial" w:eastAsia="Times New Roman" w:hAnsi="Arial" w:cs="Arial"/>
                <w:color w:val="000000"/>
                <w:lang w:val="en-IN" w:eastAsia="zh-TW"/>
              </w:rPr>
            </w:pPr>
            <w:r w:rsidRPr="00FE0576">
              <w:rPr>
                <w:rFonts w:ascii="Arial" w:eastAsia="Times New Roman" w:hAnsi="Arial" w:cs="Arial"/>
                <w:color w:val="000000"/>
                <w:lang w:val="en-IN" w:eastAsia="zh-TW"/>
              </w:rPr>
              <w:t>Final revision and submission</w:t>
            </w:r>
          </w:p>
        </w:tc>
        <w:tc>
          <w:tcPr>
            <w:tcW w:w="205" w:type="pct"/>
            <w:tcBorders>
              <w:top w:val="nil"/>
              <w:left w:val="nil"/>
              <w:bottom w:val="single" w:sz="4" w:space="0" w:color="auto"/>
              <w:right w:val="single" w:sz="4" w:space="0" w:color="auto"/>
            </w:tcBorders>
            <w:noWrap/>
            <w:vAlign w:val="center"/>
            <w:hideMark/>
          </w:tcPr>
          <w:p w14:paraId="70BAE91E"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c>
          <w:tcPr>
            <w:tcW w:w="205" w:type="pct"/>
            <w:tcBorders>
              <w:top w:val="nil"/>
              <w:left w:val="nil"/>
              <w:bottom w:val="single" w:sz="4" w:space="0" w:color="auto"/>
              <w:right w:val="single" w:sz="4" w:space="0" w:color="auto"/>
            </w:tcBorders>
            <w:noWrap/>
            <w:vAlign w:val="center"/>
            <w:hideMark/>
          </w:tcPr>
          <w:p w14:paraId="4D8E1C62"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c>
          <w:tcPr>
            <w:tcW w:w="205" w:type="pct"/>
            <w:tcBorders>
              <w:top w:val="nil"/>
              <w:left w:val="nil"/>
              <w:bottom w:val="single" w:sz="4" w:space="0" w:color="auto"/>
              <w:right w:val="single" w:sz="4" w:space="0" w:color="auto"/>
            </w:tcBorders>
            <w:noWrap/>
            <w:vAlign w:val="center"/>
            <w:hideMark/>
          </w:tcPr>
          <w:p w14:paraId="5FE3B870"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c>
          <w:tcPr>
            <w:tcW w:w="205" w:type="pct"/>
            <w:tcBorders>
              <w:top w:val="nil"/>
              <w:left w:val="nil"/>
              <w:bottom w:val="single" w:sz="4" w:space="0" w:color="auto"/>
              <w:right w:val="single" w:sz="4" w:space="0" w:color="auto"/>
            </w:tcBorders>
            <w:noWrap/>
            <w:vAlign w:val="center"/>
            <w:hideMark/>
          </w:tcPr>
          <w:p w14:paraId="3E277C8D"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c>
          <w:tcPr>
            <w:tcW w:w="205" w:type="pct"/>
            <w:tcBorders>
              <w:top w:val="nil"/>
              <w:left w:val="nil"/>
              <w:bottom w:val="single" w:sz="4" w:space="0" w:color="auto"/>
              <w:right w:val="single" w:sz="4" w:space="0" w:color="auto"/>
            </w:tcBorders>
            <w:noWrap/>
            <w:vAlign w:val="center"/>
            <w:hideMark/>
          </w:tcPr>
          <w:p w14:paraId="0BE1FB3A"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c>
          <w:tcPr>
            <w:tcW w:w="205" w:type="pct"/>
            <w:tcBorders>
              <w:top w:val="nil"/>
              <w:left w:val="nil"/>
              <w:bottom w:val="single" w:sz="4" w:space="0" w:color="auto"/>
              <w:right w:val="single" w:sz="4" w:space="0" w:color="auto"/>
            </w:tcBorders>
            <w:noWrap/>
            <w:vAlign w:val="center"/>
            <w:hideMark/>
          </w:tcPr>
          <w:p w14:paraId="776F96EA"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c>
          <w:tcPr>
            <w:tcW w:w="205" w:type="pct"/>
            <w:tcBorders>
              <w:top w:val="nil"/>
              <w:left w:val="nil"/>
              <w:bottom w:val="single" w:sz="4" w:space="0" w:color="auto"/>
              <w:right w:val="single" w:sz="4" w:space="0" w:color="auto"/>
            </w:tcBorders>
            <w:noWrap/>
            <w:vAlign w:val="center"/>
            <w:hideMark/>
          </w:tcPr>
          <w:p w14:paraId="0EFD8DB7"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c>
          <w:tcPr>
            <w:tcW w:w="205" w:type="pct"/>
            <w:tcBorders>
              <w:top w:val="nil"/>
              <w:left w:val="nil"/>
              <w:bottom w:val="single" w:sz="4" w:space="0" w:color="auto"/>
              <w:right w:val="single" w:sz="4" w:space="0" w:color="auto"/>
            </w:tcBorders>
            <w:noWrap/>
            <w:vAlign w:val="center"/>
            <w:hideMark/>
          </w:tcPr>
          <w:p w14:paraId="30325EF4"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c>
          <w:tcPr>
            <w:tcW w:w="205" w:type="pct"/>
            <w:tcBorders>
              <w:top w:val="nil"/>
              <w:left w:val="nil"/>
              <w:bottom w:val="single" w:sz="4" w:space="0" w:color="auto"/>
              <w:right w:val="single" w:sz="4" w:space="0" w:color="auto"/>
            </w:tcBorders>
            <w:noWrap/>
            <w:vAlign w:val="center"/>
            <w:hideMark/>
          </w:tcPr>
          <w:p w14:paraId="17717655"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c>
          <w:tcPr>
            <w:tcW w:w="205" w:type="pct"/>
            <w:tcBorders>
              <w:top w:val="nil"/>
              <w:left w:val="nil"/>
              <w:bottom w:val="single" w:sz="4" w:space="0" w:color="auto"/>
              <w:right w:val="single" w:sz="4" w:space="0" w:color="auto"/>
            </w:tcBorders>
            <w:noWrap/>
            <w:vAlign w:val="center"/>
            <w:hideMark/>
          </w:tcPr>
          <w:p w14:paraId="76D55D7D"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c>
          <w:tcPr>
            <w:tcW w:w="205" w:type="pct"/>
            <w:tcBorders>
              <w:top w:val="nil"/>
              <w:left w:val="nil"/>
              <w:bottom w:val="single" w:sz="4" w:space="0" w:color="auto"/>
              <w:right w:val="single" w:sz="4" w:space="0" w:color="auto"/>
            </w:tcBorders>
            <w:noWrap/>
            <w:vAlign w:val="center"/>
            <w:hideMark/>
          </w:tcPr>
          <w:p w14:paraId="7270709B"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c>
          <w:tcPr>
            <w:tcW w:w="205" w:type="pct"/>
            <w:tcBorders>
              <w:top w:val="nil"/>
              <w:left w:val="nil"/>
              <w:bottom w:val="single" w:sz="4" w:space="0" w:color="auto"/>
              <w:right w:val="single" w:sz="4" w:space="0" w:color="auto"/>
            </w:tcBorders>
            <w:noWrap/>
            <w:vAlign w:val="center"/>
            <w:hideMark/>
          </w:tcPr>
          <w:p w14:paraId="5E9CCF3C"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c>
          <w:tcPr>
            <w:tcW w:w="205" w:type="pct"/>
            <w:tcBorders>
              <w:top w:val="nil"/>
              <w:left w:val="nil"/>
              <w:bottom w:val="single" w:sz="4" w:space="0" w:color="auto"/>
              <w:right w:val="single" w:sz="4" w:space="0" w:color="auto"/>
            </w:tcBorders>
            <w:noWrap/>
            <w:vAlign w:val="center"/>
            <w:hideMark/>
          </w:tcPr>
          <w:p w14:paraId="40C72469"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c>
          <w:tcPr>
            <w:tcW w:w="205" w:type="pct"/>
            <w:tcBorders>
              <w:top w:val="nil"/>
              <w:left w:val="nil"/>
              <w:bottom w:val="single" w:sz="4" w:space="0" w:color="auto"/>
              <w:right w:val="single" w:sz="4" w:space="0" w:color="auto"/>
            </w:tcBorders>
            <w:noWrap/>
            <w:vAlign w:val="center"/>
            <w:hideMark/>
          </w:tcPr>
          <w:p w14:paraId="32CCB466"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c>
          <w:tcPr>
            <w:tcW w:w="205" w:type="pct"/>
            <w:tcBorders>
              <w:top w:val="nil"/>
              <w:left w:val="nil"/>
              <w:bottom w:val="single" w:sz="4" w:space="0" w:color="auto"/>
              <w:right w:val="single" w:sz="4" w:space="0" w:color="auto"/>
            </w:tcBorders>
            <w:noWrap/>
            <w:vAlign w:val="center"/>
            <w:hideMark/>
          </w:tcPr>
          <w:p w14:paraId="7231883D"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c>
          <w:tcPr>
            <w:tcW w:w="205" w:type="pct"/>
            <w:tcBorders>
              <w:top w:val="nil"/>
              <w:left w:val="nil"/>
              <w:bottom w:val="single" w:sz="4" w:space="0" w:color="auto"/>
              <w:right w:val="single" w:sz="4" w:space="0" w:color="auto"/>
            </w:tcBorders>
            <w:shd w:val="clear" w:color="000000" w:fill="548235"/>
            <w:noWrap/>
            <w:vAlign w:val="center"/>
            <w:hideMark/>
          </w:tcPr>
          <w:p w14:paraId="71448E88" w14:textId="77777777" w:rsidR="00FE0576" w:rsidRPr="00FE0576" w:rsidRDefault="00FE0576" w:rsidP="00FE0576">
            <w:pPr>
              <w:widowControl/>
              <w:autoSpaceDE/>
              <w:autoSpaceDN/>
              <w:spacing w:line="360" w:lineRule="auto"/>
              <w:jc w:val="center"/>
              <w:rPr>
                <w:rFonts w:ascii="Arial" w:eastAsia="Times New Roman" w:hAnsi="Arial" w:cs="Arial"/>
                <w:color w:val="000000"/>
                <w:lang w:val="en-IN" w:eastAsia="zh-TW"/>
              </w:rPr>
            </w:pPr>
            <w:r w:rsidRPr="00FE0576">
              <w:rPr>
                <w:rFonts w:ascii="Arial" w:eastAsia="Times New Roman" w:hAnsi="Arial" w:cs="Arial"/>
                <w:color w:val="000000"/>
                <w:lang w:val="en-IN" w:eastAsia="zh-TW"/>
              </w:rPr>
              <w:t> </w:t>
            </w:r>
          </w:p>
        </w:tc>
      </w:tr>
    </w:tbl>
    <w:p w14:paraId="08F0D1E5" w14:textId="77777777" w:rsidR="00FE0576" w:rsidRDefault="00FE0576" w:rsidP="00AC1F4E">
      <w:pPr>
        <w:spacing w:line="360" w:lineRule="auto"/>
        <w:jc w:val="center"/>
        <w:rPr>
          <w:rFonts w:ascii="Arial" w:hAnsi="Arial" w:cs="Arial"/>
          <w:b/>
          <w:bCs/>
        </w:rPr>
      </w:pPr>
    </w:p>
    <w:p w14:paraId="05E149AB" w14:textId="27412338" w:rsidR="005A07A1" w:rsidRPr="001F44E7" w:rsidRDefault="005A07A1" w:rsidP="00AC1F4E">
      <w:pPr>
        <w:spacing w:line="360" w:lineRule="auto"/>
        <w:jc w:val="center"/>
        <w:rPr>
          <w:rFonts w:ascii="Arial" w:hAnsi="Arial" w:cs="Arial"/>
          <w:b/>
          <w:bCs/>
        </w:rPr>
      </w:pPr>
      <w:r w:rsidRPr="001F44E7">
        <w:rPr>
          <w:rFonts w:ascii="Arial" w:hAnsi="Arial" w:cs="Arial"/>
          <w:b/>
          <w:bCs/>
        </w:rPr>
        <w:t>Table 1: Time Schedule (Gantt Chart)</w:t>
      </w:r>
    </w:p>
    <w:p w14:paraId="2ED3E436" w14:textId="77777777" w:rsidR="005A07A1" w:rsidRPr="001F44E7" w:rsidRDefault="005A07A1" w:rsidP="00AC1F4E">
      <w:pPr>
        <w:spacing w:line="360" w:lineRule="auto"/>
        <w:jc w:val="center"/>
        <w:rPr>
          <w:rFonts w:ascii="Arial" w:hAnsi="Arial" w:cs="Arial"/>
        </w:rPr>
      </w:pPr>
      <w:r w:rsidRPr="001F44E7">
        <w:rPr>
          <w:rFonts w:ascii="Arial" w:hAnsi="Arial" w:cs="Arial"/>
        </w:rPr>
        <w:t>Source: (Created by Author)</w:t>
      </w:r>
    </w:p>
    <w:p w14:paraId="11E6C336" w14:textId="09D56D0B" w:rsidR="005A07A1" w:rsidRPr="001F44E7" w:rsidRDefault="00D45121" w:rsidP="005A07A1">
      <w:pPr>
        <w:spacing w:line="360" w:lineRule="auto"/>
        <w:jc w:val="both"/>
        <w:rPr>
          <w:rFonts w:ascii="Arial" w:hAnsi="Arial" w:cs="Arial"/>
        </w:rPr>
      </w:pPr>
      <w:r w:rsidRPr="00D45121">
        <w:rPr>
          <w:rFonts w:ascii="Arial" w:hAnsi="Arial" w:cs="Arial"/>
        </w:rPr>
        <w:t xml:space="preserve">The project shall be based on a 10-week timetable. Weeks 1-2 involve affirmation of the topic and objectives concerning community-based mental-health interventions. Weeks 3-5 deal with systematic literature searching and screening. Weeks 6- 8 will entail extracted data and thematic analysis of hospital readmission findings. Weeks 9-10 Weeks 9-10 Writing, synthesis, revisions </w:t>
      </w:r>
      <w:r w:rsidRPr="00D45121">
        <w:rPr>
          <w:rFonts w:ascii="Arial" w:hAnsi="Arial" w:cs="Arial"/>
        </w:rPr>
        <w:lastRenderedPageBreak/>
        <w:t>and final submission</w:t>
      </w:r>
      <w:r w:rsidR="003F4794" w:rsidRPr="003F4794">
        <w:rPr>
          <w:rFonts w:ascii="Arial" w:hAnsi="Arial" w:cs="Arial"/>
        </w:rPr>
        <w:t>.</w:t>
      </w:r>
      <w:r w:rsidR="005A07A1" w:rsidRPr="001F44E7">
        <w:rPr>
          <w:rFonts w:ascii="Arial" w:hAnsi="Arial" w:cs="Arial"/>
        </w:rPr>
        <w:br w:type="page"/>
      </w:r>
    </w:p>
    <w:p w14:paraId="74F6BBBB" w14:textId="21EAB7CF" w:rsidR="00AC1F4E" w:rsidRPr="00AC1F4E" w:rsidRDefault="005A07A1" w:rsidP="00AC1F4E">
      <w:pPr>
        <w:pStyle w:val="Heading1"/>
      </w:pPr>
      <w:bookmarkStart w:id="15" w:name="_t9wv5zwxe6aw" w:colFirst="0" w:colLast="0"/>
      <w:bookmarkStart w:id="16" w:name="_Toc216695548"/>
      <w:bookmarkEnd w:id="15"/>
      <w:r w:rsidRPr="001F44E7">
        <w:lastRenderedPageBreak/>
        <w:t>Reference List</w:t>
      </w:r>
      <w:bookmarkEnd w:id="16"/>
    </w:p>
    <w:p w14:paraId="4B08BBB9" w14:textId="77777777" w:rsidR="007C2A77" w:rsidRPr="007C2A77" w:rsidRDefault="007C2A77" w:rsidP="007C2A77">
      <w:pPr>
        <w:spacing w:before="240" w:after="240" w:line="360" w:lineRule="auto"/>
        <w:jc w:val="both"/>
        <w:rPr>
          <w:rFonts w:ascii="Arial" w:hAnsi="Arial" w:cs="Arial"/>
          <w:lang w:val="en-GB"/>
        </w:rPr>
      </w:pPr>
      <w:r w:rsidRPr="007C2A77">
        <w:rPr>
          <w:rFonts w:ascii="Arial" w:hAnsi="Arial" w:cs="Arial"/>
          <w:lang w:val="en-GB"/>
        </w:rPr>
        <w:t xml:space="preserve">Bachman, S. (2022). Is This Going to Be the End? </w:t>
      </w:r>
      <w:proofErr w:type="spellStart"/>
      <w:r w:rsidRPr="007C2A77">
        <w:rPr>
          <w:rFonts w:ascii="Arial" w:hAnsi="Arial" w:cs="Arial"/>
          <w:i/>
          <w:iCs/>
          <w:lang w:val="en-GB"/>
        </w:rPr>
        <w:t>UKnowledge</w:t>
      </w:r>
      <w:proofErr w:type="spellEnd"/>
      <w:r w:rsidRPr="007C2A77">
        <w:rPr>
          <w:rFonts w:ascii="Arial" w:hAnsi="Arial" w:cs="Arial"/>
          <w:i/>
          <w:iCs/>
          <w:lang w:val="en-GB"/>
        </w:rPr>
        <w:t xml:space="preserve"> (University of Kentucky)</w:t>
      </w:r>
      <w:r w:rsidRPr="007C2A77">
        <w:rPr>
          <w:rFonts w:ascii="Arial" w:hAnsi="Arial" w:cs="Arial"/>
          <w:lang w:val="en-GB"/>
        </w:rPr>
        <w:t>. [online] doi:https://doi.org/10.13023/etd.2022.90.</w:t>
      </w:r>
    </w:p>
    <w:p w14:paraId="2916783B" w14:textId="77777777" w:rsidR="007C2A77" w:rsidRPr="007C2A77" w:rsidRDefault="007C2A77" w:rsidP="007C2A77">
      <w:pPr>
        <w:spacing w:before="240" w:after="240" w:line="360" w:lineRule="auto"/>
        <w:jc w:val="both"/>
        <w:rPr>
          <w:rFonts w:ascii="Arial" w:hAnsi="Arial" w:cs="Arial"/>
          <w:lang w:val="en-GB"/>
        </w:rPr>
      </w:pPr>
      <w:r w:rsidRPr="007C2A77">
        <w:rPr>
          <w:rFonts w:ascii="Arial" w:hAnsi="Arial" w:cs="Arial"/>
          <w:lang w:val="en-GB"/>
        </w:rPr>
        <w:t xml:space="preserve">Butler, J., Petrie, M.C., Bains, M., Bawtinheimer, T., Code, J., Levitch, T., </w:t>
      </w:r>
      <w:proofErr w:type="spellStart"/>
      <w:r w:rsidRPr="007C2A77">
        <w:rPr>
          <w:rFonts w:ascii="Arial" w:hAnsi="Arial" w:cs="Arial"/>
          <w:lang w:val="en-GB"/>
        </w:rPr>
        <w:t>Malvolti</w:t>
      </w:r>
      <w:proofErr w:type="spellEnd"/>
      <w:r w:rsidRPr="007C2A77">
        <w:rPr>
          <w:rFonts w:ascii="Arial" w:hAnsi="Arial" w:cs="Arial"/>
          <w:lang w:val="en-GB"/>
        </w:rPr>
        <w:t xml:space="preserve">, E., Monteleone, P., Stevens, P., </w:t>
      </w:r>
      <w:proofErr w:type="spellStart"/>
      <w:r w:rsidRPr="007C2A77">
        <w:rPr>
          <w:rFonts w:ascii="Arial" w:hAnsi="Arial" w:cs="Arial"/>
          <w:lang w:val="en-GB"/>
        </w:rPr>
        <w:t>Vafeiadou</w:t>
      </w:r>
      <w:proofErr w:type="spellEnd"/>
      <w:r w:rsidRPr="007C2A77">
        <w:rPr>
          <w:rFonts w:ascii="Arial" w:hAnsi="Arial" w:cs="Arial"/>
          <w:lang w:val="en-GB"/>
        </w:rPr>
        <w:t xml:space="preserve">, J. and Lam, C.S.P. (2023). Challenges and opportunities for increasing patient involvement in heart failure self-care programs and self-care in the post–hospital discharge period. </w:t>
      </w:r>
      <w:r w:rsidRPr="007C2A77">
        <w:rPr>
          <w:rFonts w:ascii="Arial" w:hAnsi="Arial" w:cs="Arial"/>
          <w:i/>
          <w:iCs/>
          <w:lang w:val="en-GB"/>
        </w:rPr>
        <w:t>Research Involvement and Engagement</w:t>
      </w:r>
      <w:r w:rsidRPr="007C2A77">
        <w:rPr>
          <w:rFonts w:ascii="Arial" w:hAnsi="Arial" w:cs="Arial"/>
          <w:lang w:val="en-GB"/>
        </w:rPr>
        <w:t>, 9(1). doi:https://doi.org/10.1186/s40900-023-00412-x.</w:t>
      </w:r>
    </w:p>
    <w:p w14:paraId="5E0F48F9" w14:textId="77777777" w:rsidR="007C2A77" w:rsidRPr="007C2A77" w:rsidRDefault="007C2A77" w:rsidP="007C2A77">
      <w:pPr>
        <w:spacing w:before="240" w:after="240" w:line="360" w:lineRule="auto"/>
        <w:jc w:val="both"/>
        <w:rPr>
          <w:rFonts w:ascii="Arial" w:hAnsi="Arial" w:cs="Arial"/>
          <w:lang w:val="en-GB"/>
        </w:rPr>
      </w:pPr>
      <w:r w:rsidRPr="007C2A77">
        <w:rPr>
          <w:rFonts w:ascii="Arial" w:hAnsi="Arial" w:cs="Arial"/>
          <w:lang w:val="en-GB"/>
        </w:rPr>
        <w:t xml:space="preserve">Cantrell, A., Chambers, D. and Booth, A. (2024). Interventions to minimise hospital winter pressures related to discharge planning and integrated care: a rapid mapping review of UK evidence. </w:t>
      </w:r>
      <w:r w:rsidRPr="007C2A77">
        <w:rPr>
          <w:rFonts w:ascii="Arial" w:hAnsi="Arial" w:cs="Arial"/>
          <w:i/>
          <w:iCs/>
          <w:lang w:val="en-GB"/>
        </w:rPr>
        <w:t>Health and Social Care Delivery Research</w:t>
      </w:r>
      <w:r w:rsidRPr="007C2A77">
        <w:rPr>
          <w:rFonts w:ascii="Arial" w:hAnsi="Arial" w:cs="Arial"/>
          <w:lang w:val="en-GB"/>
        </w:rPr>
        <w:t>, 12(31), pp.1–116. doi:https://doi.org/10.3310/krwh4301.</w:t>
      </w:r>
    </w:p>
    <w:p w14:paraId="0B6F549F" w14:textId="77777777" w:rsidR="007C2A77" w:rsidRPr="00AC1F4E" w:rsidRDefault="007C2A77" w:rsidP="007C2A77">
      <w:pPr>
        <w:spacing w:before="240" w:after="240" w:line="360" w:lineRule="auto"/>
        <w:jc w:val="both"/>
        <w:rPr>
          <w:rFonts w:ascii="Arial" w:hAnsi="Arial" w:cs="Arial"/>
        </w:rPr>
      </w:pPr>
      <w:r w:rsidRPr="00AC1F4E">
        <w:rPr>
          <w:rFonts w:ascii="Arial" w:hAnsi="Arial" w:cs="Arial"/>
        </w:rPr>
        <w:t xml:space="preserve">Cappo, D., Mutamba, B., Ayesiga, K., Kebirungi, E., Chelangat, D., Fegan, G., Jacob, S.T., </w:t>
      </w:r>
      <w:proofErr w:type="spellStart"/>
      <w:r w:rsidRPr="00AC1F4E">
        <w:rPr>
          <w:rFonts w:ascii="Arial" w:hAnsi="Arial" w:cs="Arial"/>
        </w:rPr>
        <w:t>Nsangi</w:t>
      </w:r>
      <w:proofErr w:type="spellEnd"/>
      <w:r w:rsidRPr="00AC1F4E">
        <w:rPr>
          <w:rFonts w:ascii="Arial" w:hAnsi="Arial" w:cs="Arial"/>
        </w:rPr>
        <w:t xml:space="preserve">, E., Ntabazi, I., Nalubwama, D. and </w:t>
      </w:r>
      <w:proofErr w:type="spellStart"/>
      <w:r w:rsidRPr="00AC1F4E">
        <w:rPr>
          <w:rFonts w:ascii="Arial" w:hAnsi="Arial" w:cs="Arial"/>
        </w:rPr>
        <w:t>Nakasujja</w:t>
      </w:r>
      <w:proofErr w:type="spellEnd"/>
      <w:r w:rsidRPr="00AC1F4E">
        <w:rPr>
          <w:rFonts w:ascii="Arial" w:hAnsi="Arial" w:cs="Arial"/>
        </w:rPr>
        <w:t xml:space="preserve">, N., (2023). </w:t>
      </w:r>
      <w:proofErr w:type="spellStart"/>
      <w:r w:rsidRPr="00AC1F4E">
        <w:rPr>
          <w:rFonts w:ascii="Arial" w:hAnsi="Arial" w:cs="Arial"/>
        </w:rPr>
        <w:t>YouBelong</w:t>
      </w:r>
      <w:proofErr w:type="spellEnd"/>
      <w:r w:rsidRPr="00AC1F4E">
        <w:rPr>
          <w:rFonts w:ascii="Arial" w:hAnsi="Arial" w:cs="Arial"/>
        </w:rPr>
        <w:t xml:space="preserve"> home: a Ugandan community mental health intervention. </w:t>
      </w:r>
      <w:r w:rsidRPr="00AC1F4E">
        <w:rPr>
          <w:rFonts w:ascii="Arial" w:hAnsi="Arial" w:cs="Arial"/>
          <w:i/>
          <w:iCs/>
        </w:rPr>
        <w:t>Community mental health journal</w:t>
      </w:r>
      <w:r w:rsidRPr="00AC1F4E">
        <w:rPr>
          <w:rFonts w:ascii="Arial" w:hAnsi="Arial" w:cs="Arial"/>
        </w:rPr>
        <w:t>, </w:t>
      </w:r>
      <w:r w:rsidRPr="00AC1F4E">
        <w:rPr>
          <w:rFonts w:ascii="Arial" w:hAnsi="Arial" w:cs="Arial"/>
          <w:i/>
          <w:iCs/>
        </w:rPr>
        <w:t>59</w:t>
      </w:r>
      <w:r w:rsidRPr="00AC1F4E">
        <w:rPr>
          <w:rFonts w:ascii="Arial" w:hAnsi="Arial" w:cs="Arial"/>
        </w:rPr>
        <w:t xml:space="preserve">(4), pp.770-783. </w:t>
      </w:r>
      <w:hyperlink r:id="rId9" w:history="1">
        <w:r w:rsidRPr="00AC1F4E">
          <w:rPr>
            <w:rStyle w:val="Hyperlink"/>
            <w:rFonts w:ascii="Arial" w:hAnsi="Arial" w:cs="Arial"/>
            <w:color w:val="auto"/>
            <w:u w:val="none"/>
          </w:rPr>
          <w:t>https://link.springer.com/content/pdf/10.1007/s10597-022-01058-x.pdf</w:t>
        </w:r>
      </w:hyperlink>
    </w:p>
    <w:p w14:paraId="490E1B46" w14:textId="77777777" w:rsidR="007C2A77" w:rsidRPr="007C2A77" w:rsidRDefault="007C2A77" w:rsidP="007C2A77">
      <w:pPr>
        <w:spacing w:before="240" w:after="240" w:line="360" w:lineRule="auto"/>
        <w:jc w:val="both"/>
        <w:rPr>
          <w:rFonts w:ascii="Arial" w:hAnsi="Arial" w:cs="Arial"/>
          <w:lang w:val="en-GB"/>
        </w:rPr>
      </w:pPr>
      <w:r w:rsidRPr="007C2A77">
        <w:rPr>
          <w:rFonts w:ascii="Arial" w:hAnsi="Arial" w:cs="Arial"/>
          <w:lang w:val="en-GB"/>
        </w:rPr>
        <w:t xml:space="preserve">Cedrone, F., Santangelo, O.E., Michele, V.D., Catalini, A., Pennisi, F., Stacchini, L., Fonzo, M., Montagna, V., Gianfredi, V. and Martino, G.D. (2025). The Impact of Mental Health Comorbidities on Unplanned Admissions for Physical Conditions: A Retrospective Observational Analysis. </w:t>
      </w:r>
      <w:r w:rsidRPr="007C2A77">
        <w:rPr>
          <w:rFonts w:ascii="Arial" w:hAnsi="Arial" w:cs="Arial"/>
          <w:i/>
          <w:iCs/>
          <w:lang w:val="en-GB"/>
        </w:rPr>
        <w:t>Healthcare</w:t>
      </w:r>
      <w:r w:rsidRPr="007C2A77">
        <w:rPr>
          <w:rFonts w:ascii="Arial" w:hAnsi="Arial" w:cs="Arial"/>
          <w:lang w:val="en-GB"/>
        </w:rPr>
        <w:t>, [online] 13(7), pp.827–827. doi:https://doi.org/10.3390/healthcare13070827.</w:t>
      </w:r>
    </w:p>
    <w:p w14:paraId="3D391928" w14:textId="77777777" w:rsidR="007C2A77" w:rsidRPr="00AC1F4E" w:rsidRDefault="007C2A77" w:rsidP="007C2A77">
      <w:pPr>
        <w:spacing w:before="240" w:after="240" w:line="360" w:lineRule="auto"/>
        <w:jc w:val="both"/>
        <w:rPr>
          <w:rFonts w:ascii="Arial" w:hAnsi="Arial" w:cs="Arial"/>
        </w:rPr>
      </w:pPr>
      <w:r w:rsidRPr="00AC1F4E">
        <w:rPr>
          <w:rFonts w:ascii="Arial" w:hAnsi="Arial" w:cs="Arial"/>
        </w:rPr>
        <w:t xml:space="preserve">Dabholkar, H., Pillai, A., Gaonkar, D., </w:t>
      </w:r>
      <w:proofErr w:type="spellStart"/>
      <w:r w:rsidRPr="00AC1F4E">
        <w:rPr>
          <w:rFonts w:ascii="Arial" w:hAnsi="Arial" w:cs="Arial"/>
        </w:rPr>
        <w:t>Deuri</w:t>
      </w:r>
      <w:proofErr w:type="spellEnd"/>
      <w:r w:rsidRPr="00AC1F4E">
        <w:rPr>
          <w:rFonts w:ascii="Arial" w:hAnsi="Arial" w:cs="Arial"/>
        </w:rPr>
        <w:t>, S.P., Naik, S. and Chatterjee, S., (2023). Exploring the feasibility and public health impact of integrating a community-based recovery-oriented intervention for people living with schizophrenia in partnership with a tertiary care mental hospital in India. </w:t>
      </w:r>
      <w:r w:rsidRPr="00AC1F4E">
        <w:rPr>
          <w:rFonts w:ascii="Arial" w:hAnsi="Arial" w:cs="Arial"/>
          <w:i/>
          <w:iCs/>
        </w:rPr>
        <w:t>Implementation Research and Practice</w:t>
      </w:r>
      <w:r w:rsidRPr="00AC1F4E">
        <w:rPr>
          <w:rFonts w:ascii="Arial" w:hAnsi="Arial" w:cs="Arial"/>
        </w:rPr>
        <w:t>, </w:t>
      </w:r>
      <w:r w:rsidRPr="00AC1F4E">
        <w:rPr>
          <w:rFonts w:ascii="Arial" w:hAnsi="Arial" w:cs="Arial"/>
          <w:i/>
          <w:iCs/>
        </w:rPr>
        <w:t>4</w:t>
      </w:r>
      <w:r w:rsidRPr="00AC1F4E">
        <w:rPr>
          <w:rFonts w:ascii="Arial" w:hAnsi="Arial" w:cs="Arial"/>
        </w:rPr>
        <w:t xml:space="preserve">, p.26334895231175528. </w:t>
      </w:r>
      <w:hyperlink r:id="rId10" w:history="1">
        <w:r w:rsidRPr="00AC1F4E">
          <w:rPr>
            <w:rStyle w:val="Hyperlink"/>
            <w:rFonts w:ascii="Arial" w:hAnsi="Arial" w:cs="Arial"/>
            <w:color w:val="auto"/>
            <w:u w:val="none"/>
          </w:rPr>
          <w:t>https://journals.sagepub.com/doi/pdf/10.1177/26334895231175528</w:t>
        </w:r>
      </w:hyperlink>
    </w:p>
    <w:p w14:paraId="5286ED5F" w14:textId="77777777" w:rsidR="007C2A77" w:rsidRPr="00AC1F4E" w:rsidRDefault="007C2A77" w:rsidP="007C2A77">
      <w:pPr>
        <w:spacing w:before="240" w:after="240" w:line="360" w:lineRule="auto"/>
        <w:jc w:val="both"/>
        <w:rPr>
          <w:rFonts w:ascii="Arial" w:hAnsi="Arial" w:cs="Arial"/>
        </w:rPr>
      </w:pPr>
      <w:proofErr w:type="spellStart"/>
      <w:r w:rsidRPr="00AC1F4E">
        <w:rPr>
          <w:rFonts w:ascii="Arial" w:hAnsi="Arial" w:cs="Arial"/>
        </w:rPr>
        <w:t>Eboreime</w:t>
      </w:r>
      <w:proofErr w:type="spellEnd"/>
      <w:r w:rsidRPr="00AC1F4E">
        <w:rPr>
          <w:rFonts w:ascii="Arial" w:hAnsi="Arial" w:cs="Arial"/>
        </w:rPr>
        <w:t xml:space="preserve">, E., Shalaby, R., Mao, W., Owusu, E., Vuong, W., </w:t>
      </w:r>
      <w:proofErr w:type="spellStart"/>
      <w:r w:rsidRPr="00AC1F4E">
        <w:rPr>
          <w:rFonts w:ascii="Arial" w:hAnsi="Arial" w:cs="Arial"/>
        </w:rPr>
        <w:t>Surood</w:t>
      </w:r>
      <w:proofErr w:type="spellEnd"/>
      <w:r w:rsidRPr="00AC1F4E">
        <w:rPr>
          <w:rFonts w:ascii="Arial" w:hAnsi="Arial" w:cs="Arial"/>
        </w:rPr>
        <w:t xml:space="preserve">, S., Bales, K., MacMaster, F.P., McNeil, D., Rittenbach, K. and </w:t>
      </w:r>
      <w:proofErr w:type="spellStart"/>
      <w:r w:rsidRPr="00AC1F4E">
        <w:rPr>
          <w:rFonts w:ascii="Arial" w:hAnsi="Arial" w:cs="Arial"/>
        </w:rPr>
        <w:t>Ohinmaa</w:t>
      </w:r>
      <w:proofErr w:type="spellEnd"/>
      <w:r w:rsidRPr="00AC1F4E">
        <w:rPr>
          <w:rFonts w:ascii="Arial" w:hAnsi="Arial" w:cs="Arial"/>
        </w:rPr>
        <w:t>, A., (2022). Reducing readmission rates for individuals discharged from acute psychiatric care in Alberta using peer and text message support: Protocol for an innovative supportive program. </w:t>
      </w:r>
      <w:r w:rsidRPr="00AC1F4E">
        <w:rPr>
          <w:rFonts w:ascii="Arial" w:hAnsi="Arial" w:cs="Arial"/>
          <w:i/>
          <w:iCs/>
        </w:rPr>
        <w:t>BMC Health Services Research</w:t>
      </w:r>
      <w:r w:rsidRPr="00AC1F4E">
        <w:rPr>
          <w:rFonts w:ascii="Arial" w:hAnsi="Arial" w:cs="Arial"/>
        </w:rPr>
        <w:t>, </w:t>
      </w:r>
      <w:r w:rsidRPr="00AC1F4E">
        <w:rPr>
          <w:rFonts w:ascii="Arial" w:hAnsi="Arial" w:cs="Arial"/>
          <w:i/>
          <w:iCs/>
        </w:rPr>
        <w:t>22</w:t>
      </w:r>
      <w:r w:rsidRPr="00AC1F4E">
        <w:rPr>
          <w:rFonts w:ascii="Arial" w:hAnsi="Arial" w:cs="Arial"/>
        </w:rPr>
        <w:t xml:space="preserve">(1), </w:t>
      </w:r>
      <w:r w:rsidRPr="00AC1F4E">
        <w:rPr>
          <w:rFonts w:ascii="Arial" w:hAnsi="Arial" w:cs="Arial"/>
        </w:rPr>
        <w:lastRenderedPageBreak/>
        <w:t xml:space="preserve">p.332. </w:t>
      </w:r>
      <w:hyperlink r:id="rId11" w:history="1">
        <w:r w:rsidRPr="00AC1F4E">
          <w:rPr>
            <w:rStyle w:val="Hyperlink"/>
            <w:rFonts w:ascii="Arial" w:hAnsi="Arial" w:cs="Arial"/>
            <w:color w:val="auto"/>
            <w:u w:val="none"/>
          </w:rPr>
          <w:t>https://link.springer.com/content/pdf/10.1186/s12913-022-07510-8.pdf</w:t>
        </w:r>
      </w:hyperlink>
    </w:p>
    <w:p w14:paraId="1D4D2730" w14:textId="77777777" w:rsidR="007C2A77" w:rsidRPr="007C2A77" w:rsidRDefault="007C2A77" w:rsidP="007C2A77">
      <w:pPr>
        <w:spacing w:before="240" w:after="240" w:line="360" w:lineRule="auto"/>
        <w:jc w:val="both"/>
        <w:rPr>
          <w:rFonts w:ascii="Arial" w:hAnsi="Arial" w:cs="Arial"/>
          <w:lang w:val="en-GB"/>
        </w:rPr>
      </w:pPr>
      <w:r w:rsidRPr="007C2A77">
        <w:rPr>
          <w:rFonts w:ascii="Arial" w:hAnsi="Arial" w:cs="Arial"/>
          <w:lang w:val="en-GB"/>
        </w:rPr>
        <w:t xml:space="preserve">Evans, B., Kroeger, S., Munnich, E.L., Ortuzar, G. and Wagner, K.L. (2020). Reducing Readmissions by Addressing the Social Determinants of Health. </w:t>
      </w:r>
      <w:r w:rsidRPr="007C2A77">
        <w:rPr>
          <w:rFonts w:ascii="Arial" w:hAnsi="Arial" w:cs="Arial"/>
          <w:i/>
          <w:iCs/>
          <w:lang w:val="en-GB"/>
        </w:rPr>
        <w:t>American Journal of Health Economics</w:t>
      </w:r>
      <w:r w:rsidRPr="007C2A77">
        <w:rPr>
          <w:rFonts w:ascii="Arial" w:hAnsi="Arial" w:cs="Arial"/>
          <w:lang w:val="en-GB"/>
        </w:rPr>
        <w:t>, 7(1). doi:https://doi.org/10.1086/711725.</w:t>
      </w:r>
    </w:p>
    <w:p w14:paraId="33E50F77" w14:textId="77777777" w:rsidR="007C2A77" w:rsidRPr="00AC1F4E" w:rsidRDefault="007C2A77" w:rsidP="007C2A77">
      <w:pPr>
        <w:spacing w:before="240" w:after="240" w:line="360" w:lineRule="auto"/>
        <w:jc w:val="both"/>
        <w:rPr>
          <w:rFonts w:ascii="Arial" w:hAnsi="Arial" w:cs="Arial"/>
        </w:rPr>
      </w:pPr>
      <w:proofErr w:type="spellStart"/>
      <w:r w:rsidRPr="00AC1F4E">
        <w:rPr>
          <w:rFonts w:ascii="Arial" w:hAnsi="Arial" w:cs="Arial"/>
        </w:rPr>
        <w:t>Giannios</w:t>
      </w:r>
      <w:proofErr w:type="spellEnd"/>
      <w:r w:rsidRPr="00AC1F4E">
        <w:rPr>
          <w:rFonts w:ascii="Arial" w:hAnsi="Arial" w:cs="Arial"/>
        </w:rPr>
        <w:t xml:space="preserve">, P., Chainey, F., </w:t>
      </w:r>
      <w:proofErr w:type="spellStart"/>
      <w:r w:rsidRPr="00AC1F4E">
        <w:rPr>
          <w:rFonts w:ascii="Arial" w:hAnsi="Arial" w:cs="Arial"/>
        </w:rPr>
        <w:t>Degré</w:t>
      </w:r>
      <w:proofErr w:type="spellEnd"/>
      <w:r w:rsidRPr="00AC1F4E">
        <w:rPr>
          <w:rFonts w:ascii="Arial" w:hAnsi="Arial" w:cs="Arial"/>
        </w:rPr>
        <w:t>, C., Borduas Pagé, S. and Hudon, A., (2025), November. Components and Effectiveness of Adult Inpatient Psychiatric Rehabilitation Programs: A Scoping Review. In </w:t>
      </w:r>
      <w:r w:rsidRPr="00AC1F4E">
        <w:rPr>
          <w:rFonts w:ascii="Arial" w:hAnsi="Arial" w:cs="Arial"/>
          <w:i/>
          <w:iCs/>
        </w:rPr>
        <w:t>Healthcare</w:t>
      </w:r>
      <w:r w:rsidRPr="00AC1F4E">
        <w:rPr>
          <w:rFonts w:ascii="Arial" w:hAnsi="Arial" w:cs="Arial"/>
        </w:rPr>
        <w:t xml:space="preserve"> (Vol. 13, No. 22, p. 2971). MDPI. </w:t>
      </w:r>
      <w:hyperlink r:id="rId12" w:history="1">
        <w:r w:rsidRPr="00AC1F4E">
          <w:rPr>
            <w:rStyle w:val="Hyperlink"/>
            <w:rFonts w:ascii="Arial" w:hAnsi="Arial" w:cs="Arial"/>
            <w:color w:val="auto"/>
            <w:u w:val="none"/>
          </w:rPr>
          <w:t>https://www.mdpi.com/2227-9032/13/22/2971</w:t>
        </w:r>
      </w:hyperlink>
    </w:p>
    <w:p w14:paraId="758F1674" w14:textId="77777777" w:rsidR="007C2A77" w:rsidRPr="00AC1F4E" w:rsidRDefault="007C2A77" w:rsidP="007C2A77">
      <w:pPr>
        <w:pStyle w:val="BodyText"/>
        <w:spacing w:after="240" w:line="360" w:lineRule="auto"/>
        <w:jc w:val="both"/>
        <w:rPr>
          <w:rFonts w:ascii="Arial" w:hAnsi="Arial" w:cs="Arial"/>
          <w:bCs/>
          <w:lang w:val="en-IN"/>
        </w:rPr>
      </w:pPr>
      <w:r w:rsidRPr="00AC1F4E">
        <w:rPr>
          <w:rFonts w:ascii="Arial" w:hAnsi="Arial" w:cs="Arial"/>
          <w:bCs/>
          <w:lang w:val="en-IN"/>
        </w:rPr>
        <w:t xml:space="preserve">Han, X., Jiang, F., Tang, Y., Needleman, J., Guo, M., Chen, Y., Zhou, H. and Liu, Y. (2020). Factors associated with 30-day and 1-year readmission among psychiatric inpatients in Beijing China: a retrospective, medical record-based analysis. </w:t>
      </w:r>
      <w:r w:rsidRPr="00AC1F4E">
        <w:rPr>
          <w:rFonts w:ascii="Arial" w:hAnsi="Arial" w:cs="Arial"/>
          <w:bCs/>
          <w:i/>
          <w:iCs/>
          <w:lang w:val="en-IN"/>
        </w:rPr>
        <w:t>BMC Psychiatry</w:t>
      </w:r>
      <w:r w:rsidRPr="00AC1F4E">
        <w:rPr>
          <w:rFonts w:ascii="Arial" w:hAnsi="Arial" w:cs="Arial"/>
          <w:bCs/>
          <w:lang w:val="en-IN"/>
        </w:rPr>
        <w:t>, 20(1). doi:https://doi.org/10.1186/s12888-020-02515-1.</w:t>
      </w:r>
    </w:p>
    <w:p w14:paraId="0D5D5243" w14:textId="77777777" w:rsidR="007C2A77" w:rsidRPr="00AC1F4E" w:rsidRDefault="007C2A77" w:rsidP="007C2A77">
      <w:pPr>
        <w:pStyle w:val="BodyText"/>
        <w:spacing w:after="240" w:line="360" w:lineRule="auto"/>
        <w:jc w:val="both"/>
        <w:rPr>
          <w:rFonts w:ascii="Arial" w:hAnsi="Arial" w:cs="Arial"/>
          <w:bCs/>
          <w:lang w:val="en-IN"/>
        </w:rPr>
      </w:pPr>
      <w:r w:rsidRPr="00AC1F4E">
        <w:rPr>
          <w:rFonts w:ascii="Arial" w:hAnsi="Arial" w:cs="Arial"/>
          <w:bCs/>
          <w:lang w:val="en-IN"/>
        </w:rPr>
        <w:t xml:space="preserve">Harvey, C., </w:t>
      </w:r>
      <w:proofErr w:type="spellStart"/>
      <w:r w:rsidRPr="00AC1F4E">
        <w:rPr>
          <w:rFonts w:ascii="Arial" w:hAnsi="Arial" w:cs="Arial"/>
          <w:bCs/>
          <w:lang w:val="en-IN"/>
        </w:rPr>
        <w:t>Zirnsak</w:t>
      </w:r>
      <w:proofErr w:type="spellEnd"/>
      <w:r w:rsidRPr="00AC1F4E">
        <w:rPr>
          <w:rFonts w:ascii="Arial" w:hAnsi="Arial" w:cs="Arial"/>
          <w:bCs/>
          <w:lang w:val="en-IN"/>
        </w:rPr>
        <w:t xml:space="preserve">, T.-M., Brasier, C., Ennals, P., Fletcher, J., Hamilton, B., </w:t>
      </w:r>
      <w:proofErr w:type="spellStart"/>
      <w:r w:rsidRPr="00AC1F4E">
        <w:rPr>
          <w:rFonts w:ascii="Arial" w:hAnsi="Arial" w:cs="Arial"/>
          <w:bCs/>
          <w:lang w:val="en-IN"/>
        </w:rPr>
        <w:t>Killaspy</w:t>
      </w:r>
      <w:proofErr w:type="spellEnd"/>
      <w:r w:rsidRPr="00AC1F4E">
        <w:rPr>
          <w:rFonts w:ascii="Arial" w:hAnsi="Arial" w:cs="Arial"/>
          <w:bCs/>
          <w:lang w:val="en-IN"/>
        </w:rPr>
        <w:t xml:space="preserve">, H., McKenzie, P., Kennedy, H. and Brophy, L. (2023). Community-based models of care facilitating the recovery of people living with persistent and complex mental health needs: a systematic review and narrative synthesis. </w:t>
      </w:r>
      <w:r w:rsidRPr="00AC1F4E">
        <w:rPr>
          <w:rFonts w:ascii="Arial" w:hAnsi="Arial" w:cs="Arial"/>
          <w:bCs/>
          <w:i/>
          <w:iCs/>
          <w:lang w:val="en-IN"/>
        </w:rPr>
        <w:t>Frontiers in Psychiatry</w:t>
      </w:r>
      <w:r w:rsidRPr="00AC1F4E">
        <w:rPr>
          <w:rFonts w:ascii="Arial" w:hAnsi="Arial" w:cs="Arial"/>
          <w:bCs/>
          <w:lang w:val="en-IN"/>
        </w:rPr>
        <w:t>, 14(14). doi:https://doi.org/10.3389/fpsyt.2023.1259944.</w:t>
      </w:r>
    </w:p>
    <w:p w14:paraId="50297A07" w14:textId="77777777" w:rsidR="007C2A77" w:rsidRPr="007C2A77" w:rsidRDefault="007C2A77" w:rsidP="007C2A77">
      <w:pPr>
        <w:spacing w:before="240" w:after="240" w:line="360" w:lineRule="auto"/>
        <w:jc w:val="both"/>
        <w:rPr>
          <w:rFonts w:ascii="Arial" w:hAnsi="Arial" w:cs="Arial"/>
          <w:lang w:val="en-GB"/>
        </w:rPr>
      </w:pPr>
      <w:r w:rsidRPr="007C2A77">
        <w:rPr>
          <w:rFonts w:ascii="Arial" w:hAnsi="Arial" w:cs="Arial"/>
          <w:lang w:val="en-GB"/>
        </w:rPr>
        <w:t xml:space="preserve">Harvey, C., </w:t>
      </w:r>
      <w:proofErr w:type="spellStart"/>
      <w:r w:rsidRPr="007C2A77">
        <w:rPr>
          <w:rFonts w:ascii="Arial" w:hAnsi="Arial" w:cs="Arial"/>
          <w:lang w:val="en-GB"/>
        </w:rPr>
        <w:t>Zirnsak</w:t>
      </w:r>
      <w:proofErr w:type="spellEnd"/>
      <w:r w:rsidRPr="007C2A77">
        <w:rPr>
          <w:rFonts w:ascii="Arial" w:hAnsi="Arial" w:cs="Arial"/>
          <w:lang w:val="en-GB"/>
        </w:rPr>
        <w:t xml:space="preserve">, T.-M., Brasier, C., Ennals, P., Fletcher, J., Hamilton, B., Killaspy, H., McKenzie, P., Kennedy, H. and Brophy, L. (2023). Community-based models of care facilitating the recovery of people living with persistent and complex mental health needs: a systematic review and narrative synthesis. </w:t>
      </w:r>
      <w:r w:rsidRPr="007C2A77">
        <w:rPr>
          <w:rFonts w:ascii="Arial" w:hAnsi="Arial" w:cs="Arial"/>
          <w:i/>
          <w:iCs/>
          <w:lang w:val="en-GB"/>
        </w:rPr>
        <w:t>Frontiers in Psychiatry</w:t>
      </w:r>
      <w:r w:rsidRPr="007C2A77">
        <w:rPr>
          <w:rFonts w:ascii="Arial" w:hAnsi="Arial" w:cs="Arial"/>
          <w:lang w:val="en-GB"/>
        </w:rPr>
        <w:t>, 14(14). doi:https://doi.org/10.3389/fpsyt.2023.1259944.</w:t>
      </w:r>
    </w:p>
    <w:p w14:paraId="623B4664" w14:textId="77777777" w:rsidR="007C2A77" w:rsidRPr="00AC1F4E" w:rsidRDefault="007C2A77" w:rsidP="007C2A77">
      <w:pPr>
        <w:spacing w:before="240" w:after="240" w:line="360" w:lineRule="auto"/>
        <w:jc w:val="both"/>
        <w:rPr>
          <w:rFonts w:ascii="Arial" w:hAnsi="Arial" w:cs="Arial"/>
        </w:rPr>
      </w:pPr>
      <w:r w:rsidRPr="00AC1F4E">
        <w:rPr>
          <w:rFonts w:ascii="Arial" w:hAnsi="Arial" w:cs="Arial"/>
        </w:rPr>
        <w:t xml:space="preserve">Horvat Golob, K., </w:t>
      </w:r>
      <w:proofErr w:type="spellStart"/>
      <w:r w:rsidRPr="00AC1F4E">
        <w:rPr>
          <w:rFonts w:ascii="Arial" w:hAnsi="Arial" w:cs="Arial"/>
        </w:rPr>
        <w:t>Temeljotov</w:t>
      </w:r>
      <w:proofErr w:type="spellEnd"/>
      <w:r w:rsidRPr="00AC1F4E">
        <w:rPr>
          <w:rFonts w:ascii="Arial" w:hAnsi="Arial" w:cs="Arial"/>
        </w:rPr>
        <w:t xml:space="preserve"> Salaj, A. and Novak Šarotar, B., (2025). Transition of Mental Health Services from Institutional to Community-Based Care Abroad and Its Context for Slovenia—Advantages and Risks. </w:t>
      </w:r>
      <w:r w:rsidRPr="00AC1F4E">
        <w:rPr>
          <w:rFonts w:ascii="Arial" w:hAnsi="Arial" w:cs="Arial"/>
          <w:i/>
          <w:iCs/>
        </w:rPr>
        <w:t>International Journal of Environmental Research and Public Health</w:t>
      </w:r>
      <w:r w:rsidRPr="00AC1F4E">
        <w:rPr>
          <w:rFonts w:ascii="Arial" w:hAnsi="Arial" w:cs="Arial"/>
        </w:rPr>
        <w:t>, </w:t>
      </w:r>
      <w:r w:rsidRPr="00AC1F4E">
        <w:rPr>
          <w:rFonts w:ascii="Arial" w:hAnsi="Arial" w:cs="Arial"/>
          <w:i/>
          <w:iCs/>
        </w:rPr>
        <w:t>22</w:t>
      </w:r>
      <w:r w:rsidRPr="00AC1F4E">
        <w:rPr>
          <w:rFonts w:ascii="Arial" w:hAnsi="Arial" w:cs="Arial"/>
        </w:rPr>
        <w:t xml:space="preserve">(7), p.1066. </w:t>
      </w:r>
      <w:hyperlink r:id="rId13" w:history="1">
        <w:r w:rsidRPr="00AC1F4E">
          <w:rPr>
            <w:rStyle w:val="Hyperlink"/>
            <w:rFonts w:ascii="Arial" w:hAnsi="Arial" w:cs="Arial"/>
            <w:color w:val="auto"/>
            <w:u w:val="none"/>
          </w:rPr>
          <w:t>https://www.mdpi.com/1660-4601/22/7/1066</w:t>
        </w:r>
      </w:hyperlink>
    </w:p>
    <w:p w14:paraId="17086118" w14:textId="77777777" w:rsidR="007C2A77" w:rsidRPr="00AC1F4E" w:rsidRDefault="007C2A77" w:rsidP="007C2A77">
      <w:pPr>
        <w:pStyle w:val="BodyText"/>
        <w:spacing w:after="240" w:line="360" w:lineRule="auto"/>
        <w:jc w:val="both"/>
        <w:rPr>
          <w:rFonts w:ascii="Arial" w:hAnsi="Arial" w:cs="Arial"/>
          <w:bCs/>
          <w:lang w:val="en-IN"/>
        </w:rPr>
      </w:pPr>
      <w:r w:rsidRPr="00AC1F4E">
        <w:rPr>
          <w:rFonts w:ascii="Arial" w:hAnsi="Arial" w:cs="Arial"/>
          <w:bCs/>
          <w:lang w:val="en-IN"/>
        </w:rPr>
        <w:t>Johansen, K.K., Marcussen, J., Hansen, J.P., Hounsgaard, L. and Fluttert, F. (2021). Early recognition method for patients with schizophrenia or bipolar disorder in community mental health care: Illness insight, self</w:t>
      </w:r>
      <w:r w:rsidRPr="00AC1F4E">
        <w:rPr>
          <w:rFonts w:ascii="Cambria Math" w:hAnsi="Cambria Math" w:cs="Cambria Math"/>
          <w:bCs/>
          <w:lang w:val="en-IN"/>
        </w:rPr>
        <w:t>‐</w:t>
      </w:r>
      <w:r w:rsidRPr="00AC1F4E">
        <w:rPr>
          <w:rFonts w:ascii="Arial" w:hAnsi="Arial" w:cs="Arial"/>
          <w:bCs/>
          <w:lang w:val="en-IN"/>
        </w:rPr>
        <w:t xml:space="preserve">management and control. </w:t>
      </w:r>
      <w:r w:rsidRPr="00AC1F4E">
        <w:rPr>
          <w:rFonts w:ascii="Arial" w:hAnsi="Arial" w:cs="Arial"/>
          <w:bCs/>
          <w:i/>
          <w:iCs/>
          <w:lang w:val="en-IN"/>
        </w:rPr>
        <w:t>Journal of Clinical Nursing</w:t>
      </w:r>
      <w:r w:rsidRPr="00AC1F4E">
        <w:rPr>
          <w:rFonts w:ascii="Arial" w:hAnsi="Arial" w:cs="Arial"/>
          <w:bCs/>
          <w:lang w:val="en-IN"/>
        </w:rPr>
        <w:t>, 31(23-24). doi:https://doi.org/10.1111/jocn.16181.</w:t>
      </w:r>
    </w:p>
    <w:p w14:paraId="37818560" w14:textId="77777777" w:rsidR="007C2A77" w:rsidRPr="00AC1F4E" w:rsidRDefault="007C2A77" w:rsidP="007C2A77">
      <w:pPr>
        <w:spacing w:before="240" w:after="240" w:line="360" w:lineRule="auto"/>
        <w:jc w:val="both"/>
        <w:rPr>
          <w:rFonts w:ascii="Arial" w:hAnsi="Arial" w:cs="Arial"/>
        </w:rPr>
      </w:pPr>
      <w:proofErr w:type="spellStart"/>
      <w:r w:rsidRPr="00AC1F4E">
        <w:rPr>
          <w:rFonts w:ascii="Arial" w:hAnsi="Arial" w:cs="Arial"/>
        </w:rPr>
        <w:lastRenderedPageBreak/>
        <w:t>Killaspy</w:t>
      </w:r>
      <w:proofErr w:type="spellEnd"/>
      <w:r w:rsidRPr="00AC1F4E">
        <w:rPr>
          <w:rFonts w:ascii="Arial" w:hAnsi="Arial" w:cs="Arial"/>
        </w:rPr>
        <w:t>, H., Harvey, C., Brasier, C., Brophy, L., Ennals, P., Fletcher, J. and Hamilton, B., (2022). Community</w:t>
      </w:r>
      <w:r w:rsidRPr="00AC1F4E">
        <w:rPr>
          <w:rFonts w:ascii="Cambria Math" w:hAnsi="Cambria Math" w:cs="Cambria Math"/>
        </w:rPr>
        <w:t>‐</w:t>
      </w:r>
      <w:r w:rsidRPr="00AC1F4E">
        <w:rPr>
          <w:rFonts w:ascii="Arial" w:hAnsi="Arial" w:cs="Arial"/>
        </w:rPr>
        <w:t>based social interventions for people with severe mental illness: a systematic review and narrative synthesis of recent evidence. </w:t>
      </w:r>
      <w:r w:rsidRPr="00AC1F4E">
        <w:rPr>
          <w:rFonts w:ascii="Arial" w:hAnsi="Arial" w:cs="Arial"/>
          <w:i/>
          <w:iCs/>
        </w:rPr>
        <w:t>World Psychiatry</w:t>
      </w:r>
      <w:r w:rsidRPr="00AC1F4E">
        <w:rPr>
          <w:rFonts w:ascii="Arial" w:hAnsi="Arial" w:cs="Arial"/>
        </w:rPr>
        <w:t>, </w:t>
      </w:r>
      <w:r w:rsidRPr="00AC1F4E">
        <w:rPr>
          <w:rFonts w:ascii="Arial" w:hAnsi="Arial" w:cs="Arial"/>
          <w:i/>
          <w:iCs/>
        </w:rPr>
        <w:t>21</w:t>
      </w:r>
      <w:r w:rsidRPr="00AC1F4E">
        <w:rPr>
          <w:rFonts w:ascii="Arial" w:hAnsi="Arial" w:cs="Arial"/>
        </w:rPr>
        <w:t xml:space="preserve">(1), pp.96-123. </w:t>
      </w:r>
      <w:hyperlink r:id="rId14" w:history="1">
        <w:r w:rsidRPr="00AC1F4E">
          <w:rPr>
            <w:rStyle w:val="Hyperlink"/>
            <w:rFonts w:ascii="Arial" w:hAnsi="Arial" w:cs="Arial"/>
            <w:color w:val="auto"/>
            <w:u w:val="none"/>
          </w:rPr>
          <w:t>https://onlinelibrary.wiley.com/doi/pdfdirect/10.1002/wps.20940</w:t>
        </w:r>
      </w:hyperlink>
    </w:p>
    <w:p w14:paraId="7EE67B6E" w14:textId="77777777" w:rsidR="007C2A77" w:rsidRPr="007C2A77" w:rsidRDefault="007C2A77" w:rsidP="007C2A77">
      <w:pPr>
        <w:spacing w:before="240" w:after="240" w:line="360" w:lineRule="auto"/>
        <w:jc w:val="both"/>
        <w:rPr>
          <w:rFonts w:ascii="Arial" w:hAnsi="Arial" w:cs="Arial"/>
          <w:lang w:val="en-GB"/>
        </w:rPr>
      </w:pPr>
      <w:r w:rsidRPr="007C2A77">
        <w:rPr>
          <w:rFonts w:ascii="Arial" w:hAnsi="Arial" w:cs="Arial"/>
          <w:lang w:val="en-GB"/>
        </w:rPr>
        <w:t xml:space="preserve">Krawczyk, N., Rivera, B.D., Chang, J.E., Margaux Grivel, Chen, Y.-H., Suhas </w:t>
      </w:r>
      <w:proofErr w:type="spellStart"/>
      <w:r w:rsidRPr="007C2A77">
        <w:rPr>
          <w:rFonts w:ascii="Arial" w:hAnsi="Arial" w:cs="Arial"/>
          <w:lang w:val="en-GB"/>
        </w:rPr>
        <w:t>Nagappala</w:t>
      </w:r>
      <w:proofErr w:type="spellEnd"/>
      <w:r w:rsidRPr="007C2A77">
        <w:rPr>
          <w:rFonts w:ascii="Arial" w:hAnsi="Arial" w:cs="Arial"/>
          <w:lang w:val="en-GB"/>
        </w:rPr>
        <w:t xml:space="preserve">, Englander, H. and McNeely, J. (2023). Strategies to support substance use disorder care transitions from acute-care to community-based settings: a scoping review and typology. </w:t>
      </w:r>
      <w:r w:rsidRPr="007C2A77">
        <w:rPr>
          <w:rFonts w:ascii="Arial" w:hAnsi="Arial" w:cs="Arial"/>
          <w:i/>
          <w:iCs/>
          <w:lang w:val="en-GB"/>
        </w:rPr>
        <w:t>Addiction Science &amp; Clinical Practice</w:t>
      </w:r>
      <w:r w:rsidRPr="007C2A77">
        <w:rPr>
          <w:rFonts w:ascii="Arial" w:hAnsi="Arial" w:cs="Arial"/>
          <w:lang w:val="en-GB"/>
        </w:rPr>
        <w:t>, 18(1). doi:https://doi.org/10.1186/s13722-023-00422-w.</w:t>
      </w:r>
    </w:p>
    <w:p w14:paraId="6B1A16B5" w14:textId="77777777" w:rsidR="007C2A77" w:rsidRPr="007C2A77" w:rsidRDefault="007C2A77" w:rsidP="007C2A77">
      <w:pPr>
        <w:spacing w:before="240" w:after="240" w:line="360" w:lineRule="auto"/>
        <w:jc w:val="both"/>
        <w:rPr>
          <w:rFonts w:ascii="Arial" w:hAnsi="Arial" w:cs="Arial"/>
          <w:lang w:val="en-GB"/>
        </w:rPr>
      </w:pPr>
      <w:r w:rsidRPr="007C2A77">
        <w:rPr>
          <w:rFonts w:ascii="Arial" w:hAnsi="Arial" w:cs="Arial"/>
          <w:lang w:val="en-GB"/>
        </w:rPr>
        <w:t xml:space="preserve">Lambe, K., Guerra, S., Salazar de Pablo, G., </w:t>
      </w:r>
      <w:proofErr w:type="spellStart"/>
      <w:r w:rsidRPr="007C2A77">
        <w:rPr>
          <w:rFonts w:ascii="Arial" w:hAnsi="Arial" w:cs="Arial"/>
          <w:lang w:val="en-GB"/>
        </w:rPr>
        <w:t>Ayis</w:t>
      </w:r>
      <w:proofErr w:type="spellEnd"/>
      <w:r w:rsidRPr="007C2A77">
        <w:rPr>
          <w:rFonts w:ascii="Arial" w:hAnsi="Arial" w:cs="Arial"/>
          <w:lang w:val="en-GB"/>
        </w:rPr>
        <w:t xml:space="preserve">, S., Cameron, I.D., Foster, N.E., Godfrey, E., Gregson, C.L., Martin, F.C., </w:t>
      </w:r>
      <w:proofErr w:type="spellStart"/>
      <w:r w:rsidRPr="007C2A77">
        <w:rPr>
          <w:rFonts w:ascii="Arial" w:hAnsi="Arial" w:cs="Arial"/>
          <w:lang w:val="en-GB"/>
        </w:rPr>
        <w:t>Sackley</w:t>
      </w:r>
      <w:proofErr w:type="spellEnd"/>
      <w:r w:rsidRPr="007C2A77">
        <w:rPr>
          <w:rFonts w:ascii="Arial" w:hAnsi="Arial" w:cs="Arial"/>
          <w:lang w:val="en-GB"/>
        </w:rPr>
        <w:t xml:space="preserve">, C., Walsh, N. and Sheehan, K.J. (2022). Effect of inpatient rehabilitation treatment ingredients on functioning, quality of life, length of stay, discharge destination, and mortality among older adults with unplanned admission: an overview review. </w:t>
      </w:r>
      <w:r w:rsidRPr="007C2A77">
        <w:rPr>
          <w:rFonts w:ascii="Arial" w:hAnsi="Arial" w:cs="Arial"/>
          <w:i/>
          <w:iCs/>
          <w:lang w:val="en-GB"/>
        </w:rPr>
        <w:t>BMC Geriatrics</w:t>
      </w:r>
      <w:r w:rsidRPr="007C2A77">
        <w:rPr>
          <w:rFonts w:ascii="Arial" w:hAnsi="Arial" w:cs="Arial"/>
          <w:lang w:val="en-GB"/>
        </w:rPr>
        <w:t>, [online] 22(1). doi:https://doi.org/10.1186/s12877-022-03169-2.</w:t>
      </w:r>
    </w:p>
    <w:p w14:paraId="62E5FF62" w14:textId="77777777" w:rsidR="007C2A77" w:rsidRPr="007C2A77" w:rsidRDefault="007C2A77" w:rsidP="007C2A77">
      <w:pPr>
        <w:spacing w:before="240" w:after="240" w:line="360" w:lineRule="auto"/>
        <w:jc w:val="both"/>
        <w:rPr>
          <w:rFonts w:ascii="Arial" w:hAnsi="Arial" w:cs="Arial"/>
          <w:lang w:val="en-GB"/>
        </w:rPr>
      </w:pPr>
      <w:r w:rsidRPr="007C2A77">
        <w:rPr>
          <w:rFonts w:ascii="Arial" w:hAnsi="Arial" w:cs="Arial"/>
          <w:lang w:val="en-GB"/>
        </w:rPr>
        <w:t xml:space="preserve">Lekan, D.A., Jenkins, M., McCoy, T.P., Mohanty, S., Manda, P. and Yasin, R. (2021). Hospital Readmission Outcomes by Frailty Risk in Adults in Behavioral Health Acute Care. </w:t>
      </w:r>
      <w:r w:rsidRPr="007C2A77">
        <w:rPr>
          <w:rFonts w:ascii="Arial" w:hAnsi="Arial" w:cs="Arial"/>
          <w:i/>
          <w:iCs/>
          <w:lang w:val="en-GB"/>
        </w:rPr>
        <w:t>Journal of Psychosocial Nursing and Mental Health Services</w:t>
      </w:r>
      <w:r w:rsidRPr="007C2A77">
        <w:rPr>
          <w:rFonts w:ascii="Arial" w:hAnsi="Arial" w:cs="Arial"/>
          <w:lang w:val="en-GB"/>
        </w:rPr>
        <w:t>, 59(10), pp.27–39. doi:https://doi.org/10.3928/02793695-20210427-03.</w:t>
      </w:r>
    </w:p>
    <w:p w14:paraId="2C834684" w14:textId="77777777" w:rsidR="007C2A77" w:rsidRPr="00AC1F4E" w:rsidRDefault="007C2A77" w:rsidP="007C2A77">
      <w:pPr>
        <w:spacing w:before="240" w:after="240" w:line="360" w:lineRule="auto"/>
        <w:jc w:val="both"/>
        <w:rPr>
          <w:rFonts w:ascii="Arial" w:hAnsi="Arial" w:cs="Arial"/>
        </w:rPr>
      </w:pPr>
      <w:proofErr w:type="spellStart"/>
      <w:r w:rsidRPr="00AC1F4E">
        <w:rPr>
          <w:rFonts w:ascii="Arial" w:hAnsi="Arial" w:cs="Arial"/>
        </w:rPr>
        <w:t>Mousavizadeh</w:t>
      </w:r>
      <w:proofErr w:type="spellEnd"/>
      <w:r w:rsidRPr="00AC1F4E">
        <w:rPr>
          <w:rFonts w:ascii="Arial" w:hAnsi="Arial" w:cs="Arial"/>
        </w:rPr>
        <w:t>, S.N. and Bidgoli, M.A.J., (2023). Recovery-oriented practices in community-based mental health services: A systematic review. </w:t>
      </w:r>
      <w:r w:rsidRPr="00AC1F4E">
        <w:rPr>
          <w:rFonts w:ascii="Arial" w:hAnsi="Arial" w:cs="Arial"/>
          <w:i/>
          <w:iCs/>
        </w:rPr>
        <w:t>Iranian Journal of Psychiatry</w:t>
      </w:r>
      <w:r w:rsidRPr="00AC1F4E">
        <w:rPr>
          <w:rFonts w:ascii="Arial" w:hAnsi="Arial" w:cs="Arial"/>
        </w:rPr>
        <w:t>, </w:t>
      </w:r>
      <w:r w:rsidRPr="00AC1F4E">
        <w:rPr>
          <w:rFonts w:ascii="Arial" w:hAnsi="Arial" w:cs="Arial"/>
          <w:i/>
          <w:iCs/>
        </w:rPr>
        <w:t>18</w:t>
      </w:r>
      <w:r w:rsidRPr="00AC1F4E">
        <w:rPr>
          <w:rFonts w:ascii="Arial" w:hAnsi="Arial" w:cs="Arial"/>
        </w:rPr>
        <w:t xml:space="preserve">(3), p.332. </w:t>
      </w:r>
      <w:hyperlink r:id="rId15" w:history="1">
        <w:r w:rsidRPr="00AC1F4E">
          <w:rPr>
            <w:rStyle w:val="Hyperlink"/>
            <w:rFonts w:ascii="Arial" w:hAnsi="Arial" w:cs="Arial"/>
            <w:color w:val="auto"/>
            <w:u w:val="none"/>
          </w:rPr>
          <w:t>https://pmc.ncbi.nlm.nih.gov/articles/PMC10422940/pdf/IJPS-18-332.pdf</w:t>
        </w:r>
      </w:hyperlink>
    </w:p>
    <w:p w14:paraId="43350FB8" w14:textId="77777777" w:rsidR="007C2A77" w:rsidRPr="00AC1F4E" w:rsidRDefault="007C2A77" w:rsidP="007C2A77">
      <w:pPr>
        <w:spacing w:before="240" w:after="240" w:line="360" w:lineRule="auto"/>
        <w:jc w:val="both"/>
        <w:rPr>
          <w:rFonts w:ascii="Arial" w:hAnsi="Arial" w:cs="Arial"/>
        </w:rPr>
      </w:pPr>
      <w:proofErr w:type="spellStart"/>
      <w:r w:rsidRPr="00AC1F4E">
        <w:rPr>
          <w:rFonts w:ascii="Arial" w:hAnsi="Arial" w:cs="Arial"/>
        </w:rPr>
        <w:t>Obegu</w:t>
      </w:r>
      <w:proofErr w:type="spellEnd"/>
      <w:r w:rsidRPr="00AC1F4E">
        <w:rPr>
          <w:rFonts w:ascii="Arial" w:hAnsi="Arial" w:cs="Arial"/>
        </w:rPr>
        <w:t>, P., Laberge-Perrault, E. and Fleury, M.J., (2025). Effectiveness of interventions after psychiatric hospitalization: a meta-analysis of randomized controlled trials. </w:t>
      </w:r>
      <w:r w:rsidRPr="00AC1F4E">
        <w:rPr>
          <w:rFonts w:ascii="Arial" w:hAnsi="Arial" w:cs="Arial"/>
          <w:i/>
          <w:iCs/>
        </w:rPr>
        <w:t>Psychiatric Services</w:t>
      </w:r>
      <w:r w:rsidRPr="00AC1F4E">
        <w:rPr>
          <w:rFonts w:ascii="Arial" w:hAnsi="Arial" w:cs="Arial"/>
        </w:rPr>
        <w:t>, </w:t>
      </w:r>
      <w:r w:rsidRPr="00AC1F4E">
        <w:rPr>
          <w:rFonts w:ascii="Arial" w:hAnsi="Arial" w:cs="Arial"/>
          <w:i/>
          <w:iCs/>
        </w:rPr>
        <w:t>76</w:t>
      </w:r>
      <w:r w:rsidRPr="00AC1F4E">
        <w:rPr>
          <w:rFonts w:ascii="Arial" w:hAnsi="Arial" w:cs="Arial"/>
        </w:rPr>
        <w:t xml:space="preserve">(12), pp.1108-1118. </w:t>
      </w:r>
      <w:hyperlink r:id="rId16" w:history="1">
        <w:r w:rsidRPr="00AC1F4E">
          <w:rPr>
            <w:rStyle w:val="Hyperlink"/>
            <w:rFonts w:ascii="Arial" w:hAnsi="Arial" w:cs="Arial"/>
            <w:color w:val="auto"/>
            <w:u w:val="none"/>
          </w:rPr>
          <w:t>https://www.researchgate.net/profile/Pamela-Obegu/publication/398243056_Effectiveness_of_Interventions_After_Psychiatric_Hospitalization_A_Meta-Analysis_of_Randomized_Controlled_Trials/links/692f0ed01a621a227cf7509c/Effectiveness-of-Interventions-After-Psychiatric-Hospitalization-A-Meta-Analysis-of-Randomized-Controlled-Trials.pdf</w:t>
        </w:r>
      </w:hyperlink>
    </w:p>
    <w:p w14:paraId="65A8D08C" w14:textId="77777777" w:rsidR="007C2A77" w:rsidRPr="00AC1F4E" w:rsidRDefault="007C2A77" w:rsidP="007C2A77">
      <w:pPr>
        <w:pStyle w:val="BodyText"/>
        <w:spacing w:after="240" w:line="360" w:lineRule="auto"/>
        <w:jc w:val="both"/>
        <w:rPr>
          <w:rFonts w:ascii="Arial" w:hAnsi="Arial" w:cs="Arial"/>
          <w:bCs/>
          <w:lang w:val="en-IN"/>
        </w:rPr>
      </w:pPr>
      <w:r w:rsidRPr="00AC1F4E">
        <w:rPr>
          <w:rFonts w:ascii="Arial" w:hAnsi="Arial" w:cs="Arial"/>
          <w:bCs/>
          <w:lang w:val="en-IN"/>
        </w:rPr>
        <w:t xml:space="preserve">Owusu, E., </w:t>
      </w:r>
      <w:proofErr w:type="spellStart"/>
      <w:r w:rsidRPr="00AC1F4E">
        <w:rPr>
          <w:rFonts w:ascii="Arial" w:hAnsi="Arial" w:cs="Arial"/>
          <w:bCs/>
          <w:lang w:val="en-IN"/>
        </w:rPr>
        <w:t>Oluwasina</w:t>
      </w:r>
      <w:proofErr w:type="spellEnd"/>
      <w:r w:rsidRPr="00AC1F4E">
        <w:rPr>
          <w:rFonts w:ascii="Arial" w:hAnsi="Arial" w:cs="Arial"/>
          <w:bCs/>
          <w:lang w:val="en-IN"/>
        </w:rPr>
        <w:t xml:space="preserve">, F., </w:t>
      </w:r>
      <w:proofErr w:type="spellStart"/>
      <w:r w:rsidRPr="00AC1F4E">
        <w:rPr>
          <w:rFonts w:ascii="Arial" w:hAnsi="Arial" w:cs="Arial"/>
          <w:bCs/>
          <w:lang w:val="en-IN"/>
        </w:rPr>
        <w:t>Nkire</w:t>
      </w:r>
      <w:proofErr w:type="spellEnd"/>
      <w:r w:rsidRPr="00AC1F4E">
        <w:rPr>
          <w:rFonts w:ascii="Arial" w:hAnsi="Arial" w:cs="Arial"/>
          <w:bCs/>
          <w:lang w:val="en-IN"/>
        </w:rPr>
        <w:t xml:space="preserve">, N., Lawal, M.A. and Agyapong, V.I.O. (2022). Readmission of Patients to Acute Psychiatric Hospitals: Influential Factors and Interventions to Reduce </w:t>
      </w:r>
      <w:r w:rsidRPr="00AC1F4E">
        <w:rPr>
          <w:rFonts w:ascii="Arial" w:hAnsi="Arial" w:cs="Arial"/>
          <w:bCs/>
          <w:lang w:val="en-IN"/>
        </w:rPr>
        <w:lastRenderedPageBreak/>
        <w:t xml:space="preserve">Psychiatric Readmission Rates. </w:t>
      </w:r>
      <w:r w:rsidRPr="00AC1F4E">
        <w:rPr>
          <w:rFonts w:ascii="Arial" w:hAnsi="Arial" w:cs="Arial"/>
          <w:bCs/>
          <w:i/>
          <w:iCs/>
          <w:lang w:val="en-IN"/>
        </w:rPr>
        <w:t>Healthcare</w:t>
      </w:r>
      <w:r w:rsidRPr="00AC1F4E">
        <w:rPr>
          <w:rFonts w:ascii="Arial" w:hAnsi="Arial" w:cs="Arial"/>
          <w:bCs/>
          <w:lang w:val="en-IN"/>
        </w:rPr>
        <w:t>, [online] 10(9), p.1808. doi:https://doi.org/10.3390/healthcare10091808.</w:t>
      </w:r>
    </w:p>
    <w:p w14:paraId="1855685F" w14:textId="77777777" w:rsidR="007C2A77" w:rsidRPr="00AC1F4E" w:rsidRDefault="007C2A77" w:rsidP="007C2A77">
      <w:pPr>
        <w:pStyle w:val="BodyText"/>
        <w:spacing w:after="240" w:line="360" w:lineRule="auto"/>
        <w:jc w:val="both"/>
        <w:rPr>
          <w:rFonts w:ascii="Arial" w:hAnsi="Arial" w:cs="Arial"/>
          <w:bCs/>
          <w:lang w:val="en-IN"/>
        </w:rPr>
      </w:pPr>
      <w:r w:rsidRPr="00AC1F4E">
        <w:rPr>
          <w:rFonts w:ascii="Arial" w:hAnsi="Arial" w:cs="Arial"/>
          <w:bCs/>
          <w:lang w:val="en-IN"/>
        </w:rPr>
        <w:t xml:space="preserve">Pervin, N. and Mokhtar, M., (2022). The interpretivist research paradigm: A subjective notion of a social context. </w:t>
      </w:r>
      <w:r w:rsidRPr="00AC1F4E">
        <w:rPr>
          <w:rFonts w:ascii="Arial" w:hAnsi="Arial" w:cs="Arial"/>
          <w:bCs/>
          <w:i/>
          <w:iCs/>
          <w:lang w:val="en-IN"/>
        </w:rPr>
        <w:t>International Journal of Academic Research in Progressive Education and Development</w:t>
      </w:r>
      <w:r w:rsidRPr="00AC1F4E">
        <w:rPr>
          <w:rFonts w:ascii="Arial" w:hAnsi="Arial" w:cs="Arial"/>
          <w:bCs/>
          <w:lang w:val="en-IN"/>
        </w:rPr>
        <w:t xml:space="preserve">, </w:t>
      </w:r>
      <w:r w:rsidRPr="00AC1F4E">
        <w:rPr>
          <w:rFonts w:ascii="Arial" w:hAnsi="Arial" w:cs="Arial"/>
          <w:bCs/>
          <w:i/>
          <w:iCs/>
          <w:lang w:val="en-IN"/>
        </w:rPr>
        <w:t>11</w:t>
      </w:r>
      <w:r w:rsidRPr="00AC1F4E">
        <w:rPr>
          <w:rFonts w:ascii="Arial" w:hAnsi="Arial" w:cs="Arial"/>
          <w:bCs/>
          <w:lang w:val="en-IN"/>
        </w:rPr>
        <w:t>(2), pp.419-428. https://www.academia.edu/download/88131967/the-interpretivist-research-paradigm-a-subjective-notion-of-a-social-context.pdf</w:t>
      </w:r>
    </w:p>
    <w:p w14:paraId="1F91D25D" w14:textId="77777777" w:rsidR="007C2A77" w:rsidRPr="00AC1F4E" w:rsidRDefault="007C2A77" w:rsidP="007C2A77">
      <w:pPr>
        <w:spacing w:before="240" w:after="240" w:line="360" w:lineRule="auto"/>
        <w:jc w:val="both"/>
        <w:rPr>
          <w:rFonts w:ascii="Arial" w:hAnsi="Arial" w:cs="Arial"/>
        </w:rPr>
      </w:pPr>
      <w:r w:rsidRPr="00AC1F4E">
        <w:rPr>
          <w:rFonts w:ascii="Arial" w:hAnsi="Arial" w:cs="Arial"/>
        </w:rPr>
        <w:t xml:space="preserve">Rahmat, R., </w:t>
      </w:r>
      <w:proofErr w:type="spellStart"/>
      <w:r w:rsidRPr="00AC1F4E">
        <w:rPr>
          <w:rFonts w:ascii="Arial" w:hAnsi="Arial" w:cs="Arial"/>
        </w:rPr>
        <w:t>Haroen</w:t>
      </w:r>
      <w:proofErr w:type="spellEnd"/>
      <w:r w:rsidRPr="00AC1F4E">
        <w:rPr>
          <w:rFonts w:ascii="Arial" w:hAnsi="Arial" w:cs="Arial"/>
        </w:rPr>
        <w:t xml:space="preserve">, H., </w:t>
      </w:r>
      <w:proofErr w:type="spellStart"/>
      <w:r w:rsidRPr="00AC1F4E">
        <w:rPr>
          <w:rFonts w:ascii="Arial" w:hAnsi="Arial" w:cs="Arial"/>
        </w:rPr>
        <w:t>Juniarti</w:t>
      </w:r>
      <w:proofErr w:type="spellEnd"/>
      <w:r w:rsidRPr="00AC1F4E">
        <w:rPr>
          <w:rFonts w:ascii="Arial" w:hAnsi="Arial" w:cs="Arial"/>
        </w:rPr>
        <w:t xml:space="preserve">, N., Sari, S.P. and </w:t>
      </w:r>
      <w:proofErr w:type="spellStart"/>
      <w:r w:rsidRPr="00AC1F4E">
        <w:rPr>
          <w:rFonts w:ascii="Arial" w:hAnsi="Arial" w:cs="Arial"/>
        </w:rPr>
        <w:t>Rinawan</w:t>
      </w:r>
      <w:proofErr w:type="spellEnd"/>
      <w:r w:rsidRPr="00AC1F4E">
        <w:rPr>
          <w:rFonts w:ascii="Arial" w:hAnsi="Arial" w:cs="Arial"/>
        </w:rPr>
        <w:t>, F.R., (2025). Effectiveness of Community Nurse-Led Intervention in Managing Older Adults with Multimorbidity: A Systematic Review of Randomized Controlled Trials. </w:t>
      </w:r>
      <w:r w:rsidRPr="00AC1F4E">
        <w:rPr>
          <w:rFonts w:ascii="Arial" w:hAnsi="Arial" w:cs="Arial"/>
          <w:i/>
          <w:iCs/>
        </w:rPr>
        <w:t>Journal of Multidisciplinary Healthcare</w:t>
      </w:r>
      <w:r w:rsidRPr="00AC1F4E">
        <w:rPr>
          <w:rFonts w:ascii="Arial" w:hAnsi="Arial" w:cs="Arial"/>
        </w:rPr>
        <w:t xml:space="preserve">, pp.6373-6389. </w:t>
      </w:r>
      <w:hyperlink r:id="rId17" w:history="1">
        <w:r w:rsidRPr="00AC1F4E">
          <w:rPr>
            <w:rStyle w:val="Hyperlink"/>
            <w:rFonts w:ascii="Arial" w:hAnsi="Arial" w:cs="Arial"/>
            <w:color w:val="auto"/>
            <w:u w:val="none"/>
          </w:rPr>
          <w:t>https://www.tandfonline.com/doi/pdf/10.2147/JMDH.S548950</w:t>
        </w:r>
      </w:hyperlink>
    </w:p>
    <w:p w14:paraId="3840090F" w14:textId="77777777" w:rsidR="007C2A77" w:rsidRPr="00AC1F4E" w:rsidRDefault="007C2A77" w:rsidP="007C2A77">
      <w:pPr>
        <w:spacing w:before="240" w:after="240" w:line="360" w:lineRule="auto"/>
        <w:jc w:val="both"/>
        <w:rPr>
          <w:rFonts w:ascii="Arial" w:hAnsi="Arial" w:cs="Arial"/>
        </w:rPr>
      </w:pPr>
      <w:r w:rsidRPr="00AC1F4E">
        <w:rPr>
          <w:rFonts w:ascii="Arial" w:hAnsi="Arial" w:cs="Arial"/>
        </w:rPr>
        <w:t xml:space="preserve">Savaglio, M., Vincent, A., Bentley, M., Gaul, J., Poke, S., Watson, N. and </w:t>
      </w:r>
      <w:proofErr w:type="spellStart"/>
      <w:r w:rsidRPr="00AC1F4E">
        <w:rPr>
          <w:rFonts w:ascii="Arial" w:hAnsi="Arial" w:cs="Arial"/>
        </w:rPr>
        <w:t>Skouteris</w:t>
      </w:r>
      <w:proofErr w:type="spellEnd"/>
      <w:r w:rsidRPr="00AC1F4E">
        <w:rPr>
          <w:rFonts w:ascii="Arial" w:hAnsi="Arial" w:cs="Arial"/>
        </w:rPr>
        <w:t>, H., (2024). A controlled evaluation of a psychosocial outreach support program for adults with severe mental illness. </w:t>
      </w:r>
      <w:r w:rsidRPr="00AC1F4E">
        <w:rPr>
          <w:rFonts w:ascii="Arial" w:hAnsi="Arial" w:cs="Arial"/>
          <w:i/>
          <w:iCs/>
        </w:rPr>
        <w:t>Psychosocial Intervention</w:t>
      </w:r>
      <w:r w:rsidRPr="00AC1F4E">
        <w:rPr>
          <w:rFonts w:ascii="Arial" w:hAnsi="Arial" w:cs="Arial"/>
        </w:rPr>
        <w:t>, </w:t>
      </w:r>
      <w:r w:rsidRPr="00AC1F4E">
        <w:rPr>
          <w:rFonts w:ascii="Arial" w:hAnsi="Arial" w:cs="Arial"/>
          <w:i/>
          <w:iCs/>
        </w:rPr>
        <w:t>33</w:t>
      </w:r>
      <w:r w:rsidRPr="00AC1F4E">
        <w:rPr>
          <w:rFonts w:ascii="Arial" w:hAnsi="Arial" w:cs="Arial"/>
        </w:rPr>
        <w:t xml:space="preserve">(3), pp.179-185. </w:t>
      </w:r>
      <w:hyperlink r:id="rId18" w:history="1">
        <w:r w:rsidRPr="00AC1F4E">
          <w:rPr>
            <w:rStyle w:val="Hyperlink"/>
            <w:rFonts w:ascii="Arial" w:hAnsi="Arial" w:cs="Arial"/>
            <w:color w:val="auto"/>
            <w:u w:val="none"/>
          </w:rPr>
          <w:t>https://scielo.isciii.es/scielo.php?pid=S1132-05592024000300004&amp;script=sci_arttext&amp;tlng=pt</w:t>
        </w:r>
      </w:hyperlink>
    </w:p>
    <w:p w14:paraId="0BA86509" w14:textId="77777777" w:rsidR="007C2A77" w:rsidRPr="00AC1F4E" w:rsidRDefault="007C2A77" w:rsidP="007C2A77">
      <w:pPr>
        <w:spacing w:before="240" w:after="240" w:line="360" w:lineRule="auto"/>
        <w:jc w:val="both"/>
        <w:rPr>
          <w:rFonts w:ascii="Arial" w:hAnsi="Arial" w:cs="Arial"/>
        </w:rPr>
      </w:pPr>
      <w:r w:rsidRPr="00AC1F4E">
        <w:rPr>
          <w:rFonts w:ascii="Arial" w:hAnsi="Arial" w:cs="Arial"/>
        </w:rPr>
        <w:t>Schwartz, S., Michel, J., Brown, E., Bullard, M., Chan, C.Y.M., Doolittle, J., Harrison, K., Pashayan, A., Nguyen, J. and Kumar, A., (2025). Assessing the impact of an innovate behavioral health clinic: a retrospective cohort study. </w:t>
      </w:r>
      <w:r w:rsidRPr="00AC1F4E">
        <w:rPr>
          <w:rFonts w:ascii="Arial" w:hAnsi="Arial" w:cs="Arial"/>
          <w:i/>
          <w:iCs/>
        </w:rPr>
        <w:t>BMC psychiatry</w:t>
      </w:r>
      <w:r w:rsidRPr="00AC1F4E">
        <w:rPr>
          <w:rFonts w:ascii="Arial" w:hAnsi="Arial" w:cs="Arial"/>
        </w:rPr>
        <w:t>, </w:t>
      </w:r>
      <w:r w:rsidRPr="00AC1F4E">
        <w:rPr>
          <w:rFonts w:ascii="Arial" w:hAnsi="Arial" w:cs="Arial"/>
          <w:i/>
          <w:iCs/>
        </w:rPr>
        <w:t>25</w:t>
      </w:r>
      <w:r w:rsidRPr="00AC1F4E">
        <w:rPr>
          <w:rFonts w:ascii="Arial" w:hAnsi="Arial" w:cs="Arial"/>
        </w:rPr>
        <w:t xml:space="preserve">(1), pp.1-9. </w:t>
      </w:r>
      <w:hyperlink r:id="rId19" w:history="1">
        <w:r w:rsidRPr="00AC1F4E">
          <w:rPr>
            <w:rStyle w:val="Hyperlink"/>
            <w:rFonts w:ascii="Arial" w:hAnsi="Arial" w:cs="Arial"/>
            <w:color w:val="auto"/>
            <w:u w:val="none"/>
          </w:rPr>
          <w:t>https://link.springer.com/content/pdf/10.1186/s12888-025-06669-8.pdf</w:t>
        </w:r>
      </w:hyperlink>
    </w:p>
    <w:p w14:paraId="5638C2EA" w14:textId="77777777" w:rsidR="007C2A77" w:rsidRPr="00AC1F4E" w:rsidRDefault="007C2A77" w:rsidP="007C2A77">
      <w:pPr>
        <w:pStyle w:val="BodyText"/>
        <w:spacing w:after="240" w:line="360" w:lineRule="auto"/>
        <w:jc w:val="both"/>
        <w:rPr>
          <w:rFonts w:ascii="Arial" w:hAnsi="Arial" w:cs="Arial"/>
          <w:bCs/>
          <w:lang w:val="en-IN"/>
        </w:rPr>
      </w:pPr>
      <w:r w:rsidRPr="007A004E">
        <w:rPr>
          <w:rFonts w:ascii="Arial" w:hAnsi="Arial" w:cs="Arial"/>
          <w:bCs/>
          <w:lang w:val="sv-SE"/>
        </w:rPr>
        <w:t xml:space="preserve">Sreenivasan, J., Kaul, R., Khan, M.S., Malik, A., Usman, M.S. and Michos, E.D. (2022). </w:t>
      </w:r>
      <w:r w:rsidRPr="00AC1F4E">
        <w:rPr>
          <w:rFonts w:ascii="Arial" w:hAnsi="Arial" w:cs="Arial"/>
          <w:bCs/>
          <w:lang w:val="en-IN"/>
        </w:rPr>
        <w:t xml:space="preserve">Mental health disorders and readmissions following acute myocardial infarction in the United States. </w:t>
      </w:r>
      <w:r w:rsidRPr="00AC1F4E">
        <w:rPr>
          <w:rFonts w:ascii="Arial" w:hAnsi="Arial" w:cs="Arial"/>
          <w:bCs/>
          <w:i/>
          <w:iCs/>
          <w:lang w:val="en-IN"/>
        </w:rPr>
        <w:t>Scientific Reports</w:t>
      </w:r>
      <w:r w:rsidRPr="00AC1F4E">
        <w:rPr>
          <w:rFonts w:ascii="Arial" w:hAnsi="Arial" w:cs="Arial"/>
          <w:bCs/>
          <w:lang w:val="en-IN"/>
        </w:rPr>
        <w:t>, 12(1). doi:https://doi.org/10.1038/s41598-022-07234-z.</w:t>
      </w:r>
    </w:p>
    <w:p w14:paraId="5A9A7122" w14:textId="77777777" w:rsidR="007C2A77" w:rsidRPr="00AC1F4E" w:rsidRDefault="007C2A77" w:rsidP="007C2A77">
      <w:pPr>
        <w:spacing w:before="240" w:after="240" w:line="360" w:lineRule="auto"/>
        <w:jc w:val="both"/>
        <w:rPr>
          <w:rFonts w:ascii="Arial" w:hAnsi="Arial" w:cs="Arial"/>
        </w:rPr>
      </w:pPr>
      <w:r w:rsidRPr="00AC1F4E">
        <w:rPr>
          <w:rFonts w:ascii="Arial" w:hAnsi="Arial" w:cs="Arial"/>
        </w:rPr>
        <w:t xml:space="preserve">Taban, M., </w:t>
      </w:r>
      <w:proofErr w:type="spellStart"/>
      <w:r w:rsidRPr="00AC1F4E">
        <w:rPr>
          <w:rFonts w:ascii="Arial" w:hAnsi="Arial" w:cs="Arial"/>
        </w:rPr>
        <w:t>Nooraeen</w:t>
      </w:r>
      <w:proofErr w:type="spellEnd"/>
      <w:r w:rsidRPr="00AC1F4E">
        <w:rPr>
          <w:rFonts w:ascii="Arial" w:hAnsi="Arial" w:cs="Arial"/>
        </w:rPr>
        <w:t>, S., Tanha, K., Moradi-</w:t>
      </w:r>
      <w:proofErr w:type="spellStart"/>
      <w:r w:rsidRPr="00AC1F4E">
        <w:rPr>
          <w:rFonts w:ascii="Arial" w:hAnsi="Arial" w:cs="Arial"/>
        </w:rPr>
        <w:t>Lakeh</w:t>
      </w:r>
      <w:proofErr w:type="spellEnd"/>
      <w:r w:rsidRPr="00AC1F4E">
        <w:rPr>
          <w:rFonts w:ascii="Arial" w:hAnsi="Arial" w:cs="Arial"/>
        </w:rPr>
        <w:t xml:space="preserve">, M. and </w:t>
      </w:r>
      <w:proofErr w:type="spellStart"/>
      <w:r w:rsidRPr="00AC1F4E">
        <w:rPr>
          <w:rFonts w:ascii="Arial" w:hAnsi="Arial" w:cs="Arial"/>
        </w:rPr>
        <w:t>Malakouti</w:t>
      </w:r>
      <w:proofErr w:type="spellEnd"/>
      <w:r w:rsidRPr="00AC1F4E">
        <w:rPr>
          <w:rFonts w:ascii="Arial" w:hAnsi="Arial" w:cs="Arial"/>
        </w:rPr>
        <w:t>, S.K., (2024). Effectiveness and cost-effectiveness of community-based mental health services for individuals with severe mental illness in Iran: a systematic review and meta-analysis. </w:t>
      </w:r>
      <w:r w:rsidRPr="00AC1F4E">
        <w:rPr>
          <w:rFonts w:ascii="Arial" w:hAnsi="Arial" w:cs="Arial"/>
          <w:i/>
          <w:iCs/>
        </w:rPr>
        <w:t>BMC psychiatry</w:t>
      </w:r>
      <w:r w:rsidRPr="00AC1F4E">
        <w:rPr>
          <w:rFonts w:ascii="Arial" w:hAnsi="Arial" w:cs="Arial"/>
        </w:rPr>
        <w:t>, </w:t>
      </w:r>
      <w:r w:rsidRPr="00AC1F4E">
        <w:rPr>
          <w:rFonts w:ascii="Arial" w:hAnsi="Arial" w:cs="Arial"/>
          <w:i/>
          <w:iCs/>
        </w:rPr>
        <w:t>24</w:t>
      </w:r>
      <w:r w:rsidRPr="00AC1F4E">
        <w:rPr>
          <w:rFonts w:ascii="Arial" w:hAnsi="Arial" w:cs="Arial"/>
        </w:rPr>
        <w:t xml:space="preserve">(1), p.256. </w:t>
      </w:r>
      <w:hyperlink r:id="rId20" w:history="1">
        <w:r w:rsidRPr="00AC1F4E">
          <w:rPr>
            <w:rStyle w:val="Hyperlink"/>
            <w:rFonts w:ascii="Arial" w:hAnsi="Arial" w:cs="Arial"/>
            <w:color w:val="auto"/>
            <w:u w:val="none"/>
          </w:rPr>
          <w:t>https://link.springer.com/content/pdf/10.1186/s12888-024-05666-7.pdf</w:t>
        </w:r>
      </w:hyperlink>
    </w:p>
    <w:p w14:paraId="71F3154B" w14:textId="77777777" w:rsidR="007C2A77" w:rsidRPr="00AC1F4E" w:rsidRDefault="007C2A77" w:rsidP="007C2A77">
      <w:pPr>
        <w:spacing w:before="240" w:after="240" w:line="360" w:lineRule="auto"/>
        <w:jc w:val="both"/>
        <w:rPr>
          <w:rFonts w:ascii="Arial" w:hAnsi="Arial" w:cs="Arial"/>
        </w:rPr>
      </w:pPr>
      <w:proofErr w:type="spellStart"/>
      <w:r w:rsidRPr="00AC1F4E">
        <w:rPr>
          <w:rFonts w:ascii="Arial" w:hAnsi="Arial" w:cs="Arial"/>
        </w:rPr>
        <w:t>Teggart</w:t>
      </w:r>
      <w:proofErr w:type="spellEnd"/>
      <w:r w:rsidRPr="00AC1F4E">
        <w:rPr>
          <w:rFonts w:ascii="Arial" w:hAnsi="Arial" w:cs="Arial"/>
        </w:rPr>
        <w:t xml:space="preserve">, K., Neil-Sztramko, S.E., Nadarajah, A., Wang, A., Moore, C., Carter, N., Adams, J., Jain, K., Petrie, P., </w:t>
      </w:r>
      <w:proofErr w:type="spellStart"/>
      <w:r w:rsidRPr="00AC1F4E">
        <w:rPr>
          <w:rFonts w:ascii="Arial" w:hAnsi="Arial" w:cs="Arial"/>
        </w:rPr>
        <w:t>Alshaikhahmed</w:t>
      </w:r>
      <w:proofErr w:type="spellEnd"/>
      <w:r w:rsidRPr="00AC1F4E">
        <w:rPr>
          <w:rFonts w:ascii="Arial" w:hAnsi="Arial" w:cs="Arial"/>
        </w:rPr>
        <w:t xml:space="preserve">, A. and </w:t>
      </w:r>
      <w:proofErr w:type="spellStart"/>
      <w:r w:rsidRPr="00AC1F4E">
        <w:rPr>
          <w:rFonts w:ascii="Arial" w:hAnsi="Arial" w:cs="Arial"/>
        </w:rPr>
        <w:t>Yugendranag</w:t>
      </w:r>
      <w:proofErr w:type="spellEnd"/>
      <w:r w:rsidRPr="00AC1F4E">
        <w:rPr>
          <w:rFonts w:ascii="Arial" w:hAnsi="Arial" w:cs="Arial"/>
        </w:rPr>
        <w:t>, S., (2023). Effectiveness of system navigation programs linking primary care with community-based health and social services: a systematic review. </w:t>
      </w:r>
      <w:r w:rsidRPr="00AC1F4E">
        <w:rPr>
          <w:rFonts w:ascii="Arial" w:hAnsi="Arial" w:cs="Arial"/>
          <w:i/>
          <w:iCs/>
        </w:rPr>
        <w:t>BMC Health Services Research</w:t>
      </w:r>
      <w:r w:rsidRPr="00AC1F4E">
        <w:rPr>
          <w:rFonts w:ascii="Arial" w:hAnsi="Arial" w:cs="Arial"/>
        </w:rPr>
        <w:t>, </w:t>
      </w:r>
      <w:r w:rsidRPr="00AC1F4E">
        <w:rPr>
          <w:rFonts w:ascii="Arial" w:hAnsi="Arial" w:cs="Arial"/>
          <w:i/>
          <w:iCs/>
        </w:rPr>
        <w:t>23</w:t>
      </w:r>
      <w:r w:rsidRPr="00AC1F4E">
        <w:rPr>
          <w:rFonts w:ascii="Arial" w:hAnsi="Arial" w:cs="Arial"/>
        </w:rPr>
        <w:t xml:space="preserve">(1), p.450. </w:t>
      </w:r>
      <w:hyperlink r:id="rId21" w:history="1">
        <w:r w:rsidRPr="00AC1F4E">
          <w:rPr>
            <w:rStyle w:val="Hyperlink"/>
            <w:rFonts w:ascii="Arial" w:hAnsi="Arial" w:cs="Arial"/>
            <w:color w:val="auto"/>
            <w:u w:val="none"/>
          </w:rPr>
          <w:t>https://link.springer.com/content/pdf/10.1186/s12913-023-09424-5.pdf</w:t>
        </w:r>
      </w:hyperlink>
    </w:p>
    <w:p w14:paraId="1584C653" w14:textId="77777777" w:rsidR="007C2A77" w:rsidRDefault="007C2A77" w:rsidP="007C2A77">
      <w:pPr>
        <w:spacing w:before="240" w:after="240" w:line="360" w:lineRule="auto"/>
        <w:jc w:val="both"/>
      </w:pPr>
      <w:r w:rsidRPr="00AC1F4E">
        <w:rPr>
          <w:rFonts w:ascii="Arial" w:hAnsi="Arial" w:cs="Arial"/>
        </w:rPr>
        <w:lastRenderedPageBreak/>
        <w:t>Teshima, T., Koto, Y. and Yamakawa, M., (2024). P39: The Effect of Home-Visit Nursing in Preventing Readmission of Patients with Mental Disorders to Psychiatric Hospitals: A Literature Review. </w:t>
      </w:r>
      <w:r w:rsidRPr="00AC1F4E">
        <w:rPr>
          <w:rFonts w:ascii="Arial" w:hAnsi="Arial" w:cs="Arial"/>
          <w:i/>
          <w:iCs/>
        </w:rPr>
        <w:t>International Psychogeriatrics</w:t>
      </w:r>
      <w:r w:rsidRPr="00AC1F4E">
        <w:rPr>
          <w:rFonts w:ascii="Arial" w:hAnsi="Arial" w:cs="Arial"/>
        </w:rPr>
        <w:t>, </w:t>
      </w:r>
      <w:r w:rsidRPr="00AC1F4E">
        <w:rPr>
          <w:rFonts w:ascii="Arial" w:hAnsi="Arial" w:cs="Arial"/>
          <w:i/>
          <w:iCs/>
        </w:rPr>
        <w:t>36</w:t>
      </w:r>
      <w:r w:rsidRPr="00AC1F4E">
        <w:rPr>
          <w:rFonts w:ascii="Arial" w:hAnsi="Arial" w:cs="Arial"/>
        </w:rPr>
        <w:t xml:space="preserve">(S1), pp.143-144. </w:t>
      </w:r>
      <w:hyperlink r:id="rId22" w:history="1">
        <w:r w:rsidRPr="00AC1F4E">
          <w:rPr>
            <w:rStyle w:val="Hyperlink"/>
            <w:rFonts w:ascii="Arial" w:hAnsi="Arial" w:cs="Arial"/>
            <w:color w:val="auto"/>
            <w:u w:val="none"/>
          </w:rPr>
          <w:t>https://www.intpsychogeriatrics.org/article/S1041-6102(25)00191-7/pdf</w:t>
        </w:r>
      </w:hyperlink>
    </w:p>
    <w:p w14:paraId="21B91D2B" w14:textId="77777777" w:rsidR="007C2A77" w:rsidRPr="007C2A77" w:rsidRDefault="007C2A77" w:rsidP="007C2A77">
      <w:pPr>
        <w:spacing w:before="240" w:after="240" w:line="360" w:lineRule="auto"/>
        <w:jc w:val="both"/>
        <w:rPr>
          <w:rFonts w:ascii="Arial" w:hAnsi="Arial" w:cs="Arial"/>
          <w:lang w:val="en-GB"/>
        </w:rPr>
      </w:pPr>
      <w:r w:rsidRPr="007C2A77">
        <w:rPr>
          <w:rFonts w:ascii="Arial" w:hAnsi="Arial" w:cs="Arial"/>
          <w:lang w:val="en-GB"/>
        </w:rPr>
        <w:t xml:space="preserve">Yenew, C., Dessie, A.M., Gebeyehu, A.A. and Genet, A. (2023). Intention to receive COVID-19 vaccine and its health belief model (HBM)-based predictors: A systematic review and meta-analysis. </w:t>
      </w:r>
      <w:r w:rsidRPr="007C2A77">
        <w:rPr>
          <w:rFonts w:ascii="Arial" w:hAnsi="Arial" w:cs="Arial"/>
          <w:i/>
          <w:iCs/>
          <w:lang w:val="en-GB"/>
        </w:rPr>
        <w:t>Human Vaccines &amp; Immunotherapeutics</w:t>
      </w:r>
      <w:r w:rsidRPr="007C2A77">
        <w:rPr>
          <w:rFonts w:ascii="Arial" w:hAnsi="Arial" w:cs="Arial"/>
          <w:lang w:val="en-GB"/>
        </w:rPr>
        <w:t>, 19(1). doi:https://doi.org/10.1080/21645515.2023.2207442.</w:t>
      </w:r>
    </w:p>
    <w:p w14:paraId="116ED44A" w14:textId="77777777" w:rsidR="007C2A77" w:rsidRPr="00AC1F4E" w:rsidRDefault="007C2A77" w:rsidP="00AC1F4E">
      <w:pPr>
        <w:spacing w:before="240" w:line="360" w:lineRule="auto"/>
        <w:jc w:val="both"/>
        <w:rPr>
          <w:rFonts w:ascii="Arial" w:hAnsi="Arial" w:cs="Arial"/>
        </w:rPr>
      </w:pPr>
    </w:p>
    <w:p w14:paraId="7B0482FD" w14:textId="2BA53DAE" w:rsidR="00EA19B2" w:rsidRPr="001F44E7" w:rsidRDefault="00EA19B2" w:rsidP="00241653">
      <w:pPr>
        <w:pStyle w:val="BodyText"/>
        <w:rPr>
          <w:rFonts w:ascii="Arial" w:hAnsi="Arial" w:cs="Arial"/>
          <w:bCs/>
        </w:rPr>
      </w:pPr>
    </w:p>
    <w:sectPr w:rsidR="00EA19B2" w:rsidRPr="001F44E7" w:rsidSect="007A004E">
      <w:footerReference w:type="default" r:id="rId23"/>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8522E4" w14:textId="77777777" w:rsidR="00100DCA" w:rsidRDefault="00100DCA">
      <w:r>
        <w:separator/>
      </w:r>
    </w:p>
  </w:endnote>
  <w:endnote w:type="continuationSeparator" w:id="0">
    <w:p w14:paraId="59C46621" w14:textId="77777777" w:rsidR="00100DCA" w:rsidRDefault="00100D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Shruti">
    <w:panose1 w:val="02000500000000000000"/>
    <w:charset w:val="00"/>
    <w:family w:val="swiss"/>
    <w:pitch w:val="variable"/>
    <w:sig w:usb0="0004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0"/>
        <w:szCs w:val="20"/>
      </w:rPr>
      <w:id w:val="-235939440"/>
      <w:docPartObj>
        <w:docPartGallery w:val="Page Numbers (Bottom of Page)"/>
        <w:docPartUnique/>
      </w:docPartObj>
    </w:sdtPr>
    <w:sdtContent>
      <w:p w14:paraId="4C91D041" w14:textId="0F7159E4" w:rsidR="005A07A1" w:rsidRPr="007A004E" w:rsidRDefault="005A07A1">
        <w:pPr>
          <w:pStyle w:val="Footer"/>
          <w:jc w:val="right"/>
          <w:rPr>
            <w:sz w:val="20"/>
            <w:szCs w:val="20"/>
          </w:rPr>
        </w:pPr>
        <w:r w:rsidRPr="007A004E">
          <w:rPr>
            <w:rFonts w:ascii="Arial" w:hAnsi="Arial" w:cs="Arial"/>
          </w:rPr>
          <w:t xml:space="preserve">Page | </w:t>
        </w:r>
        <w:r w:rsidRPr="007A004E">
          <w:rPr>
            <w:rFonts w:ascii="Arial" w:hAnsi="Arial" w:cs="Arial"/>
          </w:rPr>
          <w:fldChar w:fldCharType="begin"/>
        </w:r>
        <w:r w:rsidRPr="007A004E">
          <w:rPr>
            <w:rFonts w:ascii="Arial" w:hAnsi="Arial" w:cs="Arial"/>
          </w:rPr>
          <w:instrText xml:space="preserve"> PAGE   \* MERGEFORMAT </w:instrText>
        </w:r>
        <w:r w:rsidRPr="007A004E">
          <w:rPr>
            <w:rFonts w:ascii="Arial" w:hAnsi="Arial" w:cs="Arial"/>
          </w:rPr>
          <w:fldChar w:fldCharType="separate"/>
        </w:r>
        <w:r w:rsidRPr="007A004E">
          <w:rPr>
            <w:rFonts w:ascii="Arial" w:hAnsi="Arial" w:cs="Arial"/>
            <w:noProof/>
          </w:rPr>
          <w:t>2</w:t>
        </w:r>
        <w:r w:rsidRPr="007A004E">
          <w:rPr>
            <w:rFonts w:ascii="Arial" w:hAnsi="Arial" w:cs="Arial"/>
            <w:noProof/>
          </w:rPr>
          <w:fldChar w:fldCharType="end"/>
        </w:r>
        <w:r w:rsidRPr="007A004E">
          <w:t xml:space="preserve"> </w:t>
        </w:r>
      </w:p>
    </w:sdtContent>
  </w:sdt>
  <w:p w14:paraId="7A54A97D" w14:textId="2ACB192E" w:rsidR="00EA19B2" w:rsidRDefault="00EA19B2">
    <w:pPr>
      <w:pStyle w:val="BodyText"/>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4BC0A6" w14:textId="77777777" w:rsidR="00100DCA" w:rsidRDefault="00100DCA">
      <w:r>
        <w:separator/>
      </w:r>
    </w:p>
  </w:footnote>
  <w:footnote w:type="continuationSeparator" w:id="0">
    <w:p w14:paraId="48C56FD5" w14:textId="77777777" w:rsidR="00100DCA" w:rsidRDefault="00100DC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92B6A"/>
    <w:multiLevelType w:val="hybridMultilevel"/>
    <w:tmpl w:val="7CDC8CDC"/>
    <w:lvl w:ilvl="0" w:tplc="61C8BB2E">
      <w:numFmt w:val="bullet"/>
      <w:lvlText w:val=""/>
      <w:lvlJc w:val="left"/>
      <w:pPr>
        <w:ind w:left="874" w:hanging="360"/>
      </w:pPr>
      <w:rPr>
        <w:rFonts w:ascii="Symbol" w:eastAsia="Symbol" w:hAnsi="Symbol" w:cs="Symbol" w:hint="default"/>
        <w:b w:val="0"/>
        <w:bCs w:val="0"/>
        <w:i w:val="0"/>
        <w:iCs w:val="0"/>
        <w:spacing w:val="0"/>
        <w:w w:val="99"/>
        <w:sz w:val="20"/>
        <w:szCs w:val="20"/>
        <w:lang w:val="en-US" w:eastAsia="en-US" w:bidi="ar-SA"/>
      </w:rPr>
    </w:lvl>
    <w:lvl w:ilvl="1" w:tplc="544AEB60">
      <w:numFmt w:val="bullet"/>
      <w:lvlText w:val="•"/>
      <w:lvlJc w:val="left"/>
      <w:pPr>
        <w:ind w:left="1868" w:hanging="360"/>
      </w:pPr>
      <w:rPr>
        <w:rFonts w:hint="default"/>
        <w:lang w:val="en-US" w:eastAsia="en-US" w:bidi="ar-SA"/>
      </w:rPr>
    </w:lvl>
    <w:lvl w:ilvl="2" w:tplc="4CCEF74E">
      <w:numFmt w:val="bullet"/>
      <w:lvlText w:val="•"/>
      <w:lvlJc w:val="left"/>
      <w:pPr>
        <w:ind w:left="2856" w:hanging="360"/>
      </w:pPr>
      <w:rPr>
        <w:rFonts w:hint="default"/>
        <w:lang w:val="en-US" w:eastAsia="en-US" w:bidi="ar-SA"/>
      </w:rPr>
    </w:lvl>
    <w:lvl w:ilvl="3" w:tplc="34F61E2A">
      <w:numFmt w:val="bullet"/>
      <w:lvlText w:val="•"/>
      <w:lvlJc w:val="left"/>
      <w:pPr>
        <w:ind w:left="3844" w:hanging="360"/>
      </w:pPr>
      <w:rPr>
        <w:rFonts w:hint="default"/>
        <w:lang w:val="en-US" w:eastAsia="en-US" w:bidi="ar-SA"/>
      </w:rPr>
    </w:lvl>
    <w:lvl w:ilvl="4" w:tplc="990E154A">
      <w:numFmt w:val="bullet"/>
      <w:lvlText w:val="•"/>
      <w:lvlJc w:val="left"/>
      <w:pPr>
        <w:ind w:left="4832" w:hanging="360"/>
      </w:pPr>
      <w:rPr>
        <w:rFonts w:hint="default"/>
        <w:lang w:val="en-US" w:eastAsia="en-US" w:bidi="ar-SA"/>
      </w:rPr>
    </w:lvl>
    <w:lvl w:ilvl="5" w:tplc="409C069C">
      <w:numFmt w:val="bullet"/>
      <w:lvlText w:val="•"/>
      <w:lvlJc w:val="left"/>
      <w:pPr>
        <w:ind w:left="5821" w:hanging="360"/>
      </w:pPr>
      <w:rPr>
        <w:rFonts w:hint="default"/>
        <w:lang w:val="en-US" w:eastAsia="en-US" w:bidi="ar-SA"/>
      </w:rPr>
    </w:lvl>
    <w:lvl w:ilvl="6" w:tplc="01045204">
      <w:numFmt w:val="bullet"/>
      <w:lvlText w:val="•"/>
      <w:lvlJc w:val="left"/>
      <w:pPr>
        <w:ind w:left="6809" w:hanging="360"/>
      </w:pPr>
      <w:rPr>
        <w:rFonts w:hint="default"/>
        <w:lang w:val="en-US" w:eastAsia="en-US" w:bidi="ar-SA"/>
      </w:rPr>
    </w:lvl>
    <w:lvl w:ilvl="7" w:tplc="D2B8877C">
      <w:numFmt w:val="bullet"/>
      <w:lvlText w:val="•"/>
      <w:lvlJc w:val="left"/>
      <w:pPr>
        <w:ind w:left="7797" w:hanging="360"/>
      </w:pPr>
      <w:rPr>
        <w:rFonts w:hint="default"/>
        <w:lang w:val="en-US" w:eastAsia="en-US" w:bidi="ar-SA"/>
      </w:rPr>
    </w:lvl>
    <w:lvl w:ilvl="8" w:tplc="2F0C3C16">
      <w:numFmt w:val="bullet"/>
      <w:lvlText w:val="•"/>
      <w:lvlJc w:val="left"/>
      <w:pPr>
        <w:ind w:left="8785" w:hanging="360"/>
      </w:pPr>
      <w:rPr>
        <w:rFonts w:hint="default"/>
        <w:lang w:val="en-US" w:eastAsia="en-US" w:bidi="ar-SA"/>
      </w:rPr>
    </w:lvl>
  </w:abstractNum>
  <w:abstractNum w:abstractNumId="1" w15:restartNumberingAfterBreak="0">
    <w:nsid w:val="1A847B08"/>
    <w:multiLevelType w:val="multilevel"/>
    <w:tmpl w:val="66CE80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8562066"/>
    <w:multiLevelType w:val="hybridMultilevel"/>
    <w:tmpl w:val="5BB0F44C"/>
    <w:lvl w:ilvl="0" w:tplc="C952DB2C">
      <w:start w:val="1"/>
      <w:numFmt w:val="bullet"/>
      <w:lvlText w:val="●"/>
      <w:lvlJc w:val="left"/>
      <w:pPr>
        <w:tabs>
          <w:tab w:val="num" w:pos="720"/>
        </w:tabs>
        <w:ind w:left="720" w:hanging="360"/>
      </w:pPr>
      <w:rPr>
        <w:rFonts w:ascii="Arial" w:hAnsi="Arial" w:hint="default"/>
      </w:rPr>
    </w:lvl>
    <w:lvl w:ilvl="1" w:tplc="B4385F24" w:tentative="1">
      <w:start w:val="1"/>
      <w:numFmt w:val="bullet"/>
      <w:lvlText w:val="●"/>
      <w:lvlJc w:val="left"/>
      <w:pPr>
        <w:tabs>
          <w:tab w:val="num" w:pos="1440"/>
        </w:tabs>
        <w:ind w:left="1440" w:hanging="360"/>
      </w:pPr>
      <w:rPr>
        <w:rFonts w:ascii="Arial" w:hAnsi="Arial" w:hint="default"/>
      </w:rPr>
    </w:lvl>
    <w:lvl w:ilvl="2" w:tplc="4768E6C4" w:tentative="1">
      <w:start w:val="1"/>
      <w:numFmt w:val="bullet"/>
      <w:lvlText w:val="●"/>
      <w:lvlJc w:val="left"/>
      <w:pPr>
        <w:tabs>
          <w:tab w:val="num" w:pos="2160"/>
        </w:tabs>
        <w:ind w:left="2160" w:hanging="360"/>
      </w:pPr>
      <w:rPr>
        <w:rFonts w:ascii="Arial" w:hAnsi="Arial" w:hint="default"/>
      </w:rPr>
    </w:lvl>
    <w:lvl w:ilvl="3" w:tplc="8BE8AFAA" w:tentative="1">
      <w:start w:val="1"/>
      <w:numFmt w:val="bullet"/>
      <w:lvlText w:val="●"/>
      <w:lvlJc w:val="left"/>
      <w:pPr>
        <w:tabs>
          <w:tab w:val="num" w:pos="2880"/>
        </w:tabs>
        <w:ind w:left="2880" w:hanging="360"/>
      </w:pPr>
      <w:rPr>
        <w:rFonts w:ascii="Arial" w:hAnsi="Arial" w:hint="default"/>
      </w:rPr>
    </w:lvl>
    <w:lvl w:ilvl="4" w:tplc="AF700166" w:tentative="1">
      <w:start w:val="1"/>
      <w:numFmt w:val="bullet"/>
      <w:lvlText w:val="●"/>
      <w:lvlJc w:val="left"/>
      <w:pPr>
        <w:tabs>
          <w:tab w:val="num" w:pos="3600"/>
        </w:tabs>
        <w:ind w:left="3600" w:hanging="360"/>
      </w:pPr>
      <w:rPr>
        <w:rFonts w:ascii="Arial" w:hAnsi="Arial" w:hint="default"/>
      </w:rPr>
    </w:lvl>
    <w:lvl w:ilvl="5" w:tplc="F68E5E18" w:tentative="1">
      <w:start w:val="1"/>
      <w:numFmt w:val="bullet"/>
      <w:lvlText w:val="●"/>
      <w:lvlJc w:val="left"/>
      <w:pPr>
        <w:tabs>
          <w:tab w:val="num" w:pos="4320"/>
        </w:tabs>
        <w:ind w:left="4320" w:hanging="360"/>
      </w:pPr>
      <w:rPr>
        <w:rFonts w:ascii="Arial" w:hAnsi="Arial" w:hint="default"/>
      </w:rPr>
    </w:lvl>
    <w:lvl w:ilvl="6" w:tplc="14BE232C" w:tentative="1">
      <w:start w:val="1"/>
      <w:numFmt w:val="bullet"/>
      <w:lvlText w:val="●"/>
      <w:lvlJc w:val="left"/>
      <w:pPr>
        <w:tabs>
          <w:tab w:val="num" w:pos="5040"/>
        </w:tabs>
        <w:ind w:left="5040" w:hanging="360"/>
      </w:pPr>
      <w:rPr>
        <w:rFonts w:ascii="Arial" w:hAnsi="Arial" w:hint="default"/>
      </w:rPr>
    </w:lvl>
    <w:lvl w:ilvl="7" w:tplc="A1189780" w:tentative="1">
      <w:start w:val="1"/>
      <w:numFmt w:val="bullet"/>
      <w:lvlText w:val="●"/>
      <w:lvlJc w:val="left"/>
      <w:pPr>
        <w:tabs>
          <w:tab w:val="num" w:pos="5760"/>
        </w:tabs>
        <w:ind w:left="5760" w:hanging="360"/>
      </w:pPr>
      <w:rPr>
        <w:rFonts w:ascii="Arial" w:hAnsi="Arial" w:hint="default"/>
      </w:rPr>
    </w:lvl>
    <w:lvl w:ilvl="8" w:tplc="9CF87932"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2A2C062D"/>
    <w:multiLevelType w:val="hybridMultilevel"/>
    <w:tmpl w:val="4650D698"/>
    <w:lvl w:ilvl="0" w:tplc="10B8B48A">
      <w:start w:val="1"/>
      <w:numFmt w:val="decimal"/>
      <w:lvlText w:val="%1."/>
      <w:lvlJc w:val="left"/>
      <w:pPr>
        <w:ind w:left="814" w:hanging="360"/>
      </w:pPr>
      <w:rPr>
        <w:rFonts w:ascii="Arial MT" w:eastAsia="Arial MT" w:hAnsi="Arial MT" w:cs="Arial MT" w:hint="default"/>
        <w:b w:val="0"/>
        <w:bCs w:val="0"/>
        <w:i w:val="0"/>
        <w:iCs w:val="0"/>
        <w:spacing w:val="0"/>
        <w:w w:val="100"/>
        <w:sz w:val="24"/>
        <w:szCs w:val="24"/>
        <w:lang w:val="en-US" w:eastAsia="en-US" w:bidi="ar-SA"/>
      </w:rPr>
    </w:lvl>
    <w:lvl w:ilvl="1" w:tplc="BC3E2F6A">
      <w:numFmt w:val="bullet"/>
      <w:lvlText w:val="•"/>
      <w:lvlJc w:val="left"/>
      <w:pPr>
        <w:ind w:left="1777" w:hanging="360"/>
      </w:pPr>
      <w:rPr>
        <w:rFonts w:hint="default"/>
        <w:lang w:val="en-US" w:eastAsia="en-US" w:bidi="ar-SA"/>
      </w:rPr>
    </w:lvl>
    <w:lvl w:ilvl="2" w:tplc="3BCE9A02">
      <w:numFmt w:val="bullet"/>
      <w:lvlText w:val="•"/>
      <w:lvlJc w:val="left"/>
      <w:pPr>
        <w:ind w:left="2735" w:hanging="360"/>
      </w:pPr>
      <w:rPr>
        <w:rFonts w:hint="default"/>
        <w:lang w:val="en-US" w:eastAsia="en-US" w:bidi="ar-SA"/>
      </w:rPr>
    </w:lvl>
    <w:lvl w:ilvl="3" w:tplc="C1C64788">
      <w:numFmt w:val="bullet"/>
      <w:lvlText w:val="•"/>
      <w:lvlJc w:val="left"/>
      <w:pPr>
        <w:ind w:left="3693" w:hanging="360"/>
      </w:pPr>
      <w:rPr>
        <w:rFonts w:hint="default"/>
        <w:lang w:val="en-US" w:eastAsia="en-US" w:bidi="ar-SA"/>
      </w:rPr>
    </w:lvl>
    <w:lvl w:ilvl="4" w:tplc="C4A0AABA">
      <w:numFmt w:val="bullet"/>
      <w:lvlText w:val="•"/>
      <w:lvlJc w:val="left"/>
      <w:pPr>
        <w:ind w:left="4651" w:hanging="360"/>
      </w:pPr>
      <w:rPr>
        <w:rFonts w:hint="default"/>
        <w:lang w:val="en-US" w:eastAsia="en-US" w:bidi="ar-SA"/>
      </w:rPr>
    </w:lvl>
    <w:lvl w:ilvl="5" w:tplc="5476AFD8">
      <w:numFmt w:val="bullet"/>
      <w:lvlText w:val="•"/>
      <w:lvlJc w:val="left"/>
      <w:pPr>
        <w:ind w:left="5609" w:hanging="360"/>
      </w:pPr>
      <w:rPr>
        <w:rFonts w:hint="default"/>
        <w:lang w:val="en-US" w:eastAsia="en-US" w:bidi="ar-SA"/>
      </w:rPr>
    </w:lvl>
    <w:lvl w:ilvl="6" w:tplc="667E834C">
      <w:numFmt w:val="bullet"/>
      <w:lvlText w:val="•"/>
      <w:lvlJc w:val="left"/>
      <w:pPr>
        <w:ind w:left="6567" w:hanging="360"/>
      </w:pPr>
      <w:rPr>
        <w:rFonts w:hint="default"/>
        <w:lang w:val="en-US" w:eastAsia="en-US" w:bidi="ar-SA"/>
      </w:rPr>
    </w:lvl>
    <w:lvl w:ilvl="7" w:tplc="8E4C80B0">
      <w:numFmt w:val="bullet"/>
      <w:lvlText w:val="•"/>
      <w:lvlJc w:val="left"/>
      <w:pPr>
        <w:ind w:left="7525" w:hanging="360"/>
      </w:pPr>
      <w:rPr>
        <w:rFonts w:hint="default"/>
        <w:lang w:val="en-US" w:eastAsia="en-US" w:bidi="ar-SA"/>
      </w:rPr>
    </w:lvl>
    <w:lvl w:ilvl="8" w:tplc="4D24EED6">
      <w:numFmt w:val="bullet"/>
      <w:lvlText w:val="•"/>
      <w:lvlJc w:val="left"/>
      <w:pPr>
        <w:ind w:left="8483" w:hanging="360"/>
      </w:pPr>
      <w:rPr>
        <w:rFonts w:hint="default"/>
        <w:lang w:val="en-US" w:eastAsia="en-US" w:bidi="ar-SA"/>
      </w:rPr>
    </w:lvl>
  </w:abstractNum>
  <w:abstractNum w:abstractNumId="4" w15:restartNumberingAfterBreak="0">
    <w:nsid w:val="3F932AD4"/>
    <w:multiLevelType w:val="hybridMultilevel"/>
    <w:tmpl w:val="6B3685C0"/>
    <w:lvl w:ilvl="0" w:tplc="778A55B2">
      <w:numFmt w:val="bullet"/>
      <w:lvlText w:val="o"/>
      <w:lvlJc w:val="left"/>
      <w:pPr>
        <w:ind w:left="874" w:hanging="360"/>
      </w:pPr>
      <w:rPr>
        <w:rFonts w:ascii="Courier New" w:eastAsia="Courier New" w:hAnsi="Courier New" w:cs="Courier New" w:hint="default"/>
        <w:b w:val="0"/>
        <w:bCs w:val="0"/>
        <w:i w:val="0"/>
        <w:iCs w:val="0"/>
        <w:spacing w:val="0"/>
        <w:w w:val="99"/>
        <w:sz w:val="20"/>
        <w:szCs w:val="20"/>
        <w:lang w:val="en-US" w:eastAsia="en-US" w:bidi="ar-SA"/>
      </w:rPr>
    </w:lvl>
    <w:lvl w:ilvl="1" w:tplc="F77C0F2A">
      <w:numFmt w:val="bullet"/>
      <w:lvlText w:val="•"/>
      <w:lvlJc w:val="left"/>
      <w:pPr>
        <w:ind w:left="1868" w:hanging="360"/>
      </w:pPr>
      <w:rPr>
        <w:rFonts w:hint="default"/>
        <w:lang w:val="en-US" w:eastAsia="en-US" w:bidi="ar-SA"/>
      </w:rPr>
    </w:lvl>
    <w:lvl w:ilvl="2" w:tplc="0CA69D6E">
      <w:numFmt w:val="bullet"/>
      <w:lvlText w:val="•"/>
      <w:lvlJc w:val="left"/>
      <w:pPr>
        <w:ind w:left="2856" w:hanging="360"/>
      </w:pPr>
      <w:rPr>
        <w:rFonts w:hint="default"/>
        <w:lang w:val="en-US" w:eastAsia="en-US" w:bidi="ar-SA"/>
      </w:rPr>
    </w:lvl>
    <w:lvl w:ilvl="3" w:tplc="09BCED58">
      <w:numFmt w:val="bullet"/>
      <w:lvlText w:val="•"/>
      <w:lvlJc w:val="left"/>
      <w:pPr>
        <w:ind w:left="3844" w:hanging="360"/>
      </w:pPr>
      <w:rPr>
        <w:rFonts w:hint="default"/>
        <w:lang w:val="en-US" w:eastAsia="en-US" w:bidi="ar-SA"/>
      </w:rPr>
    </w:lvl>
    <w:lvl w:ilvl="4" w:tplc="F3686242">
      <w:numFmt w:val="bullet"/>
      <w:lvlText w:val="•"/>
      <w:lvlJc w:val="left"/>
      <w:pPr>
        <w:ind w:left="4832" w:hanging="360"/>
      </w:pPr>
      <w:rPr>
        <w:rFonts w:hint="default"/>
        <w:lang w:val="en-US" w:eastAsia="en-US" w:bidi="ar-SA"/>
      </w:rPr>
    </w:lvl>
    <w:lvl w:ilvl="5" w:tplc="0332DC36">
      <w:numFmt w:val="bullet"/>
      <w:lvlText w:val="•"/>
      <w:lvlJc w:val="left"/>
      <w:pPr>
        <w:ind w:left="5821" w:hanging="360"/>
      </w:pPr>
      <w:rPr>
        <w:rFonts w:hint="default"/>
        <w:lang w:val="en-US" w:eastAsia="en-US" w:bidi="ar-SA"/>
      </w:rPr>
    </w:lvl>
    <w:lvl w:ilvl="6" w:tplc="8C587768">
      <w:numFmt w:val="bullet"/>
      <w:lvlText w:val="•"/>
      <w:lvlJc w:val="left"/>
      <w:pPr>
        <w:ind w:left="6809" w:hanging="360"/>
      </w:pPr>
      <w:rPr>
        <w:rFonts w:hint="default"/>
        <w:lang w:val="en-US" w:eastAsia="en-US" w:bidi="ar-SA"/>
      </w:rPr>
    </w:lvl>
    <w:lvl w:ilvl="7" w:tplc="59E28606">
      <w:numFmt w:val="bullet"/>
      <w:lvlText w:val="•"/>
      <w:lvlJc w:val="left"/>
      <w:pPr>
        <w:ind w:left="7797" w:hanging="360"/>
      </w:pPr>
      <w:rPr>
        <w:rFonts w:hint="default"/>
        <w:lang w:val="en-US" w:eastAsia="en-US" w:bidi="ar-SA"/>
      </w:rPr>
    </w:lvl>
    <w:lvl w:ilvl="8" w:tplc="F97A4826">
      <w:numFmt w:val="bullet"/>
      <w:lvlText w:val="•"/>
      <w:lvlJc w:val="left"/>
      <w:pPr>
        <w:ind w:left="8785" w:hanging="360"/>
      </w:pPr>
      <w:rPr>
        <w:rFonts w:hint="default"/>
        <w:lang w:val="en-US" w:eastAsia="en-US" w:bidi="ar-SA"/>
      </w:rPr>
    </w:lvl>
  </w:abstractNum>
  <w:abstractNum w:abstractNumId="5" w15:restartNumberingAfterBreak="0">
    <w:nsid w:val="4A237618"/>
    <w:multiLevelType w:val="hybridMultilevel"/>
    <w:tmpl w:val="89E6AC0C"/>
    <w:lvl w:ilvl="0" w:tplc="C7DA900A">
      <w:numFmt w:val="bullet"/>
      <w:lvlText w:val=""/>
      <w:lvlJc w:val="left"/>
      <w:pPr>
        <w:ind w:left="823" w:hanging="360"/>
      </w:pPr>
      <w:rPr>
        <w:rFonts w:ascii="Symbol" w:eastAsia="Symbol" w:hAnsi="Symbol" w:cs="Symbol" w:hint="default"/>
        <w:b w:val="0"/>
        <w:bCs w:val="0"/>
        <w:i w:val="0"/>
        <w:iCs w:val="0"/>
        <w:spacing w:val="0"/>
        <w:w w:val="99"/>
        <w:sz w:val="20"/>
        <w:szCs w:val="20"/>
        <w:lang w:val="en-US" w:eastAsia="en-US" w:bidi="ar-SA"/>
      </w:rPr>
    </w:lvl>
    <w:lvl w:ilvl="1" w:tplc="785A7154">
      <w:numFmt w:val="bullet"/>
      <w:lvlText w:val="•"/>
      <w:lvlJc w:val="left"/>
      <w:pPr>
        <w:ind w:left="1712" w:hanging="360"/>
      </w:pPr>
      <w:rPr>
        <w:rFonts w:hint="default"/>
        <w:lang w:val="en-US" w:eastAsia="en-US" w:bidi="ar-SA"/>
      </w:rPr>
    </w:lvl>
    <w:lvl w:ilvl="2" w:tplc="0356355E">
      <w:numFmt w:val="bullet"/>
      <w:lvlText w:val="•"/>
      <w:lvlJc w:val="left"/>
      <w:pPr>
        <w:ind w:left="2604" w:hanging="360"/>
      </w:pPr>
      <w:rPr>
        <w:rFonts w:hint="default"/>
        <w:lang w:val="en-US" w:eastAsia="en-US" w:bidi="ar-SA"/>
      </w:rPr>
    </w:lvl>
    <w:lvl w:ilvl="3" w:tplc="A5040E48">
      <w:numFmt w:val="bullet"/>
      <w:lvlText w:val="•"/>
      <w:lvlJc w:val="left"/>
      <w:pPr>
        <w:ind w:left="3496" w:hanging="360"/>
      </w:pPr>
      <w:rPr>
        <w:rFonts w:hint="default"/>
        <w:lang w:val="en-US" w:eastAsia="en-US" w:bidi="ar-SA"/>
      </w:rPr>
    </w:lvl>
    <w:lvl w:ilvl="4" w:tplc="57921908">
      <w:numFmt w:val="bullet"/>
      <w:lvlText w:val="•"/>
      <w:lvlJc w:val="left"/>
      <w:pPr>
        <w:ind w:left="4388" w:hanging="360"/>
      </w:pPr>
      <w:rPr>
        <w:rFonts w:hint="default"/>
        <w:lang w:val="en-US" w:eastAsia="en-US" w:bidi="ar-SA"/>
      </w:rPr>
    </w:lvl>
    <w:lvl w:ilvl="5" w:tplc="8F74C3C8">
      <w:numFmt w:val="bullet"/>
      <w:lvlText w:val="•"/>
      <w:lvlJc w:val="left"/>
      <w:pPr>
        <w:ind w:left="5280" w:hanging="360"/>
      </w:pPr>
      <w:rPr>
        <w:rFonts w:hint="default"/>
        <w:lang w:val="en-US" w:eastAsia="en-US" w:bidi="ar-SA"/>
      </w:rPr>
    </w:lvl>
    <w:lvl w:ilvl="6" w:tplc="614E7BAE">
      <w:numFmt w:val="bullet"/>
      <w:lvlText w:val="•"/>
      <w:lvlJc w:val="left"/>
      <w:pPr>
        <w:ind w:left="6172" w:hanging="360"/>
      </w:pPr>
      <w:rPr>
        <w:rFonts w:hint="default"/>
        <w:lang w:val="en-US" w:eastAsia="en-US" w:bidi="ar-SA"/>
      </w:rPr>
    </w:lvl>
    <w:lvl w:ilvl="7" w:tplc="51A8122E">
      <w:numFmt w:val="bullet"/>
      <w:lvlText w:val="•"/>
      <w:lvlJc w:val="left"/>
      <w:pPr>
        <w:ind w:left="7064" w:hanging="360"/>
      </w:pPr>
      <w:rPr>
        <w:rFonts w:hint="default"/>
        <w:lang w:val="en-US" w:eastAsia="en-US" w:bidi="ar-SA"/>
      </w:rPr>
    </w:lvl>
    <w:lvl w:ilvl="8" w:tplc="AFE8D440">
      <w:numFmt w:val="bullet"/>
      <w:lvlText w:val="•"/>
      <w:lvlJc w:val="left"/>
      <w:pPr>
        <w:ind w:left="7956" w:hanging="360"/>
      </w:pPr>
      <w:rPr>
        <w:rFonts w:hint="default"/>
        <w:lang w:val="en-US" w:eastAsia="en-US" w:bidi="ar-SA"/>
      </w:rPr>
    </w:lvl>
  </w:abstractNum>
  <w:abstractNum w:abstractNumId="6" w15:restartNumberingAfterBreak="0">
    <w:nsid w:val="68704FF6"/>
    <w:multiLevelType w:val="hybridMultilevel"/>
    <w:tmpl w:val="3070BB74"/>
    <w:lvl w:ilvl="0" w:tplc="084A3FF0">
      <w:start w:val="1"/>
      <w:numFmt w:val="decimal"/>
      <w:lvlText w:val="%1."/>
      <w:lvlJc w:val="left"/>
      <w:pPr>
        <w:ind w:left="514" w:hanging="361"/>
      </w:pPr>
      <w:rPr>
        <w:rFonts w:ascii="Arial" w:eastAsia="Arial" w:hAnsi="Arial" w:cs="Arial" w:hint="default"/>
        <w:b/>
        <w:bCs/>
        <w:i w:val="0"/>
        <w:iCs w:val="0"/>
        <w:spacing w:val="-1"/>
        <w:w w:val="100"/>
        <w:sz w:val="22"/>
        <w:szCs w:val="22"/>
        <w:lang w:val="en-US" w:eastAsia="en-US" w:bidi="ar-SA"/>
      </w:rPr>
    </w:lvl>
    <w:lvl w:ilvl="1" w:tplc="66A68070">
      <w:numFmt w:val="bullet"/>
      <w:lvlText w:val=""/>
      <w:lvlJc w:val="left"/>
      <w:pPr>
        <w:ind w:left="874" w:hanging="360"/>
      </w:pPr>
      <w:rPr>
        <w:rFonts w:ascii="Symbol" w:eastAsia="Symbol" w:hAnsi="Symbol" w:cs="Symbol" w:hint="default"/>
        <w:b w:val="0"/>
        <w:bCs w:val="0"/>
        <w:i w:val="0"/>
        <w:iCs w:val="0"/>
        <w:spacing w:val="0"/>
        <w:w w:val="100"/>
        <w:sz w:val="22"/>
        <w:szCs w:val="22"/>
        <w:lang w:val="en-US" w:eastAsia="en-US" w:bidi="ar-SA"/>
      </w:rPr>
    </w:lvl>
    <w:lvl w:ilvl="2" w:tplc="C316A402">
      <w:numFmt w:val="bullet"/>
      <w:lvlText w:val="•"/>
      <w:lvlJc w:val="left"/>
      <w:pPr>
        <w:ind w:left="1978" w:hanging="360"/>
      </w:pPr>
      <w:rPr>
        <w:rFonts w:hint="default"/>
        <w:lang w:val="en-US" w:eastAsia="en-US" w:bidi="ar-SA"/>
      </w:rPr>
    </w:lvl>
    <w:lvl w:ilvl="3" w:tplc="8BEEC218">
      <w:numFmt w:val="bullet"/>
      <w:lvlText w:val="•"/>
      <w:lvlJc w:val="left"/>
      <w:pPr>
        <w:ind w:left="3076" w:hanging="360"/>
      </w:pPr>
      <w:rPr>
        <w:rFonts w:hint="default"/>
        <w:lang w:val="en-US" w:eastAsia="en-US" w:bidi="ar-SA"/>
      </w:rPr>
    </w:lvl>
    <w:lvl w:ilvl="4" w:tplc="B83ECA08">
      <w:numFmt w:val="bullet"/>
      <w:lvlText w:val="•"/>
      <w:lvlJc w:val="left"/>
      <w:pPr>
        <w:ind w:left="4174" w:hanging="360"/>
      </w:pPr>
      <w:rPr>
        <w:rFonts w:hint="default"/>
        <w:lang w:val="en-US" w:eastAsia="en-US" w:bidi="ar-SA"/>
      </w:rPr>
    </w:lvl>
    <w:lvl w:ilvl="5" w:tplc="4ADAEE8E">
      <w:numFmt w:val="bullet"/>
      <w:lvlText w:val="•"/>
      <w:lvlJc w:val="left"/>
      <w:pPr>
        <w:ind w:left="5272" w:hanging="360"/>
      </w:pPr>
      <w:rPr>
        <w:rFonts w:hint="default"/>
        <w:lang w:val="en-US" w:eastAsia="en-US" w:bidi="ar-SA"/>
      </w:rPr>
    </w:lvl>
    <w:lvl w:ilvl="6" w:tplc="3CC0DBA8">
      <w:numFmt w:val="bullet"/>
      <w:lvlText w:val="•"/>
      <w:lvlJc w:val="left"/>
      <w:pPr>
        <w:ind w:left="6370" w:hanging="360"/>
      </w:pPr>
      <w:rPr>
        <w:rFonts w:hint="default"/>
        <w:lang w:val="en-US" w:eastAsia="en-US" w:bidi="ar-SA"/>
      </w:rPr>
    </w:lvl>
    <w:lvl w:ilvl="7" w:tplc="37E6C6FA">
      <w:numFmt w:val="bullet"/>
      <w:lvlText w:val="•"/>
      <w:lvlJc w:val="left"/>
      <w:pPr>
        <w:ind w:left="7468" w:hanging="360"/>
      </w:pPr>
      <w:rPr>
        <w:rFonts w:hint="default"/>
        <w:lang w:val="en-US" w:eastAsia="en-US" w:bidi="ar-SA"/>
      </w:rPr>
    </w:lvl>
    <w:lvl w:ilvl="8" w:tplc="F47CE300">
      <w:numFmt w:val="bullet"/>
      <w:lvlText w:val="•"/>
      <w:lvlJc w:val="left"/>
      <w:pPr>
        <w:ind w:left="8566" w:hanging="360"/>
      </w:pPr>
      <w:rPr>
        <w:rFonts w:hint="default"/>
        <w:lang w:val="en-US" w:eastAsia="en-US" w:bidi="ar-SA"/>
      </w:rPr>
    </w:lvl>
  </w:abstractNum>
  <w:abstractNum w:abstractNumId="7" w15:restartNumberingAfterBreak="0">
    <w:nsid w:val="70123405"/>
    <w:multiLevelType w:val="multilevel"/>
    <w:tmpl w:val="27F0834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293751876">
    <w:abstractNumId w:val="6"/>
  </w:num>
  <w:num w:numId="2" w16cid:durableId="161746844">
    <w:abstractNumId w:val="3"/>
  </w:num>
  <w:num w:numId="3" w16cid:durableId="73746086">
    <w:abstractNumId w:val="4"/>
  </w:num>
  <w:num w:numId="4" w16cid:durableId="1920871835">
    <w:abstractNumId w:val="0"/>
  </w:num>
  <w:num w:numId="5" w16cid:durableId="1036390383">
    <w:abstractNumId w:val="5"/>
  </w:num>
  <w:num w:numId="6" w16cid:durableId="575165149">
    <w:abstractNumId w:val="7"/>
  </w:num>
  <w:num w:numId="7" w16cid:durableId="1888761271">
    <w:abstractNumId w:val="1"/>
  </w:num>
  <w:num w:numId="8" w16cid:durableId="176791758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19B2"/>
    <w:rsid w:val="00010CAC"/>
    <w:rsid w:val="00075C3D"/>
    <w:rsid w:val="000E2E9F"/>
    <w:rsid w:val="00100DCA"/>
    <w:rsid w:val="001043E4"/>
    <w:rsid w:val="00112F23"/>
    <w:rsid w:val="00147CD4"/>
    <w:rsid w:val="0016317C"/>
    <w:rsid w:val="00164C2B"/>
    <w:rsid w:val="001D249A"/>
    <w:rsid w:val="001F44E7"/>
    <w:rsid w:val="00241653"/>
    <w:rsid w:val="00373C2B"/>
    <w:rsid w:val="00386995"/>
    <w:rsid w:val="003B3CBE"/>
    <w:rsid w:val="003D7B90"/>
    <w:rsid w:val="003F4794"/>
    <w:rsid w:val="004A7C1C"/>
    <w:rsid w:val="004B2FD8"/>
    <w:rsid w:val="004B3476"/>
    <w:rsid w:val="0052412D"/>
    <w:rsid w:val="00567A7F"/>
    <w:rsid w:val="005A07A1"/>
    <w:rsid w:val="005C7C86"/>
    <w:rsid w:val="0064678F"/>
    <w:rsid w:val="0069295A"/>
    <w:rsid w:val="006F4755"/>
    <w:rsid w:val="00742CC1"/>
    <w:rsid w:val="0076595B"/>
    <w:rsid w:val="007A004E"/>
    <w:rsid w:val="007C2A77"/>
    <w:rsid w:val="007F2877"/>
    <w:rsid w:val="007F45C2"/>
    <w:rsid w:val="00804F4C"/>
    <w:rsid w:val="00845EFA"/>
    <w:rsid w:val="00866825"/>
    <w:rsid w:val="008D7050"/>
    <w:rsid w:val="00915D7B"/>
    <w:rsid w:val="00933B95"/>
    <w:rsid w:val="00960259"/>
    <w:rsid w:val="009914AB"/>
    <w:rsid w:val="009B0468"/>
    <w:rsid w:val="009E71C3"/>
    <w:rsid w:val="00A117C5"/>
    <w:rsid w:val="00A12793"/>
    <w:rsid w:val="00A26036"/>
    <w:rsid w:val="00A653C5"/>
    <w:rsid w:val="00AA5FD9"/>
    <w:rsid w:val="00AC1F4E"/>
    <w:rsid w:val="00B33187"/>
    <w:rsid w:val="00B66283"/>
    <w:rsid w:val="00B753FB"/>
    <w:rsid w:val="00C74786"/>
    <w:rsid w:val="00C84DB4"/>
    <w:rsid w:val="00D2044A"/>
    <w:rsid w:val="00D23E9F"/>
    <w:rsid w:val="00D24E31"/>
    <w:rsid w:val="00D268E6"/>
    <w:rsid w:val="00D45121"/>
    <w:rsid w:val="00D74BE8"/>
    <w:rsid w:val="00D8357D"/>
    <w:rsid w:val="00D94524"/>
    <w:rsid w:val="00DF08CD"/>
    <w:rsid w:val="00E27713"/>
    <w:rsid w:val="00EA19B2"/>
    <w:rsid w:val="00F260C7"/>
    <w:rsid w:val="00F905BC"/>
    <w:rsid w:val="00FE0576"/>
  </w:rsids>
  <m:mathPr>
    <m:mathFont m:val="Cambria Math"/>
    <m:brkBin m:val="before"/>
    <m:brkBinSub m:val="--"/>
    <m:smallFrac m:val="0"/>
    <m:dispDef/>
    <m:lMargin m:val="0"/>
    <m:rMargin m:val="0"/>
    <m:defJc m:val="centerGroup"/>
    <m:wrapIndent m:val="1440"/>
    <m:intLim m:val="subSup"/>
    <m:naryLim m:val="undOvr"/>
  </m:mathPr>
  <w:themeFontLang w:val="en-IN" w:eastAsia="zh-TW"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6389E6"/>
  <w15:docId w15:val="{21140323-EFA2-4C24-A4DB-22F42BA6D5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rPr>
  </w:style>
  <w:style w:type="paragraph" w:styleId="Heading1">
    <w:name w:val="heading 1"/>
    <w:basedOn w:val="Normal"/>
    <w:uiPriority w:val="9"/>
    <w:qFormat/>
    <w:rsid w:val="00D45121"/>
    <w:pPr>
      <w:spacing w:line="480" w:lineRule="auto"/>
      <w:jc w:val="both"/>
      <w:outlineLvl w:val="0"/>
    </w:pPr>
    <w:rPr>
      <w:rFonts w:ascii="Arial" w:eastAsia="Arial" w:hAnsi="Arial" w:cs="Arial"/>
      <w:b/>
      <w:bCs/>
    </w:rPr>
  </w:style>
  <w:style w:type="paragraph" w:styleId="Heading2">
    <w:name w:val="heading 2"/>
    <w:basedOn w:val="Normal"/>
    <w:uiPriority w:val="9"/>
    <w:unhideWhenUsed/>
    <w:qFormat/>
    <w:rsid w:val="005A07A1"/>
    <w:pPr>
      <w:spacing w:line="480" w:lineRule="auto"/>
      <w:ind w:left="512" w:hanging="359"/>
      <w:jc w:val="both"/>
      <w:outlineLvl w:val="1"/>
    </w:pPr>
    <w:rPr>
      <w:rFonts w:ascii="Arial" w:eastAsia="Arial" w:hAnsi="Arial" w:cs="Arial"/>
      <w:b/>
      <w:bCs/>
      <w:color w:val="000000" w:themeColor="text1"/>
      <w:sz w:val="24"/>
    </w:rPr>
  </w:style>
  <w:style w:type="paragraph" w:styleId="Heading3">
    <w:name w:val="heading 3"/>
    <w:basedOn w:val="Normal"/>
    <w:uiPriority w:val="9"/>
    <w:unhideWhenUsed/>
    <w:qFormat/>
    <w:pPr>
      <w:spacing w:line="252" w:lineRule="exact"/>
      <w:ind w:left="153"/>
      <w:outlineLvl w:val="2"/>
    </w:pPr>
    <w:rPr>
      <w:rFonts w:ascii="Arial" w:eastAsia="Arial" w:hAnsi="Arial" w:cs="Arial"/>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pPr>
      <w:ind w:left="874" w:hanging="360"/>
    </w:pPr>
    <w:rPr>
      <w:rFonts w:ascii="Arial" w:eastAsia="Arial" w:hAnsi="Arial" w:cs="Arial"/>
    </w:rPr>
  </w:style>
  <w:style w:type="paragraph" w:customStyle="1" w:styleId="TableParagraph">
    <w:name w:val="Table Paragraph"/>
    <w:basedOn w:val="Normal"/>
    <w:uiPriority w:val="1"/>
    <w:qFormat/>
    <w:pPr>
      <w:ind w:left="107"/>
    </w:pPr>
  </w:style>
  <w:style w:type="paragraph" w:styleId="Header">
    <w:name w:val="header"/>
    <w:basedOn w:val="Normal"/>
    <w:link w:val="HeaderChar"/>
    <w:uiPriority w:val="99"/>
    <w:unhideWhenUsed/>
    <w:rsid w:val="005A07A1"/>
    <w:pPr>
      <w:tabs>
        <w:tab w:val="center" w:pos="4513"/>
        <w:tab w:val="right" w:pos="9026"/>
      </w:tabs>
    </w:pPr>
  </w:style>
  <w:style w:type="character" w:customStyle="1" w:styleId="HeaderChar">
    <w:name w:val="Header Char"/>
    <w:basedOn w:val="DefaultParagraphFont"/>
    <w:link w:val="Header"/>
    <w:uiPriority w:val="99"/>
    <w:rsid w:val="005A07A1"/>
    <w:rPr>
      <w:rFonts w:ascii="Arial MT" w:eastAsia="Arial MT" w:hAnsi="Arial MT" w:cs="Arial MT"/>
    </w:rPr>
  </w:style>
  <w:style w:type="paragraph" w:styleId="Footer">
    <w:name w:val="footer"/>
    <w:basedOn w:val="Normal"/>
    <w:link w:val="FooterChar"/>
    <w:uiPriority w:val="99"/>
    <w:unhideWhenUsed/>
    <w:rsid w:val="005A07A1"/>
    <w:pPr>
      <w:tabs>
        <w:tab w:val="center" w:pos="4513"/>
        <w:tab w:val="right" w:pos="9026"/>
      </w:tabs>
    </w:pPr>
  </w:style>
  <w:style w:type="character" w:customStyle="1" w:styleId="FooterChar">
    <w:name w:val="Footer Char"/>
    <w:basedOn w:val="DefaultParagraphFont"/>
    <w:link w:val="Footer"/>
    <w:uiPriority w:val="99"/>
    <w:rsid w:val="005A07A1"/>
    <w:rPr>
      <w:rFonts w:ascii="Arial MT" w:eastAsia="Arial MT" w:hAnsi="Arial MT" w:cs="Arial MT"/>
    </w:rPr>
  </w:style>
  <w:style w:type="paragraph" w:styleId="TOCHeading">
    <w:name w:val="TOC Heading"/>
    <w:basedOn w:val="Heading1"/>
    <w:next w:val="Normal"/>
    <w:uiPriority w:val="39"/>
    <w:unhideWhenUsed/>
    <w:qFormat/>
    <w:rsid w:val="005A07A1"/>
    <w:pPr>
      <w:keepNext/>
      <w:keepLines/>
      <w:widowControl/>
      <w:autoSpaceDE/>
      <w:autoSpaceDN/>
      <w:spacing w:before="240" w:line="259" w:lineRule="auto"/>
      <w:jc w:val="left"/>
      <w:outlineLvl w:val="9"/>
    </w:pPr>
    <w:rPr>
      <w:rFonts w:asciiTheme="majorHAnsi" w:eastAsiaTheme="majorEastAsia" w:hAnsiTheme="majorHAnsi" w:cstheme="majorBidi"/>
      <w:b w:val="0"/>
      <w:bCs w:val="0"/>
      <w:color w:val="365F91" w:themeColor="accent1" w:themeShade="BF"/>
      <w:sz w:val="32"/>
      <w:szCs w:val="32"/>
    </w:rPr>
  </w:style>
  <w:style w:type="paragraph" w:styleId="TOC1">
    <w:name w:val="toc 1"/>
    <w:basedOn w:val="Normal"/>
    <w:next w:val="Normal"/>
    <w:autoRedefine/>
    <w:uiPriority w:val="39"/>
    <w:unhideWhenUsed/>
    <w:rsid w:val="005A07A1"/>
    <w:pPr>
      <w:spacing w:after="100"/>
    </w:pPr>
  </w:style>
  <w:style w:type="paragraph" w:styleId="TOC2">
    <w:name w:val="toc 2"/>
    <w:basedOn w:val="Normal"/>
    <w:next w:val="Normal"/>
    <w:autoRedefine/>
    <w:uiPriority w:val="39"/>
    <w:unhideWhenUsed/>
    <w:rsid w:val="005A07A1"/>
    <w:pPr>
      <w:spacing w:after="100"/>
      <w:ind w:left="220"/>
    </w:pPr>
  </w:style>
  <w:style w:type="character" w:styleId="Hyperlink">
    <w:name w:val="Hyperlink"/>
    <w:basedOn w:val="DefaultParagraphFont"/>
    <w:uiPriority w:val="99"/>
    <w:unhideWhenUsed/>
    <w:rsid w:val="005A07A1"/>
    <w:rPr>
      <w:color w:val="0000FF" w:themeColor="hyperlink"/>
      <w:u w:val="single"/>
    </w:rPr>
  </w:style>
  <w:style w:type="character" w:styleId="CommentReference">
    <w:name w:val="annotation reference"/>
    <w:basedOn w:val="DefaultParagraphFont"/>
    <w:uiPriority w:val="99"/>
    <w:semiHidden/>
    <w:unhideWhenUsed/>
    <w:rsid w:val="00A653C5"/>
    <w:rPr>
      <w:sz w:val="16"/>
      <w:szCs w:val="16"/>
    </w:rPr>
  </w:style>
  <w:style w:type="paragraph" w:styleId="CommentText">
    <w:name w:val="annotation text"/>
    <w:basedOn w:val="Normal"/>
    <w:link w:val="CommentTextChar"/>
    <w:uiPriority w:val="99"/>
    <w:unhideWhenUsed/>
    <w:rsid w:val="00A653C5"/>
    <w:rPr>
      <w:sz w:val="20"/>
      <w:szCs w:val="20"/>
    </w:rPr>
  </w:style>
  <w:style w:type="character" w:customStyle="1" w:styleId="CommentTextChar">
    <w:name w:val="Comment Text Char"/>
    <w:basedOn w:val="DefaultParagraphFont"/>
    <w:link w:val="CommentText"/>
    <w:uiPriority w:val="99"/>
    <w:rsid w:val="00A653C5"/>
    <w:rPr>
      <w:rFonts w:ascii="Arial MT" w:eastAsia="Arial MT" w:hAnsi="Arial MT" w:cs="Arial MT"/>
      <w:sz w:val="20"/>
      <w:szCs w:val="20"/>
    </w:rPr>
  </w:style>
  <w:style w:type="paragraph" w:styleId="CommentSubject">
    <w:name w:val="annotation subject"/>
    <w:basedOn w:val="CommentText"/>
    <w:next w:val="CommentText"/>
    <w:link w:val="CommentSubjectChar"/>
    <w:uiPriority w:val="99"/>
    <w:semiHidden/>
    <w:unhideWhenUsed/>
    <w:rsid w:val="00A653C5"/>
    <w:rPr>
      <w:b/>
      <w:bCs/>
    </w:rPr>
  </w:style>
  <w:style w:type="character" w:customStyle="1" w:styleId="CommentSubjectChar">
    <w:name w:val="Comment Subject Char"/>
    <w:basedOn w:val="CommentTextChar"/>
    <w:link w:val="CommentSubject"/>
    <w:uiPriority w:val="99"/>
    <w:semiHidden/>
    <w:rsid w:val="00A653C5"/>
    <w:rPr>
      <w:rFonts w:ascii="Arial MT" w:eastAsia="Arial MT" w:hAnsi="Arial MT" w:cs="Arial MT"/>
      <w:b/>
      <w:bCs/>
      <w:sz w:val="20"/>
      <w:szCs w:val="20"/>
    </w:rPr>
  </w:style>
  <w:style w:type="character" w:styleId="UnresolvedMention">
    <w:name w:val="Unresolved Mention"/>
    <w:basedOn w:val="DefaultParagraphFont"/>
    <w:uiPriority w:val="99"/>
    <w:semiHidden/>
    <w:unhideWhenUsed/>
    <w:rsid w:val="00F260C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mdpi.com/1660-4601/22/7/1066" TargetMode="External"/><Relationship Id="rId18" Type="http://schemas.openxmlformats.org/officeDocument/2006/relationships/hyperlink" Target="https://scielo.isciii.es/scielo.php?pid=S1132-05592024000300004&amp;script=sci_arttext&amp;tlng=pt" TargetMode="External"/><Relationship Id="rId3" Type="http://schemas.openxmlformats.org/officeDocument/2006/relationships/styles" Target="styles.xml"/><Relationship Id="rId21" Type="http://schemas.openxmlformats.org/officeDocument/2006/relationships/hyperlink" Target="https://link.springer.com/content/pdf/10.1186/s12913-023-09424-5.pdf" TargetMode="External"/><Relationship Id="rId7" Type="http://schemas.openxmlformats.org/officeDocument/2006/relationships/endnotes" Target="endnotes.xml"/><Relationship Id="rId12" Type="http://schemas.openxmlformats.org/officeDocument/2006/relationships/hyperlink" Target="https://www.mdpi.com/2227-9032/13/22/2971" TargetMode="External"/><Relationship Id="rId17" Type="http://schemas.openxmlformats.org/officeDocument/2006/relationships/hyperlink" Target="https://www.tandfonline.com/doi/pdf/10.2147/JMDH.S548950"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researchgate.net/profile/Pamela-Obegu/publication/398243056_Effectiveness_of_Interventions_After_Psychiatric_Hospitalization_A_Meta-Analysis_of_Randomized_Controlled_Trials/links/692f0ed01a621a227cf7509c/Effectiveness-of-Interventions-After-Psychiatric-Hospitalization-A-Meta-Analysis-of-Randomized-Controlled-Trials.pdf" TargetMode="External"/><Relationship Id="rId20" Type="http://schemas.openxmlformats.org/officeDocument/2006/relationships/hyperlink" Target="https://link.springer.com/content/pdf/10.1186/s12888-024-05666-7.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ink.springer.com/content/pdf/10.1186/s12913-022-07510-8.pdf"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pmc.ncbi.nlm.nih.gov/articles/PMC10422940/pdf/IJPS-18-332.pdf" TargetMode="External"/><Relationship Id="rId23" Type="http://schemas.openxmlformats.org/officeDocument/2006/relationships/footer" Target="footer1.xml"/><Relationship Id="rId10" Type="http://schemas.openxmlformats.org/officeDocument/2006/relationships/hyperlink" Target="https://journals.sagepub.com/doi/pdf/10.1177/26334895231175528" TargetMode="External"/><Relationship Id="rId19" Type="http://schemas.openxmlformats.org/officeDocument/2006/relationships/hyperlink" Target="https://link.springer.com/content/pdf/10.1186/s12888-025-06669-8.pdf" TargetMode="External"/><Relationship Id="rId4" Type="http://schemas.openxmlformats.org/officeDocument/2006/relationships/settings" Target="settings.xml"/><Relationship Id="rId9" Type="http://schemas.openxmlformats.org/officeDocument/2006/relationships/hyperlink" Target="https://link.springer.com/content/pdf/10.1007/s10597-022-01058-x.pdf" TargetMode="External"/><Relationship Id="rId14" Type="http://schemas.openxmlformats.org/officeDocument/2006/relationships/hyperlink" Target="https://onlinelibrary.wiley.com/doi/pdfdirect/10.1002/wps.20940" TargetMode="External"/><Relationship Id="rId22" Type="http://schemas.openxmlformats.org/officeDocument/2006/relationships/hyperlink" Target="https://www.intpsychogeriatrics.org/article/S1041-6102(25)00191-7/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C06F4C-3B5E-4103-B2A9-AFD3DC35C5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15</Pages>
  <Words>4193</Words>
  <Characters>27591</Characters>
  <Application>Microsoft Office Word</Application>
  <DocSecurity>0</DocSecurity>
  <Lines>459</Lines>
  <Paragraphs>138</Paragraphs>
  <ScaleCrop>false</ScaleCrop>
  <HeadingPairs>
    <vt:vector size="2" baseType="variant">
      <vt:variant>
        <vt:lpstr>Title</vt:lpstr>
      </vt:variant>
      <vt:variant>
        <vt:i4>1</vt:i4>
      </vt:variant>
    </vt:vector>
  </HeadingPairs>
  <TitlesOfParts>
    <vt:vector size="1" baseType="lpstr">
      <vt:lpstr>GA36d Level 7</vt:lpstr>
    </vt:vector>
  </TitlesOfParts>
  <Company/>
  <LinksUpToDate>false</LinksUpToDate>
  <CharactersWithSpaces>31646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cp:lastModifiedBy>USER</cp:lastModifiedBy>
  <cp:revision>9</cp:revision>
  <dcterms:created xsi:type="dcterms:W3CDTF">2025-12-09T14:59:00Z</dcterms:created>
  <dcterms:modified xsi:type="dcterms:W3CDTF">2025-12-16T09:14:00Z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2025-10-04T00:00:00Z</vt:filetime>
  </property>
  <property fmtid="{D5CDD505-2E9C-101B-9397-08002B2CF9AE}" pid="3" name="Creator">
    <vt:lpwstr>Microsoft® Word for Microsoft 365</vt:lpwstr>
  </property>
  <property fmtid="{D5CDD505-2E9C-101B-9397-08002B2CF9AE}" pid="4" name="LastSaved">
    <vt:filetime>2025-12-03T00:00:00Z</vt:filetime>
  </property>
  <property fmtid="{D5CDD505-2E9C-101B-9397-08002B2CF9AE}" pid="5" name="Producer">
    <vt:lpwstr>Microsoft® Word for Microsoft 365</vt:lpwstr>
  </property>
  <property fmtid="{D5CDD505-2E9C-101B-9397-08002B2CF9AE}" pid="6" name="MSIP_Label_defa4170-0d19-0005-0004-bc88714345d2_Enabled">
    <vt:lpwstr>true</vt:lpwstr>
  </property>
  <property fmtid="{D5CDD505-2E9C-101B-9397-08002B2CF9AE}" pid="7" name="MSIP_Label_defa4170-0d19-0005-0004-bc88714345d2_SetDate">
    <vt:lpwstr>2025-12-09T11:32:53Z</vt:lpwstr>
  </property>
  <property fmtid="{D5CDD505-2E9C-101B-9397-08002B2CF9AE}" pid="8" name="MSIP_Label_defa4170-0d19-0005-0004-bc88714345d2_Method">
    <vt:lpwstr>Standard</vt:lpwstr>
  </property>
  <property fmtid="{D5CDD505-2E9C-101B-9397-08002B2CF9AE}" pid="9" name="MSIP_Label_defa4170-0d19-0005-0004-bc88714345d2_Name">
    <vt:lpwstr>defa4170-0d19-0005-0004-bc88714345d2</vt:lpwstr>
  </property>
  <property fmtid="{D5CDD505-2E9C-101B-9397-08002B2CF9AE}" pid="10" name="MSIP_Label_defa4170-0d19-0005-0004-bc88714345d2_SiteId">
    <vt:lpwstr>0e05b91e-98d6-46bf-8d79-1151c98bcc2a</vt:lpwstr>
  </property>
  <property fmtid="{D5CDD505-2E9C-101B-9397-08002B2CF9AE}" pid="11" name="MSIP_Label_defa4170-0d19-0005-0004-bc88714345d2_ActionId">
    <vt:lpwstr>f5d842db-2a13-4cf0-92e5-24afdcd5bc1b</vt:lpwstr>
  </property>
  <property fmtid="{D5CDD505-2E9C-101B-9397-08002B2CF9AE}" pid="12" name="MSIP_Label_defa4170-0d19-0005-0004-bc88714345d2_ContentBits">
    <vt:lpwstr>0</vt:lpwstr>
  </property>
  <property fmtid="{D5CDD505-2E9C-101B-9397-08002B2CF9AE}" pid="13" name="MSIP_Label_defa4170-0d19-0005-0004-bc88714345d2_Tag">
    <vt:lpwstr>10, 3, 0, 1</vt:lpwstr>
  </property>
</Properties>
</file>