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624BF" w14:textId="319338A1" w:rsidR="007F180A" w:rsidRDefault="00D465A7" w:rsidP="007F180A">
      <w:pPr>
        <w:jc w:val="center"/>
        <w:rPr>
          <w:b/>
          <w:sz w:val="32"/>
          <w:szCs w:val="32"/>
        </w:rPr>
      </w:pPr>
      <w:r w:rsidRPr="00552BF2">
        <w:rPr>
          <w:noProof/>
          <w:lang w:val="en-US"/>
        </w:rPr>
        <w:drawing>
          <wp:inline distT="0" distB="0" distL="0" distR="0" wp14:anchorId="77F04A28" wp14:editId="5859E048">
            <wp:extent cx="2289033" cy="1047750"/>
            <wp:effectExtent l="19050" t="0" r="0" b="0"/>
            <wp:docPr id="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pic:cNvPicPr>
                      <a:picLocks noChangeAspect="1" noChangeArrowheads="1"/>
                    </pic:cNvPicPr>
                  </pic:nvPicPr>
                  <pic:blipFill>
                    <a:blip r:embed="rId7"/>
                    <a:stretch>
                      <a:fillRect/>
                    </a:stretch>
                  </pic:blipFill>
                  <pic:spPr bwMode="auto">
                    <a:xfrm>
                      <a:off x="0" y="0"/>
                      <a:ext cx="2289033" cy="1047750"/>
                    </a:xfrm>
                    <a:prstGeom prst="rect">
                      <a:avLst/>
                    </a:prstGeom>
                    <a:noFill/>
                    <a:ln w="9525">
                      <a:noFill/>
                      <a:miter lim="800000"/>
                      <a:headEnd/>
                      <a:tailEnd/>
                    </a:ln>
                  </pic:spPr>
                </pic:pic>
              </a:graphicData>
            </a:graphic>
          </wp:inline>
        </w:drawing>
      </w:r>
    </w:p>
    <w:p w14:paraId="4EC68280" w14:textId="77777777" w:rsidR="00E92CD4" w:rsidRDefault="00E92CD4" w:rsidP="007F180A">
      <w:pPr>
        <w:jc w:val="center"/>
        <w:rPr>
          <w:b/>
          <w:sz w:val="32"/>
          <w:szCs w:val="32"/>
        </w:rPr>
      </w:pPr>
    </w:p>
    <w:p w14:paraId="69D205AC" w14:textId="0400C959" w:rsidR="00D465A7" w:rsidRPr="00E92CD4" w:rsidRDefault="00E92CD4" w:rsidP="007F180A">
      <w:pPr>
        <w:jc w:val="center"/>
        <w:rPr>
          <w:b/>
          <w:sz w:val="40"/>
          <w:szCs w:val="40"/>
        </w:rPr>
      </w:pPr>
      <w:r w:rsidRPr="00E92CD4">
        <w:rPr>
          <w:b/>
          <w:sz w:val="40"/>
          <w:szCs w:val="40"/>
        </w:rPr>
        <w:t>BA BUSINESS MANAGEMENT</w:t>
      </w:r>
    </w:p>
    <w:p w14:paraId="1920ADF9" w14:textId="77777777" w:rsidR="00E92CD4" w:rsidRPr="00E92CD4" w:rsidRDefault="00E92CD4" w:rsidP="007F180A">
      <w:pPr>
        <w:jc w:val="center"/>
        <w:rPr>
          <w:b/>
          <w:sz w:val="40"/>
          <w:szCs w:val="40"/>
        </w:rPr>
      </w:pPr>
    </w:p>
    <w:p w14:paraId="1718998B" w14:textId="1FB9DB08" w:rsidR="00D465A7" w:rsidRPr="00E92CD4" w:rsidRDefault="00D465A7" w:rsidP="007F180A">
      <w:pPr>
        <w:jc w:val="center"/>
        <w:rPr>
          <w:b/>
          <w:sz w:val="40"/>
          <w:szCs w:val="40"/>
        </w:rPr>
      </w:pPr>
      <w:r w:rsidRPr="00E92CD4">
        <w:rPr>
          <w:b/>
          <w:sz w:val="40"/>
          <w:szCs w:val="40"/>
        </w:rPr>
        <w:t>LCBB6002</w:t>
      </w:r>
    </w:p>
    <w:p w14:paraId="4D1E1977" w14:textId="77777777" w:rsidR="00D465A7" w:rsidRPr="00E92CD4" w:rsidRDefault="00D465A7" w:rsidP="007F180A">
      <w:pPr>
        <w:jc w:val="center"/>
        <w:rPr>
          <w:b/>
          <w:sz w:val="40"/>
          <w:szCs w:val="40"/>
        </w:rPr>
      </w:pPr>
    </w:p>
    <w:p w14:paraId="1E19AAD0" w14:textId="086C0DBA" w:rsidR="00D465A7" w:rsidRPr="00E92CD4" w:rsidRDefault="00D465A7" w:rsidP="007F180A">
      <w:pPr>
        <w:jc w:val="center"/>
        <w:rPr>
          <w:b/>
          <w:sz w:val="36"/>
          <w:szCs w:val="36"/>
        </w:rPr>
      </w:pPr>
      <w:r w:rsidRPr="00E92CD4">
        <w:rPr>
          <w:b/>
          <w:sz w:val="36"/>
          <w:szCs w:val="36"/>
        </w:rPr>
        <w:t>INTERNATIONAL FINANCIAL MANAGEMENT</w:t>
      </w:r>
    </w:p>
    <w:p w14:paraId="5B7DCB26" w14:textId="77777777" w:rsidR="007F180A" w:rsidRDefault="007F180A" w:rsidP="007F180A">
      <w:pPr>
        <w:jc w:val="center"/>
        <w:rPr>
          <w:b/>
          <w:sz w:val="32"/>
          <w:szCs w:val="32"/>
        </w:rPr>
      </w:pPr>
    </w:p>
    <w:p w14:paraId="5AD6FF9F" w14:textId="52AE4681" w:rsidR="007F180A" w:rsidRDefault="00E92CD4" w:rsidP="007F180A">
      <w:pPr>
        <w:jc w:val="center"/>
        <w:rPr>
          <w:b/>
          <w:sz w:val="32"/>
          <w:szCs w:val="32"/>
        </w:rPr>
      </w:pPr>
      <w:r>
        <w:rPr>
          <w:b/>
          <w:sz w:val="32"/>
          <w:szCs w:val="32"/>
        </w:rPr>
        <w:t>Assignment 1- Written Report</w:t>
      </w:r>
    </w:p>
    <w:p w14:paraId="0F3D2861" w14:textId="77777777" w:rsidR="00E92CD4" w:rsidRDefault="00E92CD4" w:rsidP="007F180A">
      <w:pPr>
        <w:jc w:val="center"/>
        <w:rPr>
          <w:b/>
          <w:sz w:val="32"/>
          <w:szCs w:val="32"/>
        </w:rPr>
      </w:pPr>
    </w:p>
    <w:p w14:paraId="75B51B51" w14:textId="77777777" w:rsidR="00E92CD4" w:rsidRDefault="00E92CD4" w:rsidP="007F180A">
      <w:pPr>
        <w:jc w:val="center"/>
        <w:rPr>
          <w:b/>
          <w:sz w:val="32"/>
          <w:szCs w:val="32"/>
        </w:rPr>
      </w:pPr>
    </w:p>
    <w:p w14:paraId="6F558D60" w14:textId="77777777" w:rsidR="00E92CD4" w:rsidRDefault="00E92CD4" w:rsidP="007F180A">
      <w:pPr>
        <w:jc w:val="center"/>
        <w:rPr>
          <w:b/>
          <w:sz w:val="32"/>
          <w:szCs w:val="32"/>
        </w:rPr>
      </w:pPr>
    </w:p>
    <w:p w14:paraId="4AEB1DBC" w14:textId="77777777" w:rsidR="00E92CD4" w:rsidRDefault="00E92CD4" w:rsidP="007F180A">
      <w:pPr>
        <w:jc w:val="center"/>
        <w:rPr>
          <w:b/>
          <w:sz w:val="32"/>
          <w:szCs w:val="32"/>
        </w:rPr>
      </w:pPr>
    </w:p>
    <w:p w14:paraId="39076BA8" w14:textId="77777777" w:rsidR="00E92CD4" w:rsidRPr="00552BF2" w:rsidRDefault="00E92CD4" w:rsidP="00E92CD4">
      <w:pPr>
        <w:rPr>
          <w:b/>
          <w:sz w:val="36"/>
        </w:rPr>
      </w:pPr>
      <w:r w:rsidRPr="00552BF2">
        <w:rPr>
          <w:b/>
          <w:sz w:val="36"/>
        </w:rPr>
        <w:t>Name:</w:t>
      </w:r>
      <w:r>
        <w:rPr>
          <w:b/>
          <w:sz w:val="36"/>
        </w:rPr>
        <w:t xml:space="preserve"> Cristina Caraman</w:t>
      </w:r>
    </w:p>
    <w:p w14:paraId="6CB9EF02" w14:textId="77777777" w:rsidR="00E92CD4" w:rsidRDefault="00E92CD4" w:rsidP="00E92CD4">
      <w:pPr>
        <w:rPr>
          <w:b/>
          <w:sz w:val="36"/>
        </w:rPr>
      </w:pPr>
      <w:r>
        <w:rPr>
          <w:b/>
          <w:sz w:val="36"/>
        </w:rPr>
        <w:t xml:space="preserve">Student </w:t>
      </w:r>
      <w:r w:rsidRPr="00552BF2">
        <w:rPr>
          <w:b/>
          <w:sz w:val="36"/>
        </w:rPr>
        <w:t>ID:</w:t>
      </w:r>
      <w:r>
        <w:rPr>
          <w:b/>
          <w:sz w:val="36"/>
        </w:rPr>
        <w:t xml:space="preserve"> 2125666</w:t>
      </w:r>
    </w:p>
    <w:p w14:paraId="34131DE8" w14:textId="5B83B6A9" w:rsidR="00E92CD4" w:rsidRDefault="00E92CD4" w:rsidP="00E92CD4">
      <w:pPr>
        <w:rPr>
          <w:b/>
          <w:sz w:val="36"/>
        </w:rPr>
      </w:pPr>
      <w:r>
        <w:rPr>
          <w:b/>
          <w:sz w:val="36"/>
        </w:rPr>
        <w:t>Lecturer: Zainab Atta</w:t>
      </w:r>
    </w:p>
    <w:p w14:paraId="072D2EA9" w14:textId="77777777" w:rsidR="00E92CD4" w:rsidRDefault="00E92CD4" w:rsidP="00E92CD4">
      <w:pPr>
        <w:rPr>
          <w:b/>
          <w:sz w:val="36"/>
        </w:rPr>
      </w:pPr>
    </w:p>
    <w:p w14:paraId="17BAB648" w14:textId="5E34692B" w:rsidR="00E92CD4" w:rsidRPr="00E92CD4" w:rsidRDefault="00E92CD4" w:rsidP="00E92CD4">
      <w:pPr>
        <w:rPr>
          <w:bCs/>
          <w:sz w:val="32"/>
          <w:szCs w:val="32"/>
        </w:rPr>
      </w:pPr>
      <w:r w:rsidRPr="00E92CD4">
        <w:rPr>
          <w:bCs/>
          <w:sz w:val="32"/>
          <w:szCs w:val="32"/>
        </w:rPr>
        <w:t>Submission date: 02/04/2024</w:t>
      </w:r>
    </w:p>
    <w:p w14:paraId="193C2AC3" w14:textId="77777777" w:rsidR="00E92CD4" w:rsidRDefault="00E92CD4" w:rsidP="007F180A">
      <w:pPr>
        <w:jc w:val="center"/>
        <w:rPr>
          <w:b/>
          <w:sz w:val="32"/>
          <w:szCs w:val="32"/>
        </w:rPr>
      </w:pPr>
    </w:p>
    <w:p w14:paraId="443E83BA" w14:textId="77777777" w:rsidR="00E92CD4" w:rsidRDefault="00E92CD4" w:rsidP="007F180A">
      <w:pPr>
        <w:jc w:val="center"/>
        <w:rPr>
          <w:b/>
          <w:sz w:val="32"/>
          <w:szCs w:val="32"/>
        </w:rPr>
      </w:pPr>
    </w:p>
    <w:p w14:paraId="7C6346BD" w14:textId="77777777" w:rsidR="00E92CD4" w:rsidRDefault="00E92CD4" w:rsidP="007F180A">
      <w:pPr>
        <w:jc w:val="center"/>
        <w:rPr>
          <w:b/>
          <w:sz w:val="32"/>
          <w:szCs w:val="32"/>
        </w:rPr>
      </w:pPr>
    </w:p>
    <w:p w14:paraId="468A37A9" w14:textId="77777777" w:rsidR="00E92CD4" w:rsidRDefault="00E92CD4" w:rsidP="007F180A">
      <w:pPr>
        <w:jc w:val="center"/>
        <w:rPr>
          <w:b/>
          <w:sz w:val="32"/>
          <w:szCs w:val="32"/>
        </w:rPr>
      </w:pPr>
    </w:p>
    <w:p w14:paraId="189179AC" w14:textId="77777777" w:rsidR="00E92CD4" w:rsidRDefault="00E92CD4" w:rsidP="007F180A">
      <w:pPr>
        <w:jc w:val="center"/>
        <w:rPr>
          <w:b/>
          <w:sz w:val="32"/>
          <w:szCs w:val="32"/>
        </w:rPr>
      </w:pPr>
    </w:p>
    <w:p w14:paraId="249D9154" w14:textId="77777777" w:rsidR="00E92CD4" w:rsidRDefault="00E92CD4" w:rsidP="007F180A">
      <w:pPr>
        <w:jc w:val="center"/>
        <w:rPr>
          <w:b/>
          <w:sz w:val="32"/>
          <w:szCs w:val="32"/>
        </w:rPr>
      </w:pPr>
    </w:p>
    <w:p w14:paraId="7818D324" w14:textId="77777777" w:rsidR="00E92CD4" w:rsidRDefault="00E92CD4" w:rsidP="007F180A">
      <w:pPr>
        <w:jc w:val="center"/>
        <w:rPr>
          <w:b/>
          <w:sz w:val="32"/>
          <w:szCs w:val="32"/>
        </w:rPr>
      </w:pPr>
    </w:p>
    <w:p w14:paraId="36783E27" w14:textId="77777777" w:rsidR="007F180A" w:rsidRDefault="007F180A" w:rsidP="007F180A">
      <w:pPr>
        <w:jc w:val="center"/>
        <w:rPr>
          <w:b/>
          <w:sz w:val="32"/>
          <w:szCs w:val="32"/>
        </w:rPr>
      </w:pPr>
    </w:p>
    <w:sdt>
      <w:sdtPr>
        <w:rPr>
          <w:rFonts w:ascii="Times New Roman" w:eastAsia="Times New Roman" w:hAnsi="Times New Roman" w:cs="Times New Roman"/>
          <w:color w:val="auto"/>
          <w:sz w:val="24"/>
          <w:szCs w:val="24"/>
          <w:lang w:val="en-GB" w:eastAsia="en-IN"/>
        </w:rPr>
        <w:id w:val="-95948583"/>
        <w:docPartObj>
          <w:docPartGallery w:val="Table of Contents"/>
          <w:docPartUnique/>
        </w:docPartObj>
      </w:sdtPr>
      <w:sdtEndPr>
        <w:rPr>
          <w:b/>
          <w:bCs/>
          <w:noProof/>
        </w:rPr>
      </w:sdtEndPr>
      <w:sdtContent>
        <w:p w14:paraId="14A9947B" w14:textId="360D6FAC" w:rsidR="007F180A" w:rsidRDefault="007F180A" w:rsidP="00E92CD4">
          <w:pPr>
            <w:pStyle w:val="TOCHeading"/>
            <w:jc w:val="center"/>
            <w:rPr>
              <w:rFonts w:ascii="Times New Roman" w:hAnsi="Times New Roman" w:cs="Times New Roman"/>
              <w:b/>
              <w:color w:val="000000" w:themeColor="text1"/>
              <w:sz w:val="28"/>
              <w:szCs w:val="28"/>
            </w:rPr>
          </w:pPr>
          <w:r w:rsidRPr="007F180A">
            <w:rPr>
              <w:rFonts w:ascii="Times New Roman" w:hAnsi="Times New Roman" w:cs="Times New Roman"/>
              <w:b/>
              <w:color w:val="000000" w:themeColor="text1"/>
              <w:sz w:val="28"/>
              <w:szCs w:val="28"/>
            </w:rPr>
            <w:t>Table of Contents</w:t>
          </w:r>
        </w:p>
        <w:p w14:paraId="5E58403B" w14:textId="77777777" w:rsidR="00E92CD4" w:rsidRPr="00E92CD4" w:rsidRDefault="00E92CD4" w:rsidP="00E92CD4">
          <w:pPr>
            <w:rPr>
              <w:lang w:val="en-US" w:eastAsia="en-US"/>
            </w:rPr>
          </w:pPr>
        </w:p>
        <w:p w14:paraId="0278764D" w14:textId="16774E80" w:rsidR="007F180A" w:rsidRDefault="007F180A">
          <w:pPr>
            <w:pStyle w:val="TOC1"/>
            <w:tabs>
              <w:tab w:val="right" w:leader="dot" w:pos="9350"/>
            </w:tabs>
            <w:rPr>
              <w:noProof/>
            </w:rPr>
          </w:pPr>
          <w:r>
            <w:fldChar w:fldCharType="begin"/>
          </w:r>
          <w:r>
            <w:instrText xml:space="preserve"> TOC \o "1-3" \h \z \u </w:instrText>
          </w:r>
          <w:r>
            <w:fldChar w:fldCharType="separate"/>
          </w:r>
          <w:hyperlink w:anchor="_Toc161681478" w:history="1">
            <w:r w:rsidRPr="00FA5896">
              <w:rPr>
                <w:rStyle w:val="Hyperlink"/>
                <w:noProof/>
              </w:rPr>
              <w:t>Introduction</w:t>
            </w:r>
            <w:r>
              <w:rPr>
                <w:noProof/>
                <w:webHidden/>
              </w:rPr>
              <w:tab/>
            </w:r>
            <w:r>
              <w:rPr>
                <w:noProof/>
                <w:webHidden/>
              </w:rPr>
              <w:fldChar w:fldCharType="begin"/>
            </w:r>
            <w:r>
              <w:rPr>
                <w:noProof/>
                <w:webHidden/>
              </w:rPr>
              <w:instrText xml:space="preserve"> PAGEREF _Toc161681478 \h </w:instrText>
            </w:r>
            <w:r>
              <w:rPr>
                <w:noProof/>
                <w:webHidden/>
              </w:rPr>
            </w:r>
            <w:r>
              <w:rPr>
                <w:noProof/>
                <w:webHidden/>
              </w:rPr>
              <w:fldChar w:fldCharType="separate"/>
            </w:r>
            <w:r>
              <w:rPr>
                <w:noProof/>
                <w:webHidden/>
              </w:rPr>
              <w:t>3</w:t>
            </w:r>
            <w:r>
              <w:rPr>
                <w:noProof/>
                <w:webHidden/>
              </w:rPr>
              <w:fldChar w:fldCharType="end"/>
            </w:r>
          </w:hyperlink>
        </w:p>
        <w:p w14:paraId="625F1441" w14:textId="5293A9AF" w:rsidR="007F180A" w:rsidRDefault="00000000">
          <w:pPr>
            <w:pStyle w:val="TOC1"/>
            <w:tabs>
              <w:tab w:val="right" w:leader="dot" w:pos="9350"/>
            </w:tabs>
            <w:rPr>
              <w:noProof/>
            </w:rPr>
          </w:pPr>
          <w:hyperlink w:anchor="_Toc161681479" w:history="1">
            <w:r w:rsidR="007F180A" w:rsidRPr="00FA5896">
              <w:rPr>
                <w:rStyle w:val="Hyperlink"/>
                <w:noProof/>
              </w:rPr>
              <w:t>Main Body</w:t>
            </w:r>
            <w:r w:rsidR="007F180A">
              <w:rPr>
                <w:noProof/>
                <w:webHidden/>
              </w:rPr>
              <w:tab/>
            </w:r>
            <w:r w:rsidR="007F180A">
              <w:rPr>
                <w:noProof/>
                <w:webHidden/>
              </w:rPr>
              <w:fldChar w:fldCharType="begin"/>
            </w:r>
            <w:r w:rsidR="007F180A">
              <w:rPr>
                <w:noProof/>
                <w:webHidden/>
              </w:rPr>
              <w:instrText xml:space="preserve"> PAGEREF _Toc161681479 \h </w:instrText>
            </w:r>
            <w:r w:rsidR="007F180A">
              <w:rPr>
                <w:noProof/>
                <w:webHidden/>
              </w:rPr>
            </w:r>
            <w:r w:rsidR="007F180A">
              <w:rPr>
                <w:noProof/>
                <w:webHidden/>
              </w:rPr>
              <w:fldChar w:fldCharType="separate"/>
            </w:r>
            <w:r w:rsidR="007F180A">
              <w:rPr>
                <w:noProof/>
                <w:webHidden/>
              </w:rPr>
              <w:t>3</w:t>
            </w:r>
            <w:r w:rsidR="007F180A">
              <w:rPr>
                <w:noProof/>
                <w:webHidden/>
              </w:rPr>
              <w:fldChar w:fldCharType="end"/>
            </w:r>
          </w:hyperlink>
        </w:p>
        <w:p w14:paraId="7498E8DD" w14:textId="4A995E5F" w:rsidR="007F180A" w:rsidRDefault="00000000">
          <w:pPr>
            <w:pStyle w:val="TOC1"/>
            <w:tabs>
              <w:tab w:val="right" w:leader="dot" w:pos="9350"/>
            </w:tabs>
            <w:rPr>
              <w:noProof/>
            </w:rPr>
          </w:pPr>
          <w:hyperlink w:anchor="_Toc161681480" w:history="1">
            <w:r w:rsidR="007F180A" w:rsidRPr="00FA5896">
              <w:rPr>
                <w:rStyle w:val="Hyperlink"/>
                <w:noProof/>
              </w:rPr>
              <w:t>Conclusions</w:t>
            </w:r>
            <w:r w:rsidR="007F180A">
              <w:rPr>
                <w:noProof/>
                <w:webHidden/>
              </w:rPr>
              <w:tab/>
            </w:r>
            <w:r w:rsidR="00D465A7">
              <w:rPr>
                <w:noProof/>
                <w:webHidden/>
              </w:rPr>
              <w:t>7</w:t>
            </w:r>
          </w:hyperlink>
        </w:p>
        <w:p w14:paraId="292A62AB" w14:textId="5FC43633" w:rsidR="007F180A" w:rsidRDefault="00D465A7">
          <w:pPr>
            <w:pStyle w:val="TOC1"/>
            <w:tabs>
              <w:tab w:val="right" w:leader="dot" w:pos="9350"/>
            </w:tabs>
          </w:pPr>
          <w:r>
            <w:t>References…………………………………………………………………………………………8</w:t>
          </w:r>
        </w:p>
        <w:p w14:paraId="54F05F84" w14:textId="77777777" w:rsidR="00D465A7" w:rsidRPr="00D465A7" w:rsidRDefault="00D465A7" w:rsidP="00D465A7"/>
        <w:p w14:paraId="48B1F4EC" w14:textId="18BDB32B" w:rsidR="007F180A" w:rsidRDefault="007F180A">
          <w:r>
            <w:rPr>
              <w:b/>
              <w:bCs/>
              <w:noProof/>
            </w:rPr>
            <w:fldChar w:fldCharType="end"/>
          </w:r>
        </w:p>
      </w:sdtContent>
    </w:sdt>
    <w:p w14:paraId="1982A332" w14:textId="77777777" w:rsidR="007F180A" w:rsidRDefault="007F180A">
      <w:pPr>
        <w:rPr>
          <w:b/>
        </w:rPr>
      </w:pPr>
      <w:r>
        <w:rPr>
          <w:b/>
        </w:rPr>
        <w:br w:type="page"/>
      </w:r>
    </w:p>
    <w:p w14:paraId="1C559A32" w14:textId="77777777" w:rsidR="00E92CD4" w:rsidRDefault="00E92CD4" w:rsidP="007F180A">
      <w:pPr>
        <w:pStyle w:val="Heading1"/>
      </w:pPr>
      <w:bookmarkStart w:id="0" w:name="_Toc161681478"/>
    </w:p>
    <w:p w14:paraId="00000001" w14:textId="30893F7E" w:rsidR="00256B3C" w:rsidRDefault="00A47A89" w:rsidP="007F180A">
      <w:pPr>
        <w:pStyle w:val="Heading1"/>
      </w:pPr>
      <w:r w:rsidRPr="007F180A">
        <w:t>Introduction</w:t>
      </w:r>
      <w:bookmarkEnd w:id="0"/>
      <w:r>
        <w:t xml:space="preserve"> </w:t>
      </w:r>
    </w:p>
    <w:p w14:paraId="49109798" w14:textId="77777777" w:rsidR="00E92CD4" w:rsidRDefault="00E92CD4" w:rsidP="00E92CD4"/>
    <w:p w14:paraId="081A551B" w14:textId="77777777" w:rsidR="00E92CD4" w:rsidRPr="00E92CD4" w:rsidRDefault="00E92CD4" w:rsidP="00E92CD4"/>
    <w:p w14:paraId="4F49896E" w14:textId="77777777" w:rsidR="00CC61BE" w:rsidRPr="00CC61BE" w:rsidRDefault="00CC61BE" w:rsidP="00CC61BE"/>
    <w:p w14:paraId="00000002" w14:textId="076D7B9F" w:rsidR="00256B3C" w:rsidRDefault="00A47A89">
      <w:r>
        <w:t xml:space="preserve">An organisation while used to conduct its operations on a global prospect such business is recognised as an international business. Apart from the general social, </w:t>
      </w:r>
      <w:proofErr w:type="gramStart"/>
      <w:r>
        <w:t>operating</w:t>
      </w:r>
      <w:proofErr w:type="gramEnd"/>
      <w:r>
        <w:t xml:space="preserve"> and economic aspects related to the local market such organisations are also required to deal with global trade policies, economic policies, political engagement</w:t>
      </w:r>
      <w:r w:rsidR="00CC61BE">
        <w:t>,</w:t>
      </w:r>
      <w:r>
        <w:t xml:space="preserve"> and other relevant factors on an equivalent basis which ultimately provides proper operating maintenance guidance (Alkaabi and Nobanee, 2019). In this essay mainly the overall financial and economic analysis related to the business of </w:t>
      </w:r>
      <w:r w:rsidRPr="00D36B52">
        <w:rPr>
          <w:b/>
          <w:bCs/>
        </w:rPr>
        <w:t>Shell plc</w:t>
      </w:r>
      <w:r>
        <w:t xml:space="preserve"> has been evaluated which is recognised under the category of energy industry in the United Kingdom. </w:t>
      </w:r>
    </w:p>
    <w:p w14:paraId="00000003" w14:textId="08456645" w:rsidR="00256B3C" w:rsidRDefault="00A47A89">
      <w:r>
        <w:t xml:space="preserve">The basic overview of the business identifies it as a multinational gas and oil manufacturing company which used to </w:t>
      </w:r>
      <w:r w:rsidR="007F180A">
        <w:t>operate</w:t>
      </w:r>
      <w:r>
        <w:t xml:space="preserve"> is business more than 70 countries. A proper and optimised innovation approach including the energy processing attributes related to the business provides an equal significance to the sustainability aspects which ultimately standardise the environment development as well. </w:t>
      </w:r>
    </w:p>
    <w:p w14:paraId="10E8A0EF" w14:textId="77777777" w:rsidR="00CC61BE" w:rsidRDefault="00CC61BE"/>
    <w:p w14:paraId="13DF521B" w14:textId="77777777" w:rsidR="00CC61BE" w:rsidRDefault="00CC61BE"/>
    <w:p w14:paraId="00000004" w14:textId="77777777" w:rsidR="00256B3C" w:rsidRDefault="00A47A89" w:rsidP="007F180A">
      <w:pPr>
        <w:pStyle w:val="Heading1"/>
      </w:pPr>
      <w:bookmarkStart w:id="1" w:name="_Toc161681479"/>
      <w:r>
        <w:t>Main Body</w:t>
      </w:r>
      <w:bookmarkEnd w:id="1"/>
      <w:r>
        <w:t xml:space="preserve"> </w:t>
      </w:r>
    </w:p>
    <w:p w14:paraId="4F40CAB8" w14:textId="77777777" w:rsidR="00CC61BE" w:rsidRPr="00CC61BE" w:rsidRDefault="00CC61BE" w:rsidP="00CC61BE"/>
    <w:p w14:paraId="00000005" w14:textId="3CC2EF01" w:rsidR="00256B3C" w:rsidRDefault="00A47A89">
      <w:r>
        <w:t xml:space="preserve">According to the historical overview the organisation </w:t>
      </w:r>
      <w:r w:rsidRPr="00CC61BE">
        <w:rPr>
          <w:b/>
          <w:bCs/>
        </w:rPr>
        <w:t>Shell plc</w:t>
      </w:r>
      <w:r>
        <w:t xml:space="preserve"> is identified as the involvement of a global group related to the petrochemical and energy processing companies that were established in the year 1907. It is identified as the merger form of the </w:t>
      </w:r>
      <w:r w:rsidRPr="00CC61BE">
        <w:rPr>
          <w:b/>
          <w:bCs/>
        </w:rPr>
        <w:t>Shell</w:t>
      </w:r>
      <w:r>
        <w:t xml:space="preserve"> transport company of the United Kingdom and the Royal Dutch Petroleum Company of the Netherlands, which is currently traded in more than 70 countries and used to serve more than 1 million commercial and industrial customers. Currently, the business has 47000 branded retail service stations that focus on the core values of honesty, integrity and respect for every individual stakeholder (Shell Global.com, 2024). As per the provided financial details, in the current accounting period, the volume of total revenue of the business amounted to $323,183 million, profitability up to $19,359 million and total equity value up to $188362 million respectively. The present market position related to the market capitalise value of the business indicates the level of 165.186 billion capital engagement support with a beta of 0.56 times. The present volume of the PE ratio of the business indicates the position of 11.45 times growth support which formulates an optimised position of the market returning support to the investors (uk.finance.yahoo.com, 2024). In the period of 2022 with the general intention of expanding the business operating activity the managerial department of this particular business acquired a share of “Nature Energy Biogas A/S (Nature Energy)” which represents around a contribution of € 1.9 billion. Even in 2023, the organisation also initiated an investment in the “Sparta Development in the Gulf of Mexico” with 51% stake that mainly initiates an opportunity of approximately 90,000 barrels of oil </w:t>
      </w:r>
      <w:r w:rsidR="00D36B52">
        <w:t>daily</w:t>
      </w:r>
      <w:r>
        <w:t xml:space="preserve"> (Shell.com, 2022). </w:t>
      </w:r>
    </w:p>
    <w:p w14:paraId="329E877A" w14:textId="1D57C126" w:rsidR="00C563FB" w:rsidRPr="00D36B52" w:rsidRDefault="00C563FB" w:rsidP="00C563FB">
      <w:pPr>
        <w:pStyle w:val="NormalWeb"/>
        <w:spacing w:before="0" w:beforeAutospacing="0" w:after="0" w:afterAutospacing="0" w:line="360" w:lineRule="auto"/>
        <w:jc w:val="both"/>
      </w:pPr>
      <w:r w:rsidRPr="00D36B52">
        <w:t>According to the basic identifications, exchange rate management is a type of integral part of every organisation's decisions regarding foreign currency exposure. The primary engagement of currency or generally initiated for eliminating or declining the level of risk and also it requires some understanding support related to both the way that can initiate the exchange rate rest for operating and economics stabilities support. A basic identification regarding the exchange rate risks indicates the effect of unexpected changes in rates that impact the value of the firm mainly</w:t>
      </w:r>
      <w:r w:rsidR="00D31E35" w:rsidRPr="00D36B52">
        <w:t xml:space="preserve"> (</w:t>
      </w:r>
      <w:r w:rsidR="00D31E35" w:rsidRPr="00D36B52">
        <w:rPr>
          <w:lang w:val="en-GB"/>
        </w:rPr>
        <w:t>Papaioannou, 2006)</w:t>
      </w:r>
      <w:r w:rsidRPr="00D36B52">
        <w:t>. In other words, it is defined as the possible direct losses or some indirect losses associated with the cash flows, assets</w:t>
      </w:r>
      <w:r w:rsidR="00D36B52">
        <w:t>,</w:t>
      </w:r>
      <w:r w:rsidRPr="00D36B52">
        <w:t xml:space="preserve"> and liabilities, or even the net profit that generally indicates the stock market value from an exchange rate move. </w:t>
      </w:r>
    </w:p>
    <w:p w14:paraId="06C029CB" w14:textId="7E39150C" w:rsidR="00C563FB" w:rsidRDefault="00C563FB" w:rsidP="00C563FB">
      <w:pPr>
        <w:pStyle w:val="NormalWeb"/>
        <w:spacing w:before="0" w:beforeAutospacing="0" w:after="0" w:afterAutospacing="0" w:line="360" w:lineRule="auto"/>
        <w:jc w:val="both"/>
      </w:pPr>
      <w:r w:rsidRPr="00D36B52">
        <w:t xml:space="preserve">Fundamentally three different types of exchange rate rest are noticed related to </w:t>
      </w:r>
      <w:r w:rsidRPr="00D36B52">
        <w:rPr>
          <w:b/>
          <w:bCs/>
        </w:rPr>
        <w:t xml:space="preserve">transaction </w:t>
      </w:r>
      <w:r w:rsidRPr="00D36B52">
        <w:t xml:space="preserve">risk, </w:t>
      </w:r>
      <w:r w:rsidRPr="00D36B52">
        <w:rPr>
          <w:b/>
          <w:bCs/>
        </w:rPr>
        <w:t xml:space="preserve">translation </w:t>
      </w:r>
      <w:r w:rsidRPr="00D36B52">
        <w:t>rest</w:t>
      </w:r>
      <w:r w:rsidR="00D36B52" w:rsidRPr="00D36B52">
        <w:t>,</w:t>
      </w:r>
      <w:r w:rsidRPr="00D36B52">
        <w:t xml:space="preserve"> and </w:t>
      </w:r>
      <w:r w:rsidRPr="00D36B52">
        <w:rPr>
          <w:b/>
          <w:bCs/>
        </w:rPr>
        <w:t xml:space="preserve">economic </w:t>
      </w:r>
      <w:r w:rsidRPr="00D36B52">
        <w:t>risks. The presence of transaction risk generally represents the volume up risk over the cash flow and generally deals with the effect of exchange rate moves on transactional account exposure related to the receivables, payable</w:t>
      </w:r>
      <w:r w:rsidR="00D36B52" w:rsidRPr="00D36B52">
        <w:t>,</w:t>
      </w:r>
      <w:r w:rsidRPr="00D36B52">
        <w:t xml:space="preserve"> or includes the repatriation of dividends. On the other side, transactional risk includes the balance sheet exchange rate and also relates the exchange rate moves to the valuation of the foreign subsidiary and intern to the consolidations of the following subsidiary to the parent company valuation</w:t>
      </w:r>
      <w:r w:rsidR="00D31E35" w:rsidRPr="00D36B52">
        <w:t xml:space="preserve"> (</w:t>
      </w:r>
      <w:r w:rsidR="00D31E35" w:rsidRPr="00D36B52">
        <w:rPr>
          <w:lang w:val="en-GB"/>
        </w:rPr>
        <w:t>Papaioannou, 2006)</w:t>
      </w:r>
      <w:r w:rsidRPr="00D36B52">
        <w:t>. This type of risk for a foreign subsidiary is usually measured with the exposure of the net assets to the potential exchange rate move basis. On the other hand, the identification of economic rights generally reflects the risk related to the organisation's present value of the future operating cash flows from the exchange rate moving bases. </w:t>
      </w:r>
    </w:p>
    <w:p w14:paraId="150FF564" w14:textId="01268E3E" w:rsidR="00C563FB" w:rsidRPr="00D36B52" w:rsidRDefault="00C563FB" w:rsidP="00C563FB">
      <w:pPr>
        <w:pStyle w:val="NormalWeb"/>
        <w:spacing w:before="0" w:beforeAutospacing="0" w:after="0" w:afterAutospacing="0" w:line="360" w:lineRule="auto"/>
        <w:jc w:val="both"/>
      </w:pPr>
      <w:r w:rsidRPr="00D36B52">
        <w:t xml:space="preserve">The general initiative of measuring the </w:t>
      </w:r>
      <w:r w:rsidRPr="00D36B52">
        <w:rPr>
          <w:b/>
          <w:bCs/>
        </w:rPr>
        <w:t>exchange rate risks</w:t>
      </w:r>
      <w:r w:rsidRPr="00D36B52">
        <w:t xml:space="preserve"> of the business is initiated with the support of a </w:t>
      </w:r>
      <w:r w:rsidRPr="00D36B52">
        <w:rPr>
          <w:b/>
          <w:bCs/>
        </w:rPr>
        <w:t>value-at-risk (</w:t>
      </w:r>
      <w:proofErr w:type="spellStart"/>
      <w:r w:rsidRPr="00D36B52">
        <w:rPr>
          <w:b/>
          <w:bCs/>
        </w:rPr>
        <w:t>VaR</w:t>
      </w:r>
      <w:proofErr w:type="spellEnd"/>
      <w:r w:rsidRPr="00D36B52">
        <w:rPr>
          <w:b/>
          <w:bCs/>
        </w:rPr>
        <w:t>) model</w:t>
      </w:r>
      <w:r w:rsidRPr="00D36B52">
        <w:t xml:space="preserve"> basis and the general formula of such is </w:t>
      </w:r>
      <w:proofErr w:type="spellStart"/>
      <w:r w:rsidRPr="00D36B52">
        <w:rPr>
          <w:b/>
          <w:bCs/>
        </w:rPr>
        <w:t>VaR</w:t>
      </w:r>
      <w:proofErr w:type="spellEnd"/>
      <w:r w:rsidRPr="00D36B52">
        <w:rPr>
          <w:b/>
          <w:bCs/>
        </w:rPr>
        <w:t>= -</w:t>
      </w:r>
      <w:proofErr w:type="spellStart"/>
      <w:r w:rsidRPr="00D36B52">
        <w:rPr>
          <w:b/>
          <w:bCs/>
        </w:rPr>
        <w:t>Vp</w:t>
      </w:r>
      <w:proofErr w:type="spellEnd"/>
      <w:r w:rsidRPr="00D36B52">
        <w:rPr>
          <w:b/>
          <w:bCs/>
        </w:rPr>
        <w:t xml:space="preserve"> (</w:t>
      </w:r>
      <w:proofErr w:type="spellStart"/>
      <w:r w:rsidRPr="00D36B52">
        <w:rPr>
          <w:b/>
          <w:bCs/>
        </w:rPr>
        <w:t>Mp</w:t>
      </w:r>
      <w:proofErr w:type="spellEnd"/>
      <w:r w:rsidRPr="00D36B52">
        <w:rPr>
          <w:b/>
          <w:bCs/>
        </w:rPr>
        <w:t xml:space="preserve"> + 2.33 </w:t>
      </w:r>
      <w:proofErr w:type="spellStart"/>
      <w:r w:rsidRPr="00D36B52">
        <w:rPr>
          <w:b/>
          <w:bCs/>
        </w:rPr>
        <w:t>Sp</w:t>
      </w:r>
      <w:proofErr w:type="spellEnd"/>
      <w:r w:rsidRPr="00D36B52">
        <w:rPr>
          <w:b/>
          <w:bCs/>
        </w:rPr>
        <w:t>)</w:t>
      </w:r>
      <w:r w:rsidRPr="00D36B52">
        <w:t xml:space="preserve">. Under this process the </w:t>
      </w:r>
      <w:proofErr w:type="spellStart"/>
      <w:r w:rsidRPr="00D36B52">
        <w:rPr>
          <w:b/>
          <w:bCs/>
        </w:rPr>
        <w:t>Vp</w:t>
      </w:r>
      <w:proofErr w:type="spellEnd"/>
      <w:r w:rsidRPr="00D36B52">
        <w:t xml:space="preserve"> is the initial value (in currency units) of the foreign exchange position, </w:t>
      </w:r>
      <w:proofErr w:type="spellStart"/>
      <w:r w:rsidRPr="00D36B52">
        <w:rPr>
          <w:b/>
          <w:bCs/>
        </w:rPr>
        <w:t>Mp</w:t>
      </w:r>
      <w:proofErr w:type="spellEnd"/>
      <w:r w:rsidRPr="00D36B52">
        <w:t xml:space="preserve"> is the mean of the currency return on the firm’s total foreign exchange position and </w:t>
      </w:r>
      <w:proofErr w:type="spellStart"/>
      <w:r w:rsidRPr="00D36B52">
        <w:rPr>
          <w:b/>
          <w:bCs/>
        </w:rPr>
        <w:t>Sp</w:t>
      </w:r>
      <w:proofErr w:type="spellEnd"/>
      <w:r w:rsidRPr="00D36B52">
        <w:t xml:space="preserve"> is the standard deviation of the currency return on the firm’s total foreign exchange position</w:t>
      </w:r>
      <w:r w:rsidR="00D31E35" w:rsidRPr="00D36B52">
        <w:t xml:space="preserve"> (</w:t>
      </w:r>
      <w:r w:rsidR="00D31E35" w:rsidRPr="00D36B52">
        <w:rPr>
          <w:lang w:val="en-GB"/>
        </w:rPr>
        <w:t>Papaioannou, 2006)</w:t>
      </w:r>
      <w:r w:rsidRPr="00D36B52">
        <w:t>. </w:t>
      </w:r>
    </w:p>
    <w:p w14:paraId="7A63695B" w14:textId="109A0E69" w:rsidR="00C563FB" w:rsidRPr="00F54C69" w:rsidRDefault="00C563FB" w:rsidP="00D31E35">
      <w:pPr>
        <w:pStyle w:val="NormalWeb"/>
        <w:spacing w:before="0" w:beforeAutospacing="0" w:after="0" w:afterAutospacing="0" w:line="360" w:lineRule="auto"/>
        <w:jc w:val="both"/>
      </w:pPr>
      <w:r w:rsidRPr="00F54C69">
        <w:t xml:space="preserve">The primary maintenance of managing the exchange rate risks is initiated with the support of measuring the </w:t>
      </w:r>
      <w:r w:rsidRPr="00F54C69">
        <w:rPr>
          <w:b/>
          <w:bCs/>
        </w:rPr>
        <w:t>risk exposure</w:t>
      </w:r>
      <w:r w:rsidRPr="00F54C69">
        <w:t xml:space="preserve"> that formulates the </w:t>
      </w:r>
      <w:r w:rsidRPr="00F54C69">
        <w:rPr>
          <w:b/>
          <w:bCs/>
        </w:rPr>
        <w:t>hedging support</w:t>
      </w:r>
      <w:r w:rsidRPr="00F54C69">
        <w:t xml:space="preserve"> with the engagement of currency risk management strategic support. The identified approach of hedging strategies is generally initiated to provide some proper cash flow formulations and earning competency approach with the processing of which the general volume of exposure related to exchange rate risks can be eliminated. Depending on the transaction risk the applicability of tactical hedging is one of the primary approaches with the initiative of which the short-term receivable and payable transactions can be formulated on a proper basis along with maintaining the long period of transaction support</w:t>
      </w:r>
      <w:r w:rsidR="00D31E35" w:rsidRPr="00F54C69">
        <w:t xml:space="preserve"> (</w:t>
      </w:r>
      <w:r w:rsidR="00D31E35" w:rsidRPr="00F54C69">
        <w:rPr>
          <w:lang w:val="en-GB"/>
        </w:rPr>
        <w:t>Papaioannou, 2006)</w:t>
      </w:r>
      <w:r w:rsidRPr="00F54C69">
        <w:t>. On the other hand, the application of transitional risk or the balance sheet risk generally represents the involvement of long-term foreign exposures, such as the firm’s valuation of subsidiaries, its debt structure</w:t>
      </w:r>
      <w:r w:rsidR="00F54C69" w:rsidRPr="00F54C69">
        <w:t>,</w:t>
      </w:r>
      <w:r w:rsidRPr="00F54C69">
        <w:t xml:space="preserve"> and international investments.  For the translation of currency risk of a subsidiary’s value, it is standard practice to hedge the net balance sheet exposures. Related to the engagement of economic risk, the engagement of inflation on Cost is generally initiated under which a proper hedge related to the economic exposure with the creation of payable processing in the currency can effectively balance. </w:t>
      </w:r>
    </w:p>
    <w:p w14:paraId="00000006" w14:textId="2BE58FE4" w:rsidR="00256B3C" w:rsidRDefault="00A47A89">
      <w:r w:rsidRPr="00F54C69">
        <w:rPr>
          <w:b/>
          <w:bCs/>
        </w:rPr>
        <w:t>The concept of business dividend</w:t>
      </w:r>
      <w:r>
        <w:t xml:space="preserve"> is defined as sharing business profit among the shareholders with a general intention of managing the contemporary growth and market capitalised positions in a systematic structure. It can be identified as one type of contribution initiated by the management of a business to formulate the market capital values and also a proper return opportunity for the investors. The primary engagement of progressive dividend policy in Shell plc with the involvement of a share buyback programme mainly formulated for target share distribution with 30% to 40% cash flow initiative support. In the current period of 2023, the organisation distributed around $8 billion in cash dividends indicating an expansion of $0.344 per share support (Shell plc.com, 22023). Additionally, the applications of dividend reinvestment </w:t>
      </w:r>
      <w:r w:rsidR="00F54C69">
        <w:t>plans</w:t>
      </w:r>
      <w:r>
        <w:t xml:space="preserve"> are also initiated in this business under which Equiniti Financial Services Limited </w:t>
      </w:r>
      <w:r w:rsidR="00F54C69">
        <w:t>is</w:t>
      </w:r>
      <w:r>
        <w:t xml:space="preserve"> used to operate a DRIP processing that mainly enables the shareholders of this business to elect to have their dividend payments used to purchase Shell plc ordinary shares. The initiative of such a proper volume of share formulations among the existing shareholders is mainly initiated by the company without initiating interventions of the additional shareholders. </w:t>
      </w:r>
    </w:p>
    <w:p w14:paraId="1616AA27" w14:textId="77777777" w:rsidR="00F54C69" w:rsidRDefault="00A47A89">
      <w:r>
        <w:t xml:space="preserve">The conceptual presence of the </w:t>
      </w:r>
      <w:r w:rsidRPr="00F54C69">
        <w:rPr>
          <w:b/>
          <w:bCs/>
        </w:rPr>
        <w:t>efficient market hypothesis or EMH concept</w:t>
      </w:r>
      <w:r>
        <w:t xml:space="preserve"> has been initiated to reflect all the necessary information related to the share or market capital value of the business in a detailed order with an initiative of which the compatibility positions of the business and the market can be identified. However, it can also be recognised that the general initiative related to the market is formulated on a fair price structure and any kind of atoms related to the outperform are generally identified as futile for market progress (Brigham and Daves, 2018). </w:t>
      </w:r>
      <w:r w:rsidR="007F180A">
        <w:t>Therefore, it</w:t>
      </w:r>
      <w:r>
        <w:t xml:space="preserve"> can be recognised that the applicability of EMH theory indicates the financial market is generally formulated with a rational basis and profit-maximized attribute support for those, who are mainly intended and seeking for getting advantages through the available resources. As per the basic evaluations and the market structure, the level of capitalised position for Shell plc mainly indicates a value up to 165.186 billion capital support with the position of beta as 0.56 times which indicates the lower risk assessment support for the present investors. </w:t>
      </w:r>
    </w:p>
    <w:p w14:paraId="00000007" w14:textId="1CF68BEA" w:rsidR="00256B3C" w:rsidRDefault="00A47A89">
      <w:r>
        <w:t xml:space="preserve">According to the basic analysis support in the present period (18 March 2024), the share price positions related to Shell plc indicate a volume of 2,566.00 GBX, while the price was 2361.5 </w:t>
      </w:r>
      <w:r w:rsidR="007F180A">
        <w:t>GBX (22 January 2024), w</w:t>
      </w:r>
      <w:r>
        <w:t xml:space="preserve">hile the same share price in </w:t>
      </w:r>
      <w:r w:rsidR="007F180A">
        <w:t>one-year</w:t>
      </w:r>
      <w:r>
        <w:t xml:space="preserve"> age (2 November 2023) was 2768 GBX (londonstockexchange.com, 2024). The presence of these price fluctuations indicates strong portfolio support for the investors and also represents a contemporary growth initiative approach </w:t>
      </w:r>
      <w:r w:rsidR="00F54C69">
        <w:t>concerning</w:t>
      </w:r>
      <w:r>
        <w:t xml:space="preserve"> the business dividend formulations in the upcoming period. The above pricing positions and the provided market value initiative structure of the business indicate contemporary growth and optimised index funding support for the investors which is accountable for gaining stable positions in market return and also the optimised market capitalise positioning support in a compatible basis. Based on the above identification support it is recognisable that the present Efficient market hypothesis approach related to the business represents a contemporary growth and stability support which is optimised for the formulated financial development and stability reasons. </w:t>
      </w:r>
    </w:p>
    <w:p w14:paraId="00000008" w14:textId="745CFC54" w:rsidR="00256B3C" w:rsidRDefault="00A47A89">
      <w:r>
        <w:t xml:space="preserve">Under the </w:t>
      </w:r>
      <w:r w:rsidRPr="00F54C69">
        <w:rPr>
          <w:b/>
          <w:bCs/>
        </w:rPr>
        <w:t>general financial management concept</w:t>
      </w:r>
      <w:r>
        <w:t xml:space="preserve">, for every individual business before initiating an investment in any project a primary significance for the project compatibility </w:t>
      </w:r>
      <w:r w:rsidR="00F54C69">
        <w:t>to</w:t>
      </w:r>
      <w:r>
        <w:t xml:space="preserve"> the capital budgeting approach is mainly required that formulates the optimised growth and performance development support. The conceptual structure related to the presence of this type of project evaluation is defined as a </w:t>
      </w:r>
      <w:r w:rsidRPr="00F54C69">
        <w:rPr>
          <w:b/>
          <w:bCs/>
        </w:rPr>
        <w:t>capital budget methodical support or investment appraisal method</w:t>
      </w:r>
      <w:r>
        <w:t xml:space="preserve"> </w:t>
      </w:r>
      <w:r w:rsidRPr="00F54C69">
        <w:rPr>
          <w:b/>
          <w:bCs/>
        </w:rPr>
        <w:t xml:space="preserve">support </w:t>
      </w:r>
      <w:r>
        <w:t xml:space="preserve">which is relevant for recognising the time value processing approach of the project and also the compatibility analysis regarding the financial value recovery approach. In relation to the present operating structure of this particular oil and gas manufacturing business, the involvement of different investment </w:t>
      </w:r>
      <w:r w:rsidR="002D7B1D">
        <w:t>projects</w:t>
      </w:r>
      <w:r>
        <w:t xml:space="preserve"> is initiated which indicates the involvement of investment appraisal methodical support. In 2019 the managerial department of this particular business initiated an investment named “</w:t>
      </w:r>
      <w:r w:rsidRPr="007F180A">
        <w:rPr>
          <w:b/>
        </w:rPr>
        <w:t>Appomattox</w:t>
      </w:r>
      <w:r>
        <w:t xml:space="preserve">”. Fundamentally this project was initiated by the management for the extractions of </w:t>
      </w:r>
      <w:r w:rsidR="007F180A">
        <w:t>deep-water</w:t>
      </w:r>
      <w:r>
        <w:t xml:space="preserve"> oil and gas development initiative with the environment of a floating platform in the Gulf of Mexico (Forbes.com, 2024). This particular project mainly focuses on the internal rate of return concept which is defined as a method of investment appraisal applied for recognising the overall volume of investment return capability with the considerations of time value support that ultimately manages the financial values and also the structural positioning support.</w:t>
      </w:r>
    </w:p>
    <w:p w14:paraId="75A2A9CF" w14:textId="77777777" w:rsidR="00D36B52" w:rsidRDefault="00D36B52"/>
    <w:p w14:paraId="0C738D41" w14:textId="77777777" w:rsidR="00D36B52" w:rsidRDefault="00D36B52">
      <w:pPr>
        <w:rPr>
          <w:b/>
        </w:rPr>
      </w:pPr>
    </w:p>
    <w:p w14:paraId="00000009" w14:textId="77777777" w:rsidR="00256B3C" w:rsidRDefault="00A47A89" w:rsidP="007F180A">
      <w:pPr>
        <w:pStyle w:val="Heading1"/>
      </w:pPr>
      <w:bookmarkStart w:id="2" w:name="_Toc161681480"/>
      <w:r>
        <w:t>Conclusions</w:t>
      </w:r>
      <w:bookmarkEnd w:id="2"/>
      <w:r>
        <w:t xml:space="preserve"> </w:t>
      </w:r>
    </w:p>
    <w:p w14:paraId="2139AA89" w14:textId="77777777" w:rsidR="00D36B52" w:rsidRPr="00D36B52" w:rsidRDefault="00D36B52" w:rsidP="00D36B52"/>
    <w:p w14:paraId="0000000A" w14:textId="248D2984" w:rsidR="00256B3C" w:rsidRDefault="00A47A89">
      <w:r>
        <w:t xml:space="preserve">Overall, the present financial positions and the market structure related to the business of </w:t>
      </w:r>
      <w:r w:rsidRPr="00CC61BE">
        <w:rPr>
          <w:b/>
          <w:bCs/>
        </w:rPr>
        <w:t>Shell plc</w:t>
      </w:r>
      <w:r>
        <w:t xml:space="preserve"> indicate an optimised development structure for this business that formulas a proper volume of dividend attributes and market stabilities support. Application of the progressive dividend approach for this business represents a contemporary performance development and also formulated market capitalised positioning support which is accountable for the business's future values. The present market hypothesis theory concept over this business also signifies the structural value and operating formulations concept in a contemporary basis that provides a proper opportunity for stakeholder engagement. The ultimate positions related to </w:t>
      </w:r>
      <w:r w:rsidR="00D465A7">
        <w:t xml:space="preserve">the </w:t>
      </w:r>
      <w:r>
        <w:t xml:space="preserve">applicability of investment processing of the business also indicate and optimise risk assessment and working capital values support which is accountable for the determination of future growth and also structurally implementing robust financial planning attributes. </w:t>
      </w:r>
    </w:p>
    <w:p w14:paraId="53BE01E5" w14:textId="3B5B7FA4" w:rsidR="007F180A" w:rsidRDefault="007F180A">
      <w:r>
        <w:br w:type="page"/>
      </w:r>
    </w:p>
    <w:p w14:paraId="403C7B10" w14:textId="2AFA3C6A" w:rsidR="007F180A" w:rsidRPr="007F180A" w:rsidRDefault="007F180A" w:rsidP="007F180A">
      <w:pPr>
        <w:pStyle w:val="Heading1"/>
      </w:pPr>
      <w:bookmarkStart w:id="3" w:name="_Toc161681481"/>
      <w:r w:rsidRPr="007F180A">
        <w:t>References</w:t>
      </w:r>
      <w:bookmarkEnd w:id="3"/>
    </w:p>
    <w:p w14:paraId="23F3C199" w14:textId="77777777" w:rsidR="00D31E35" w:rsidRPr="0046217A" w:rsidRDefault="00D31E35" w:rsidP="007F180A">
      <w:pPr>
        <w:pStyle w:val="NoSpacing"/>
        <w:spacing w:line="360" w:lineRule="auto"/>
      </w:pPr>
      <w:r w:rsidRPr="0046217A">
        <w:t>Alkaabi, H. and Nobanee, H., 2019. A study on financial management in promoting sustainable business practices &amp; development. </w:t>
      </w:r>
      <w:r w:rsidRPr="0046217A">
        <w:rPr>
          <w:i/>
          <w:iCs/>
        </w:rPr>
        <w:t>Available at SSRN 3472415</w:t>
      </w:r>
      <w:r w:rsidRPr="0046217A">
        <w:t>.</w:t>
      </w:r>
    </w:p>
    <w:p w14:paraId="5956BF7B" w14:textId="77777777" w:rsidR="00D31E35" w:rsidRPr="0046217A" w:rsidRDefault="00D31E35" w:rsidP="007F180A">
      <w:pPr>
        <w:pStyle w:val="NoSpacing"/>
        <w:spacing w:line="360" w:lineRule="auto"/>
      </w:pPr>
      <w:r w:rsidRPr="0046217A">
        <w:t>Brigham, E.F. and Daves, P.R., 2018. </w:t>
      </w:r>
      <w:r w:rsidRPr="0046217A">
        <w:rPr>
          <w:i/>
          <w:iCs/>
        </w:rPr>
        <w:t>Intermediate financial management</w:t>
      </w:r>
      <w:r w:rsidRPr="0046217A">
        <w:t xml:space="preserve">. Cengage Learning. </w:t>
      </w:r>
    </w:p>
    <w:p w14:paraId="6FFCB4A9" w14:textId="77777777" w:rsidR="00D31E35" w:rsidRDefault="00D31E35" w:rsidP="007F180A">
      <w:pPr>
        <w:pStyle w:val="NoSpacing"/>
        <w:spacing w:line="360" w:lineRule="auto"/>
        <w:rPr>
          <w:lang w:val="en-IN"/>
        </w:rPr>
      </w:pPr>
      <w:proofErr w:type="gramStart"/>
      <w:r w:rsidRPr="0046217A">
        <w:rPr>
          <w:lang w:val="en-IN"/>
        </w:rPr>
        <w:t>Forbes.com(</w:t>
      </w:r>
      <w:proofErr w:type="gramEnd"/>
      <w:r w:rsidRPr="0046217A">
        <w:rPr>
          <w:lang w:val="en-IN"/>
        </w:rPr>
        <w:t>2024)</w:t>
      </w:r>
      <w:r>
        <w:rPr>
          <w:lang w:val="en-IN"/>
        </w:rPr>
        <w:t>.Availableat:</w:t>
      </w:r>
      <w:r w:rsidRPr="0046217A">
        <w:rPr>
          <w:lang w:val="en-IN"/>
        </w:rPr>
        <w:t>https://www.forbes.com/sites/davidblackmon/2019/05/24/shell-appomattox-project-ahead-of-time-and-under-budget/?sh=66d4d43fa576 [Accessed 18 march 2024].</w:t>
      </w:r>
    </w:p>
    <w:p w14:paraId="4CABB593" w14:textId="77777777" w:rsidR="00D31E35" w:rsidRDefault="00D31E35" w:rsidP="007F180A">
      <w:pPr>
        <w:pStyle w:val="NoSpacing"/>
        <w:spacing w:line="360" w:lineRule="auto"/>
        <w:rPr>
          <w:lang w:val="en-IN"/>
        </w:rPr>
      </w:pPr>
      <w:r w:rsidRPr="0046217A">
        <w:rPr>
          <w:lang w:val="en-IN"/>
        </w:rPr>
        <w:t xml:space="preserve">londonstockexchange.com (2024). </w:t>
      </w:r>
      <w:r w:rsidRPr="0046217A">
        <w:rPr>
          <w:i/>
          <w:iCs/>
          <w:lang w:val="en-IN"/>
        </w:rPr>
        <w:t>Stock</w:t>
      </w:r>
      <w:r w:rsidRPr="0046217A">
        <w:rPr>
          <w:lang w:val="en-IN"/>
        </w:rPr>
        <w:t>. [online] www.lseg.com. Available at: https://www.londonstockexchange.com/stock/SHEL/shell-plc/company-page [Accessed 18 Mar. 2024].</w:t>
      </w:r>
    </w:p>
    <w:p w14:paraId="72619DBE" w14:textId="77777777" w:rsidR="00D31E35" w:rsidRPr="002D7B1D" w:rsidRDefault="00D31E35" w:rsidP="007F180A">
      <w:pPr>
        <w:pStyle w:val="NoSpacing"/>
        <w:spacing w:line="360" w:lineRule="auto"/>
        <w:rPr>
          <w:lang w:val="en-IN"/>
        </w:rPr>
      </w:pPr>
      <w:r w:rsidRPr="002D7B1D">
        <w:t>Papaioannou, M.G., 2006. Exchange rate risk measurement and management: Issues and approaches for firms.</w:t>
      </w:r>
    </w:p>
    <w:p w14:paraId="25ED7DF5" w14:textId="77777777" w:rsidR="00D31E35" w:rsidRDefault="00D31E35" w:rsidP="007F180A">
      <w:pPr>
        <w:pStyle w:val="NoSpacing"/>
        <w:spacing w:line="360" w:lineRule="auto"/>
        <w:rPr>
          <w:lang w:val="en-IN"/>
        </w:rPr>
      </w:pPr>
      <w:r w:rsidRPr="0046217A">
        <w:rPr>
          <w:lang w:val="en-IN"/>
        </w:rPr>
        <w:t xml:space="preserve">Shell Global (2023). </w:t>
      </w:r>
      <w:r w:rsidRPr="0046217A">
        <w:rPr>
          <w:i/>
          <w:iCs/>
          <w:lang w:val="en-IN"/>
        </w:rPr>
        <w:t>Prelude FLNG | Shell Global</w:t>
      </w:r>
      <w:r w:rsidRPr="0046217A">
        <w:rPr>
          <w:lang w:val="en-IN"/>
        </w:rPr>
        <w:t>. [online] www.shell.com. Available at: https://www.shell.com/what-we-do/major-projects/prelude-flng.html [Accessed 18 Mar. 2024].</w:t>
      </w:r>
    </w:p>
    <w:p w14:paraId="2305E444" w14:textId="77777777" w:rsidR="00D31E35" w:rsidRDefault="00D31E35" w:rsidP="007F180A">
      <w:pPr>
        <w:pStyle w:val="NoSpacing"/>
        <w:spacing w:line="360" w:lineRule="auto"/>
        <w:rPr>
          <w:lang w:val="en-IN"/>
        </w:rPr>
      </w:pPr>
      <w:r w:rsidRPr="0046217A">
        <w:rPr>
          <w:lang w:val="en-IN"/>
        </w:rPr>
        <w:t xml:space="preserve">Shell Global.com (2024). </w:t>
      </w:r>
      <w:r w:rsidRPr="0046217A">
        <w:rPr>
          <w:i/>
          <w:iCs/>
          <w:lang w:val="en-IN"/>
        </w:rPr>
        <w:t>Who we are | Shell Global</w:t>
      </w:r>
      <w:r w:rsidRPr="0046217A">
        <w:rPr>
          <w:lang w:val="en-IN"/>
        </w:rPr>
        <w:t>. [online] www.shell.com. Available at: https://www.shell.com/who-we-are.html [Accessed 18 Mar. 2024].</w:t>
      </w:r>
    </w:p>
    <w:p w14:paraId="3412CA63" w14:textId="77777777" w:rsidR="00D31E35" w:rsidRDefault="00D31E35" w:rsidP="007F180A">
      <w:pPr>
        <w:pStyle w:val="NoSpacing"/>
        <w:spacing w:line="360" w:lineRule="auto"/>
        <w:rPr>
          <w:lang w:val="en-IN"/>
        </w:rPr>
      </w:pPr>
      <w:r>
        <w:rPr>
          <w:lang w:val="en-IN"/>
        </w:rPr>
        <w:t>Shell plc.</w:t>
      </w:r>
      <w:r w:rsidRPr="0046217A">
        <w:rPr>
          <w:lang w:val="en-IN"/>
        </w:rPr>
        <w:t xml:space="preserve">com (2023). </w:t>
      </w:r>
      <w:r w:rsidRPr="0046217A">
        <w:rPr>
          <w:i/>
          <w:iCs/>
          <w:lang w:val="en-IN"/>
        </w:rPr>
        <w:t>Downloads</w:t>
      </w:r>
      <w:r w:rsidRPr="0046217A">
        <w:rPr>
          <w:lang w:val="en-IN"/>
        </w:rPr>
        <w:t>. [online] Shell Annual Report and Accounts 2023. Available at: https://reports.shell.com/annual-report/2023/services/downloads.html [Accessed 18 Mar. 2024].</w:t>
      </w:r>
    </w:p>
    <w:p w14:paraId="4FEB0EF5" w14:textId="77777777" w:rsidR="00D31E35" w:rsidRDefault="00D31E35" w:rsidP="007F180A">
      <w:pPr>
        <w:pStyle w:val="NoSpacing"/>
        <w:spacing w:line="360" w:lineRule="auto"/>
        <w:rPr>
          <w:lang w:val="en-IN"/>
        </w:rPr>
      </w:pPr>
      <w:r w:rsidRPr="0046217A">
        <w:rPr>
          <w:lang w:val="en-IN"/>
        </w:rPr>
        <w:t xml:space="preserve">Shell.com (2022). </w:t>
      </w:r>
      <w:r w:rsidRPr="0046217A">
        <w:rPr>
          <w:i/>
          <w:iCs/>
          <w:lang w:val="en-IN"/>
        </w:rPr>
        <w:t>Shell Invests in the Sparta Development in the Gulf of Mexico | Shell Global</w:t>
      </w:r>
      <w:r w:rsidRPr="0046217A">
        <w:rPr>
          <w:lang w:val="en-IN"/>
        </w:rPr>
        <w:t>. [online] www.shell.com. Available at: https://www.shell.com/news-and-insights/newsroom/news-and-media-releases/2023/shell-invests-in-the-sparta-development-in-the-gulf-of-mexico.html [Accessed 18 Mar. 2024].</w:t>
      </w:r>
    </w:p>
    <w:p w14:paraId="07A9A26D" w14:textId="77777777" w:rsidR="00D31E35" w:rsidRDefault="00D31E35" w:rsidP="007F180A">
      <w:pPr>
        <w:pStyle w:val="NoSpacing"/>
        <w:spacing w:line="360" w:lineRule="auto"/>
        <w:rPr>
          <w:lang w:val="en-IN"/>
        </w:rPr>
      </w:pPr>
      <w:r w:rsidRPr="0046217A">
        <w:rPr>
          <w:lang w:val="en-IN"/>
        </w:rPr>
        <w:t xml:space="preserve">Shell.com (2023). </w:t>
      </w:r>
      <w:r w:rsidRPr="0046217A">
        <w:rPr>
          <w:i/>
          <w:iCs/>
          <w:lang w:val="en-IN"/>
        </w:rPr>
        <w:t>Shell Polymers Monaca | Shell Global</w:t>
      </w:r>
      <w:r w:rsidRPr="0046217A">
        <w:rPr>
          <w:lang w:val="en-IN"/>
        </w:rPr>
        <w:t>. [online] www.shell.com. Available at: https://www.shell.com/what-we-do/major-projects/pennsylvania-petrochemicals-complex.html [Accessed 18 Mar. 2024].</w:t>
      </w:r>
    </w:p>
    <w:p w14:paraId="11C8E5C6" w14:textId="77777777" w:rsidR="00D31E35" w:rsidRDefault="00D31E35" w:rsidP="007F180A">
      <w:pPr>
        <w:pStyle w:val="NoSpacing"/>
        <w:spacing w:line="360" w:lineRule="auto"/>
        <w:rPr>
          <w:lang w:val="en-IN"/>
        </w:rPr>
      </w:pPr>
      <w:r w:rsidRPr="0046217A">
        <w:rPr>
          <w:lang w:val="en-IN"/>
        </w:rPr>
        <w:t xml:space="preserve">uk.finance.yahoo.com. (2024). </w:t>
      </w:r>
      <w:r w:rsidRPr="0046217A">
        <w:rPr>
          <w:i/>
          <w:iCs/>
          <w:lang w:val="en-IN"/>
        </w:rPr>
        <w:t>Shell plc (SHEL.L) stock price, news, quote &amp; history – Yahoo Finance</w:t>
      </w:r>
      <w:r w:rsidRPr="0046217A">
        <w:rPr>
          <w:lang w:val="en-IN"/>
        </w:rPr>
        <w:t xml:space="preserve">. [online] Available at: </w:t>
      </w:r>
      <w:hyperlink r:id="rId8" w:history="1">
        <w:r w:rsidRPr="006A46A4">
          <w:rPr>
            <w:rStyle w:val="Hyperlink"/>
            <w:lang w:val="en-IN"/>
          </w:rPr>
          <w:t>https://uk.finance.yahoo.com/quote/SHEL.L/</w:t>
        </w:r>
      </w:hyperlink>
      <w:r>
        <w:rPr>
          <w:lang w:val="en-IN"/>
        </w:rPr>
        <w:t xml:space="preserve"> </w:t>
      </w:r>
      <w:r w:rsidRPr="0046217A">
        <w:rPr>
          <w:lang w:val="en-IN"/>
        </w:rPr>
        <w:t>[Accessed 18 Mar. 2024].</w:t>
      </w:r>
    </w:p>
    <w:p w14:paraId="4446CCEA" w14:textId="77777777" w:rsidR="007F180A" w:rsidRPr="0046217A" w:rsidRDefault="007F180A" w:rsidP="007F180A">
      <w:pPr>
        <w:spacing w:after="240"/>
        <w:rPr>
          <w:lang w:val="en-IN"/>
        </w:rPr>
      </w:pPr>
    </w:p>
    <w:p w14:paraId="6B30129C" w14:textId="77777777" w:rsidR="007F180A" w:rsidRPr="0046217A" w:rsidRDefault="007F180A" w:rsidP="007F180A">
      <w:pPr>
        <w:spacing w:after="240"/>
        <w:rPr>
          <w:lang w:val="en-IN"/>
        </w:rPr>
      </w:pPr>
    </w:p>
    <w:sectPr w:rsidR="007F180A" w:rsidRPr="0046217A" w:rsidSect="000E1F5E">
      <w:footerReference w:type="default" r:id="rId9"/>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4E5B8" w14:textId="77777777" w:rsidR="000E1F5E" w:rsidRDefault="000E1F5E" w:rsidP="00961396">
      <w:pPr>
        <w:spacing w:line="240" w:lineRule="auto"/>
      </w:pPr>
      <w:r>
        <w:separator/>
      </w:r>
    </w:p>
  </w:endnote>
  <w:endnote w:type="continuationSeparator" w:id="0">
    <w:p w14:paraId="0FCE9E3F" w14:textId="77777777" w:rsidR="000E1F5E" w:rsidRDefault="000E1F5E" w:rsidP="009613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006848"/>
      <w:docPartObj>
        <w:docPartGallery w:val="Page Numbers (Bottom of Page)"/>
        <w:docPartUnique/>
      </w:docPartObj>
    </w:sdtPr>
    <w:sdtEndPr>
      <w:rPr>
        <w:noProof/>
      </w:rPr>
    </w:sdtEndPr>
    <w:sdtContent>
      <w:p w14:paraId="37B3A84A" w14:textId="36A10ABA" w:rsidR="00961396" w:rsidRDefault="00961396">
        <w:pPr>
          <w:pStyle w:val="Footer"/>
          <w:jc w:val="right"/>
        </w:pPr>
        <w:r>
          <w:fldChar w:fldCharType="begin"/>
        </w:r>
        <w:r>
          <w:instrText xml:space="preserve"> PAGE   \* MERGEFORMAT </w:instrText>
        </w:r>
        <w:r>
          <w:fldChar w:fldCharType="separate"/>
        </w:r>
        <w:r w:rsidR="00D31E35">
          <w:rPr>
            <w:noProof/>
          </w:rPr>
          <w:t>9</w:t>
        </w:r>
        <w:r>
          <w:rPr>
            <w:noProof/>
          </w:rPr>
          <w:fldChar w:fldCharType="end"/>
        </w:r>
      </w:p>
    </w:sdtContent>
  </w:sdt>
  <w:p w14:paraId="2B555A69" w14:textId="77777777" w:rsidR="00961396" w:rsidRDefault="00961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2FEC0" w14:textId="77777777" w:rsidR="000E1F5E" w:rsidRDefault="000E1F5E" w:rsidP="00961396">
      <w:pPr>
        <w:spacing w:line="240" w:lineRule="auto"/>
      </w:pPr>
      <w:r>
        <w:separator/>
      </w:r>
    </w:p>
  </w:footnote>
  <w:footnote w:type="continuationSeparator" w:id="0">
    <w:p w14:paraId="5E223CD1" w14:textId="77777777" w:rsidR="000E1F5E" w:rsidRDefault="000E1F5E" w:rsidP="009613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6B3C"/>
    <w:rsid w:val="00032132"/>
    <w:rsid w:val="000E1F5E"/>
    <w:rsid w:val="00231F44"/>
    <w:rsid w:val="00256B3C"/>
    <w:rsid w:val="002D7B1D"/>
    <w:rsid w:val="00396947"/>
    <w:rsid w:val="007D274B"/>
    <w:rsid w:val="007F180A"/>
    <w:rsid w:val="00961396"/>
    <w:rsid w:val="00A47A89"/>
    <w:rsid w:val="00AA2090"/>
    <w:rsid w:val="00C563FB"/>
    <w:rsid w:val="00CC61BE"/>
    <w:rsid w:val="00D31E35"/>
    <w:rsid w:val="00D36B52"/>
    <w:rsid w:val="00D465A7"/>
    <w:rsid w:val="00E92CD4"/>
    <w:rsid w:val="00F54C69"/>
    <w:rsid w:val="00F609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CE6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7F180A"/>
    <w:pPr>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7F180A"/>
    <w:rPr>
      <w:color w:val="0000FF" w:themeColor="hyperlink"/>
      <w:u w:val="single"/>
    </w:rPr>
  </w:style>
  <w:style w:type="paragraph" w:styleId="NoSpacing">
    <w:name w:val="No Spacing"/>
    <w:uiPriority w:val="1"/>
    <w:qFormat/>
    <w:rsid w:val="007F180A"/>
    <w:pPr>
      <w:spacing w:line="240" w:lineRule="auto"/>
    </w:pPr>
    <w:rPr>
      <w:lang w:val="en-GB"/>
    </w:rPr>
  </w:style>
  <w:style w:type="paragraph" w:styleId="TOCHeading">
    <w:name w:val="TOC Heading"/>
    <w:basedOn w:val="Heading1"/>
    <w:next w:val="Normal"/>
    <w:uiPriority w:val="39"/>
    <w:unhideWhenUsed/>
    <w:qFormat/>
    <w:rsid w:val="007F180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F180A"/>
    <w:pPr>
      <w:spacing w:after="100"/>
    </w:pPr>
  </w:style>
  <w:style w:type="paragraph" w:styleId="Header">
    <w:name w:val="header"/>
    <w:basedOn w:val="Normal"/>
    <w:link w:val="HeaderChar"/>
    <w:uiPriority w:val="99"/>
    <w:unhideWhenUsed/>
    <w:rsid w:val="00961396"/>
    <w:pPr>
      <w:tabs>
        <w:tab w:val="center" w:pos="4513"/>
        <w:tab w:val="right" w:pos="9026"/>
      </w:tabs>
      <w:spacing w:line="240" w:lineRule="auto"/>
    </w:pPr>
  </w:style>
  <w:style w:type="character" w:customStyle="1" w:styleId="HeaderChar">
    <w:name w:val="Header Char"/>
    <w:basedOn w:val="DefaultParagraphFont"/>
    <w:link w:val="Header"/>
    <w:uiPriority w:val="99"/>
    <w:rsid w:val="00961396"/>
    <w:rPr>
      <w:lang w:val="en-GB"/>
    </w:rPr>
  </w:style>
  <w:style w:type="paragraph" w:styleId="Footer">
    <w:name w:val="footer"/>
    <w:basedOn w:val="Normal"/>
    <w:link w:val="FooterChar"/>
    <w:uiPriority w:val="99"/>
    <w:unhideWhenUsed/>
    <w:rsid w:val="00961396"/>
    <w:pPr>
      <w:tabs>
        <w:tab w:val="center" w:pos="4513"/>
        <w:tab w:val="right" w:pos="9026"/>
      </w:tabs>
      <w:spacing w:line="240" w:lineRule="auto"/>
    </w:pPr>
  </w:style>
  <w:style w:type="character" w:customStyle="1" w:styleId="FooterChar">
    <w:name w:val="Footer Char"/>
    <w:basedOn w:val="DefaultParagraphFont"/>
    <w:link w:val="Footer"/>
    <w:uiPriority w:val="99"/>
    <w:rsid w:val="00961396"/>
    <w:rPr>
      <w:lang w:val="en-GB"/>
    </w:rPr>
  </w:style>
  <w:style w:type="paragraph" w:styleId="NormalWeb">
    <w:name w:val="Normal (Web)"/>
    <w:basedOn w:val="Normal"/>
    <w:uiPriority w:val="99"/>
    <w:unhideWhenUsed/>
    <w:rsid w:val="00C563FB"/>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49663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finance.yahoo.com/quote/SHEL.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E64464-7B60-4933-9EB6-E1FDFED07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2182</Words>
  <Characters>13202</Characters>
  <Application>Microsoft Office Word</Application>
  <DocSecurity>0</DocSecurity>
  <Lines>223</Lines>
  <Paragraphs>47</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
      <vt:lpstr>Introduction </vt:lpstr>
      <vt:lpstr>Main Body </vt:lpstr>
      <vt:lpstr>Conclusions </vt:lpstr>
      <vt:lpstr>References</vt:lpstr>
    </vt:vector>
  </TitlesOfParts>
  <Company/>
  <LinksUpToDate>false</LinksUpToDate>
  <CharactersWithSpaces>15337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2024-03-30T09:26:00Z</dcterms:created>
  <dcterms:modified xsi:type="dcterms:W3CDTF">2024-03-30T09:28:00Z</dcterms:modified>
</cp:coreProperties>
</file>