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B4661" w14:textId="77777777" w:rsidR="00184E93" w:rsidRDefault="00184E93" w:rsidP="00184E93">
      <w:pPr>
        <w:jc w:val="center"/>
      </w:pPr>
    </w:p>
    <w:p w14:paraId="50363B5A" w14:textId="77777777" w:rsidR="00184E93" w:rsidRDefault="00184E93" w:rsidP="00184E93">
      <w:pPr>
        <w:jc w:val="center"/>
      </w:pPr>
    </w:p>
    <w:p w14:paraId="64B3F4C9" w14:textId="77777777" w:rsidR="00184E93" w:rsidRDefault="00184E93" w:rsidP="00184E93">
      <w:pPr>
        <w:jc w:val="center"/>
      </w:pPr>
    </w:p>
    <w:p w14:paraId="56610F0E" w14:textId="77777777" w:rsidR="00184E93" w:rsidRDefault="00184E93" w:rsidP="00184E93">
      <w:pPr>
        <w:jc w:val="center"/>
      </w:pPr>
    </w:p>
    <w:p w14:paraId="52AF8852" w14:textId="77777777" w:rsidR="00184E93" w:rsidRDefault="00184E93" w:rsidP="00184E93">
      <w:pPr>
        <w:jc w:val="center"/>
      </w:pPr>
    </w:p>
    <w:p w14:paraId="6F2B41C4" w14:textId="648B6506" w:rsidR="00A96F22" w:rsidRPr="00184E93" w:rsidRDefault="00EF70EC" w:rsidP="00184E93">
      <w:pPr>
        <w:jc w:val="center"/>
        <w:rPr>
          <w:sz w:val="36"/>
          <w:szCs w:val="36"/>
        </w:rPr>
      </w:pPr>
      <w:r w:rsidRPr="00184E93">
        <w:rPr>
          <w:sz w:val="36"/>
          <w:szCs w:val="36"/>
        </w:rPr>
        <w:t>LCHS4003 – Introduction to Health and Social Care</w:t>
      </w:r>
    </w:p>
    <w:p w14:paraId="2EC9AC7A" w14:textId="3399C5B7" w:rsidR="00EF70EC" w:rsidRPr="00184E93" w:rsidRDefault="00EF70EC" w:rsidP="00184E93">
      <w:pPr>
        <w:jc w:val="center"/>
        <w:rPr>
          <w:sz w:val="36"/>
          <w:szCs w:val="36"/>
        </w:rPr>
      </w:pPr>
      <w:r w:rsidRPr="00184E93">
        <w:rPr>
          <w:sz w:val="36"/>
          <w:szCs w:val="36"/>
        </w:rPr>
        <w:t>Component 1: Guidance – Portfolio (Poster + Essay)</w:t>
      </w:r>
    </w:p>
    <w:p w14:paraId="6EF4C10F" w14:textId="6CD81776" w:rsidR="00B5075F" w:rsidRDefault="009F67E4" w:rsidP="009F67E4">
      <w:pPr>
        <w:rPr>
          <w:sz w:val="36"/>
          <w:szCs w:val="36"/>
        </w:rPr>
      </w:pPr>
      <w:r>
        <w:rPr>
          <w:sz w:val="36"/>
          <w:szCs w:val="36"/>
        </w:rPr>
        <w:t xml:space="preserve">   </w:t>
      </w:r>
      <w:r w:rsidR="00B5075F">
        <w:rPr>
          <w:sz w:val="36"/>
          <w:szCs w:val="36"/>
        </w:rPr>
        <w:t xml:space="preserve"> </w:t>
      </w:r>
      <w:r>
        <w:rPr>
          <w:sz w:val="36"/>
          <w:szCs w:val="36"/>
        </w:rPr>
        <w:t xml:space="preserve">  </w:t>
      </w:r>
      <w:r w:rsidR="00B5075F">
        <w:rPr>
          <w:sz w:val="36"/>
          <w:szCs w:val="36"/>
        </w:rPr>
        <w:t xml:space="preserve">LECTURER: MUMTAZ GOOLAM </w:t>
      </w:r>
    </w:p>
    <w:p w14:paraId="74E9FD63" w14:textId="511A4A60" w:rsidR="00EF70EC" w:rsidRPr="00184E93" w:rsidRDefault="00B5075F" w:rsidP="009F67E4">
      <w:pPr>
        <w:rPr>
          <w:sz w:val="36"/>
          <w:szCs w:val="36"/>
        </w:rPr>
      </w:pPr>
      <w:r>
        <w:rPr>
          <w:sz w:val="36"/>
          <w:szCs w:val="36"/>
        </w:rPr>
        <w:t xml:space="preserve">     </w:t>
      </w:r>
      <w:r w:rsidR="009F67E4">
        <w:rPr>
          <w:sz w:val="36"/>
          <w:szCs w:val="36"/>
        </w:rPr>
        <w:t xml:space="preserve"> </w:t>
      </w:r>
      <w:r w:rsidR="00EF70EC" w:rsidRPr="00184E93">
        <w:rPr>
          <w:sz w:val="36"/>
          <w:szCs w:val="36"/>
        </w:rPr>
        <w:t>Student Name:</w:t>
      </w:r>
      <w:r w:rsidR="009F67E4">
        <w:rPr>
          <w:sz w:val="36"/>
          <w:szCs w:val="36"/>
        </w:rPr>
        <w:t xml:space="preserve"> SALMA SHAHZAD</w:t>
      </w:r>
    </w:p>
    <w:p w14:paraId="7800FFA8" w14:textId="70E55D48" w:rsidR="00EF70EC" w:rsidRPr="00184E93" w:rsidRDefault="009F67E4" w:rsidP="009F67E4">
      <w:pPr>
        <w:rPr>
          <w:sz w:val="36"/>
          <w:szCs w:val="36"/>
        </w:rPr>
      </w:pPr>
      <w:r>
        <w:rPr>
          <w:sz w:val="36"/>
          <w:szCs w:val="36"/>
        </w:rPr>
        <w:t xml:space="preserve">      </w:t>
      </w:r>
      <w:r w:rsidR="00EF70EC" w:rsidRPr="00184E93">
        <w:rPr>
          <w:sz w:val="36"/>
          <w:szCs w:val="36"/>
        </w:rPr>
        <w:t>Student ID:</w:t>
      </w:r>
      <w:r>
        <w:rPr>
          <w:sz w:val="36"/>
          <w:szCs w:val="36"/>
        </w:rPr>
        <w:t>2332701</w:t>
      </w:r>
    </w:p>
    <w:p w14:paraId="3FEAB5B7" w14:textId="27986313" w:rsidR="00184E93" w:rsidRPr="00184E93" w:rsidRDefault="009F67E4" w:rsidP="009F67E4">
      <w:pPr>
        <w:rPr>
          <w:sz w:val="36"/>
          <w:szCs w:val="36"/>
        </w:rPr>
      </w:pPr>
      <w:r>
        <w:rPr>
          <w:sz w:val="36"/>
          <w:szCs w:val="36"/>
        </w:rPr>
        <w:t xml:space="preserve">      </w:t>
      </w:r>
      <w:r w:rsidR="00EF70EC" w:rsidRPr="00184E93">
        <w:rPr>
          <w:sz w:val="36"/>
          <w:szCs w:val="36"/>
        </w:rPr>
        <w:t>Date of Submission:</w:t>
      </w:r>
      <w:r>
        <w:rPr>
          <w:sz w:val="36"/>
          <w:szCs w:val="36"/>
        </w:rPr>
        <w:t xml:space="preserve"> 21/02/2026</w:t>
      </w:r>
    </w:p>
    <w:p w14:paraId="7566262E" w14:textId="77777777" w:rsidR="00184E93" w:rsidRDefault="00184E93"/>
    <w:p w14:paraId="52FFD54F" w14:textId="77777777" w:rsidR="00184E93" w:rsidRDefault="00184E93"/>
    <w:p w14:paraId="3D7A8F32" w14:textId="324FFC1C" w:rsidR="00402BE2" w:rsidRDefault="00EF70EC">
      <w:pPr>
        <w:sectPr w:rsidR="00402BE2">
          <w:pgSz w:w="12240" w:h="15840"/>
          <w:pgMar w:top="1440" w:right="1440" w:bottom="1440" w:left="1440" w:header="720" w:footer="720" w:gutter="0"/>
          <w:cols w:space="720"/>
          <w:docGrid w:linePitch="360"/>
        </w:sectPr>
      </w:pPr>
      <w:r>
        <w:t xml:space="preserve"> </w:t>
      </w:r>
    </w:p>
    <w:p w14:paraId="78D38CE2" w14:textId="6E8B3D18" w:rsidR="00EF70EC" w:rsidRDefault="00966446">
      <w:r>
        <w:rPr>
          <w:noProof/>
        </w:rPr>
        <w:lastRenderedPageBreak/>
        <w:drawing>
          <wp:anchor distT="0" distB="0" distL="114300" distR="114300" simplePos="0" relativeHeight="251684864" behindDoc="0" locked="0" layoutInCell="1" allowOverlap="1" wp14:anchorId="58E3F79B" wp14:editId="3DBB0326">
            <wp:simplePos x="0" y="0"/>
            <wp:positionH relativeFrom="column">
              <wp:posOffset>3850640</wp:posOffset>
            </wp:positionH>
            <wp:positionV relativeFrom="paragraph">
              <wp:posOffset>123825</wp:posOffset>
            </wp:positionV>
            <wp:extent cx="3166110" cy="1720850"/>
            <wp:effectExtent l="0" t="0" r="0" b="0"/>
            <wp:wrapSquare wrapText="bothSides"/>
            <wp:docPr id="55683825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66110" cy="1720850"/>
                    </a:xfrm>
                    <a:prstGeom prst="rect">
                      <a:avLst/>
                    </a:prstGeom>
                    <a:noFill/>
                  </pic:spPr>
                </pic:pic>
              </a:graphicData>
            </a:graphic>
            <wp14:sizeRelH relativeFrom="page">
              <wp14:pctWidth>0</wp14:pctWidth>
            </wp14:sizeRelH>
            <wp14:sizeRelV relativeFrom="page">
              <wp14:pctHeight>0</wp14:pctHeight>
            </wp14:sizeRelV>
          </wp:anchor>
        </w:drawing>
      </w:r>
      <w:r w:rsidR="00D6221F">
        <w:rPr>
          <w:noProof/>
          <w:u w:val="single"/>
        </w:rPr>
        <mc:AlternateContent>
          <mc:Choice Requires="wps">
            <w:drawing>
              <wp:anchor distT="0" distB="0" distL="114300" distR="114300" simplePos="0" relativeHeight="251667456" behindDoc="0" locked="0" layoutInCell="1" allowOverlap="1" wp14:anchorId="19C4BB4E" wp14:editId="0AD2880F">
                <wp:simplePos x="0" y="0"/>
                <wp:positionH relativeFrom="column">
                  <wp:posOffset>-276225</wp:posOffset>
                </wp:positionH>
                <wp:positionV relativeFrom="paragraph">
                  <wp:posOffset>66675</wp:posOffset>
                </wp:positionV>
                <wp:extent cx="3743325" cy="472440"/>
                <wp:effectExtent l="0" t="0" r="28575" b="22860"/>
                <wp:wrapNone/>
                <wp:docPr id="624317021" name="Rectangle: Top Corners Snipped 4"/>
                <wp:cNvGraphicFramePr/>
                <a:graphic xmlns:a="http://schemas.openxmlformats.org/drawingml/2006/main">
                  <a:graphicData uri="http://schemas.microsoft.com/office/word/2010/wordprocessingShape">
                    <wps:wsp>
                      <wps:cNvSpPr/>
                      <wps:spPr>
                        <a:xfrm>
                          <a:off x="0" y="0"/>
                          <a:ext cx="3743325" cy="472440"/>
                        </a:xfrm>
                        <a:prstGeom prst="snip2SameRect">
                          <a:avLst/>
                        </a:prstGeom>
                      </wps:spPr>
                      <wps:style>
                        <a:lnRef idx="2">
                          <a:schemeClr val="dk1">
                            <a:shade val="15000"/>
                          </a:schemeClr>
                        </a:lnRef>
                        <a:fillRef idx="1">
                          <a:schemeClr val="dk1"/>
                        </a:fillRef>
                        <a:effectRef idx="0">
                          <a:schemeClr val="dk1"/>
                        </a:effectRef>
                        <a:fontRef idx="minor">
                          <a:schemeClr val="lt1"/>
                        </a:fontRef>
                      </wps:style>
                      <wps:txbx>
                        <w:txbxContent>
                          <w:p w14:paraId="27366E67" w14:textId="77777777" w:rsidR="002962ED" w:rsidRPr="009C791A" w:rsidRDefault="002962ED" w:rsidP="002962ED">
                            <w:pPr>
                              <w:spacing w:after="0" w:line="240" w:lineRule="auto"/>
                              <w:jc w:val="center"/>
                              <w:rPr>
                                <w:b/>
                                <w:bCs/>
                                <w:sz w:val="20"/>
                                <w:szCs w:val="20"/>
                              </w:rPr>
                            </w:pPr>
                            <w:r w:rsidRPr="009C791A">
                              <w:rPr>
                                <w:b/>
                                <w:bCs/>
                                <w:sz w:val="20"/>
                                <w:szCs w:val="20"/>
                              </w:rPr>
                              <w:t xml:space="preserve">Clear explanation of the </w:t>
                            </w:r>
                            <w:r w:rsidRPr="002962ED">
                              <w:rPr>
                                <w:b/>
                                <w:bCs/>
                                <w:sz w:val="20"/>
                                <w:szCs w:val="20"/>
                              </w:rPr>
                              <w:t xml:space="preserve">Community mental health </w:t>
                            </w:r>
                            <w:r w:rsidRPr="009C791A">
                              <w:rPr>
                                <w:b/>
                                <w:bCs/>
                                <w:sz w:val="20"/>
                                <w:szCs w:val="20"/>
                              </w:rPr>
                              <w:t>service</w:t>
                            </w:r>
                          </w:p>
                          <w:p w14:paraId="49700BE9" w14:textId="77777777" w:rsidR="002962ED" w:rsidRPr="002962ED" w:rsidRDefault="002962ED" w:rsidP="002962ED">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4BB4E" id="Rectangle: Top Corners Snipped 4" o:spid="_x0000_s1026" style="position:absolute;left:0;text-align:left;margin-left:-21.75pt;margin-top:5.25pt;width:294.75pt;height:37.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743325,4724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" adj="-11796480,,5400" path="m78742,l3664583,r78742,78742l3743325,472440r,l,472440r,l,78742,78742,xe" fillcolor="black [3200]" strokecolor="black [480]" strokeweight="1.25pt">
                <v:stroke joinstyle="miter"/>
                <v:formulas/>
                <v:path arrowok="t" o:connecttype="custom" o:connectlocs="78742,0;3664583,0;3743325,78742;3743325,472440;3743325,472440;0,472440;0,472440;0,78742;78742,0" o:connectangles="0,0,0,0,0,0,0,0,0" textboxrect="0,0,3743325,472440"/>
                <v:textbox>
                  <w:txbxContent>
                    <w:p w14:paraId="27366E67" w14:textId="77777777" w:rsidR="002962ED" w:rsidRPr="009C791A" w:rsidRDefault="002962ED" w:rsidP="002962ED">
                      <w:pPr>
                        <w:spacing w:after="0" w:line="240" w:lineRule="auto"/>
                        <w:jc w:val="center"/>
                        <w:rPr>
                          <w:b/>
                          <w:bCs/>
                          <w:sz w:val="20"/>
                          <w:szCs w:val="20"/>
                        </w:rPr>
                      </w:pPr>
                      <w:r w:rsidRPr="009C791A">
                        <w:rPr>
                          <w:b/>
                          <w:bCs/>
                          <w:sz w:val="20"/>
                          <w:szCs w:val="20"/>
                        </w:rPr>
                        <w:t xml:space="preserve">Clear explanation of the </w:t>
                      </w:r>
                      <w:r w:rsidRPr="002962ED">
                        <w:rPr>
                          <w:b/>
                          <w:bCs/>
                          <w:sz w:val="20"/>
                          <w:szCs w:val="20"/>
                        </w:rPr>
                        <w:t xml:space="preserve">Community mental health </w:t>
                      </w:r>
                      <w:r w:rsidRPr="009C791A">
                        <w:rPr>
                          <w:b/>
                          <w:bCs/>
                          <w:sz w:val="20"/>
                          <w:szCs w:val="20"/>
                        </w:rPr>
                        <w:t>service</w:t>
                      </w:r>
                    </w:p>
                    <w:p w14:paraId="49700BE9" w14:textId="77777777" w:rsidR="002962ED" w:rsidRPr="002962ED" w:rsidRDefault="002962ED" w:rsidP="002962ED">
                      <w:pPr>
                        <w:jc w:val="center"/>
                        <w:rPr>
                          <w:sz w:val="32"/>
                          <w:szCs w:val="32"/>
                        </w:rPr>
                      </w:pPr>
                    </w:p>
                  </w:txbxContent>
                </v:textbox>
              </v:shape>
            </w:pict>
          </mc:Fallback>
        </mc:AlternateContent>
      </w:r>
      <w:r w:rsidR="004464FC">
        <w:rPr>
          <w:noProof/>
          <w:u w:val="single"/>
        </w:rPr>
        <mc:AlternateContent>
          <mc:Choice Requires="wps">
            <w:drawing>
              <wp:anchor distT="0" distB="0" distL="114300" distR="114300" simplePos="0" relativeHeight="251679744" behindDoc="0" locked="0" layoutInCell="1" allowOverlap="1" wp14:anchorId="515B9ADE" wp14:editId="48695FE8">
                <wp:simplePos x="0" y="0"/>
                <wp:positionH relativeFrom="column">
                  <wp:posOffset>-171450</wp:posOffset>
                </wp:positionH>
                <wp:positionV relativeFrom="paragraph">
                  <wp:posOffset>-323215</wp:posOffset>
                </wp:positionV>
                <wp:extent cx="7258050" cy="285750"/>
                <wp:effectExtent l="0" t="0" r="19050" b="19050"/>
                <wp:wrapNone/>
                <wp:docPr id="2061168873" name="Rectangle: Top Corners Snipped 4"/>
                <wp:cNvGraphicFramePr/>
                <a:graphic xmlns:a="http://schemas.openxmlformats.org/drawingml/2006/main">
                  <a:graphicData uri="http://schemas.microsoft.com/office/word/2010/wordprocessingShape">
                    <wps:wsp>
                      <wps:cNvSpPr/>
                      <wps:spPr>
                        <a:xfrm>
                          <a:off x="0" y="0"/>
                          <a:ext cx="7258050" cy="285750"/>
                        </a:xfrm>
                        <a:prstGeom prst="snip2SameRect">
                          <a:avLst/>
                        </a:prstGeom>
                      </wps:spPr>
                      <wps:style>
                        <a:lnRef idx="2">
                          <a:schemeClr val="dk1">
                            <a:shade val="15000"/>
                          </a:schemeClr>
                        </a:lnRef>
                        <a:fillRef idx="1">
                          <a:schemeClr val="dk1"/>
                        </a:fillRef>
                        <a:effectRef idx="0">
                          <a:schemeClr val="dk1"/>
                        </a:effectRef>
                        <a:fontRef idx="minor">
                          <a:schemeClr val="lt1"/>
                        </a:fontRef>
                      </wps:style>
                      <wps:txbx>
                        <w:txbxContent>
                          <w:p w14:paraId="29C5F29D" w14:textId="204EF5C3" w:rsidR="004464FC" w:rsidRPr="002962ED" w:rsidRDefault="00E87C35" w:rsidP="004464FC">
                            <w:pPr>
                              <w:jc w:val="center"/>
                              <w:rPr>
                                <w:sz w:val="32"/>
                                <w:szCs w:val="32"/>
                              </w:rPr>
                            </w:pPr>
                            <w:r>
                              <w:rPr>
                                <w:b/>
                                <w:bCs/>
                                <w:sz w:val="20"/>
                                <w:szCs w:val="20"/>
                              </w:rPr>
                              <w:t>Task 1: Poster – Community Mental Health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B9ADE" id="_x0000_s1027" style="position:absolute;left:0;text-align:left;margin-left:-13.5pt;margin-top:-25.45pt;width:571.5pt;height:2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258050,285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" adj="-11796480,,5400" path="m47626,l7210424,r47626,47626l7258050,285750r,l,285750r,l,47626,47626,xe" fillcolor="black [3200]" strokecolor="black [480]" strokeweight="1.25pt">
                <v:stroke joinstyle="miter"/>
                <v:formulas/>
                <v:path arrowok="t" o:connecttype="custom" o:connectlocs="47626,0;7210424,0;7258050,47626;7258050,285750;7258050,285750;0,285750;0,285750;0,47626;47626,0" o:connectangles="0,0,0,0,0,0,0,0,0" textboxrect="0,0,7258050,285750"/>
                <v:textbox>
                  <w:txbxContent>
                    <w:p w14:paraId="29C5F29D" w14:textId="204EF5C3" w:rsidR="004464FC" w:rsidRPr="002962ED" w:rsidRDefault="00E87C35" w:rsidP="004464FC">
                      <w:pPr>
                        <w:jc w:val="center"/>
                        <w:rPr>
                          <w:sz w:val="32"/>
                          <w:szCs w:val="32"/>
                        </w:rPr>
                      </w:pPr>
                      <w:r>
                        <w:rPr>
                          <w:b/>
                          <w:bCs/>
                          <w:sz w:val="20"/>
                          <w:szCs w:val="20"/>
                        </w:rPr>
                        <w:t>Task 1: Poster – Community Mental Health Services</w:t>
                      </w:r>
                    </w:p>
                  </w:txbxContent>
                </v:textbox>
              </v:shape>
            </w:pict>
          </mc:Fallback>
        </mc:AlternateContent>
      </w:r>
      <w:r w:rsidR="00402BE2">
        <w:rPr>
          <w:noProof/>
        </w:rPr>
        <mc:AlternateContent>
          <mc:Choice Requires="wps">
            <w:drawing>
              <wp:anchor distT="0" distB="0" distL="114300" distR="114300" simplePos="0" relativeHeight="251659264" behindDoc="0" locked="0" layoutInCell="1" allowOverlap="1" wp14:anchorId="62AA7E67" wp14:editId="78C09B0C">
                <wp:simplePos x="0" y="0"/>
                <wp:positionH relativeFrom="column">
                  <wp:posOffset>-481263</wp:posOffset>
                </wp:positionH>
                <wp:positionV relativeFrom="paragraph">
                  <wp:posOffset>-529390</wp:posOffset>
                </wp:positionV>
                <wp:extent cx="7892716" cy="10082463"/>
                <wp:effectExtent l="0" t="0" r="13335" b="14605"/>
                <wp:wrapNone/>
                <wp:docPr id="981133921" name="Rectangle 1"/>
                <wp:cNvGraphicFramePr/>
                <a:graphic xmlns:a="http://schemas.openxmlformats.org/drawingml/2006/main">
                  <a:graphicData uri="http://schemas.microsoft.com/office/word/2010/wordprocessingShape">
                    <wps:wsp>
                      <wps:cNvSpPr/>
                      <wps:spPr>
                        <a:xfrm>
                          <a:off x="0" y="0"/>
                          <a:ext cx="7892716" cy="10082463"/>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l="50000" t="50000" r="50000" b="50000"/>
                          </a:path>
                          <a:tileRect/>
                        </a:gradFill>
                      </wps:spPr>
                      <wps:style>
                        <a:lnRef idx="2">
                          <a:schemeClr val="accent1">
                            <a:shade val="15000"/>
                          </a:schemeClr>
                        </a:lnRef>
                        <a:fillRef idx="1">
                          <a:schemeClr val="accent1"/>
                        </a:fillRef>
                        <a:effectRef idx="0">
                          <a:schemeClr val="accent1"/>
                        </a:effectRef>
                        <a:fontRef idx="minor">
                          <a:schemeClr val="lt1"/>
                        </a:fontRef>
                      </wps:style>
                      <wps:txbx>
                        <w:txbxContent>
                          <w:p w14:paraId="75F7019A" w14:textId="09FBA138" w:rsidR="00402BE2" w:rsidRDefault="00402BE2" w:rsidP="00402BE2">
                            <w:pPr>
                              <w:jc w:val="left"/>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AA7E67" id="Rectangle 1" o:spid="_x0000_s1028" style="position:absolute;left:0;text-align:left;margin-left:-37.9pt;margin-top:-41.7pt;width:621.45pt;height:79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" fillcolor="#75c1f3 [2132]" strokecolor="#031827 [484]" strokeweight="1.25pt">
                <v:fill color2="#cfe9fb [756]" rotate="t" focusposition=".5,.5" focussize="" colors="0 #89c7ff;.5 #b8dbff;1 #dcecff" focus="100%" type="gradientRadial"/>
                <v:textbox>
                  <w:txbxContent>
                    <w:p w14:paraId="75F7019A" w14:textId="09FBA138" w:rsidR="00402BE2" w:rsidRDefault="00402BE2" w:rsidP="00402BE2">
                      <w:pPr>
                        <w:jc w:val="left"/>
                      </w:pPr>
                    </w:p>
                  </w:txbxContent>
                </v:textbox>
              </v:rect>
            </w:pict>
          </mc:Fallback>
        </mc:AlternateContent>
      </w:r>
    </w:p>
    <w:p w14:paraId="080F187F" w14:textId="42FD36F6" w:rsidR="004546ED" w:rsidRPr="00402BE2" w:rsidRDefault="004464FC">
      <w:pPr>
        <w:rPr>
          <w:u w:val="single"/>
        </w:rPr>
      </w:pPr>
      <w:r>
        <w:rPr>
          <w:noProof/>
        </w:rPr>
        <mc:AlternateContent>
          <mc:Choice Requires="wps">
            <w:drawing>
              <wp:anchor distT="0" distB="0" distL="114300" distR="114300" simplePos="0" relativeHeight="251660288" behindDoc="0" locked="0" layoutInCell="1" allowOverlap="1" wp14:anchorId="7341AE1A" wp14:editId="70B1FA51">
                <wp:simplePos x="0" y="0"/>
                <wp:positionH relativeFrom="column">
                  <wp:posOffset>-257175</wp:posOffset>
                </wp:positionH>
                <wp:positionV relativeFrom="paragraph">
                  <wp:posOffset>191135</wp:posOffset>
                </wp:positionV>
                <wp:extent cx="3724275" cy="1371600"/>
                <wp:effectExtent l="0" t="0" r="28575" b="19050"/>
                <wp:wrapNone/>
                <wp:docPr id="1391220439" name="Rectangle: Rounded Corners 2"/>
                <wp:cNvGraphicFramePr/>
                <a:graphic xmlns:a="http://schemas.openxmlformats.org/drawingml/2006/main">
                  <a:graphicData uri="http://schemas.microsoft.com/office/word/2010/wordprocessingShape">
                    <wps:wsp>
                      <wps:cNvSpPr/>
                      <wps:spPr>
                        <a:xfrm>
                          <a:off x="0" y="0"/>
                          <a:ext cx="3724275" cy="1371600"/>
                        </a:xfrm>
                        <a:prstGeom prst="roundRect">
                          <a:avLst>
                            <a:gd name="adj" fmla="val 398"/>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79E1F695" w14:textId="77777777" w:rsidR="002962ED" w:rsidRPr="00D6221F" w:rsidRDefault="002962ED" w:rsidP="00D6221F">
                            <w:pPr>
                              <w:spacing w:after="120" w:line="240" w:lineRule="auto"/>
                              <w:rPr>
                                <w:sz w:val="16"/>
                                <w:szCs w:val="16"/>
                              </w:rPr>
                            </w:pPr>
                            <w:r w:rsidRPr="00D6221F">
                              <w:rPr>
                                <w:sz w:val="16"/>
                                <w:szCs w:val="16"/>
                              </w:rPr>
                              <w:t>Community mental health services are provided to adults and older adults with long term or significant mental health conditions at home and thus they are not taken to the hospitals (NHS England, 2025).</w:t>
                            </w:r>
                          </w:p>
                          <w:p w14:paraId="6CBDB16E" w14:textId="77777777" w:rsidR="002962ED" w:rsidRPr="00D6221F" w:rsidRDefault="002962ED" w:rsidP="00D6221F">
                            <w:pPr>
                              <w:spacing w:after="120" w:line="240" w:lineRule="auto"/>
                              <w:rPr>
                                <w:sz w:val="16"/>
                                <w:szCs w:val="16"/>
                              </w:rPr>
                            </w:pPr>
                            <w:r w:rsidRPr="00D6221F">
                              <w:rPr>
                                <w:sz w:val="16"/>
                                <w:szCs w:val="16"/>
                              </w:rPr>
                              <w:t>Multidisciplinary teams (e.g., nurses, psychiatrists, psychologists, social workers) offer care, evaluate needs, plan care, and assist in recovery and safety (McSherry et al., 2025).</w:t>
                            </w:r>
                          </w:p>
                          <w:p w14:paraId="444CBA2D" w14:textId="77777777" w:rsidR="002962ED" w:rsidRPr="00D6221F" w:rsidRDefault="002962ED" w:rsidP="00D6221F">
                            <w:pPr>
                              <w:spacing w:after="120" w:line="240" w:lineRule="auto"/>
                              <w:rPr>
                                <w:sz w:val="16"/>
                                <w:szCs w:val="16"/>
                              </w:rPr>
                            </w:pPr>
                            <w:r w:rsidRPr="00D6221F">
                              <w:rPr>
                                <w:sz w:val="16"/>
                                <w:szCs w:val="16"/>
                              </w:rPr>
                              <w:t>Connections to housing, benefits, physical health care, and voluntary support are also services that can join people to support them with holistic care (Sambrook et al., 2025).</w:t>
                            </w:r>
                          </w:p>
                          <w:p w14:paraId="716B5683" w14:textId="77777777" w:rsidR="002962ED" w:rsidRPr="00D6221F" w:rsidRDefault="002962ED" w:rsidP="00D6221F">
                            <w:pPr>
                              <w:spacing w:after="0" w:line="240" w:lineRule="auto"/>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41AE1A" id="Rectangle: Rounded Corners 2" o:spid="_x0000_s1029" style="position:absolute;left:0;text-align:left;margin-left:-20.25pt;margin-top:15.05pt;width:293.25pt;height:1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6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" fillcolor="#86c157 [3206]" strokecolor="#131e0b [486]" strokeweight="1.25pt">
                <v:textbox>
                  <w:txbxContent>
                    <w:p w14:paraId="79E1F695" w14:textId="77777777" w:rsidR="002962ED" w:rsidRPr="00D6221F" w:rsidRDefault="002962ED" w:rsidP="00D6221F">
                      <w:pPr>
                        <w:spacing w:after="120" w:line="240" w:lineRule="auto"/>
                        <w:rPr>
                          <w:sz w:val="16"/>
                          <w:szCs w:val="16"/>
                        </w:rPr>
                      </w:pPr>
                      <w:r w:rsidRPr="00D6221F">
                        <w:rPr>
                          <w:sz w:val="16"/>
                          <w:szCs w:val="16"/>
                        </w:rPr>
                        <w:t>Community mental health services are provided to adults and older adults with long term or significant mental health conditions at home and thus they are not taken to the hospitals (NHS England, 2025).</w:t>
                      </w:r>
                    </w:p>
                    <w:p w14:paraId="6CBDB16E" w14:textId="77777777" w:rsidR="002962ED" w:rsidRPr="00D6221F" w:rsidRDefault="002962ED" w:rsidP="00D6221F">
                      <w:pPr>
                        <w:spacing w:after="120" w:line="240" w:lineRule="auto"/>
                        <w:rPr>
                          <w:sz w:val="16"/>
                          <w:szCs w:val="16"/>
                        </w:rPr>
                      </w:pPr>
                      <w:r w:rsidRPr="00D6221F">
                        <w:rPr>
                          <w:sz w:val="16"/>
                          <w:szCs w:val="16"/>
                        </w:rPr>
                        <w:t>Multidisciplinary teams (e.g., nurses, psychiatrists, psychologists, social workers) offer care, evaluate needs, plan care, and assist in recovery and safety (McSherry et al., 2025).</w:t>
                      </w:r>
                    </w:p>
                    <w:p w14:paraId="444CBA2D" w14:textId="77777777" w:rsidR="002962ED" w:rsidRPr="00D6221F" w:rsidRDefault="002962ED" w:rsidP="00D6221F">
                      <w:pPr>
                        <w:spacing w:after="120" w:line="240" w:lineRule="auto"/>
                        <w:rPr>
                          <w:sz w:val="16"/>
                          <w:szCs w:val="16"/>
                        </w:rPr>
                      </w:pPr>
                      <w:r w:rsidRPr="00D6221F">
                        <w:rPr>
                          <w:sz w:val="16"/>
                          <w:szCs w:val="16"/>
                        </w:rPr>
                        <w:t>Connections to housing, benefits, physical health care, and voluntary support are also services that can join people to support them with holistic care (Sambrook et al., 2025).</w:t>
                      </w:r>
                    </w:p>
                    <w:p w14:paraId="716B5683" w14:textId="77777777" w:rsidR="002962ED" w:rsidRPr="00D6221F" w:rsidRDefault="002962ED" w:rsidP="00D6221F">
                      <w:pPr>
                        <w:spacing w:after="0" w:line="240" w:lineRule="auto"/>
                        <w:jc w:val="center"/>
                        <w:rPr>
                          <w:sz w:val="16"/>
                          <w:szCs w:val="16"/>
                        </w:rPr>
                      </w:pPr>
                    </w:p>
                  </w:txbxContent>
                </v:textbox>
              </v:roundrect>
            </w:pict>
          </mc:Fallback>
        </mc:AlternateContent>
      </w:r>
    </w:p>
    <w:p w14:paraId="0DCB0B05" w14:textId="381DB1B1" w:rsidR="004546ED" w:rsidRDefault="004546ED"/>
    <w:p w14:paraId="4B688A89" w14:textId="6880FC43" w:rsidR="00402BE2" w:rsidRDefault="00355EDB">
      <w:pPr>
        <w:spacing w:line="278" w:lineRule="auto"/>
        <w:jc w:val="left"/>
      </w:pPr>
      <w:r>
        <w:rPr>
          <w:noProof/>
          <w:szCs w:val="22"/>
        </w:rPr>
        <w:drawing>
          <wp:anchor distT="0" distB="0" distL="114300" distR="114300" simplePos="0" relativeHeight="251681792" behindDoc="0" locked="0" layoutInCell="1" allowOverlap="1" wp14:anchorId="06FDB84C" wp14:editId="34F93756">
            <wp:simplePos x="0" y="0"/>
            <wp:positionH relativeFrom="column">
              <wp:posOffset>3936365</wp:posOffset>
            </wp:positionH>
            <wp:positionV relativeFrom="paragraph">
              <wp:posOffset>5794375</wp:posOffset>
            </wp:positionV>
            <wp:extent cx="3004185" cy="2389505"/>
            <wp:effectExtent l="0" t="0" r="5715" b="0"/>
            <wp:wrapSquare wrapText="bothSides"/>
            <wp:docPr id="18920077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4185" cy="238950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6672" behindDoc="0" locked="0" layoutInCell="1" allowOverlap="1" wp14:anchorId="49BC8145" wp14:editId="5F060E2C">
                <wp:simplePos x="0" y="0"/>
                <wp:positionH relativeFrom="column">
                  <wp:posOffset>-278765</wp:posOffset>
                </wp:positionH>
                <wp:positionV relativeFrom="paragraph">
                  <wp:posOffset>6078855</wp:posOffset>
                </wp:positionV>
                <wp:extent cx="4049395" cy="2073910"/>
                <wp:effectExtent l="0" t="0" r="27305" b="21590"/>
                <wp:wrapNone/>
                <wp:docPr id="1954869005" name="Rectangle: Rounded Corners 2"/>
                <wp:cNvGraphicFramePr/>
                <a:graphic xmlns:a="http://schemas.openxmlformats.org/drawingml/2006/main">
                  <a:graphicData uri="http://schemas.microsoft.com/office/word/2010/wordprocessingShape">
                    <wps:wsp>
                      <wps:cNvSpPr/>
                      <wps:spPr>
                        <a:xfrm>
                          <a:off x="0" y="0"/>
                          <a:ext cx="4049395" cy="2073910"/>
                        </a:xfrm>
                        <a:prstGeom prst="roundRect">
                          <a:avLst>
                            <a:gd name="adj" fmla="val 398"/>
                          </a:avLst>
                        </a:prstGeom>
                      </wps:spPr>
                      <wps:style>
                        <a:lnRef idx="3">
                          <a:schemeClr val="lt1"/>
                        </a:lnRef>
                        <a:fillRef idx="1">
                          <a:schemeClr val="accent5"/>
                        </a:fillRef>
                        <a:effectRef idx="1">
                          <a:schemeClr val="accent5"/>
                        </a:effectRef>
                        <a:fontRef idx="minor">
                          <a:schemeClr val="lt1"/>
                        </a:fontRef>
                      </wps:style>
                      <wps:txbx>
                        <w:txbxContent>
                          <w:p w14:paraId="12F8DC34" w14:textId="77777777" w:rsidR="004464FC" w:rsidRPr="00D6221F" w:rsidRDefault="004464FC" w:rsidP="00D6221F">
                            <w:pPr>
                              <w:spacing w:after="120" w:line="240" w:lineRule="auto"/>
                              <w:jc w:val="left"/>
                              <w:rPr>
                                <w:sz w:val="16"/>
                                <w:szCs w:val="16"/>
                              </w:rPr>
                            </w:pPr>
                            <w:r w:rsidRPr="00D6221F">
                              <w:rPr>
                                <w:b/>
                                <w:bCs/>
                                <w:sz w:val="16"/>
                                <w:szCs w:val="16"/>
                              </w:rPr>
                              <w:t>Challenge 1:</w:t>
                            </w:r>
                            <w:r w:rsidRPr="00D6221F">
                              <w:rPr>
                                <w:sz w:val="16"/>
                                <w:szCs w:val="16"/>
                              </w:rPr>
                              <w:t xml:space="preserve"> Demand exceeds capacity. It was estimated that around 1.2 million people were awaiting community mental health support, which led to workload pressure and delays (National Audit Office, 2023).</w:t>
                            </w:r>
                          </w:p>
                          <w:p w14:paraId="7024838A" w14:textId="77777777" w:rsidR="004464FC" w:rsidRPr="00D6221F" w:rsidRDefault="004464FC" w:rsidP="00D6221F">
                            <w:pPr>
                              <w:spacing w:after="120" w:line="240" w:lineRule="auto"/>
                              <w:jc w:val="left"/>
                              <w:rPr>
                                <w:sz w:val="16"/>
                                <w:szCs w:val="16"/>
                              </w:rPr>
                            </w:pPr>
                            <w:r w:rsidRPr="00D6221F">
                              <w:rPr>
                                <w:sz w:val="16"/>
                                <w:szCs w:val="16"/>
                              </w:rPr>
                              <w:t>The large number of monthly referrals (e.g., 395,585 in August 2025) makes it hard to assess and maintain continuity of care in a timely manner (NHS Digital, 2025).</w:t>
                            </w:r>
                          </w:p>
                          <w:p w14:paraId="43D73E5E" w14:textId="77777777" w:rsidR="004464FC" w:rsidRPr="00D6221F" w:rsidRDefault="004464FC" w:rsidP="00D6221F">
                            <w:pPr>
                              <w:spacing w:after="120" w:line="240" w:lineRule="auto"/>
                              <w:jc w:val="left"/>
                              <w:rPr>
                                <w:sz w:val="16"/>
                                <w:szCs w:val="16"/>
                              </w:rPr>
                            </w:pPr>
                            <w:r w:rsidRPr="00D6221F">
                              <w:rPr>
                                <w:sz w:val="16"/>
                                <w:szCs w:val="16"/>
                              </w:rPr>
                              <w:t xml:space="preserve">The limited resources also tend to make staff report services more interested in crisis </w:t>
                            </w:r>
                            <w:proofErr w:type="spellStart"/>
                            <w:r w:rsidRPr="00D6221F">
                              <w:rPr>
                                <w:sz w:val="16"/>
                                <w:szCs w:val="16"/>
                              </w:rPr>
                              <w:t>stabilisation</w:t>
                            </w:r>
                            <w:proofErr w:type="spellEnd"/>
                            <w:r w:rsidRPr="00D6221F">
                              <w:rPr>
                                <w:sz w:val="16"/>
                                <w:szCs w:val="16"/>
                              </w:rPr>
                              <w:t>, as opposed to long-term recovery (Sambrook et al., 2025).</w:t>
                            </w:r>
                          </w:p>
                          <w:p w14:paraId="33807218" w14:textId="77777777" w:rsidR="004464FC" w:rsidRPr="00D6221F" w:rsidRDefault="004464FC" w:rsidP="00D6221F">
                            <w:pPr>
                              <w:spacing w:after="120" w:line="240" w:lineRule="auto"/>
                              <w:jc w:val="left"/>
                              <w:rPr>
                                <w:sz w:val="16"/>
                                <w:szCs w:val="16"/>
                              </w:rPr>
                            </w:pPr>
                            <w:r w:rsidRPr="00D6221F">
                              <w:rPr>
                                <w:b/>
                                <w:bCs/>
                                <w:sz w:val="16"/>
                                <w:szCs w:val="16"/>
                              </w:rPr>
                              <w:t>Challenge 2</w:t>
                            </w:r>
                            <w:r w:rsidRPr="00D6221F">
                              <w:rPr>
                                <w:sz w:val="16"/>
                                <w:szCs w:val="16"/>
                              </w:rPr>
                              <w:t xml:space="preserve">: Fragmented and poorly integrated care. The barriers to effective joint working could be differences in systems and </w:t>
                            </w:r>
                            <w:proofErr w:type="spellStart"/>
                            <w:r w:rsidRPr="00D6221F">
                              <w:rPr>
                                <w:sz w:val="16"/>
                                <w:szCs w:val="16"/>
                              </w:rPr>
                              <w:t>organisational</w:t>
                            </w:r>
                            <w:proofErr w:type="spellEnd"/>
                            <w:r w:rsidRPr="00D6221F">
                              <w:rPr>
                                <w:sz w:val="16"/>
                                <w:szCs w:val="16"/>
                              </w:rPr>
                              <w:t xml:space="preserve"> boundaries (McSherry et al., 2025).</w:t>
                            </w:r>
                          </w:p>
                          <w:p w14:paraId="763F78F2" w14:textId="61A5C34E" w:rsidR="004464FC" w:rsidRPr="00D6221F" w:rsidRDefault="004464FC" w:rsidP="00D6221F">
                            <w:pPr>
                              <w:spacing w:after="120" w:line="240" w:lineRule="auto"/>
                              <w:jc w:val="left"/>
                              <w:rPr>
                                <w:sz w:val="16"/>
                                <w:szCs w:val="16"/>
                              </w:rPr>
                            </w:pPr>
                            <w:r w:rsidRPr="00D6221F">
                              <w:rPr>
                                <w:sz w:val="16"/>
                                <w:szCs w:val="16"/>
                              </w:rPr>
                              <w:t>According to service appraisals, integration enhances accessibility, yet there must be intensive coordination among primary care, local community teams, and local support services (McSherry et al., 2025; Kenwright et al.,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BC8145" id="_x0000_s1030" style="position:absolute;margin-left:-21.95pt;margin-top:478.65pt;width:318.85pt;height:163.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6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" fillcolor="#ce6633 [3208]" strokecolor="white [3201]" strokeweight="1.75pt">
                <v:textbox>
                  <w:txbxContent>
                    <w:p w14:paraId="12F8DC34" w14:textId="77777777" w:rsidR="004464FC" w:rsidRPr="00D6221F" w:rsidRDefault="004464FC" w:rsidP="00D6221F">
                      <w:pPr>
                        <w:spacing w:after="120" w:line="240" w:lineRule="auto"/>
                        <w:jc w:val="left"/>
                        <w:rPr>
                          <w:sz w:val="16"/>
                          <w:szCs w:val="16"/>
                        </w:rPr>
                      </w:pPr>
                      <w:r w:rsidRPr="00D6221F">
                        <w:rPr>
                          <w:b/>
                          <w:bCs/>
                          <w:sz w:val="16"/>
                          <w:szCs w:val="16"/>
                        </w:rPr>
                        <w:t>Challenge 1:</w:t>
                      </w:r>
                      <w:r w:rsidRPr="00D6221F">
                        <w:rPr>
                          <w:sz w:val="16"/>
                          <w:szCs w:val="16"/>
                        </w:rPr>
                        <w:t xml:space="preserve"> Demand exceeds capacity. It was estimated that around 1.2 million people were awaiting community mental health support, which led to workload pressure and delays (National Audit Office, 2023).</w:t>
                      </w:r>
                    </w:p>
                    <w:p w14:paraId="7024838A" w14:textId="77777777" w:rsidR="004464FC" w:rsidRPr="00D6221F" w:rsidRDefault="004464FC" w:rsidP="00D6221F">
                      <w:pPr>
                        <w:spacing w:after="120" w:line="240" w:lineRule="auto"/>
                        <w:jc w:val="left"/>
                        <w:rPr>
                          <w:sz w:val="16"/>
                          <w:szCs w:val="16"/>
                        </w:rPr>
                      </w:pPr>
                      <w:r w:rsidRPr="00D6221F">
                        <w:rPr>
                          <w:sz w:val="16"/>
                          <w:szCs w:val="16"/>
                        </w:rPr>
                        <w:t>The large number of monthly referrals (e.g., 395,585 in August 2025) makes it hard to assess and maintain continuity of care in a timely manner (NHS Digital, 2025).</w:t>
                      </w:r>
                    </w:p>
                    <w:p w14:paraId="43D73E5E" w14:textId="77777777" w:rsidR="004464FC" w:rsidRPr="00D6221F" w:rsidRDefault="004464FC" w:rsidP="00D6221F">
                      <w:pPr>
                        <w:spacing w:after="120" w:line="240" w:lineRule="auto"/>
                        <w:jc w:val="left"/>
                        <w:rPr>
                          <w:sz w:val="16"/>
                          <w:szCs w:val="16"/>
                        </w:rPr>
                      </w:pPr>
                      <w:r w:rsidRPr="00D6221F">
                        <w:rPr>
                          <w:sz w:val="16"/>
                          <w:szCs w:val="16"/>
                        </w:rPr>
                        <w:t xml:space="preserve">The limited resources also tend to make staff report services more interested in crisis </w:t>
                      </w:r>
                      <w:proofErr w:type="spellStart"/>
                      <w:r w:rsidRPr="00D6221F">
                        <w:rPr>
                          <w:sz w:val="16"/>
                          <w:szCs w:val="16"/>
                        </w:rPr>
                        <w:t>stabilisation</w:t>
                      </w:r>
                      <w:proofErr w:type="spellEnd"/>
                      <w:r w:rsidRPr="00D6221F">
                        <w:rPr>
                          <w:sz w:val="16"/>
                          <w:szCs w:val="16"/>
                        </w:rPr>
                        <w:t>, as opposed to long-term recovery (Sambrook et al., 2025).</w:t>
                      </w:r>
                    </w:p>
                    <w:p w14:paraId="33807218" w14:textId="77777777" w:rsidR="004464FC" w:rsidRPr="00D6221F" w:rsidRDefault="004464FC" w:rsidP="00D6221F">
                      <w:pPr>
                        <w:spacing w:after="120" w:line="240" w:lineRule="auto"/>
                        <w:jc w:val="left"/>
                        <w:rPr>
                          <w:sz w:val="16"/>
                          <w:szCs w:val="16"/>
                        </w:rPr>
                      </w:pPr>
                      <w:r w:rsidRPr="00D6221F">
                        <w:rPr>
                          <w:b/>
                          <w:bCs/>
                          <w:sz w:val="16"/>
                          <w:szCs w:val="16"/>
                        </w:rPr>
                        <w:t>Challenge 2</w:t>
                      </w:r>
                      <w:r w:rsidRPr="00D6221F">
                        <w:rPr>
                          <w:sz w:val="16"/>
                          <w:szCs w:val="16"/>
                        </w:rPr>
                        <w:t xml:space="preserve">: Fragmented and poorly integrated care. The barriers to effective joint working could be differences in systems and </w:t>
                      </w:r>
                      <w:proofErr w:type="spellStart"/>
                      <w:r w:rsidRPr="00D6221F">
                        <w:rPr>
                          <w:sz w:val="16"/>
                          <w:szCs w:val="16"/>
                        </w:rPr>
                        <w:t>organisational</w:t>
                      </w:r>
                      <w:proofErr w:type="spellEnd"/>
                      <w:r w:rsidRPr="00D6221F">
                        <w:rPr>
                          <w:sz w:val="16"/>
                          <w:szCs w:val="16"/>
                        </w:rPr>
                        <w:t xml:space="preserve"> boundaries (McSherry et al., 2025).</w:t>
                      </w:r>
                    </w:p>
                    <w:p w14:paraId="763F78F2" w14:textId="61A5C34E" w:rsidR="004464FC" w:rsidRPr="00D6221F" w:rsidRDefault="004464FC" w:rsidP="00D6221F">
                      <w:pPr>
                        <w:spacing w:after="120" w:line="240" w:lineRule="auto"/>
                        <w:jc w:val="left"/>
                        <w:rPr>
                          <w:sz w:val="16"/>
                          <w:szCs w:val="16"/>
                        </w:rPr>
                      </w:pPr>
                      <w:r w:rsidRPr="00D6221F">
                        <w:rPr>
                          <w:sz w:val="16"/>
                          <w:szCs w:val="16"/>
                        </w:rPr>
                        <w:t>According to service appraisals, integration enhances accessibility, yet there must be intensive coordination among primary care, local community teams, and local support services (McSherry et al., 2025; Kenwright et al., 2024).</w:t>
                      </w:r>
                    </w:p>
                  </w:txbxContent>
                </v:textbox>
              </v:roundrect>
            </w:pict>
          </mc:Fallback>
        </mc:AlternateContent>
      </w:r>
      <w:r>
        <w:rPr>
          <w:noProof/>
          <w:u w:val="single"/>
        </w:rPr>
        <mc:AlternateContent>
          <mc:Choice Requires="wps">
            <w:drawing>
              <wp:anchor distT="0" distB="0" distL="114300" distR="114300" simplePos="0" relativeHeight="251677696" behindDoc="0" locked="0" layoutInCell="1" allowOverlap="1" wp14:anchorId="342261A2" wp14:editId="15DD435B">
                <wp:simplePos x="0" y="0"/>
                <wp:positionH relativeFrom="column">
                  <wp:posOffset>-278765</wp:posOffset>
                </wp:positionH>
                <wp:positionV relativeFrom="paragraph">
                  <wp:posOffset>5794870</wp:posOffset>
                </wp:positionV>
                <wp:extent cx="4013860" cy="286603"/>
                <wp:effectExtent l="0" t="0" r="24765" b="18415"/>
                <wp:wrapNone/>
                <wp:docPr id="1528044563" name="Rectangle: Top Corners Snipped 4"/>
                <wp:cNvGraphicFramePr/>
                <a:graphic xmlns:a="http://schemas.openxmlformats.org/drawingml/2006/main">
                  <a:graphicData uri="http://schemas.microsoft.com/office/word/2010/wordprocessingShape">
                    <wps:wsp>
                      <wps:cNvSpPr/>
                      <wps:spPr>
                        <a:xfrm>
                          <a:off x="0" y="0"/>
                          <a:ext cx="4013860" cy="286603"/>
                        </a:xfrm>
                        <a:prstGeom prst="snip2SameRect">
                          <a:avLst/>
                        </a:prstGeom>
                      </wps:spPr>
                      <wps:style>
                        <a:lnRef idx="2">
                          <a:schemeClr val="dk1">
                            <a:shade val="15000"/>
                          </a:schemeClr>
                        </a:lnRef>
                        <a:fillRef idx="1">
                          <a:schemeClr val="dk1"/>
                        </a:fillRef>
                        <a:effectRef idx="0">
                          <a:schemeClr val="dk1"/>
                        </a:effectRef>
                        <a:fontRef idx="minor">
                          <a:schemeClr val="lt1"/>
                        </a:fontRef>
                      </wps:style>
                      <wps:txbx>
                        <w:txbxContent>
                          <w:p w14:paraId="052C174A" w14:textId="2D1DEA04" w:rsidR="004464FC" w:rsidRPr="002962ED" w:rsidRDefault="004464FC" w:rsidP="004464FC">
                            <w:pPr>
                              <w:jc w:val="center"/>
                              <w:rPr>
                                <w:sz w:val="32"/>
                                <w:szCs w:val="32"/>
                              </w:rPr>
                            </w:pPr>
                            <w:r w:rsidRPr="004464FC">
                              <w:rPr>
                                <w:b/>
                                <w:bCs/>
                                <w:sz w:val="20"/>
                                <w:szCs w:val="20"/>
                              </w:rPr>
                              <w:t xml:space="preserve">Key challenges faced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261A2" id="_x0000_s1031" style="position:absolute;margin-left:-21.95pt;margin-top:456.3pt;width:316.05pt;height:22.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13860,28660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" adj="-11796480,,5400" path="m47768,l3966092,r47768,47768l4013860,286603r,l,286603r,l,47768,47768,xe" fillcolor="black [3200]" strokecolor="black [480]" strokeweight="1.25pt">
                <v:stroke joinstyle="miter"/>
                <v:formulas/>
                <v:path arrowok="t" o:connecttype="custom" o:connectlocs="47768,0;3966092,0;4013860,47768;4013860,286603;4013860,286603;0,286603;0,286603;0,47768;47768,0" o:connectangles="0,0,0,0,0,0,0,0,0" textboxrect="0,0,4013860,286603"/>
                <v:textbox>
                  <w:txbxContent>
                    <w:p w14:paraId="052C174A" w14:textId="2D1DEA04" w:rsidR="004464FC" w:rsidRPr="002962ED" w:rsidRDefault="004464FC" w:rsidP="004464FC">
                      <w:pPr>
                        <w:jc w:val="center"/>
                        <w:rPr>
                          <w:sz w:val="32"/>
                          <w:szCs w:val="32"/>
                        </w:rPr>
                      </w:pPr>
                      <w:r w:rsidRPr="004464FC">
                        <w:rPr>
                          <w:b/>
                          <w:bCs/>
                          <w:sz w:val="20"/>
                          <w:szCs w:val="20"/>
                        </w:rPr>
                        <w:t xml:space="preserve">Key challenges faced </w:t>
                      </w:r>
                    </w:p>
                  </w:txbxContent>
                </v:textbox>
              </v:shape>
            </w:pict>
          </mc:Fallback>
        </mc:AlternateContent>
      </w:r>
      <w:r>
        <w:rPr>
          <w:noProof/>
          <w:u w:val="single"/>
        </w:rPr>
        <mc:AlternateContent>
          <mc:Choice Requires="wps">
            <w:drawing>
              <wp:anchor distT="0" distB="0" distL="114300" distR="114300" simplePos="0" relativeHeight="251680768" behindDoc="0" locked="0" layoutInCell="1" allowOverlap="1" wp14:anchorId="5F0E8FED" wp14:editId="149209F8">
                <wp:simplePos x="0" y="0"/>
                <wp:positionH relativeFrom="column">
                  <wp:posOffset>5027814</wp:posOffset>
                </wp:positionH>
                <wp:positionV relativeFrom="paragraph">
                  <wp:posOffset>3613934</wp:posOffset>
                </wp:positionV>
                <wp:extent cx="1233377" cy="308344"/>
                <wp:effectExtent l="0" t="0" r="0" b="0"/>
                <wp:wrapNone/>
                <wp:docPr id="1262148956" name="Text Box 5"/>
                <wp:cNvGraphicFramePr/>
                <a:graphic xmlns:a="http://schemas.openxmlformats.org/drawingml/2006/main">
                  <a:graphicData uri="http://schemas.microsoft.com/office/word/2010/wordprocessingShape">
                    <wps:wsp>
                      <wps:cNvSpPr txBox="1"/>
                      <wps:spPr>
                        <a:xfrm>
                          <a:off x="0" y="0"/>
                          <a:ext cx="1233377" cy="30834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33D3C4" w14:textId="246B67C9" w:rsidR="004464FC" w:rsidRPr="00C61109" w:rsidRDefault="004464FC" w:rsidP="004464FC">
                            <w:pPr>
                              <w:jc w:val="center"/>
                              <w:rPr>
                                <w:sz w:val="10"/>
                                <w:szCs w:val="10"/>
                              </w:rPr>
                            </w:pPr>
                            <w:r w:rsidRPr="00C61109">
                              <w:rPr>
                                <w:sz w:val="10"/>
                                <w:szCs w:val="10"/>
                              </w:rPr>
                              <w:t>Source: National Audit Office,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F0E8FED" id="_x0000_t202" coordsize="21600,21600" o:spt="202" path="m,l,21600r21600,l21600,xe">
                <v:stroke joinstyle="miter"/>
                <v:path gradientshapeok="t" o:connecttype="rect"/>
              </v:shapetype>
              <v:shape id="Text Box 5" o:spid="_x0000_s1032" type="#_x0000_t202" style="position:absolute;margin-left:395.9pt;margin-top:284.55pt;width:97.1pt;height:24.3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" filled="f" stroked="f">
                <v:textbox>
                  <w:txbxContent>
                    <w:p w14:paraId="7B33D3C4" w14:textId="246B67C9" w:rsidR="004464FC" w:rsidRPr="00C61109" w:rsidRDefault="004464FC" w:rsidP="004464FC">
                      <w:pPr>
                        <w:jc w:val="center"/>
                        <w:rPr>
                          <w:sz w:val="10"/>
                          <w:szCs w:val="10"/>
                        </w:rPr>
                      </w:pPr>
                      <w:r w:rsidRPr="00C61109">
                        <w:rPr>
                          <w:sz w:val="10"/>
                          <w:szCs w:val="10"/>
                        </w:rPr>
                        <w:t>Source: National Audit Office, 2023</w:t>
                      </w:r>
                    </w:p>
                  </w:txbxContent>
                </v:textbox>
              </v:shape>
            </w:pict>
          </mc:Fallback>
        </mc:AlternateContent>
      </w:r>
      <w:r>
        <w:rPr>
          <w:noProof/>
          <w:u w:val="single"/>
        </w:rPr>
        <mc:AlternateContent>
          <mc:Choice Requires="wps">
            <w:drawing>
              <wp:anchor distT="0" distB="0" distL="114300" distR="114300" simplePos="0" relativeHeight="251674624" behindDoc="0" locked="0" layoutInCell="1" allowOverlap="1" wp14:anchorId="6A85D893" wp14:editId="4195329B">
                <wp:simplePos x="0" y="0"/>
                <wp:positionH relativeFrom="column">
                  <wp:posOffset>3466465</wp:posOffset>
                </wp:positionH>
                <wp:positionV relativeFrom="paragraph">
                  <wp:posOffset>3846195</wp:posOffset>
                </wp:positionV>
                <wp:extent cx="3549650" cy="286385"/>
                <wp:effectExtent l="0" t="0" r="12700" b="18415"/>
                <wp:wrapNone/>
                <wp:docPr id="1164967717" name="Rectangle: Top Corners Snipped 4"/>
                <wp:cNvGraphicFramePr/>
                <a:graphic xmlns:a="http://schemas.openxmlformats.org/drawingml/2006/main">
                  <a:graphicData uri="http://schemas.microsoft.com/office/word/2010/wordprocessingShape">
                    <wps:wsp>
                      <wps:cNvSpPr/>
                      <wps:spPr>
                        <a:xfrm>
                          <a:off x="0" y="0"/>
                          <a:ext cx="3549650" cy="286385"/>
                        </a:xfrm>
                        <a:prstGeom prst="snip2SameRect">
                          <a:avLst/>
                        </a:prstGeom>
                      </wps:spPr>
                      <wps:style>
                        <a:lnRef idx="2">
                          <a:schemeClr val="dk1">
                            <a:shade val="15000"/>
                          </a:schemeClr>
                        </a:lnRef>
                        <a:fillRef idx="1">
                          <a:schemeClr val="dk1"/>
                        </a:fillRef>
                        <a:effectRef idx="0">
                          <a:schemeClr val="dk1"/>
                        </a:effectRef>
                        <a:fontRef idx="minor">
                          <a:schemeClr val="lt1"/>
                        </a:fontRef>
                      </wps:style>
                      <wps:txbx>
                        <w:txbxContent>
                          <w:p w14:paraId="2E6F6913" w14:textId="657FF949" w:rsidR="002962ED" w:rsidRPr="002962ED" w:rsidRDefault="002962ED" w:rsidP="002962ED">
                            <w:pPr>
                              <w:jc w:val="center"/>
                              <w:rPr>
                                <w:sz w:val="32"/>
                                <w:szCs w:val="32"/>
                              </w:rPr>
                            </w:pPr>
                            <w:r w:rsidRPr="002962ED">
                              <w:rPr>
                                <w:b/>
                                <w:bCs/>
                                <w:sz w:val="20"/>
                                <w:szCs w:val="20"/>
                              </w:rPr>
                              <w:t>How the service works today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85D893" id="_x0000_s1033" style="position:absolute;margin-left:272.95pt;margin-top:302.85pt;width:279.5pt;height:22.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549650,2863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" adj="-11796480,,5400" path="m47732,l3501918,r47732,47732l3549650,286385r,l,286385r,l,47732,47732,xe" fillcolor="black [3200]" strokecolor="black [480]" strokeweight="1.25pt">
                <v:stroke joinstyle="miter"/>
                <v:formulas/>
                <v:path arrowok="t" o:connecttype="custom" o:connectlocs="47732,0;3501918,0;3549650,47732;3549650,286385;3549650,286385;0,286385;0,286385;0,47732;47732,0" o:connectangles="0,0,0,0,0,0,0,0,0" textboxrect="0,0,3549650,286385"/>
                <v:textbox>
                  <w:txbxContent>
                    <w:p w14:paraId="2E6F6913" w14:textId="657FF949" w:rsidR="002962ED" w:rsidRPr="002962ED" w:rsidRDefault="002962ED" w:rsidP="002962ED">
                      <w:pPr>
                        <w:jc w:val="center"/>
                        <w:rPr>
                          <w:sz w:val="32"/>
                          <w:szCs w:val="32"/>
                        </w:rPr>
                      </w:pPr>
                      <w:r w:rsidRPr="002962ED">
                        <w:rPr>
                          <w:b/>
                          <w:bCs/>
                          <w:sz w:val="20"/>
                          <w:szCs w:val="20"/>
                        </w:rPr>
                        <w:t>How the service works today</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7A5FFF3C" wp14:editId="13C3310A">
                <wp:simplePos x="0" y="0"/>
                <wp:positionH relativeFrom="column">
                  <wp:posOffset>3467034</wp:posOffset>
                </wp:positionH>
                <wp:positionV relativeFrom="paragraph">
                  <wp:posOffset>4143689</wp:posOffset>
                </wp:positionV>
                <wp:extent cx="3549650" cy="1508125"/>
                <wp:effectExtent l="0" t="0" r="12700" b="15875"/>
                <wp:wrapNone/>
                <wp:docPr id="1105828013" name="Rectangle: Rounded Corners 2"/>
                <wp:cNvGraphicFramePr/>
                <a:graphic xmlns:a="http://schemas.openxmlformats.org/drawingml/2006/main">
                  <a:graphicData uri="http://schemas.microsoft.com/office/word/2010/wordprocessingShape">
                    <wps:wsp>
                      <wps:cNvSpPr/>
                      <wps:spPr>
                        <a:xfrm>
                          <a:off x="0" y="0"/>
                          <a:ext cx="3549650" cy="1508125"/>
                        </a:xfrm>
                        <a:prstGeom prst="roundRect">
                          <a:avLst>
                            <a:gd name="adj" fmla="val 398"/>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5E07F576" w14:textId="58DD46A9" w:rsidR="002962ED" w:rsidRPr="00D6221F" w:rsidRDefault="00C61109" w:rsidP="00D6221F">
                            <w:pPr>
                              <w:spacing w:after="120" w:line="240" w:lineRule="auto"/>
                              <w:jc w:val="left"/>
                              <w:rPr>
                                <w:sz w:val="16"/>
                                <w:szCs w:val="16"/>
                              </w:rPr>
                            </w:pPr>
                            <w:r w:rsidRPr="00D6221F">
                              <w:rPr>
                                <w:sz w:val="16"/>
                                <w:szCs w:val="16"/>
                              </w:rPr>
                              <w:t>It is typically accessed by GP referral, hospital discharge, or local triage, with support provided according to risk and need (McSherry et al., 2025).</w:t>
                            </w:r>
                            <w:r w:rsidR="00355EDB">
                              <w:rPr>
                                <w:sz w:val="16"/>
                                <w:szCs w:val="16"/>
                              </w:rPr>
                              <w:t xml:space="preserve"> </w:t>
                            </w:r>
                            <w:r w:rsidRPr="00D6221F">
                              <w:rPr>
                                <w:sz w:val="16"/>
                                <w:szCs w:val="16"/>
                              </w:rPr>
                              <w:t>Community teams offer reviews, relapse-prevention strategies, short-term therapies, and connect individuals to social care and voluntary services (NHS England, 2025).</w:t>
                            </w:r>
                            <w:r w:rsidR="00355EDB">
                              <w:rPr>
                                <w:sz w:val="16"/>
                                <w:szCs w:val="16"/>
                              </w:rPr>
                              <w:t xml:space="preserve"> </w:t>
                            </w:r>
                            <w:r w:rsidRPr="00D6221F">
                              <w:rPr>
                                <w:sz w:val="16"/>
                                <w:szCs w:val="16"/>
                              </w:rPr>
                              <w:t>The demand is high: 2.0 million individuals were in contact with services and 395.585 new referrals were made within one month in August 2025 (NHS Digital, 2025).</w:t>
                            </w:r>
                            <w:r w:rsidR="00355EDB">
                              <w:rPr>
                                <w:sz w:val="16"/>
                                <w:szCs w:val="16"/>
                              </w:rPr>
                              <w:t xml:space="preserve"> </w:t>
                            </w:r>
                            <w:r w:rsidRPr="00D6221F">
                              <w:rPr>
                                <w:sz w:val="16"/>
                                <w:szCs w:val="16"/>
                              </w:rPr>
                              <w:t>According to national data, 677,017 adults and older adults are receiving community mental health services, which is one of the most important aspects of care delivery (NHS England, 2025/26).</w:t>
                            </w:r>
                            <w:r w:rsidR="00355EDB">
                              <w:rPr>
                                <w:sz w:val="16"/>
                                <w:szCs w:val="16"/>
                              </w:rPr>
                              <w:t xml:space="preserve"> </w:t>
                            </w:r>
                            <w:r w:rsidRPr="00D6221F">
                              <w:rPr>
                                <w:sz w:val="16"/>
                                <w:szCs w:val="16"/>
                              </w:rPr>
                              <w:t>There is an indication that community mental health nurses can be viable in integrated models and can potentially decrease pressure on secondary services (Kenwright et al.,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5FFF3C" id="_x0000_s1034" style="position:absolute;margin-left:273pt;margin-top:326.25pt;width:279.5pt;height:118.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6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" fillcolor="#d99c3f [3207]" strokecolor="#221707 [487]" strokeweight="1.25pt">
                <v:textbox>
                  <w:txbxContent>
                    <w:p w14:paraId="5E07F576" w14:textId="58DD46A9" w:rsidR="002962ED" w:rsidRPr="00D6221F" w:rsidRDefault="00C61109" w:rsidP="00D6221F">
                      <w:pPr>
                        <w:spacing w:after="120" w:line="240" w:lineRule="auto"/>
                        <w:jc w:val="left"/>
                        <w:rPr>
                          <w:sz w:val="16"/>
                          <w:szCs w:val="16"/>
                        </w:rPr>
                      </w:pPr>
                      <w:r w:rsidRPr="00D6221F">
                        <w:rPr>
                          <w:sz w:val="16"/>
                          <w:szCs w:val="16"/>
                        </w:rPr>
                        <w:t>It is typically accessed by GP referral, hospital discharge, or local triage, with support provided according to risk and need (McSherry et al., 2025).</w:t>
                      </w:r>
                      <w:r w:rsidR="00355EDB">
                        <w:rPr>
                          <w:sz w:val="16"/>
                          <w:szCs w:val="16"/>
                        </w:rPr>
                        <w:t xml:space="preserve"> </w:t>
                      </w:r>
                      <w:r w:rsidRPr="00D6221F">
                        <w:rPr>
                          <w:sz w:val="16"/>
                          <w:szCs w:val="16"/>
                        </w:rPr>
                        <w:t>Community teams offer reviews, relapse-prevention strategies, short-term therapies, and connect individuals to social care and voluntary services (NHS England, 2025).</w:t>
                      </w:r>
                      <w:r w:rsidR="00355EDB">
                        <w:rPr>
                          <w:sz w:val="16"/>
                          <w:szCs w:val="16"/>
                        </w:rPr>
                        <w:t xml:space="preserve"> </w:t>
                      </w:r>
                      <w:r w:rsidRPr="00D6221F">
                        <w:rPr>
                          <w:sz w:val="16"/>
                          <w:szCs w:val="16"/>
                        </w:rPr>
                        <w:t>The demand is high: 2.0 million individuals were in contact with services and 395.585 new referrals were made within one month in August 2025 (NHS Digital, 2025).</w:t>
                      </w:r>
                      <w:r w:rsidR="00355EDB">
                        <w:rPr>
                          <w:sz w:val="16"/>
                          <w:szCs w:val="16"/>
                        </w:rPr>
                        <w:t xml:space="preserve"> </w:t>
                      </w:r>
                      <w:r w:rsidRPr="00D6221F">
                        <w:rPr>
                          <w:sz w:val="16"/>
                          <w:szCs w:val="16"/>
                        </w:rPr>
                        <w:t>According to national data, 677,017 adults and older adults are receiving community mental health services, which is one of the most important aspects of care delivery (NHS England, 2025/26).</w:t>
                      </w:r>
                      <w:r w:rsidR="00355EDB">
                        <w:rPr>
                          <w:sz w:val="16"/>
                          <w:szCs w:val="16"/>
                        </w:rPr>
                        <w:t xml:space="preserve"> </w:t>
                      </w:r>
                      <w:r w:rsidRPr="00D6221F">
                        <w:rPr>
                          <w:sz w:val="16"/>
                          <w:szCs w:val="16"/>
                        </w:rPr>
                        <w:t>There is an indication that community mental health nurses can be viable in integrated models and can potentially decrease pressure on secondary services (Kenwright et al., 2024).</w:t>
                      </w:r>
                    </w:p>
                  </w:txbxContent>
                </v:textbox>
              </v:roundrect>
            </w:pict>
          </mc:Fallback>
        </mc:AlternateContent>
      </w:r>
      <w:r>
        <w:rPr>
          <w:noProof/>
        </w:rPr>
        <w:drawing>
          <wp:anchor distT="0" distB="0" distL="114300" distR="114300" simplePos="0" relativeHeight="251683840" behindDoc="0" locked="0" layoutInCell="1" allowOverlap="1" wp14:anchorId="1F99B85A" wp14:editId="423D001C">
            <wp:simplePos x="0" y="0"/>
            <wp:positionH relativeFrom="column">
              <wp:posOffset>-297246</wp:posOffset>
            </wp:positionH>
            <wp:positionV relativeFrom="paragraph">
              <wp:posOffset>3771058</wp:posOffset>
            </wp:positionV>
            <wp:extent cx="3547745" cy="1793875"/>
            <wp:effectExtent l="0" t="0" r="0" b="0"/>
            <wp:wrapSquare wrapText="bothSides"/>
            <wp:docPr id="2131234482" name="Picture 15" descr="What are Community Health Ce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are Community Health Cen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47745" cy="17938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2F860148" wp14:editId="393A03D8">
            <wp:simplePos x="0" y="0"/>
            <wp:positionH relativeFrom="column">
              <wp:posOffset>3800475</wp:posOffset>
            </wp:positionH>
            <wp:positionV relativeFrom="paragraph">
              <wp:posOffset>1008380</wp:posOffset>
            </wp:positionV>
            <wp:extent cx="3319780" cy="2600325"/>
            <wp:effectExtent l="0" t="0" r="0" b="9525"/>
            <wp:wrapTight wrapText="bothSides">
              <wp:wrapPolygon edited="0">
                <wp:start x="0" y="0"/>
                <wp:lineTo x="0" y="21521"/>
                <wp:lineTo x="21443" y="21521"/>
                <wp:lineTo x="21443" y="0"/>
                <wp:lineTo x="0" y="0"/>
              </wp:wrapPolygon>
            </wp:wrapTight>
            <wp:docPr id="15758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078" name=""/>
                    <pic:cNvPicPr/>
                  </pic:nvPicPr>
                  <pic:blipFill>
                    <a:blip r:embed="rId11">
                      <a:extLst>
                        <a:ext uri="{28A0092B-C50C-407E-A947-70E740481C1C}">
                          <a14:useLocalDpi xmlns:a14="http://schemas.microsoft.com/office/drawing/2010/main" val="0"/>
                        </a:ext>
                      </a:extLst>
                    </a:blip>
                    <a:stretch>
                      <a:fillRect/>
                    </a:stretch>
                  </pic:blipFill>
                  <pic:spPr>
                    <a:xfrm>
                      <a:off x="0" y="0"/>
                      <a:ext cx="3319780" cy="2600325"/>
                    </a:xfrm>
                    <a:prstGeom prst="rect">
                      <a:avLst/>
                    </a:prstGeom>
                  </pic:spPr>
                </pic:pic>
              </a:graphicData>
            </a:graphic>
            <wp14:sizeRelH relativeFrom="page">
              <wp14:pctWidth>0</wp14:pctWidth>
            </wp14:sizeRelH>
            <wp14:sizeRelV relativeFrom="page">
              <wp14:pctHeight>0</wp14:pctHeight>
            </wp14:sizeRelV>
          </wp:anchor>
        </w:drawing>
      </w:r>
      <w:r>
        <w:rPr>
          <w:noProof/>
          <w:u w:val="single"/>
        </w:rPr>
        <mc:AlternateContent>
          <mc:Choice Requires="wps">
            <w:drawing>
              <wp:anchor distT="0" distB="0" distL="114300" distR="114300" simplePos="0" relativeHeight="251671552" behindDoc="0" locked="0" layoutInCell="1" allowOverlap="1" wp14:anchorId="6F93269A" wp14:editId="01B24EDD">
                <wp:simplePos x="0" y="0"/>
                <wp:positionH relativeFrom="column">
                  <wp:posOffset>-361950</wp:posOffset>
                </wp:positionH>
                <wp:positionV relativeFrom="paragraph">
                  <wp:posOffset>1008380</wp:posOffset>
                </wp:positionV>
                <wp:extent cx="3954145" cy="273050"/>
                <wp:effectExtent l="0" t="0" r="27305" b="12700"/>
                <wp:wrapNone/>
                <wp:docPr id="1737596145" name="Rectangle: Top Corners Snipped 4"/>
                <wp:cNvGraphicFramePr/>
                <a:graphic xmlns:a="http://schemas.openxmlformats.org/drawingml/2006/main">
                  <a:graphicData uri="http://schemas.microsoft.com/office/word/2010/wordprocessingShape">
                    <wps:wsp>
                      <wps:cNvSpPr/>
                      <wps:spPr>
                        <a:xfrm>
                          <a:off x="0" y="0"/>
                          <a:ext cx="3954145" cy="273050"/>
                        </a:xfrm>
                        <a:prstGeom prst="snip2SameRect">
                          <a:avLst/>
                        </a:prstGeom>
                      </wps:spPr>
                      <wps:style>
                        <a:lnRef idx="2">
                          <a:schemeClr val="dk1">
                            <a:shade val="15000"/>
                          </a:schemeClr>
                        </a:lnRef>
                        <a:fillRef idx="1">
                          <a:schemeClr val="dk1"/>
                        </a:fillRef>
                        <a:effectRef idx="0">
                          <a:schemeClr val="dk1"/>
                        </a:effectRef>
                        <a:fontRef idx="minor">
                          <a:schemeClr val="lt1"/>
                        </a:fontRef>
                      </wps:style>
                      <wps:txbx>
                        <w:txbxContent>
                          <w:p w14:paraId="5EF44ECA" w14:textId="77076584" w:rsidR="002962ED" w:rsidRPr="002962ED" w:rsidRDefault="002962ED" w:rsidP="002962ED">
                            <w:pPr>
                              <w:jc w:val="center"/>
                              <w:rPr>
                                <w:sz w:val="32"/>
                                <w:szCs w:val="32"/>
                              </w:rPr>
                            </w:pPr>
                            <w:r w:rsidRPr="002962ED">
                              <w:rPr>
                                <w:b/>
                                <w:bCs/>
                                <w:sz w:val="20"/>
                                <w:szCs w:val="20"/>
                              </w:rPr>
                              <w:t>Brief history of community mental health services in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93269A" id="_x0000_s1035" style="position:absolute;margin-left:-28.5pt;margin-top:79.4pt;width:311.35pt;height:2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954145,2730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" adj="-11796480,,5400" path="m45509,l3908636,r45509,45509l3954145,273050r,l,273050r,l,45509,45509,xe" fillcolor="black [3200]" strokecolor="black [480]" strokeweight="1.25pt">
                <v:stroke joinstyle="miter"/>
                <v:formulas/>
                <v:path arrowok="t" o:connecttype="custom" o:connectlocs="45509,0;3908636,0;3954145,45509;3954145,273050;3954145,273050;0,273050;0,273050;0,45509;45509,0" o:connectangles="0,0,0,0,0,0,0,0,0" textboxrect="0,0,3954145,273050"/>
                <v:textbox>
                  <w:txbxContent>
                    <w:p w14:paraId="5EF44ECA" w14:textId="77076584" w:rsidR="002962ED" w:rsidRPr="002962ED" w:rsidRDefault="002962ED" w:rsidP="002962ED">
                      <w:pPr>
                        <w:jc w:val="center"/>
                        <w:rPr>
                          <w:sz w:val="32"/>
                          <w:szCs w:val="32"/>
                        </w:rPr>
                      </w:pPr>
                      <w:r w:rsidRPr="002962ED">
                        <w:rPr>
                          <w:b/>
                          <w:bCs/>
                          <w:sz w:val="20"/>
                          <w:szCs w:val="20"/>
                        </w:rPr>
                        <w:t>Brief history of community mental health services in the UK</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02870B0A" wp14:editId="4B7F492D">
                <wp:simplePos x="0" y="0"/>
                <wp:positionH relativeFrom="column">
                  <wp:posOffset>-361950</wp:posOffset>
                </wp:positionH>
                <wp:positionV relativeFrom="paragraph">
                  <wp:posOffset>1281801</wp:posOffset>
                </wp:positionV>
                <wp:extent cx="3954145" cy="2327275"/>
                <wp:effectExtent l="0" t="0" r="27305" b="15875"/>
                <wp:wrapNone/>
                <wp:docPr id="1064608571" name="Rectangle: Rounded Corners 2"/>
                <wp:cNvGraphicFramePr/>
                <a:graphic xmlns:a="http://schemas.openxmlformats.org/drawingml/2006/main">
                  <a:graphicData uri="http://schemas.microsoft.com/office/word/2010/wordprocessingShape">
                    <wps:wsp>
                      <wps:cNvSpPr/>
                      <wps:spPr>
                        <a:xfrm>
                          <a:off x="0" y="0"/>
                          <a:ext cx="3954145" cy="2327275"/>
                        </a:xfrm>
                        <a:prstGeom prst="roundRect">
                          <a:avLst>
                            <a:gd name="adj" fmla="val 398"/>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0A1B1A4D" w14:textId="77777777" w:rsidR="002962ED" w:rsidRPr="00D6221F" w:rsidRDefault="002962ED" w:rsidP="00D6221F">
                            <w:pPr>
                              <w:spacing w:after="120" w:line="240" w:lineRule="auto"/>
                              <w:jc w:val="left"/>
                              <w:rPr>
                                <w:sz w:val="16"/>
                                <w:szCs w:val="16"/>
                              </w:rPr>
                            </w:pPr>
                            <w:r w:rsidRPr="00D6221F">
                              <w:rPr>
                                <w:sz w:val="16"/>
                                <w:szCs w:val="16"/>
                              </w:rPr>
                              <w:t>UK mental health care has become less of a lengthy stay in hospital, and the more recent policy is centered on care being as close to home as possible (National Audit Office, 2023).</w:t>
                            </w:r>
                          </w:p>
                          <w:p w14:paraId="4CCCBA04" w14:textId="77777777" w:rsidR="002962ED" w:rsidRPr="00D6221F" w:rsidRDefault="002962ED" w:rsidP="00D6221F">
                            <w:pPr>
                              <w:spacing w:after="120" w:line="240" w:lineRule="auto"/>
                              <w:jc w:val="left"/>
                              <w:rPr>
                                <w:sz w:val="16"/>
                                <w:szCs w:val="16"/>
                              </w:rPr>
                            </w:pPr>
                            <w:r w:rsidRPr="00D6221F">
                              <w:rPr>
                                <w:sz w:val="16"/>
                                <w:szCs w:val="16"/>
                              </w:rPr>
                              <w:t>The need of mental health has grown acutely: the probability of having a mental disorder among 1719-year-old has also become 26% (2022) as opposed to 10% in 2017 (National Audit Office, 2023).</w:t>
                            </w:r>
                          </w:p>
                          <w:p w14:paraId="65090535" w14:textId="27CC8C32" w:rsidR="002962ED" w:rsidRPr="00D6221F" w:rsidRDefault="002962ED" w:rsidP="00D6221F">
                            <w:pPr>
                              <w:spacing w:after="120" w:line="240" w:lineRule="auto"/>
                              <w:jc w:val="left"/>
                              <w:rPr>
                                <w:sz w:val="16"/>
                                <w:szCs w:val="16"/>
                              </w:rPr>
                            </w:pPr>
                            <w:r w:rsidRPr="00D6221F">
                              <w:rPr>
                                <w:sz w:val="16"/>
                                <w:szCs w:val="16"/>
                              </w:rPr>
                              <w:t>The graph indicates that following COVID-19, both the referrals to mental health services financed by the NHS and the ratio of coverage by the young population among the waiting-time criteria decreased, as an indicator of the increased demand and the lack of capacity in the system (</w:t>
                            </w:r>
                            <w:r w:rsidR="004464FC" w:rsidRPr="00D6221F">
                              <w:rPr>
                                <w:sz w:val="16"/>
                                <w:szCs w:val="16"/>
                              </w:rPr>
                              <w:t>National Audit Office, 2023</w:t>
                            </w:r>
                            <w:r w:rsidRPr="00D6221F">
                              <w:rPr>
                                <w:sz w:val="16"/>
                                <w:szCs w:val="16"/>
                              </w:rPr>
                              <w:t>).</w:t>
                            </w:r>
                          </w:p>
                          <w:p w14:paraId="2619A40A" w14:textId="77777777" w:rsidR="002962ED" w:rsidRPr="00D6221F" w:rsidRDefault="002962ED" w:rsidP="00D6221F">
                            <w:pPr>
                              <w:spacing w:after="120" w:line="240" w:lineRule="auto"/>
                              <w:jc w:val="left"/>
                              <w:rPr>
                                <w:sz w:val="16"/>
                                <w:szCs w:val="16"/>
                              </w:rPr>
                            </w:pPr>
                            <w:r w:rsidRPr="00D6221F">
                              <w:rPr>
                                <w:sz w:val="16"/>
                                <w:szCs w:val="16"/>
                              </w:rPr>
                              <w:t>The targets of the national plans were 370,000 adults and older adults with severe mental illness to receive integrated community and primary care by 2023/24 (National Audit Office, 2023).</w:t>
                            </w:r>
                          </w:p>
                          <w:p w14:paraId="374E87F6" w14:textId="40B6C8AF" w:rsidR="002962ED" w:rsidRPr="00D6221F" w:rsidRDefault="002962ED" w:rsidP="00D6221F">
                            <w:pPr>
                              <w:spacing w:after="120" w:line="240" w:lineRule="auto"/>
                              <w:jc w:val="left"/>
                              <w:rPr>
                                <w:sz w:val="16"/>
                                <w:szCs w:val="16"/>
                              </w:rPr>
                            </w:pPr>
                            <w:r w:rsidRPr="00D6221F">
                              <w:rPr>
                                <w:sz w:val="16"/>
                                <w:szCs w:val="16"/>
                              </w:rPr>
                              <w:t>Nevertheless, people with unmet mental health needs who were not in contact with NHS services were estimated at 8 million despite the reforms, which indicates access gaps (National Audit Office,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870B0A" id="_x0000_s1036" style="position:absolute;margin-left:-28.5pt;margin-top:100.95pt;width:311.35pt;height:183.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6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" fillcolor="#a35dd1 [3209]" strokecolor="#190a23 [489]" strokeweight="1.25pt">
                <v:textbox>
                  <w:txbxContent>
                    <w:p w14:paraId="0A1B1A4D" w14:textId="77777777" w:rsidR="002962ED" w:rsidRPr="00D6221F" w:rsidRDefault="002962ED" w:rsidP="00D6221F">
                      <w:pPr>
                        <w:spacing w:after="120" w:line="240" w:lineRule="auto"/>
                        <w:jc w:val="left"/>
                        <w:rPr>
                          <w:sz w:val="16"/>
                          <w:szCs w:val="16"/>
                        </w:rPr>
                      </w:pPr>
                      <w:r w:rsidRPr="00D6221F">
                        <w:rPr>
                          <w:sz w:val="16"/>
                          <w:szCs w:val="16"/>
                        </w:rPr>
                        <w:t>UK mental health care has become less of a lengthy stay in hospital, and the more recent policy is centered on care being as close to home as possible (National Audit Office, 2023).</w:t>
                      </w:r>
                    </w:p>
                    <w:p w14:paraId="4CCCBA04" w14:textId="77777777" w:rsidR="002962ED" w:rsidRPr="00D6221F" w:rsidRDefault="002962ED" w:rsidP="00D6221F">
                      <w:pPr>
                        <w:spacing w:after="120" w:line="240" w:lineRule="auto"/>
                        <w:jc w:val="left"/>
                        <w:rPr>
                          <w:sz w:val="16"/>
                          <w:szCs w:val="16"/>
                        </w:rPr>
                      </w:pPr>
                      <w:r w:rsidRPr="00D6221F">
                        <w:rPr>
                          <w:sz w:val="16"/>
                          <w:szCs w:val="16"/>
                        </w:rPr>
                        <w:t>The need of mental health has grown acutely: the probability of having a mental disorder among 1719-year-old has also become 26% (2022) as opposed to 10% in 2017 (National Audit Office, 2023).</w:t>
                      </w:r>
                    </w:p>
                    <w:p w14:paraId="65090535" w14:textId="27CC8C32" w:rsidR="002962ED" w:rsidRPr="00D6221F" w:rsidRDefault="002962ED" w:rsidP="00D6221F">
                      <w:pPr>
                        <w:spacing w:after="120" w:line="240" w:lineRule="auto"/>
                        <w:jc w:val="left"/>
                        <w:rPr>
                          <w:sz w:val="16"/>
                          <w:szCs w:val="16"/>
                        </w:rPr>
                      </w:pPr>
                      <w:r w:rsidRPr="00D6221F">
                        <w:rPr>
                          <w:sz w:val="16"/>
                          <w:szCs w:val="16"/>
                        </w:rPr>
                        <w:t>The graph indicates that following COVID-19, both the referrals to mental health services financed by the NHS and the ratio of coverage by the young population among the waiting-time criteria decreased, as an indicator of the increased demand and the lack of capacity in the system (</w:t>
                      </w:r>
                      <w:r w:rsidR="004464FC" w:rsidRPr="00D6221F">
                        <w:rPr>
                          <w:sz w:val="16"/>
                          <w:szCs w:val="16"/>
                        </w:rPr>
                        <w:t>National Audit Office, 2023</w:t>
                      </w:r>
                      <w:r w:rsidRPr="00D6221F">
                        <w:rPr>
                          <w:sz w:val="16"/>
                          <w:szCs w:val="16"/>
                        </w:rPr>
                        <w:t>).</w:t>
                      </w:r>
                    </w:p>
                    <w:p w14:paraId="2619A40A" w14:textId="77777777" w:rsidR="002962ED" w:rsidRPr="00D6221F" w:rsidRDefault="002962ED" w:rsidP="00D6221F">
                      <w:pPr>
                        <w:spacing w:after="120" w:line="240" w:lineRule="auto"/>
                        <w:jc w:val="left"/>
                        <w:rPr>
                          <w:sz w:val="16"/>
                          <w:szCs w:val="16"/>
                        </w:rPr>
                      </w:pPr>
                      <w:r w:rsidRPr="00D6221F">
                        <w:rPr>
                          <w:sz w:val="16"/>
                          <w:szCs w:val="16"/>
                        </w:rPr>
                        <w:t>The targets of the national plans were 370,000 adults and older adults with severe mental illness to receive integrated community and primary care by 2023/24 (National Audit Office, 2023).</w:t>
                      </w:r>
                    </w:p>
                    <w:p w14:paraId="374E87F6" w14:textId="40B6C8AF" w:rsidR="002962ED" w:rsidRPr="00D6221F" w:rsidRDefault="002962ED" w:rsidP="00D6221F">
                      <w:pPr>
                        <w:spacing w:after="120" w:line="240" w:lineRule="auto"/>
                        <w:jc w:val="left"/>
                        <w:rPr>
                          <w:sz w:val="16"/>
                          <w:szCs w:val="16"/>
                        </w:rPr>
                      </w:pPr>
                      <w:r w:rsidRPr="00D6221F">
                        <w:rPr>
                          <w:sz w:val="16"/>
                          <w:szCs w:val="16"/>
                        </w:rPr>
                        <w:t>Nevertheless, people with unmet mental health needs who were not in contact with NHS services were estimated at 8 million despite the reforms, which indicates access gaps (National Audit Office, 2023).</w:t>
                      </w:r>
                    </w:p>
                  </w:txbxContent>
                </v:textbox>
              </v:roundrect>
            </w:pict>
          </mc:Fallback>
        </mc:AlternateContent>
      </w:r>
    </w:p>
    <w:p w14:paraId="51A1E786" w14:textId="68BAC7C2" w:rsidR="00184E93" w:rsidRDefault="00184E93">
      <w:pPr>
        <w:spacing w:line="278" w:lineRule="auto"/>
        <w:jc w:val="left"/>
        <w:sectPr w:rsidR="00184E93" w:rsidSect="00D6221F">
          <w:pgSz w:w="12240" w:h="15840"/>
          <w:pgMar w:top="720" w:right="720" w:bottom="270" w:left="720" w:header="720" w:footer="720" w:gutter="0"/>
          <w:cols w:space="720"/>
          <w:docGrid w:linePitch="360"/>
        </w:sectPr>
      </w:pPr>
    </w:p>
    <w:p w14:paraId="1934DC21" w14:textId="32880F11" w:rsidR="009B4DF6" w:rsidRPr="00184E93" w:rsidRDefault="009B4DF6" w:rsidP="00FF234C">
      <w:pPr>
        <w:pStyle w:val="Heading1"/>
        <w:rPr>
          <w:szCs w:val="36"/>
        </w:rPr>
      </w:pPr>
      <w:r w:rsidRPr="00184E93">
        <w:rPr>
          <w:szCs w:val="36"/>
        </w:rPr>
        <w:lastRenderedPageBreak/>
        <w:t>Task 2: Essay</w:t>
      </w:r>
      <w:r w:rsidR="00E87C35">
        <w:rPr>
          <w:szCs w:val="36"/>
        </w:rPr>
        <w:t xml:space="preserve"> – Ambulances Services</w:t>
      </w:r>
    </w:p>
    <w:p w14:paraId="7C09CB62" w14:textId="06A879AE" w:rsidR="00FF234C" w:rsidRPr="00184E93" w:rsidRDefault="00FF234C" w:rsidP="00FF234C">
      <w:pPr>
        <w:pStyle w:val="Heading1"/>
        <w:rPr>
          <w:szCs w:val="36"/>
        </w:rPr>
      </w:pPr>
      <w:r w:rsidRPr="00184E93">
        <w:rPr>
          <w:szCs w:val="36"/>
        </w:rPr>
        <w:t>Introduction</w:t>
      </w:r>
    </w:p>
    <w:p w14:paraId="347C1FBC" w14:textId="2FBEED66" w:rsidR="004546ED" w:rsidRPr="00184E93" w:rsidRDefault="004546ED" w:rsidP="004546ED">
      <w:pPr>
        <w:rPr>
          <w:szCs w:val="22"/>
        </w:rPr>
      </w:pPr>
      <w:r w:rsidRPr="00184E93">
        <w:rPr>
          <w:szCs w:val="22"/>
        </w:rPr>
        <w:t xml:space="preserve">UK ambulance services are an NHS urgent and emergency care service. They assess and treat people who call 999, and either convey to hospital or manage at home. This essay explores their origins, critiques current practice, and explains their value. </w:t>
      </w:r>
    </w:p>
    <w:p w14:paraId="226FE591" w14:textId="3B2076AA" w:rsidR="00FF234C" w:rsidRPr="00184E93" w:rsidRDefault="00FF234C" w:rsidP="00FF234C">
      <w:pPr>
        <w:pStyle w:val="Heading1"/>
        <w:rPr>
          <w:szCs w:val="36"/>
        </w:rPr>
      </w:pPr>
      <w:r w:rsidRPr="00184E93">
        <w:rPr>
          <w:szCs w:val="36"/>
        </w:rPr>
        <w:t>Ambulance Services in UK</w:t>
      </w:r>
    </w:p>
    <w:p w14:paraId="21AB2AC6" w14:textId="578ED854" w:rsidR="009B4DF6" w:rsidRPr="00184E93" w:rsidRDefault="009B4DF6" w:rsidP="009B4DF6">
      <w:pPr>
        <w:rPr>
          <w:szCs w:val="22"/>
        </w:rPr>
      </w:pPr>
      <w:r w:rsidRPr="00184E93">
        <w:rPr>
          <w:szCs w:val="22"/>
        </w:rPr>
        <w:t xml:space="preserve">In the UK ambulance services began as a local </w:t>
      </w:r>
      <w:r w:rsidR="00361599" w:rsidRPr="00184E93">
        <w:rPr>
          <w:szCs w:val="22"/>
        </w:rPr>
        <w:t>first aid</w:t>
      </w:r>
      <w:r w:rsidRPr="00184E93">
        <w:rPr>
          <w:szCs w:val="22"/>
        </w:rPr>
        <w:t xml:space="preserve"> and transportation service but over the past decades, the service has evolved to be a clinical occupation. Eaton (2023) reports that paramedics are currently registered clinicians, with increasing degrees of training and advanced practice roles, lowering care to assessment and safe decisions prior to hospital. This was influenced by the NHS transition toward providing care nearer to homes and an increase in demand in older age groups with emergency calls being frequently indicative of frailty, chronic conditions, mental health demands and lack of community and social provision.</w:t>
      </w:r>
    </w:p>
    <w:p w14:paraId="3E94A17B" w14:textId="16A8FBF5" w:rsidR="009B4DF6" w:rsidRPr="00184E93" w:rsidRDefault="009B4DF6" w:rsidP="009B4DF6">
      <w:pPr>
        <w:rPr>
          <w:szCs w:val="22"/>
        </w:rPr>
      </w:pPr>
      <w:r w:rsidRPr="00184E93">
        <w:rPr>
          <w:szCs w:val="22"/>
        </w:rPr>
        <w:t xml:space="preserve">Ambulance trusts today </w:t>
      </w:r>
      <w:r w:rsidR="00361599" w:rsidRPr="00184E93">
        <w:rPr>
          <w:szCs w:val="22"/>
        </w:rPr>
        <w:t>prioritize</w:t>
      </w:r>
      <w:r w:rsidRPr="00184E93">
        <w:rPr>
          <w:szCs w:val="22"/>
        </w:rPr>
        <w:t xml:space="preserve"> life-threatening cases by structured call handling and the categories of Ambulance Response </w:t>
      </w:r>
      <w:proofErr w:type="spellStart"/>
      <w:r w:rsidRPr="00184E93">
        <w:rPr>
          <w:szCs w:val="22"/>
        </w:rPr>
        <w:t>Programme</w:t>
      </w:r>
      <w:proofErr w:type="spellEnd"/>
      <w:r w:rsidRPr="00184E93">
        <w:rPr>
          <w:szCs w:val="22"/>
        </w:rPr>
        <w:t xml:space="preserve"> and provide alternatives to conveyance to less urgent cases. In November 2024 in England, 16.6% were resolved by telephone and 29.1% were closed on scene illustrating how much work is no longer within the traditional idea of </w:t>
      </w:r>
      <w:proofErr w:type="gramStart"/>
      <w:r w:rsidRPr="00184E93">
        <w:rPr>
          <w:szCs w:val="22"/>
        </w:rPr>
        <w:t>blue-light</w:t>
      </w:r>
      <w:proofErr w:type="gramEnd"/>
      <w:r w:rsidRPr="00184E93">
        <w:rPr>
          <w:szCs w:val="22"/>
        </w:rPr>
        <w:t xml:space="preserve"> to ED transport (NHS England, 2024). Sustained performance failure can also be observed on the same dataset since the mean response time was 8:38 with Category 1 and 42:26 with Category 2 which is below both norms (NHS England, 2024). Importance of this gap lies in the fact that time sensitive conditions like stroke and sepsis are sensitive to delay but the factors that led to them may be beyond just ambulance control. Khan (2022) supports the idea that delays in handover and patient traffic congestion may confine the crews outside the EDs, thereby contributing to the increase of wait time and staff burnout. Similar statements are by the National Audit Office (2023), who reports an increasing demand and deteriorating access in the urgent care sector, such as longer 999 call answer times, and pressure as the ambulance-hospital interface. Some of the information handovers that operate ambulance teams include pre-</w:t>
      </w:r>
      <w:proofErr w:type="spellStart"/>
      <w:r w:rsidRPr="00184E93">
        <w:rPr>
          <w:szCs w:val="22"/>
        </w:rPr>
        <w:t>altert</w:t>
      </w:r>
      <w:proofErr w:type="spellEnd"/>
      <w:r w:rsidRPr="00184E93">
        <w:rPr>
          <w:szCs w:val="22"/>
        </w:rPr>
        <w:t xml:space="preserve"> to ED. Long et al. (2024) discovered that pre-alert processes are not standardized and may introduce so-called signal-to-noise issues, which threatens to over-escalate or lack urgency. Lastly, the sole means of improvement is learning based on the results, yet the evidence </w:t>
      </w:r>
      <w:r w:rsidRPr="00184E93">
        <w:rPr>
          <w:szCs w:val="22"/>
        </w:rPr>
        <w:lastRenderedPageBreak/>
        <w:t>presented in the nation indicates that feedback to ambulance staff is uneven and limited by the barriers to data sharing and governance (Wilson et al., 2023).</w:t>
      </w:r>
    </w:p>
    <w:p w14:paraId="65D6888F" w14:textId="3B009130" w:rsidR="009B4DF6" w:rsidRPr="00184E93" w:rsidRDefault="009B4DF6" w:rsidP="009B4DF6">
      <w:pPr>
        <w:rPr>
          <w:szCs w:val="22"/>
        </w:rPr>
      </w:pPr>
      <w:r w:rsidRPr="00184E93">
        <w:rPr>
          <w:szCs w:val="22"/>
        </w:rPr>
        <w:t xml:space="preserve">To service users, ambulance services have a </w:t>
      </w:r>
      <w:r w:rsidR="00361599" w:rsidRPr="00184E93">
        <w:rPr>
          <w:szCs w:val="22"/>
        </w:rPr>
        <w:t>quality-of-life</w:t>
      </w:r>
      <w:r w:rsidRPr="00184E93">
        <w:rPr>
          <w:szCs w:val="22"/>
        </w:rPr>
        <w:t xml:space="preserve"> enhancement through the provision of early assessment, </w:t>
      </w:r>
      <w:r w:rsidR="00361599" w:rsidRPr="00184E93">
        <w:rPr>
          <w:szCs w:val="22"/>
        </w:rPr>
        <w:t>stabilization</w:t>
      </w:r>
      <w:r w:rsidRPr="00184E93">
        <w:rPr>
          <w:szCs w:val="22"/>
        </w:rPr>
        <w:t xml:space="preserve"> as well as rapid routing to specialist care. The AQI information connects time-sensitive routes to STEMI to decreased morbidity upon prompt treatment (NHS England, 2024). Telephone and on-scene </w:t>
      </w:r>
      <w:r w:rsidR="00361599" w:rsidRPr="00184E93">
        <w:rPr>
          <w:szCs w:val="22"/>
        </w:rPr>
        <w:t>care</w:t>
      </w:r>
      <w:r w:rsidRPr="00184E93">
        <w:rPr>
          <w:szCs w:val="22"/>
        </w:rPr>
        <w:t xml:space="preserve"> can also ensure that people remain safely at home and prevent unwarranted waits in EDs (Eaton, 2023; NHS England, 2024). However, it is only effective when decisions are </w:t>
      </w:r>
      <w:r w:rsidR="00361599" w:rsidRPr="00184E93">
        <w:rPr>
          <w:szCs w:val="22"/>
        </w:rPr>
        <w:t>managed,</w:t>
      </w:r>
      <w:r w:rsidRPr="00184E93">
        <w:rPr>
          <w:szCs w:val="22"/>
        </w:rPr>
        <w:t xml:space="preserve"> and information and follow-ups are </w:t>
      </w:r>
      <w:proofErr w:type="gramStart"/>
      <w:r w:rsidRPr="00184E93">
        <w:rPr>
          <w:szCs w:val="22"/>
        </w:rPr>
        <w:t>regular</w:t>
      </w:r>
      <w:proofErr w:type="gramEnd"/>
      <w:r w:rsidRPr="00184E93">
        <w:rPr>
          <w:szCs w:val="22"/>
        </w:rPr>
        <w:t xml:space="preserve"> or the risk is transferred to the patients (Wilson et al., 2023).</w:t>
      </w:r>
    </w:p>
    <w:p w14:paraId="35AE3BA9" w14:textId="38B31FDD" w:rsidR="00FF234C" w:rsidRPr="00184E93" w:rsidRDefault="00FF234C" w:rsidP="00FF234C">
      <w:pPr>
        <w:pStyle w:val="Heading1"/>
        <w:rPr>
          <w:szCs w:val="36"/>
        </w:rPr>
      </w:pPr>
      <w:r w:rsidRPr="00184E93">
        <w:rPr>
          <w:szCs w:val="36"/>
        </w:rPr>
        <w:t>Conclusion</w:t>
      </w:r>
    </w:p>
    <w:p w14:paraId="5D72461C" w14:textId="1A4CC3C7" w:rsidR="004546ED" w:rsidRDefault="009B4DF6">
      <w:pPr>
        <w:rPr>
          <w:szCs w:val="22"/>
        </w:rPr>
      </w:pPr>
      <w:r w:rsidRPr="00184E93">
        <w:rPr>
          <w:szCs w:val="22"/>
        </w:rPr>
        <w:t xml:space="preserve">To conclude, UK ambulance services have been transformed </w:t>
      </w:r>
      <w:proofErr w:type="gramStart"/>
      <w:r w:rsidRPr="00184E93">
        <w:rPr>
          <w:szCs w:val="22"/>
        </w:rPr>
        <w:t>to</w:t>
      </w:r>
      <w:proofErr w:type="gramEnd"/>
      <w:r w:rsidRPr="00184E93">
        <w:rPr>
          <w:szCs w:val="22"/>
        </w:rPr>
        <w:t xml:space="preserve"> on-call clinicians instead of vehicles of transportation. Waits and weak learning loops demonstrate today that you cannot get away with targets alone. There should be improved hospital flow, ED-ambulance interactions and feedback to defend the outcomes and experience in general.</w:t>
      </w:r>
    </w:p>
    <w:p w14:paraId="6822CE0A" w14:textId="4420A592" w:rsidR="004A2646" w:rsidRPr="00184E93" w:rsidRDefault="004A2646">
      <w:pPr>
        <w:rPr>
          <w:szCs w:val="22"/>
        </w:rPr>
      </w:pPr>
    </w:p>
    <w:p w14:paraId="3ACF9618" w14:textId="2FA50A89" w:rsidR="00AD497F" w:rsidRDefault="00AD497F"/>
    <w:p w14:paraId="3B15A05C" w14:textId="77777777" w:rsidR="00AD497F" w:rsidRDefault="00AD497F"/>
    <w:p w14:paraId="3EE8C54A" w14:textId="4770F99F" w:rsidR="00184E93" w:rsidRDefault="00184E93">
      <w:pPr>
        <w:spacing w:line="278" w:lineRule="auto"/>
        <w:jc w:val="left"/>
        <w:rPr>
          <w:rFonts w:eastAsiaTheme="majorEastAsia" w:cstheme="majorBidi"/>
          <w:b/>
          <w:caps/>
          <w:szCs w:val="40"/>
        </w:rPr>
      </w:pPr>
      <w:r>
        <w:br w:type="page"/>
      </w:r>
    </w:p>
    <w:p w14:paraId="24DC9E52" w14:textId="10198AA6" w:rsidR="00AD497F" w:rsidRDefault="00AD497F" w:rsidP="00184E93">
      <w:pPr>
        <w:pStyle w:val="Heading1"/>
      </w:pPr>
      <w:r>
        <w:lastRenderedPageBreak/>
        <w:t>References</w:t>
      </w:r>
    </w:p>
    <w:p w14:paraId="343B222D" w14:textId="77777777" w:rsidR="002F769C" w:rsidRDefault="002F769C" w:rsidP="002F769C">
      <w:r>
        <w:t xml:space="preserve">Eaton, G. (2023). Addressing the challenges facing the paramedic profession in the United Kingdom. British Medical Bulletin, 148(1), 70–78. https://doi.org/10.1093/bmb/ldad024 </w:t>
      </w:r>
    </w:p>
    <w:p w14:paraId="5B9AEAD8" w14:textId="77777777" w:rsidR="002F769C" w:rsidRDefault="002F769C" w:rsidP="002F769C">
      <w:r>
        <w:t xml:space="preserve">Kenwright, M., Fairclough, P., McDonald, J., &amp; Pickford, L. (2024). Effectiveness of community mental health nurses in an integrated primary care service: An observational cohort study. International Journal of Nursing Studies Advances, 6, 100182. https://doi.org/10.1016/j.ijnsa.2024.100182 </w:t>
      </w:r>
    </w:p>
    <w:p w14:paraId="613039C8" w14:textId="77777777" w:rsidR="002F769C" w:rsidRDefault="002F769C" w:rsidP="002F769C">
      <w:r>
        <w:t xml:space="preserve">Khan, N. (2022). Ambulance response times: The NHS’s falling house of cards. British Journal of General Practice, 72(722), 436–437. https://doi.org/10.3399/bjgp22X720605 </w:t>
      </w:r>
    </w:p>
    <w:p w14:paraId="12259B48" w14:textId="77777777" w:rsidR="002F769C" w:rsidRDefault="002F769C" w:rsidP="002F769C">
      <w:r>
        <w:t xml:space="preserve">Long, J., Sampson, F. C., Coster, J., O’Hara, R., Bell, F., &amp; Goodacre, S. (2024). How do emergency departments respond to ambulance pre-alert calls? A qualitative exploration of the management of pre-alerts in UK emergency departments. Emergency Medicine Journal, 42(1), e213854. https://doi.org/10.1136/emermed-2023-213854 </w:t>
      </w:r>
    </w:p>
    <w:p w14:paraId="47C2C2AB" w14:textId="77777777" w:rsidR="002F769C" w:rsidRDefault="002F769C" w:rsidP="002F769C">
      <w:r>
        <w:t xml:space="preserve">McSherry, P., Manti, A. M., Crellin, A., Lane, C., &amp; Foulds, G. (2025). Integrated primary care mental health service: A qualitative exploration of an integrated approach to supporting people with significant mental health problems in primary care. Community Mental Health Journal. https://doi.org/10.1007/s10597-024-01393-1 </w:t>
      </w:r>
    </w:p>
    <w:p w14:paraId="15B2E5BA" w14:textId="30BE87B7" w:rsidR="002F769C" w:rsidRDefault="002F769C" w:rsidP="002F769C">
      <w:r>
        <w:t xml:space="preserve">National Audit Office. (2023). Progress in improving mental health services in England. https://www.nao.org.uk/wp-content/uploads/2023/02/Progress-in-improving-mental-health-services-CS.pdf </w:t>
      </w:r>
    </w:p>
    <w:p w14:paraId="0B23CE9D" w14:textId="77777777" w:rsidR="002F769C" w:rsidRDefault="002F769C" w:rsidP="002F769C">
      <w:r>
        <w:t xml:space="preserve">National Audit Office. (2023, June 21). </w:t>
      </w:r>
      <w:proofErr w:type="gramStart"/>
      <w:r>
        <w:t>Access to</w:t>
      </w:r>
      <w:proofErr w:type="gramEnd"/>
      <w:r>
        <w:t xml:space="preserve"> unplanned or urgent care. https://www.nao.org.uk/reports/access-to-unplanned-or-urgent-care/ </w:t>
      </w:r>
    </w:p>
    <w:p w14:paraId="77BA1FCB" w14:textId="77777777" w:rsidR="002F769C" w:rsidRDefault="002F769C" w:rsidP="002F769C">
      <w:r>
        <w:t xml:space="preserve">NHS Digital. (2025). Mental Health Services Monthly Statistics, Performance August 2025. https://digital.nhs.uk/data-and-information/publications/statistical/mental-health-services-monthly-statistics/performance-august-2025 </w:t>
      </w:r>
    </w:p>
    <w:p w14:paraId="3A62A8E1" w14:textId="77777777" w:rsidR="002F769C" w:rsidRDefault="002F769C" w:rsidP="002F769C">
      <w:r>
        <w:t xml:space="preserve">NHS England. (2024, December 12). Statistical note: Ambulance Quality Indicators (AQI). https://www.england.nhs.uk/statistics/wp-content/uploads/sites/2/2024/12/20241212-AQI-note-statistical.pdf </w:t>
      </w:r>
    </w:p>
    <w:p w14:paraId="75F59C92" w14:textId="77777777" w:rsidR="002F769C" w:rsidRDefault="002F769C" w:rsidP="002F769C">
      <w:r>
        <w:t>NHS England. (2025/26). NHS Mental Health Dashboard (community mental health services access metrics). https://www.england.nhs.uk/mental-health/taskforce/imp/mh-dashboard</w:t>
      </w:r>
    </w:p>
    <w:p w14:paraId="6A848F43" w14:textId="61D877F8" w:rsidR="002F769C" w:rsidRDefault="002F769C" w:rsidP="002F769C">
      <w:r>
        <w:lastRenderedPageBreak/>
        <w:t xml:space="preserve">Sambrook, L., McIntyre, J. C., Nathan, R., Tait, J., Ashley-Mudie, P., Humphreys, M., Wilson, P., &amp; Saini, P. (2025). “A community in crisis”: Staff qualitative experiences of NHS and third sector mental healthcare in England. </w:t>
      </w:r>
      <w:proofErr w:type="spellStart"/>
      <w:r>
        <w:t>BJPsych</w:t>
      </w:r>
      <w:proofErr w:type="spellEnd"/>
      <w:r>
        <w:t xml:space="preserve"> Open, 11(5), e210. https://doi.org/10.1192/bjo.2025.10826 </w:t>
      </w:r>
    </w:p>
    <w:p w14:paraId="063DC7D5" w14:textId="78FD88B6" w:rsidR="00E87C35" w:rsidRDefault="002F769C" w:rsidP="002F769C">
      <w:r>
        <w:t>Wilson, C., Janes, G., Lawton, R., &amp; Benn, J. (2023). Feedback for emergency ambulance staff: A national review of current practice informed by realist evaluation methodology. Healthcare, 11(16), 2229. https://doi.org/10.3390/healthcare11162229</w:t>
      </w:r>
    </w:p>
    <w:p w14:paraId="77B47DC7" w14:textId="77777777" w:rsidR="00E87C35" w:rsidRDefault="00E87C35" w:rsidP="00E87C35"/>
    <w:p w14:paraId="3A512BAE" w14:textId="7D742AB5" w:rsidR="00D6221F" w:rsidRDefault="00D6221F" w:rsidP="00E87C35"/>
    <w:p w14:paraId="0AE61FE1" w14:textId="72C62744" w:rsidR="00D6221F" w:rsidRDefault="00D6221F" w:rsidP="00E87C35"/>
    <w:p w14:paraId="769B60A9" w14:textId="47932003" w:rsidR="00D6221F" w:rsidRPr="00E87C35" w:rsidRDefault="00D6221F" w:rsidP="00E87C35"/>
    <w:p w14:paraId="1AB32023" w14:textId="4961F3BD" w:rsidR="00E87C35" w:rsidRDefault="00E87C35" w:rsidP="00E87C35"/>
    <w:p w14:paraId="30224F77" w14:textId="6583B9A0" w:rsidR="00E87C35" w:rsidRDefault="00E87C35" w:rsidP="00E87C35"/>
    <w:p w14:paraId="117B14D9" w14:textId="77777777" w:rsidR="00E87C35" w:rsidRPr="00E87C35" w:rsidRDefault="00E87C35" w:rsidP="00E87C35"/>
    <w:p w14:paraId="7E8FB455" w14:textId="1C4B015F" w:rsidR="00AD497F" w:rsidRDefault="00AD497F"/>
    <w:p w14:paraId="454C4263" w14:textId="7C815632" w:rsidR="009C791A" w:rsidRDefault="009C791A"/>
    <w:p w14:paraId="36BCA9F0" w14:textId="14CA12CD" w:rsidR="009C791A" w:rsidRDefault="009C791A"/>
    <w:p w14:paraId="16144371" w14:textId="0877A137" w:rsidR="009C791A" w:rsidRDefault="009C791A"/>
    <w:p w14:paraId="270AD6C8" w14:textId="18702093" w:rsidR="009C791A" w:rsidRDefault="009C791A"/>
    <w:sectPr w:rsidR="009C79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335EF" w14:textId="77777777" w:rsidR="00EE1C7F" w:rsidRDefault="00EE1C7F" w:rsidP="00184E93">
      <w:pPr>
        <w:spacing w:after="0" w:line="240" w:lineRule="auto"/>
      </w:pPr>
      <w:r>
        <w:separator/>
      </w:r>
    </w:p>
  </w:endnote>
  <w:endnote w:type="continuationSeparator" w:id="0">
    <w:p w14:paraId="73245C8C" w14:textId="77777777" w:rsidR="00EE1C7F" w:rsidRDefault="00EE1C7F" w:rsidP="00184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4541F" w14:textId="77777777" w:rsidR="00EE1C7F" w:rsidRDefault="00EE1C7F" w:rsidP="00184E93">
      <w:pPr>
        <w:spacing w:after="0" w:line="240" w:lineRule="auto"/>
      </w:pPr>
      <w:r>
        <w:separator/>
      </w:r>
    </w:p>
  </w:footnote>
  <w:footnote w:type="continuationSeparator" w:id="0">
    <w:p w14:paraId="42547E65" w14:textId="77777777" w:rsidR="00EE1C7F" w:rsidRDefault="00EE1C7F" w:rsidP="00184E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524FA"/>
    <w:multiLevelType w:val="multilevel"/>
    <w:tmpl w:val="8BA8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5D314C"/>
    <w:multiLevelType w:val="hybridMultilevel"/>
    <w:tmpl w:val="C5E69BB8"/>
    <w:lvl w:ilvl="0" w:tplc="967695D4">
      <w:numFmt w:val="bullet"/>
      <w:lvlText w:val=""/>
      <w:lvlJc w:val="left"/>
      <w:pPr>
        <w:ind w:left="825" w:hanging="465"/>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E294F"/>
    <w:multiLevelType w:val="hybridMultilevel"/>
    <w:tmpl w:val="118A26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3334DAC"/>
    <w:multiLevelType w:val="hybridMultilevel"/>
    <w:tmpl w:val="7108A3E4"/>
    <w:lvl w:ilvl="0" w:tplc="967695D4">
      <w:numFmt w:val="bullet"/>
      <w:lvlText w:val=""/>
      <w:lvlJc w:val="left"/>
      <w:pPr>
        <w:ind w:left="825" w:hanging="465"/>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3D2969"/>
    <w:multiLevelType w:val="multilevel"/>
    <w:tmpl w:val="998AC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B05CA6"/>
    <w:multiLevelType w:val="hybridMultilevel"/>
    <w:tmpl w:val="CA9413EC"/>
    <w:lvl w:ilvl="0" w:tplc="290C1EB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BC443A"/>
    <w:multiLevelType w:val="hybridMultilevel"/>
    <w:tmpl w:val="62B422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9ED494E"/>
    <w:multiLevelType w:val="multilevel"/>
    <w:tmpl w:val="F2543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600235"/>
    <w:multiLevelType w:val="multilevel"/>
    <w:tmpl w:val="A2A879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AF369D"/>
    <w:multiLevelType w:val="multilevel"/>
    <w:tmpl w:val="E676E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D87032"/>
    <w:multiLevelType w:val="hybridMultilevel"/>
    <w:tmpl w:val="03FE8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8F65AA"/>
    <w:multiLevelType w:val="multilevel"/>
    <w:tmpl w:val="DF08B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26055F"/>
    <w:multiLevelType w:val="hybridMultilevel"/>
    <w:tmpl w:val="9A38EB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7AC769D7"/>
    <w:multiLevelType w:val="hybridMultilevel"/>
    <w:tmpl w:val="31B0B2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596124">
    <w:abstractNumId w:val="8"/>
  </w:num>
  <w:num w:numId="2" w16cid:durableId="1627275496">
    <w:abstractNumId w:val="9"/>
  </w:num>
  <w:num w:numId="3" w16cid:durableId="1409382114">
    <w:abstractNumId w:val="7"/>
  </w:num>
  <w:num w:numId="4" w16cid:durableId="780809009">
    <w:abstractNumId w:val="0"/>
  </w:num>
  <w:num w:numId="5" w16cid:durableId="1960064066">
    <w:abstractNumId w:val="4"/>
  </w:num>
  <w:num w:numId="6" w16cid:durableId="729620808">
    <w:abstractNumId w:val="11"/>
  </w:num>
  <w:num w:numId="7" w16cid:durableId="1694915029">
    <w:abstractNumId w:val="12"/>
  </w:num>
  <w:num w:numId="8" w16cid:durableId="1063411149">
    <w:abstractNumId w:val="6"/>
  </w:num>
  <w:num w:numId="9" w16cid:durableId="9796529">
    <w:abstractNumId w:val="2"/>
  </w:num>
  <w:num w:numId="10" w16cid:durableId="1336684622">
    <w:abstractNumId w:val="10"/>
  </w:num>
  <w:num w:numId="11" w16cid:durableId="1288580330">
    <w:abstractNumId w:val="3"/>
  </w:num>
  <w:num w:numId="12" w16cid:durableId="1130976825">
    <w:abstractNumId w:val="1"/>
  </w:num>
  <w:num w:numId="13" w16cid:durableId="96952063">
    <w:abstractNumId w:val="5"/>
  </w:num>
  <w:num w:numId="14" w16cid:durableId="19586399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0EC"/>
    <w:rsid w:val="00053886"/>
    <w:rsid w:val="00184E93"/>
    <w:rsid w:val="001D29CE"/>
    <w:rsid w:val="00210C71"/>
    <w:rsid w:val="002962ED"/>
    <w:rsid w:val="002D5C19"/>
    <w:rsid w:val="002F769C"/>
    <w:rsid w:val="00355EDB"/>
    <w:rsid w:val="00361599"/>
    <w:rsid w:val="003863E3"/>
    <w:rsid w:val="003F06D0"/>
    <w:rsid w:val="00402BE2"/>
    <w:rsid w:val="004464FC"/>
    <w:rsid w:val="004546ED"/>
    <w:rsid w:val="004A2646"/>
    <w:rsid w:val="00505842"/>
    <w:rsid w:val="00532366"/>
    <w:rsid w:val="005E0ACB"/>
    <w:rsid w:val="00624515"/>
    <w:rsid w:val="006D01CD"/>
    <w:rsid w:val="00817A15"/>
    <w:rsid w:val="00887C8C"/>
    <w:rsid w:val="00957E9A"/>
    <w:rsid w:val="00966446"/>
    <w:rsid w:val="009B4DF6"/>
    <w:rsid w:val="009C791A"/>
    <w:rsid w:val="009F67E4"/>
    <w:rsid w:val="00A0277F"/>
    <w:rsid w:val="00A83EC3"/>
    <w:rsid w:val="00A96F22"/>
    <w:rsid w:val="00AD497F"/>
    <w:rsid w:val="00AD7B23"/>
    <w:rsid w:val="00AF29DA"/>
    <w:rsid w:val="00B5075F"/>
    <w:rsid w:val="00BC775F"/>
    <w:rsid w:val="00C37600"/>
    <w:rsid w:val="00C61109"/>
    <w:rsid w:val="00C61749"/>
    <w:rsid w:val="00C63EFF"/>
    <w:rsid w:val="00C85644"/>
    <w:rsid w:val="00CC0DC0"/>
    <w:rsid w:val="00D6221F"/>
    <w:rsid w:val="00E87C35"/>
    <w:rsid w:val="00EE1C7F"/>
    <w:rsid w:val="00EF70EC"/>
    <w:rsid w:val="00F15FDC"/>
    <w:rsid w:val="00F403D7"/>
    <w:rsid w:val="00FF234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8AC8D"/>
  <w15:chartTrackingRefBased/>
  <w15:docId w15:val="{854016A2-B6C5-4E91-8D71-05CEA3ECB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E93"/>
    <w:pPr>
      <w:spacing w:line="360" w:lineRule="auto"/>
      <w:jc w:val="both"/>
    </w:pPr>
    <w:rPr>
      <w:rFonts w:ascii="Arial" w:hAnsi="Arial"/>
      <w:sz w:val="22"/>
    </w:rPr>
  </w:style>
  <w:style w:type="paragraph" w:styleId="Heading1">
    <w:name w:val="heading 1"/>
    <w:basedOn w:val="Normal"/>
    <w:next w:val="Normal"/>
    <w:link w:val="Heading1Char"/>
    <w:uiPriority w:val="9"/>
    <w:qFormat/>
    <w:rsid w:val="00CC0DC0"/>
    <w:pPr>
      <w:keepNext/>
      <w:keepLines/>
      <w:spacing w:before="360" w:after="80"/>
      <w:jc w:val="left"/>
      <w:outlineLvl w:val="0"/>
    </w:pPr>
    <w:rPr>
      <w:rFonts w:eastAsiaTheme="majorEastAsia" w:cstheme="majorBidi"/>
      <w:b/>
      <w:caps/>
      <w:szCs w:val="40"/>
    </w:rPr>
  </w:style>
  <w:style w:type="paragraph" w:styleId="Heading2">
    <w:name w:val="heading 2"/>
    <w:basedOn w:val="Normal"/>
    <w:next w:val="Normal"/>
    <w:link w:val="Heading2Char"/>
    <w:uiPriority w:val="9"/>
    <w:semiHidden/>
    <w:unhideWhenUsed/>
    <w:qFormat/>
    <w:rsid w:val="00887C8C"/>
    <w:pPr>
      <w:keepNext/>
      <w:keepLines/>
      <w:spacing w:before="40" w:after="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D7B23"/>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EF70EC"/>
    <w:pPr>
      <w:keepNext/>
      <w:keepLines/>
      <w:spacing w:before="80" w:after="40"/>
      <w:outlineLvl w:val="3"/>
    </w:pPr>
    <w:rPr>
      <w:rFonts w:asciiTheme="minorHAnsi" w:eastAsiaTheme="majorEastAsia" w:hAnsiTheme="minorHAnsi" w:cstheme="majorBidi"/>
      <w:i/>
      <w:iCs/>
      <w:color w:val="107DC5" w:themeColor="accent1" w:themeShade="BF"/>
    </w:rPr>
  </w:style>
  <w:style w:type="paragraph" w:styleId="Heading5">
    <w:name w:val="heading 5"/>
    <w:basedOn w:val="Normal"/>
    <w:next w:val="Normal"/>
    <w:link w:val="Heading5Char"/>
    <w:uiPriority w:val="9"/>
    <w:semiHidden/>
    <w:unhideWhenUsed/>
    <w:qFormat/>
    <w:rsid w:val="00EF70EC"/>
    <w:pPr>
      <w:keepNext/>
      <w:keepLines/>
      <w:spacing w:before="80" w:after="40"/>
      <w:outlineLvl w:val="4"/>
    </w:pPr>
    <w:rPr>
      <w:rFonts w:asciiTheme="minorHAnsi" w:eastAsiaTheme="majorEastAsia" w:hAnsiTheme="minorHAnsi" w:cstheme="majorBidi"/>
      <w:color w:val="107DC5" w:themeColor="accent1" w:themeShade="BF"/>
    </w:rPr>
  </w:style>
  <w:style w:type="paragraph" w:styleId="Heading6">
    <w:name w:val="heading 6"/>
    <w:basedOn w:val="Normal"/>
    <w:next w:val="Normal"/>
    <w:link w:val="Heading6Char"/>
    <w:uiPriority w:val="9"/>
    <w:semiHidden/>
    <w:unhideWhenUsed/>
    <w:qFormat/>
    <w:rsid w:val="00EF70E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F70E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F70E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F70E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DC0"/>
    <w:rPr>
      <w:rFonts w:ascii="Arial" w:eastAsiaTheme="majorEastAsia" w:hAnsi="Arial" w:cstheme="majorBidi"/>
      <w:b/>
      <w:caps/>
      <w:szCs w:val="40"/>
    </w:rPr>
  </w:style>
  <w:style w:type="character" w:customStyle="1" w:styleId="Heading2Char">
    <w:name w:val="Heading 2 Char"/>
    <w:basedOn w:val="DefaultParagraphFont"/>
    <w:link w:val="Heading2"/>
    <w:uiPriority w:val="9"/>
    <w:semiHidden/>
    <w:rsid w:val="00887C8C"/>
    <w:rPr>
      <w:rFonts w:ascii="Arial" w:eastAsiaTheme="majorEastAsia" w:hAnsi="Arial" w:cstheme="majorBidi"/>
      <w:b/>
      <w:szCs w:val="32"/>
    </w:rPr>
  </w:style>
  <w:style w:type="character" w:customStyle="1" w:styleId="Heading3Char">
    <w:name w:val="Heading 3 Char"/>
    <w:basedOn w:val="DefaultParagraphFont"/>
    <w:link w:val="Heading3"/>
    <w:uiPriority w:val="9"/>
    <w:rsid w:val="00AD7B23"/>
    <w:rPr>
      <w:rFonts w:ascii="Arial" w:eastAsiaTheme="majorEastAsia" w:hAnsi="Arial" w:cstheme="majorBidi"/>
      <w:i/>
      <w:szCs w:val="28"/>
    </w:rPr>
  </w:style>
  <w:style w:type="character" w:customStyle="1" w:styleId="Heading4Char">
    <w:name w:val="Heading 4 Char"/>
    <w:basedOn w:val="DefaultParagraphFont"/>
    <w:link w:val="Heading4"/>
    <w:uiPriority w:val="9"/>
    <w:semiHidden/>
    <w:rsid w:val="00EF70EC"/>
    <w:rPr>
      <w:rFonts w:eastAsiaTheme="majorEastAsia" w:cstheme="majorBidi"/>
      <w:i/>
      <w:iCs/>
      <w:color w:val="107DC5" w:themeColor="accent1" w:themeShade="BF"/>
    </w:rPr>
  </w:style>
  <w:style w:type="character" w:customStyle="1" w:styleId="Heading5Char">
    <w:name w:val="Heading 5 Char"/>
    <w:basedOn w:val="DefaultParagraphFont"/>
    <w:link w:val="Heading5"/>
    <w:uiPriority w:val="9"/>
    <w:semiHidden/>
    <w:rsid w:val="00EF70EC"/>
    <w:rPr>
      <w:rFonts w:eastAsiaTheme="majorEastAsia" w:cstheme="majorBidi"/>
      <w:color w:val="107DC5" w:themeColor="accent1" w:themeShade="BF"/>
    </w:rPr>
  </w:style>
  <w:style w:type="character" w:customStyle="1" w:styleId="Heading6Char">
    <w:name w:val="Heading 6 Char"/>
    <w:basedOn w:val="DefaultParagraphFont"/>
    <w:link w:val="Heading6"/>
    <w:uiPriority w:val="9"/>
    <w:semiHidden/>
    <w:rsid w:val="00EF70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0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0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0EC"/>
    <w:rPr>
      <w:rFonts w:eastAsiaTheme="majorEastAsia" w:cstheme="majorBidi"/>
      <w:color w:val="272727" w:themeColor="text1" w:themeTint="D8"/>
    </w:rPr>
  </w:style>
  <w:style w:type="paragraph" w:styleId="Title">
    <w:name w:val="Title"/>
    <w:basedOn w:val="Normal"/>
    <w:next w:val="Normal"/>
    <w:link w:val="TitleChar"/>
    <w:uiPriority w:val="10"/>
    <w:qFormat/>
    <w:rsid w:val="00EF70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0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0E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0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0EC"/>
    <w:pPr>
      <w:spacing w:before="160"/>
      <w:jc w:val="center"/>
    </w:pPr>
    <w:rPr>
      <w:i/>
      <w:iCs/>
      <w:color w:val="404040" w:themeColor="text1" w:themeTint="BF"/>
    </w:rPr>
  </w:style>
  <w:style w:type="character" w:customStyle="1" w:styleId="QuoteChar">
    <w:name w:val="Quote Char"/>
    <w:basedOn w:val="DefaultParagraphFont"/>
    <w:link w:val="Quote"/>
    <w:uiPriority w:val="29"/>
    <w:rsid w:val="00EF70EC"/>
    <w:rPr>
      <w:rFonts w:ascii="Arial" w:hAnsi="Arial"/>
      <w:i/>
      <w:iCs/>
      <w:color w:val="404040" w:themeColor="text1" w:themeTint="BF"/>
    </w:rPr>
  </w:style>
  <w:style w:type="paragraph" w:styleId="ListParagraph">
    <w:name w:val="List Paragraph"/>
    <w:basedOn w:val="Normal"/>
    <w:uiPriority w:val="34"/>
    <w:qFormat/>
    <w:rsid w:val="00EF70EC"/>
    <w:pPr>
      <w:ind w:left="720"/>
      <w:contextualSpacing/>
    </w:pPr>
  </w:style>
  <w:style w:type="character" w:styleId="IntenseEmphasis">
    <w:name w:val="Intense Emphasis"/>
    <w:basedOn w:val="DefaultParagraphFont"/>
    <w:uiPriority w:val="21"/>
    <w:qFormat/>
    <w:rsid w:val="00EF70EC"/>
    <w:rPr>
      <w:i/>
      <w:iCs/>
      <w:color w:val="107DC5" w:themeColor="accent1" w:themeShade="BF"/>
    </w:rPr>
  </w:style>
  <w:style w:type="paragraph" w:styleId="IntenseQuote">
    <w:name w:val="Intense Quote"/>
    <w:basedOn w:val="Normal"/>
    <w:next w:val="Normal"/>
    <w:link w:val="IntenseQuoteChar"/>
    <w:uiPriority w:val="30"/>
    <w:qFormat/>
    <w:rsid w:val="00EF70EC"/>
    <w:pPr>
      <w:pBdr>
        <w:top w:val="single" w:sz="4" w:space="10" w:color="107DC5" w:themeColor="accent1" w:themeShade="BF"/>
        <w:bottom w:val="single" w:sz="4" w:space="10" w:color="107DC5" w:themeColor="accent1" w:themeShade="BF"/>
      </w:pBdr>
      <w:spacing w:before="360" w:after="360"/>
      <w:ind w:left="864" w:right="864"/>
      <w:jc w:val="center"/>
    </w:pPr>
    <w:rPr>
      <w:i/>
      <w:iCs/>
      <w:color w:val="107DC5" w:themeColor="accent1" w:themeShade="BF"/>
    </w:rPr>
  </w:style>
  <w:style w:type="character" w:customStyle="1" w:styleId="IntenseQuoteChar">
    <w:name w:val="Intense Quote Char"/>
    <w:basedOn w:val="DefaultParagraphFont"/>
    <w:link w:val="IntenseQuote"/>
    <w:uiPriority w:val="30"/>
    <w:rsid w:val="00EF70EC"/>
    <w:rPr>
      <w:rFonts w:ascii="Arial" w:hAnsi="Arial"/>
      <w:i/>
      <w:iCs/>
      <w:color w:val="107DC5" w:themeColor="accent1" w:themeShade="BF"/>
    </w:rPr>
  </w:style>
  <w:style w:type="character" w:styleId="IntenseReference">
    <w:name w:val="Intense Reference"/>
    <w:basedOn w:val="DefaultParagraphFont"/>
    <w:uiPriority w:val="32"/>
    <w:qFormat/>
    <w:rsid w:val="00EF70EC"/>
    <w:rPr>
      <w:b/>
      <w:bCs/>
      <w:smallCaps/>
      <w:color w:val="107DC5" w:themeColor="accent1" w:themeShade="BF"/>
      <w:spacing w:val="5"/>
    </w:rPr>
  </w:style>
  <w:style w:type="paragraph" w:styleId="Header">
    <w:name w:val="header"/>
    <w:basedOn w:val="Normal"/>
    <w:link w:val="HeaderChar"/>
    <w:uiPriority w:val="99"/>
    <w:unhideWhenUsed/>
    <w:rsid w:val="00184E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4E93"/>
    <w:rPr>
      <w:rFonts w:ascii="Arial" w:hAnsi="Arial"/>
    </w:rPr>
  </w:style>
  <w:style w:type="paragraph" w:styleId="Footer">
    <w:name w:val="footer"/>
    <w:basedOn w:val="Normal"/>
    <w:link w:val="FooterChar"/>
    <w:uiPriority w:val="99"/>
    <w:unhideWhenUsed/>
    <w:rsid w:val="00184E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4E93"/>
    <w:rPr>
      <w:rFonts w:ascii="Arial" w:hAnsi="Arial"/>
    </w:rPr>
  </w:style>
  <w:style w:type="character" w:styleId="Hyperlink">
    <w:name w:val="Hyperlink"/>
    <w:basedOn w:val="DefaultParagraphFont"/>
    <w:uiPriority w:val="99"/>
    <w:unhideWhenUsed/>
    <w:rsid w:val="00E87C35"/>
    <w:rPr>
      <w:color w:val="56BCFE" w:themeColor="hyperlink"/>
      <w:u w:val="single"/>
    </w:rPr>
  </w:style>
  <w:style w:type="character" w:styleId="UnresolvedMention">
    <w:name w:val="Unresolved Mention"/>
    <w:basedOn w:val="DefaultParagraphFont"/>
    <w:uiPriority w:val="99"/>
    <w:semiHidden/>
    <w:unhideWhenUsed/>
    <w:rsid w:val="00E87C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61856-DF6D-4B06-AC46-25DAD1BCF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1001</Words>
  <Characters>5711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Salma Shahzad (2332701)</cp:lastModifiedBy>
  <cp:revision>3</cp:revision>
  <dcterms:created xsi:type="dcterms:W3CDTF">2026-02-21T22:58:00Z</dcterms:created>
  <dcterms:modified xsi:type="dcterms:W3CDTF">2026-02-21T23:00:00Z</dcterms:modified>
</cp:coreProperties>
</file>