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5313F" w14:textId="195D4E9B" w:rsidR="00E57632" w:rsidRDefault="00836648" w:rsidP="0023279C">
      <w:pPr>
        <w:jc w:val="center"/>
        <w:rPr>
          <w:b/>
          <w:bCs/>
          <w:sz w:val="24"/>
          <w:szCs w:val="24"/>
          <w:u w:val="single"/>
        </w:rPr>
      </w:pPr>
      <w:r>
        <w:rPr>
          <w:b/>
          <w:bCs/>
          <w:sz w:val="24"/>
          <w:szCs w:val="24"/>
          <w:u w:val="single"/>
        </w:rPr>
        <w:t xml:space="preserve">On the Move: </w:t>
      </w:r>
      <w:r w:rsidR="0023279C">
        <w:rPr>
          <w:b/>
          <w:bCs/>
          <w:sz w:val="24"/>
          <w:szCs w:val="24"/>
          <w:u w:val="single"/>
        </w:rPr>
        <w:t>The Marginalisation of Travellers</w:t>
      </w:r>
    </w:p>
    <w:p w14:paraId="135BEBD9" w14:textId="48739C67" w:rsidR="0023279C" w:rsidRDefault="0023279C" w:rsidP="0023279C">
      <w:pPr>
        <w:jc w:val="center"/>
        <w:rPr>
          <w:b/>
          <w:bCs/>
          <w:sz w:val="24"/>
          <w:szCs w:val="24"/>
          <w:u w:val="single"/>
        </w:rPr>
      </w:pPr>
    </w:p>
    <w:p w14:paraId="1643FA94" w14:textId="65978385" w:rsidR="0023279C" w:rsidRDefault="003246FD" w:rsidP="0023279C">
      <w:pPr>
        <w:rPr>
          <w:sz w:val="24"/>
          <w:szCs w:val="24"/>
        </w:rPr>
      </w:pPr>
      <w:r>
        <w:rPr>
          <w:sz w:val="24"/>
          <w:szCs w:val="24"/>
        </w:rPr>
        <w:t>‘</w:t>
      </w:r>
      <w:r w:rsidR="0023279C">
        <w:rPr>
          <w:sz w:val="24"/>
          <w:szCs w:val="24"/>
        </w:rPr>
        <w:t>Culture shock</w:t>
      </w:r>
      <w:r>
        <w:rPr>
          <w:sz w:val="24"/>
          <w:szCs w:val="24"/>
        </w:rPr>
        <w:t>’</w:t>
      </w:r>
      <w:r w:rsidR="0023279C">
        <w:rPr>
          <w:sz w:val="24"/>
          <w:szCs w:val="24"/>
        </w:rPr>
        <w:t xml:space="preserve"> is a term usually used to describe the feelings a person gets when they visit a foreign land</w:t>
      </w:r>
      <w:r w:rsidR="000471BD">
        <w:rPr>
          <w:sz w:val="24"/>
          <w:szCs w:val="24"/>
        </w:rPr>
        <w:t xml:space="preserve"> </w:t>
      </w:r>
      <w:sdt>
        <w:sdtPr>
          <w:rPr>
            <w:sz w:val="24"/>
            <w:szCs w:val="24"/>
          </w:rPr>
          <w:id w:val="-151908912"/>
          <w:citation/>
        </w:sdtPr>
        <w:sdtEndPr/>
        <w:sdtContent>
          <w:r w:rsidR="000471BD">
            <w:rPr>
              <w:sz w:val="24"/>
              <w:szCs w:val="24"/>
            </w:rPr>
            <w:fldChar w:fldCharType="begin"/>
          </w:r>
          <w:r w:rsidR="000471BD">
            <w:rPr>
              <w:sz w:val="24"/>
              <w:szCs w:val="24"/>
            </w:rPr>
            <w:instrText xml:space="preserve"> CITATION Fur19 \l 2057 </w:instrText>
          </w:r>
          <w:r w:rsidR="000471BD">
            <w:rPr>
              <w:sz w:val="24"/>
              <w:szCs w:val="24"/>
            </w:rPr>
            <w:fldChar w:fldCharType="separate"/>
          </w:r>
          <w:r w:rsidR="000471BD" w:rsidRPr="000471BD">
            <w:rPr>
              <w:noProof/>
              <w:sz w:val="24"/>
              <w:szCs w:val="24"/>
            </w:rPr>
            <w:t>(Furnham, 2019)</w:t>
          </w:r>
          <w:r w:rsidR="000471BD">
            <w:rPr>
              <w:sz w:val="24"/>
              <w:szCs w:val="24"/>
            </w:rPr>
            <w:fldChar w:fldCharType="end"/>
          </w:r>
        </w:sdtContent>
      </w:sdt>
      <w:r w:rsidR="0023279C">
        <w:rPr>
          <w:sz w:val="24"/>
          <w:szCs w:val="24"/>
        </w:rPr>
        <w:t>. Within this piece I wish to e</w:t>
      </w:r>
      <w:r w:rsidR="00C96CDD">
        <w:rPr>
          <w:sz w:val="24"/>
          <w:szCs w:val="24"/>
        </w:rPr>
        <w:t>x</w:t>
      </w:r>
      <w:r w:rsidR="0023279C">
        <w:rPr>
          <w:sz w:val="24"/>
          <w:szCs w:val="24"/>
        </w:rPr>
        <w:t xml:space="preserve">plore the idea that culture shock can happen without having to travel all that far, without visiting exotic locations and unknown peoples, rather that it can happen simply by changing your living situation. </w:t>
      </w:r>
      <w:r w:rsidR="00C96CDD">
        <w:rPr>
          <w:sz w:val="24"/>
          <w:szCs w:val="24"/>
        </w:rPr>
        <w:t xml:space="preserve">In order to highlight this </w:t>
      </w:r>
      <w:r w:rsidR="0028498E">
        <w:rPr>
          <w:sz w:val="24"/>
          <w:szCs w:val="24"/>
        </w:rPr>
        <w:t>theory,</w:t>
      </w:r>
      <w:r w:rsidR="00C96CDD">
        <w:rPr>
          <w:sz w:val="24"/>
          <w:szCs w:val="24"/>
        </w:rPr>
        <w:t xml:space="preserve"> I will look at a specific part of the travelling community. The word </w:t>
      </w:r>
      <w:r w:rsidR="000708D5">
        <w:rPr>
          <w:sz w:val="24"/>
          <w:szCs w:val="24"/>
        </w:rPr>
        <w:t>‘</w:t>
      </w:r>
      <w:r w:rsidR="00C96CDD">
        <w:rPr>
          <w:sz w:val="24"/>
          <w:szCs w:val="24"/>
        </w:rPr>
        <w:t>traveller</w:t>
      </w:r>
      <w:r w:rsidR="000708D5">
        <w:rPr>
          <w:sz w:val="24"/>
          <w:szCs w:val="24"/>
        </w:rPr>
        <w:t>’</w:t>
      </w:r>
      <w:r w:rsidR="00C96CDD">
        <w:rPr>
          <w:sz w:val="24"/>
          <w:szCs w:val="24"/>
        </w:rPr>
        <w:t xml:space="preserve"> is an umbrella term used to describe a vast and differing group of </w:t>
      </w:r>
      <w:r w:rsidR="004440ED">
        <w:rPr>
          <w:sz w:val="24"/>
          <w:szCs w:val="24"/>
        </w:rPr>
        <w:t xml:space="preserve">mostly nomadic </w:t>
      </w:r>
      <w:r w:rsidR="00C96CDD">
        <w:rPr>
          <w:sz w:val="24"/>
          <w:szCs w:val="24"/>
        </w:rPr>
        <w:t>people</w:t>
      </w:r>
      <w:r w:rsidR="004440ED">
        <w:rPr>
          <w:sz w:val="24"/>
          <w:szCs w:val="24"/>
        </w:rPr>
        <w:t xml:space="preserve"> </w:t>
      </w:r>
      <w:r w:rsidR="000A3143" w:rsidRPr="004440ED">
        <w:rPr>
          <w:noProof/>
          <w:sz w:val="24"/>
          <w:szCs w:val="24"/>
        </w:rPr>
        <w:t>(Lexico, 2020</w:t>
      </w:r>
      <w:r w:rsidR="000A3143">
        <w:rPr>
          <w:noProof/>
          <w:sz w:val="24"/>
          <w:szCs w:val="24"/>
        </w:rPr>
        <w:t xml:space="preserve"> </w:t>
      </w:r>
      <w:r w:rsidR="00D84E96">
        <w:rPr>
          <w:noProof/>
          <w:sz w:val="24"/>
          <w:szCs w:val="24"/>
        </w:rPr>
        <w:t xml:space="preserve">&amp; </w:t>
      </w:r>
      <w:r w:rsidR="000A3143" w:rsidRPr="000A3143">
        <w:rPr>
          <w:noProof/>
          <w:sz w:val="24"/>
          <w:szCs w:val="24"/>
        </w:rPr>
        <w:t>Cromarty, 2019</w:t>
      </w:r>
      <w:r w:rsidR="000A3143" w:rsidRPr="004440ED">
        <w:rPr>
          <w:noProof/>
          <w:sz w:val="24"/>
          <w:szCs w:val="24"/>
        </w:rPr>
        <w:t>)</w:t>
      </w:r>
      <w:r w:rsidR="00C96CDD">
        <w:rPr>
          <w:sz w:val="24"/>
          <w:szCs w:val="24"/>
        </w:rPr>
        <w:t>. The stereotypical image of a traveller is that of a “site”, within which many vehicles and caravans are parked up that people live in</w:t>
      </w:r>
      <w:r w:rsidR="00397D13">
        <w:rPr>
          <w:sz w:val="24"/>
          <w:szCs w:val="24"/>
        </w:rPr>
        <w:t xml:space="preserve"> </w:t>
      </w:r>
      <w:sdt>
        <w:sdtPr>
          <w:rPr>
            <w:sz w:val="24"/>
            <w:szCs w:val="24"/>
          </w:rPr>
          <w:id w:val="-510370076"/>
          <w:citation/>
        </w:sdtPr>
        <w:sdtEndPr/>
        <w:sdtContent>
          <w:r w:rsidR="00397D13">
            <w:rPr>
              <w:sz w:val="24"/>
              <w:szCs w:val="24"/>
            </w:rPr>
            <w:fldChar w:fldCharType="begin"/>
          </w:r>
          <w:r w:rsidR="00397D13">
            <w:rPr>
              <w:sz w:val="24"/>
              <w:szCs w:val="24"/>
            </w:rPr>
            <w:instrText xml:space="preserve"> CITATION Kan13 \l 2057 </w:instrText>
          </w:r>
          <w:r w:rsidR="00397D13">
            <w:rPr>
              <w:sz w:val="24"/>
              <w:szCs w:val="24"/>
            </w:rPr>
            <w:fldChar w:fldCharType="separate"/>
          </w:r>
          <w:r w:rsidR="00397D13" w:rsidRPr="00397D13">
            <w:rPr>
              <w:noProof/>
              <w:sz w:val="24"/>
              <w:szCs w:val="24"/>
            </w:rPr>
            <w:t>(Kann, 2013)</w:t>
          </w:r>
          <w:r w:rsidR="00397D13">
            <w:rPr>
              <w:sz w:val="24"/>
              <w:szCs w:val="24"/>
            </w:rPr>
            <w:fldChar w:fldCharType="end"/>
          </w:r>
        </w:sdtContent>
      </w:sdt>
      <w:r w:rsidR="00C96CDD">
        <w:rPr>
          <w:sz w:val="24"/>
          <w:szCs w:val="24"/>
        </w:rPr>
        <w:t xml:space="preserve">. This is not the type of traveller I wish to look at as they have built up a tight knit community with their own culture over many years, instead I wish to look at a </w:t>
      </w:r>
      <w:r w:rsidR="00F00C0B">
        <w:rPr>
          <w:sz w:val="24"/>
          <w:szCs w:val="24"/>
        </w:rPr>
        <w:t xml:space="preserve">smaller portion of the wider community. This smaller collection of people includes single vehicle dwellers, those that do not travel within a large group, rather they travel around in one vehicle and park in areas without other travellers. </w:t>
      </w:r>
      <w:r w:rsidR="00D84E96">
        <w:rPr>
          <w:sz w:val="24"/>
          <w:szCs w:val="24"/>
        </w:rPr>
        <w:t xml:space="preserve">This category of traveller is considered to be </w:t>
      </w:r>
      <w:r w:rsidR="000708D5">
        <w:rPr>
          <w:sz w:val="24"/>
          <w:szCs w:val="24"/>
        </w:rPr>
        <w:t>‘</w:t>
      </w:r>
      <w:r w:rsidR="00D84E96">
        <w:rPr>
          <w:sz w:val="24"/>
          <w:szCs w:val="24"/>
        </w:rPr>
        <w:t>cultural</w:t>
      </w:r>
      <w:r w:rsidR="000708D5">
        <w:rPr>
          <w:sz w:val="24"/>
          <w:szCs w:val="24"/>
        </w:rPr>
        <w:t>’</w:t>
      </w:r>
      <w:r w:rsidR="00D84E96">
        <w:rPr>
          <w:sz w:val="24"/>
          <w:szCs w:val="24"/>
        </w:rPr>
        <w:t xml:space="preserve"> as opposed to </w:t>
      </w:r>
      <w:r w:rsidR="000708D5">
        <w:rPr>
          <w:sz w:val="24"/>
          <w:szCs w:val="24"/>
        </w:rPr>
        <w:t>‘</w:t>
      </w:r>
      <w:r w:rsidR="00D84E96">
        <w:rPr>
          <w:sz w:val="24"/>
          <w:szCs w:val="24"/>
        </w:rPr>
        <w:t>eth</w:t>
      </w:r>
      <w:r w:rsidR="000708D5">
        <w:rPr>
          <w:sz w:val="24"/>
          <w:szCs w:val="24"/>
        </w:rPr>
        <w:t>n</w:t>
      </w:r>
      <w:r w:rsidR="00D84E96">
        <w:rPr>
          <w:sz w:val="24"/>
          <w:szCs w:val="24"/>
        </w:rPr>
        <w:t>ic</w:t>
      </w:r>
      <w:r w:rsidR="000708D5">
        <w:rPr>
          <w:sz w:val="24"/>
          <w:szCs w:val="24"/>
        </w:rPr>
        <w:t>’</w:t>
      </w:r>
      <w:r w:rsidR="00D84E96">
        <w:rPr>
          <w:sz w:val="24"/>
          <w:szCs w:val="24"/>
        </w:rPr>
        <w:t xml:space="preserve"> in origin </w:t>
      </w:r>
      <w:r w:rsidR="00956BC1">
        <w:rPr>
          <w:sz w:val="24"/>
          <w:szCs w:val="24"/>
        </w:rPr>
        <w:t xml:space="preserve">and are often known as ‘New Age Travellers’ </w:t>
      </w:r>
      <w:sdt>
        <w:sdtPr>
          <w:rPr>
            <w:sz w:val="24"/>
            <w:szCs w:val="24"/>
          </w:rPr>
          <w:id w:val="497161070"/>
          <w:citation/>
        </w:sdtPr>
        <w:sdtEndPr/>
        <w:sdtContent>
          <w:r w:rsidR="00D84E96">
            <w:rPr>
              <w:sz w:val="24"/>
              <w:szCs w:val="24"/>
            </w:rPr>
            <w:fldChar w:fldCharType="begin"/>
          </w:r>
          <w:r w:rsidR="00D84E96">
            <w:rPr>
              <w:sz w:val="24"/>
              <w:szCs w:val="24"/>
            </w:rPr>
            <w:instrText xml:space="preserve"> CITATION Cro19 \l 2057 </w:instrText>
          </w:r>
          <w:r w:rsidR="00D84E96">
            <w:rPr>
              <w:sz w:val="24"/>
              <w:szCs w:val="24"/>
            </w:rPr>
            <w:fldChar w:fldCharType="separate"/>
          </w:r>
          <w:r w:rsidR="00D84E96" w:rsidRPr="00D84E96">
            <w:rPr>
              <w:noProof/>
              <w:sz w:val="24"/>
              <w:szCs w:val="24"/>
            </w:rPr>
            <w:t>(Cromarty, 2019)</w:t>
          </w:r>
          <w:r w:rsidR="00D84E96">
            <w:rPr>
              <w:sz w:val="24"/>
              <w:szCs w:val="24"/>
            </w:rPr>
            <w:fldChar w:fldCharType="end"/>
          </w:r>
        </w:sdtContent>
      </w:sdt>
      <w:r w:rsidR="00D84E96">
        <w:rPr>
          <w:sz w:val="24"/>
          <w:szCs w:val="24"/>
        </w:rPr>
        <w:t xml:space="preserve">. </w:t>
      </w:r>
      <w:r w:rsidR="00B62CDD">
        <w:rPr>
          <w:sz w:val="24"/>
          <w:szCs w:val="24"/>
        </w:rPr>
        <w:t xml:space="preserve">There is now an increase in the number of Gypsies and Travellers who alternate between remaining static and nomadism </w:t>
      </w:r>
      <w:sdt>
        <w:sdtPr>
          <w:rPr>
            <w:sz w:val="24"/>
            <w:szCs w:val="24"/>
          </w:rPr>
          <w:id w:val="1904101448"/>
          <w:citation/>
        </w:sdtPr>
        <w:sdtEndPr/>
        <w:sdtContent>
          <w:r w:rsidR="00B62CDD">
            <w:rPr>
              <w:sz w:val="24"/>
              <w:szCs w:val="24"/>
            </w:rPr>
            <w:fldChar w:fldCharType="begin"/>
          </w:r>
          <w:r w:rsidR="00B62CDD">
            <w:rPr>
              <w:sz w:val="24"/>
              <w:szCs w:val="24"/>
            </w:rPr>
            <w:instrText xml:space="preserve"> CITATION Bro10 \l 2057 </w:instrText>
          </w:r>
          <w:r w:rsidR="00B62CDD">
            <w:rPr>
              <w:sz w:val="24"/>
              <w:szCs w:val="24"/>
            </w:rPr>
            <w:fldChar w:fldCharType="separate"/>
          </w:r>
          <w:r w:rsidR="00B62CDD" w:rsidRPr="00B62CDD">
            <w:rPr>
              <w:noProof/>
              <w:sz w:val="24"/>
              <w:szCs w:val="24"/>
            </w:rPr>
            <w:t>(Brown &amp; Scullion, 2010)</w:t>
          </w:r>
          <w:r w:rsidR="00B62CDD">
            <w:rPr>
              <w:sz w:val="24"/>
              <w:szCs w:val="24"/>
            </w:rPr>
            <w:fldChar w:fldCharType="end"/>
          </w:r>
        </w:sdtContent>
      </w:sdt>
      <w:r w:rsidR="00B62CDD">
        <w:rPr>
          <w:sz w:val="24"/>
          <w:szCs w:val="24"/>
        </w:rPr>
        <w:t xml:space="preserve">. </w:t>
      </w:r>
      <w:r w:rsidR="00F00C0B">
        <w:rPr>
          <w:sz w:val="24"/>
          <w:szCs w:val="24"/>
        </w:rPr>
        <w:t xml:space="preserve">The number of occupants within the vehicle, the type of vehicle (though not hugely important this subject will be touched upon later within this piece), the age of the occupants, all of these aspects may differ hugely, however the aspects of culture shock are arguably shared between these people. </w:t>
      </w:r>
      <w:r w:rsidR="00D97E12">
        <w:rPr>
          <w:sz w:val="24"/>
          <w:szCs w:val="24"/>
        </w:rPr>
        <w:t xml:space="preserve">It is important to mention here that I identify as a member of this group, living in a </w:t>
      </w:r>
      <w:proofErr w:type="spellStart"/>
      <w:r w:rsidR="00D97E12">
        <w:rPr>
          <w:sz w:val="24"/>
          <w:szCs w:val="24"/>
        </w:rPr>
        <w:t>self converted</w:t>
      </w:r>
      <w:proofErr w:type="spellEnd"/>
      <w:r w:rsidR="00D97E12">
        <w:rPr>
          <w:sz w:val="24"/>
          <w:szCs w:val="24"/>
        </w:rPr>
        <w:t xml:space="preserve"> van with my partner and two dogs for just under two years at the time of writing this, as such my own views and experiences will of course be influential within this piece.</w:t>
      </w:r>
      <w:r w:rsidR="000708D5">
        <w:rPr>
          <w:sz w:val="24"/>
          <w:szCs w:val="24"/>
        </w:rPr>
        <w:t xml:space="preserve"> </w:t>
      </w:r>
      <w:r w:rsidR="000471BD">
        <w:rPr>
          <w:sz w:val="24"/>
          <w:szCs w:val="24"/>
        </w:rPr>
        <w:t>For ease of reading the term traveller within this essay will be used to refer specifically to this group</w:t>
      </w:r>
      <w:r w:rsidR="00687F14">
        <w:rPr>
          <w:sz w:val="24"/>
          <w:szCs w:val="24"/>
        </w:rPr>
        <w:t xml:space="preserve"> instead of being used as an umbrella term</w:t>
      </w:r>
      <w:r w:rsidR="007E2D99">
        <w:rPr>
          <w:sz w:val="24"/>
          <w:szCs w:val="24"/>
        </w:rPr>
        <w:t>, unless otherwise stated</w:t>
      </w:r>
      <w:r w:rsidR="00687F14">
        <w:rPr>
          <w:sz w:val="24"/>
          <w:szCs w:val="24"/>
        </w:rPr>
        <w:t>.</w:t>
      </w:r>
    </w:p>
    <w:p w14:paraId="6DDEBB11" w14:textId="4AC833E4" w:rsidR="000708D5" w:rsidRDefault="003246FD" w:rsidP="0023279C">
      <w:pPr>
        <w:rPr>
          <w:sz w:val="24"/>
          <w:szCs w:val="24"/>
        </w:rPr>
      </w:pPr>
      <w:r>
        <w:rPr>
          <w:sz w:val="24"/>
          <w:szCs w:val="24"/>
        </w:rPr>
        <w:t xml:space="preserve">In order to look at culture shock it is important to first understand what is meant by the term culture itself. Culture is a term used across many </w:t>
      </w:r>
      <w:r w:rsidR="000471BD">
        <w:rPr>
          <w:sz w:val="24"/>
          <w:szCs w:val="24"/>
        </w:rPr>
        <w:t>disciplines</w:t>
      </w:r>
      <w:r>
        <w:rPr>
          <w:sz w:val="24"/>
          <w:szCs w:val="24"/>
        </w:rPr>
        <w:t xml:space="preserve"> and in daily life with no seeming need for explanation, however when asked to define culture it can be quite difficult and differs from person to person</w:t>
      </w:r>
      <w:r w:rsidR="000471BD">
        <w:rPr>
          <w:sz w:val="24"/>
          <w:szCs w:val="24"/>
        </w:rPr>
        <w:t xml:space="preserve"> </w:t>
      </w:r>
      <w:sdt>
        <w:sdtPr>
          <w:rPr>
            <w:sz w:val="24"/>
            <w:szCs w:val="24"/>
          </w:rPr>
          <w:id w:val="734673419"/>
          <w:citation/>
        </w:sdtPr>
        <w:sdtEndPr/>
        <w:sdtContent>
          <w:r w:rsidR="000471BD">
            <w:rPr>
              <w:sz w:val="24"/>
              <w:szCs w:val="24"/>
            </w:rPr>
            <w:fldChar w:fldCharType="begin"/>
          </w:r>
          <w:r w:rsidR="000471BD">
            <w:rPr>
              <w:sz w:val="24"/>
              <w:szCs w:val="24"/>
            </w:rPr>
            <w:instrText xml:space="preserve"> CITATION Ber02 \l 2057 </w:instrText>
          </w:r>
          <w:r w:rsidR="000471BD">
            <w:rPr>
              <w:sz w:val="24"/>
              <w:szCs w:val="24"/>
            </w:rPr>
            <w:fldChar w:fldCharType="separate"/>
          </w:r>
          <w:r w:rsidR="000471BD" w:rsidRPr="000471BD">
            <w:rPr>
              <w:noProof/>
              <w:sz w:val="24"/>
              <w:szCs w:val="24"/>
            </w:rPr>
            <w:t>(Berry, et al., 2002)</w:t>
          </w:r>
          <w:r w:rsidR="000471BD">
            <w:rPr>
              <w:sz w:val="24"/>
              <w:szCs w:val="24"/>
            </w:rPr>
            <w:fldChar w:fldCharType="end"/>
          </w:r>
        </w:sdtContent>
      </w:sdt>
      <w:r>
        <w:rPr>
          <w:sz w:val="24"/>
          <w:szCs w:val="24"/>
        </w:rPr>
        <w:t xml:space="preserve">. For the purpose of this essay we will use the psychological definition, which is that any behaviour that is learned can be classed as cultural, these learned behaviours </w:t>
      </w:r>
      <w:r w:rsidR="000471BD">
        <w:rPr>
          <w:sz w:val="24"/>
          <w:szCs w:val="24"/>
        </w:rPr>
        <w:t xml:space="preserve">come together to form the habits and rules by which the society runs </w:t>
      </w:r>
      <w:sdt>
        <w:sdtPr>
          <w:rPr>
            <w:sz w:val="24"/>
            <w:szCs w:val="24"/>
          </w:rPr>
          <w:id w:val="-1689124113"/>
          <w:citation/>
        </w:sdtPr>
        <w:sdtEndPr/>
        <w:sdtContent>
          <w:r w:rsidR="000471BD">
            <w:rPr>
              <w:sz w:val="24"/>
              <w:szCs w:val="24"/>
            </w:rPr>
            <w:fldChar w:fldCharType="begin"/>
          </w:r>
          <w:r w:rsidR="000471BD">
            <w:rPr>
              <w:sz w:val="24"/>
              <w:szCs w:val="24"/>
            </w:rPr>
            <w:instrText xml:space="preserve"> CITATION Ber02 \l 2057 </w:instrText>
          </w:r>
          <w:r w:rsidR="000471BD">
            <w:rPr>
              <w:sz w:val="24"/>
              <w:szCs w:val="24"/>
            </w:rPr>
            <w:fldChar w:fldCharType="separate"/>
          </w:r>
          <w:r w:rsidR="000471BD" w:rsidRPr="000471BD">
            <w:rPr>
              <w:noProof/>
              <w:sz w:val="24"/>
              <w:szCs w:val="24"/>
            </w:rPr>
            <w:t>(Berry, et al., 2002)</w:t>
          </w:r>
          <w:r w:rsidR="000471BD">
            <w:rPr>
              <w:sz w:val="24"/>
              <w:szCs w:val="24"/>
            </w:rPr>
            <w:fldChar w:fldCharType="end"/>
          </w:r>
        </w:sdtContent>
      </w:sdt>
      <w:r w:rsidR="000471BD">
        <w:rPr>
          <w:sz w:val="24"/>
          <w:szCs w:val="24"/>
        </w:rPr>
        <w:t xml:space="preserve">. </w:t>
      </w:r>
      <w:r w:rsidR="00187DB2">
        <w:rPr>
          <w:sz w:val="24"/>
          <w:szCs w:val="24"/>
        </w:rPr>
        <w:t xml:space="preserve">When a person comes into contact with a new or different set of these societal rules, it is described as culture shock and can frequently cause a negative reaction </w:t>
      </w:r>
      <w:sdt>
        <w:sdtPr>
          <w:rPr>
            <w:sz w:val="24"/>
            <w:szCs w:val="24"/>
          </w:rPr>
          <w:id w:val="2002081496"/>
          <w:citation/>
        </w:sdtPr>
        <w:sdtEndPr/>
        <w:sdtContent>
          <w:r w:rsidR="00187DB2">
            <w:rPr>
              <w:sz w:val="24"/>
              <w:szCs w:val="24"/>
            </w:rPr>
            <w:fldChar w:fldCharType="begin"/>
          </w:r>
          <w:r w:rsidR="00187DB2">
            <w:rPr>
              <w:sz w:val="24"/>
              <w:szCs w:val="24"/>
            </w:rPr>
            <w:instrText xml:space="preserve"> CITATION Fur19 \l 2057 </w:instrText>
          </w:r>
          <w:r w:rsidR="00187DB2">
            <w:rPr>
              <w:sz w:val="24"/>
              <w:szCs w:val="24"/>
            </w:rPr>
            <w:fldChar w:fldCharType="separate"/>
          </w:r>
          <w:r w:rsidR="00187DB2" w:rsidRPr="00187DB2">
            <w:rPr>
              <w:noProof/>
              <w:sz w:val="24"/>
              <w:szCs w:val="24"/>
            </w:rPr>
            <w:t>(Furnham, 2019)</w:t>
          </w:r>
          <w:r w:rsidR="00187DB2">
            <w:rPr>
              <w:sz w:val="24"/>
              <w:szCs w:val="24"/>
            </w:rPr>
            <w:fldChar w:fldCharType="end"/>
          </w:r>
        </w:sdtContent>
      </w:sdt>
      <w:r w:rsidR="00187DB2">
        <w:rPr>
          <w:sz w:val="24"/>
          <w:szCs w:val="24"/>
        </w:rPr>
        <w:t xml:space="preserve">. </w:t>
      </w:r>
      <w:r w:rsidR="00E350E9">
        <w:rPr>
          <w:sz w:val="24"/>
          <w:szCs w:val="24"/>
        </w:rPr>
        <w:t xml:space="preserve">Culture shock is also described as the anxiety a person feels as a result of coming into contact with an unfamiliar culture, leaving a person to feel like a “fish out of water” </w:t>
      </w:r>
      <w:sdt>
        <w:sdtPr>
          <w:rPr>
            <w:sz w:val="24"/>
            <w:szCs w:val="24"/>
          </w:rPr>
          <w:id w:val="-1649891102"/>
          <w:citation/>
        </w:sdtPr>
        <w:sdtEndPr/>
        <w:sdtContent>
          <w:r w:rsidR="00E350E9">
            <w:rPr>
              <w:sz w:val="24"/>
              <w:szCs w:val="24"/>
            </w:rPr>
            <w:fldChar w:fldCharType="begin"/>
          </w:r>
          <w:r w:rsidR="00E350E9">
            <w:rPr>
              <w:sz w:val="24"/>
              <w:szCs w:val="24"/>
            </w:rPr>
            <w:instrText xml:space="preserve">CITATION Obe60 \p 142 \l 2057 </w:instrText>
          </w:r>
          <w:r w:rsidR="00E350E9">
            <w:rPr>
              <w:sz w:val="24"/>
              <w:szCs w:val="24"/>
            </w:rPr>
            <w:fldChar w:fldCharType="separate"/>
          </w:r>
          <w:r w:rsidR="00E350E9" w:rsidRPr="00E350E9">
            <w:rPr>
              <w:noProof/>
              <w:sz w:val="24"/>
              <w:szCs w:val="24"/>
            </w:rPr>
            <w:t>(Oberg, 1960, p. 142)</w:t>
          </w:r>
          <w:r w:rsidR="00E350E9">
            <w:rPr>
              <w:sz w:val="24"/>
              <w:szCs w:val="24"/>
            </w:rPr>
            <w:fldChar w:fldCharType="end"/>
          </w:r>
        </w:sdtContent>
      </w:sdt>
      <w:r w:rsidR="00E350E9">
        <w:rPr>
          <w:sz w:val="24"/>
          <w:szCs w:val="24"/>
        </w:rPr>
        <w:t xml:space="preserve">. </w:t>
      </w:r>
      <w:r w:rsidR="00187DB2">
        <w:rPr>
          <w:sz w:val="24"/>
          <w:szCs w:val="24"/>
        </w:rPr>
        <w:t xml:space="preserve">It stands to reason that travelling to a country vastly different from </w:t>
      </w:r>
      <w:r w:rsidR="00017770">
        <w:rPr>
          <w:sz w:val="24"/>
          <w:szCs w:val="24"/>
        </w:rPr>
        <w:t>one’s</w:t>
      </w:r>
      <w:r w:rsidR="00187DB2">
        <w:rPr>
          <w:sz w:val="24"/>
          <w:szCs w:val="24"/>
        </w:rPr>
        <w:t xml:space="preserve"> home country would evoke a larger reaction of culture shock due to these societal rules being so very unfamiliar </w:t>
      </w:r>
      <w:sdt>
        <w:sdtPr>
          <w:rPr>
            <w:sz w:val="24"/>
            <w:szCs w:val="24"/>
          </w:rPr>
          <w:id w:val="-171269229"/>
          <w:citation/>
        </w:sdtPr>
        <w:sdtEndPr/>
        <w:sdtContent>
          <w:r w:rsidR="00187DB2">
            <w:rPr>
              <w:sz w:val="24"/>
              <w:szCs w:val="24"/>
            </w:rPr>
            <w:fldChar w:fldCharType="begin"/>
          </w:r>
          <w:r w:rsidR="00187DB2">
            <w:rPr>
              <w:sz w:val="24"/>
              <w:szCs w:val="24"/>
            </w:rPr>
            <w:instrText xml:space="preserve"> CITATION Fur19 \l 2057 </w:instrText>
          </w:r>
          <w:r w:rsidR="00187DB2">
            <w:rPr>
              <w:sz w:val="24"/>
              <w:szCs w:val="24"/>
            </w:rPr>
            <w:fldChar w:fldCharType="separate"/>
          </w:r>
          <w:r w:rsidR="00187DB2" w:rsidRPr="00187DB2">
            <w:rPr>
              <w:noProof/>
              <w:sz w:val="24"/>
              <w:szCs w:val="24"/>
            </w:rPr>
            <w:t>(Furnham, 2019)</w:t>
          </w:r>
          <w:r w:rsidR="00187DB2">
            <w:rPr>
              <w:sz w:val="24"/>
              <w:szCs w:val="24"/>
            </w:rPr>
            <w:fldChar w:fldCharType="end"/>
          </w:r>
        </w:sdtContent>
      </w:sdt>
      <w:r w:rsidR="00187DB2">
        <w:rPr>
          <w:sz w:val="24"/>
          <w:szCs w:val="24"/>
        </w:rPr>
        <w:t xml:space="preserve">. I would argue </w:t>
      </w:r>
      <w:r w:rsidR="00187DB2">
        <w:rPr>
          <w:sz w:val="24"/>
          <w:szCs w:val="24"/>
        </w:rPr>
        <w:lastRenderedPageBreak/>
        <w:t xml:space="preserve">that a shift in position within </w:t>
      </w:r>
      <w:r w:rsidR="0028498E">
        <w:rPr>
          <w:sz w:val="24"/>
          <w:szCs w:val="24"/>
        </w:rPr>
        <w:t>one’s</w:t>
      </w:r>
      <w:r w:rsidR="00187DB2">
        <w:rPr>
          <w:sz w:val="24"/>
          <w:szCs w:val="24"/>
        </w:rPr>
        <w:t xml:space="preserve"> own culture could also cause a level of culture shock, though not necessarily as strong as a complete change of culture.</w:t>
      </w:r>
    </w:p>
    <w:p w14:paraId="5ABBB3CB" w14:textId="5D5DFEAB" w:rsidR="00914BA6" w:rsidRDefault="00914BA6" w:rsidP="0023279C">
      <w:pPr>
        <w:rPr>
          <w:sz w:val="24"/>
          <w:szCs w:val="24"/>
        </w:rPr>
      </w:pPr>
      <w:r>
        <w:rPr>
          <w:sz w:val="24"/>
          <w:szCs w:val="24"/>
        </w:rPr>
        <w:t xml:space="preserve">Moving from a house into a vehicle </w:t>
      </w:r>
      <w:r w:rsidR="009E4CAC">
        <w:rPr>
          <w:sz w:val="24"/>
          <w:szCs w:val="24"/>
        </w:rPr>
        <w:t xml:space="preserve">forces a person to make huge changes to their life. For starters it is simply impossible to fit the same </w:t>
      </w:r>
      <w:r w:rsidR="0028498E">
        <w:rPr>
          <w:sz w:val="24"/>
          <w:szCs w:val="24"/>
        </w:rPr>
        <w:t>number</w:t>
      </w:r>
      <w:r w:rsidR="009E4CAC">
        <w:rPr>
          <w:sz w:val="24"/>
          <w:szCs w:val="24"/>
        </w:rPr>
        <w:t xml:space="preserve"> of items into a vehicle as you would a home, therefore a large cull of what a person deems important is needed. It forces you to choose what items you actually feel is necessary to live, in a society where the amount of stuff you own is see</w:t>
      </w:r>
      <w:r w:rsidR="007E2D99">
        <w:rPr>
          <w:sz w:val="24"/>
          <w:szCs w:val="24"/>
        </w:rPr>
        <w:t>n</w:t>
      </w:r>
      <w:r w:rsidR="009E4CAC">
        <w:rPr>
          <w:sz w:val="24"/>
          <w:szCs w:val="24"/>
        </w:rPr>
        <w:t xml:space="preserve"> to be an indicator of how well you are doing in life this can be quite difficult. </w:t>
      </w:r>
      <w:r w:rsidR="002770A5">
        <w:rPr>
          <w:sz w:val="24"/>
          <w:szCs w:val="24"/>
        </w:rPr>
        <w:t>Having</w:t>
      </w:r>
      <w:r w:rsidR="009E4CAC">
        <w:rPr>
          <w:sz w:val="24"/>
          <w:szCs w:val="24"/>
        </w:rPr>
        <w:t xml:space="preserve"> fewer things to hand can take quite a bit of getting used to, fewer clothing items means more washing to do, however a smaller living space means that most will not have a washing machine in their home, therefore having to seek out the nearest laundrette. Fewer worktops in the kitchen area means that washing up must been done routinely, cooking itself has to change depending on what cooking apparatus has been installed in your vehicle. For example, in my own vehicle we only have two hobs, no oven, this means that all cooking must be done using only the hobs. If moving into a vehicle with a</w:t>
      </w:r>
      <w:r w:rsidR="002770A5">
        <w:rPr>
          <w:sz w:val="24"/>
          <w:szCs w:val="24"/>
        </w:rPr>
        <w:t xml:space="preserve">nother person, there is no longer the option to go to another room to get some personal space. </w:t>
      </w:r>
      <w:r w:rsidR="00612C25">
        <w:rPr>
          <w:sz w:val="24"/>
          <w:szCs w:val="24"/>
        </w:rPr>
        <w:t xml:space="preserve"> These are just a few examples of the huge changes a person makes when moving from the societal norm of living in a house to living in a vehicle. The level of importance of each of these changes will vary from person to person, and there are many variables that will affect these changes, for example the size of the vehicle. </w:t>
      </w:r>
      <w:r w:rsidR="00836648">
        <w:rPr>
          <w:sz w:val="24"/>
          <w:szCs w:val="24"/>
        </w:rPr>
        <w:t xml:space="preserve">These changes in lifestyle are often expected and planned for in advance, though it could be argued that a certain level of shock is to be expected when these changes are put into practise. </w:t>
      </w:r>
      <w:r w:rsidR="007E2D99">
        <w:rPr>
          <w:sz w:val="24"/>
          <w:szCs w:val="24"/>
        </w:rPr>
        <w:t xml:space="preserve">According to Oberg (1960) there are four stages to culture shock, the honeymoon period, anxiety, adjustment and finally acceptance. Though simplistic and basic, this model is a good starting point to begin understanding culture shock. </w:t>
      </w:r>
    </w:p>
    <w:p w14:paraId="3ADD7084" w14:textId="298F72CE" w:rsidR="001671DF" w:rsidRPr="00017770" w:rsidRDefault="00836648" w:rsidP="0023279C">
      <w:pPr>
        <w:rPr>
          <w:sz w:val="24"/>
          <w:szCs w:val="24"/>
        </w:rPr>
      </w:pPr>
      <w:r>
        <w:rPr>
          <w:sz w:val="24"/>
          <w:szCs w:val="24"/>
        </w:rPr>
        <w:t xml:space="preserve">Shock, by definition is usually unforeseen and can have negative connotations </w:t>
      </w:r>
      <w:sdt>
        <w:sdtPr>
          <w:rPr>
            <w:sz w:val="24"/>
            <w:szCs w:val="24"/>
          </w:rPr>
          <w:id w:val="-497354179"/>
          <w:citation/>
        </w:sdtPr>
        <w:sdtEndPr/>
        <w:sdtContent>
          <w:r>
            <w:rPr>
              <w:sz w:val="24"/>
              <w:szCs w:val="24"/>
            </w:rPr>
            <w:fldChar w:fldCharType="begin"/>
          </w:r>
          <w:r>
            <w:rPr>
              <w:sz w:val="24"/>
              <w:szCs w:val="24"/>
            </w:rPr>
            <w:instrText xml:space="preserve"> CITATION Fur19 \l 2057 </w:instrText>
          </w:r>
          <w:r>
            <w:rPr>
              <w:sz w:val="24"/>
              <w:szCs w:val="24"/>
            </w:rPr>
            <w:fldChar w:fldCharType="separate"/>
          </w:r>
          <w:r w:rsidRPr="00836648">
            <w:rPr>
              <w:noProof/>
              <w:sz w:val="24"/>
              <w:szCs w:val="24"/>
            </w:rPr>
            <w:t>(Furnham, 2019)</w:t>
          </w:r>
          <w:r>
            <w:rPr>
              <w:sz w:val="24"/>
              <w:szCs w:val="24"/>
            </w:rPr>
            <w:fldChar w:fldCharType="end"/>
          </w:r>
        </w:sdtContent>
      </w:sdt>
      <w:r>
        <w:rPr>
          <w:sz w:val="24"/>
          <w:szCs w:val="24"/>
        </w:rPr>
        <w:t xml:space="preserve">. </w:t>
      </w:r>
      <w:r w:rsidR="00C04821">
        <w:rPr>
          <w:sz w:val="24"/>
          <w:szCs w:val="24"/>
        </w:rPr>
        <w:t xml:space="preserve">To what degree a person will experience culture shock is effected by many physical and psychological variables, including that different demographics and situations cause a person to deal with this culture shock differently and adapt in different ways </w:t>
      </w:r>
      <w:sdt>
        <w:sdtPr>
          <w:rPr>
            <w:sz w:val="24"/>
            <w:szCs w:val="24"/>
          </w:rPr>
          <w:id w:val="-393193911"/>
          <w:citation/>
        </w:sdtPr>
        <w:sdtEndPr/>
        <w:sdtContent>
          <w:r w:rsidR="00C04821">
            <w:rPr>
              <w:sz w:val="24"/>
              <w:szCs w:val="24"/>
            </w:rPr>
            <w:fldChar w:fldCharType="begin"/>
          </w:r>
          <w:r w:rsidR="00C04821">
            <w:rPr>
              <w:sz w:val="24"/>
              <w:szCs w:val="24"/>
            </w:rPr>
            <w:instrText xml:space="preserve"> CITATION Fur19 \l 2057 </w:instrText>
          </w:r>
          <w:r w:rsidR="00C04821">
            <w:rPr>
              <w:sz w:val="24"/>
              <w:szCs w:val="24"/>
            </w:rPr>
            <w:fldChar w:fldCharType="separate"/>
          </w:r>
          <w:r w:rsidR="00C04821" w:rsidRPr="00C04821">
            <w:rPr>
              <w:noProof/>
              <w:sz w:val="24"/>
              <w:szCs w:val="24"/>
            </w:rPr>
            <w:t>(Furnham, 2019)</w:t>
          </w:r>
          <w:r w:rsidR="00C04821">
            <w:rPr>
              <w:sz w:val="24"/>
              <w:szCs w:val="24"/>
            </w:rPr>
            <w:fldChar w:fldCharType="end"/>
          </w:r>
        </w:sdtContent>
      </w:sdt>
      <w:r w:rsidR="00C04821">
        <w:rPr>
          <w:sz w:val="24"/>
          <w:szCs w:val="24"/>
        </w:rPr>
        <w:t xml:space="preserve">. </w:t>
      </w:r>
      <w:r w:rsidR="00376414">
        <w:rPr>
          <w:sz w:val="24"/>
          <w:szCs w:val="24"/>
        </w:rPr>
        <w:t xml:space="preserve">This process of adaptation to another culture is known as acculturation </w:t>
      </w:r>
      <w:sdt>
        <w:sdtPr>
          <w:rPr>
            <w:sz w:val="24"/>
            <w:szCs w:val="24"/>
          </w:rPr>
          <w:id w:val="500545224"/>
          <w:citation/>
        </w:sdtPr>
        <w:sdtEndPr/>
        <w:sdtContent>
          <w:r w:rsidR="00376414">
            <w:rPr>
              <w:sz w:val="24"/>
              <w:szCs w:val="24"/>
            </w:rPr>
            <w:fldChar w:fldCharType="begin"/>
          </w:r>
          <w:r w:rsidR="00376414">
            <w:rPr>
              <w:sz w:val="24"/>
              <w:szCs w:val="24"/>
            </w:rPr>
            <w:instrText xml:space="preserve"> CITATION Fur19 \l 2057 </w:instrText>
          </w:r>
          <w:r w:rsidR="00376414">
            <w:rPr>
              <w:sz w:val="24"/>
              <w:szCs w:val="24"/>
            </w:rPr>
            <w:fldChar w:fldCharType="separate"/>
          </w:r>
          <w:r w:rsidR="00376414" w:rsidRPr="00376414">
            <w:rPr>
              <w:noProof/>
              <w:sz w:val="24"/>
              <w:szCs w:val="24"/>
            </w:rPr>
            <w:t>(Furnham, 2019)</w:t>
          </w:r>
          <w:r w:rsidR="00376414">
            <w:rPr>
              <w:sz w:val="24"/>
              <w:szCs w:val="24"/>
            </w:rPr>
            <w:fldChar w:fldCharType="end"/>
          </w:r>
        </w:sdtContent>
      </w:sdt>
      <w:r w:rsidR="00376414">
        <w:rPr>
          <w:sz w:val="24"/>
          <w:szCs w:val="24"/>
        </w:rPr>
        <w:t xml:space="preserve">. </w:t>
      </w:r>
      <w:r w:rsidR="0028498E">
        <w:rPr>
          <w:sz w:val="24"/>
          <w:szCs w:val="24"/>
        </w:rPr>
        <w:t>Acculturation</w:t>
      </w:r>
      <w:r w:rsidR="0023519A">
        <w:rPr>
          <w:sz w:val="24"/>
          <w:szCs w:val="24"/>
        </w:rPr>
        <w:t xml:space="preserve"> happens on both a personal level and a social level, whereby a person </w:t>
      </w:r>
      <w:r w:rsidR="0028498E">
        <w:rPr>
          <w:sz w:val="24"/>
          <w:szCs w:val="24"/>
        </w:rPr>
        <w:t>undergoes</w:t>
      </w:r>
      <w:r w:rsidR="0023519A">
        <w:rPr>
          <w:sz w:val="24"/>
          <w:szCs w:val="24"/>
        </w:rPr>
        <w:t xml:space="preserve"> changes both within themselves (for example their sense of self or their </w:t>
      </w:r>
      <w:r w:rsidR="0028498E">
        <w:rPr>
          <w:sz w:val="24"/>
          <w:szCs w:val="24"/>
        </w:rPr>
        <w:t>self-esteem</w:t>
      </w:r>
      <w:r w:rsidR="0023519A">
        <w:rPr>
          <w:sz w:val="24"/>
          <w:szCs w:val="24"/>
        </w:rPr>
        <w:t>)</w:t>
      </w:r>
      <w:r w:rsidR="00B9586C">
        <w:rPr>
          <w:sz w:val="24"/>
          <w:szCs w:val="24"/>
        </w:rPr>
        <w:t xml:space="preserve"> and with regards to social situations (for example how you greet another person, or how to act in a public social setting) </w:t>
      </w:r>
      <w:sdt>
        <w:sdtPr>
          <w:rPr>
            <w:sz w:val="24"/>
            <w:szCs w:val="24"/>
          </w:rPr>
          <w:id w:val="-2095469041"/>
          <w:citation/>
        </w:sdtPr>
        <w:sdtEndPr/>
        <w:sdtContent>
          <w:r w:rsidR="00B9586C">
            <w:rPr>
              <w:sz w:val="24"/>
              <w:szCs w:val="24"/>
            </w:rPr>
            <w:fldChar w:fldCharType="begin"/>
          </w:r>
          <w:r w:rsidR="00B9586C">
            <w:rPr>
              <w:sz w:val="24"/>
              <w:szCs w:val="24"/>
            </w:rPr>
            <w:instrText xml:space="preserve"> CITATION Ber06 \l 2057 </w:instrText>
          </w:r>
          <w:r w:rsidR="00B9586C">
            <w:rPr>
              <w:sz w:val="24"/>
              <w:szCs w:val="24"/>
            </w:rPr>
            <w:fldChar w:fldCharType="separate"/>
          </w:r>
          <w:r w:rsidR="00B9586C" w:rsidRPr="00B9586C">
            <w:rPr>
              <w:noProof/>
              <w:sz w:val="24"/>
              <w:szCs w:val="24"/>
            </w:rPr>
            <w:t>(Berry, 2006)</w:t>
          </w:r>
          <w:r w:rsidR="00B9586C">
            <w:rPr>
              <w:sz w:val="24"/>
              <w:szCs w:val="24"/>
            </w:rPr>
            <w:fldChar w:fldCharType="end"/>
          </w:r>
        </w:sdtContent>
      </w:sdt>
      <w:r w:rsidR="00B9586C">
        <w:rPr>
          <w:sz w:val="24"/>
          <w:szCs w:val="24"/>
        </w:rPr>
        <w:t xml:space="preserve">. One major factor in how a person approaches the process of acculturation </w:t>
      </w:r>
      <w:r w:rsidR="001671DF">
        <w:rPr>
          <w:sz w:val="24"/>
          <w:szCs w:val="24"/>
        </w:rPr>
        <w:t xml:space="preserve">is the reaction of the receiving culture towards newcomers </w:t>
      </w:r>
      <w:sdt>
        <w:sdtPr>
          <w:rPr>
            <w:sz w:val="24"/>
            <w:szCs w:val="24"/>
          </w:rPr>
          <w:id w:val="1041557597"/>
          <w:citation/>
        </w:sdtPr>
        <w:sdtEndPr/>
        <w:sdtContent>
          <w:r w:rsidR="001671DF">
            <w:rPr>
              <w:sz w:val="24"/>
              <w:szCs w:val="24"/>
            </w:rPr>
            <w:fldChar w:fldCharType="begin"/>
          </w:r>
          <w:r w:rsidR="001671DF">
            <w:rPr>
              <w:sz w:val="24"/>
              <w:szCs w:val="24"/>
            </w:rPr>
            <w:instrText xml:space="preserve"> CITATION Ber06 \l 2057 </w:instrText>
          </w:r>
          <w:r w:rsidR="001671DF">
            <w:rPr>
              <w:sz w:val="24"/>
              <w:szCs w:val="24"/>
            </w:rPr>
            <w:fldChar w:fldCharType="separate"/>
          </w:r>
          <w:r w:rsidR="001671DF" w:rsidRPr="001671DF">
            <w:rPr>
              <w:noProof/>
              <w:sz w:val="24"/>
              <w:szCs w:val="24"/>
            </w:rPr>
            <w:t>(Berry, 2006)</w:t>
          </w:r>
          <w:r w:rsidR="001671DF">
            <w:rPr>
              <w:sz w:val="24"/>
              <w:szCs w:val="24"/>
            </w:rPr>
            <w:fldChar w:fldCharType="end"/>
          </w:r>
        </w:sdtContent>
      </w:sdt>
      <w:r w:rsidR="001671DF">
        <w:rPr>
          <w:sz w:val="24"/>
          <w:szCs w:val="24"/>
        </w:rPr>
        <w:t xml:space="preserve">. If the receiving culture (culture B) has negative views on new people entering into their culture or a specific aversion towards the culture a person is coming from (culture B) then this can make the process of acculturation even more difficult </w:t>
      </w:r>
      <w:sdt>
        <w:sdtPr>
          <w:rPr>
            <w:sz w:val="24"/>
            <w:szCs w:val="24"/>
          </w:rPr>
          <w:id w:val="1896159022"/>
          <w:citation/>
        </w:sdtPr>
        <w:sdtEndPr/>
        <w:sdtContent>
          <w:r w:rsidR="001671DF">
            <w:rPr>
              <w:sz w:val="24"/>
              <w:szCs w:val="24"/>
            </w:rPr>
            <w:fldChar w:fldCharType="begin"/>
          </w:r>
          <w:r w:rsidR="001671DF">
            <w:rPr>
              <w:sz w:val="24"/>
              <w:szCs w:val="24"/>
            </w:rPr>
            <w:instrText xml:space="preserve"> CITATION Ber06 \l 2057 </w:instrText>
          </w:r>
          <w:r w:rsidR="001671DF">
            <w:rPr>
              <w:sz w:val="24"/>
              <w:szCs w:val="24"/>
            </w:rPr>
            <w:fldChar w:fldCharType="separate"/>
          </w:r>
          <w:r w:rsidR="001671DF" w:rsidRPr="001671DF">
            <w:rPr>
              <w:noProof/>
              <w:sz w:val="24"/>
              <w:szCs w:val="24"/>
            </w:rPr>
            <w:t>(Berry, 2006)</w:t>
          </w:r>
          <w:r w:rsidR="001671DF">
            <w:rPr>
              <w:sz w:val="24"/>
              <w:szCs w:val="24"/>
            </w:rPr>
            <w:fldChar w:fldCharType="end"/>
          </w:r>
        </w:sdtContent>
      </w:sdt>
      <w:r w:rsidR="001671DF">
        <w:rPr>
          <w:sz w:val="24"/>
          <w:szCs w:val="24"/>
        </w:rPr>
        <w:t xml:space="preserve">. </w:t>
      </w:r>
      <w:r w:rsidR="0028498E">
        <w:rPr>
          <w:sz w:val="24"/>
          <w:szCs w:val="24"/>
        </w:rPr>
        <w:t xml:space="preserve">With the United Kingdom being culture A and travellers being culture B, it is reported that culture B experience some of the gravest inequalities of any group within culture A </w:t>
      </w:r>
      <w:sdt>
        <w:sdtPr>
          <w:rPr>
            <w:sz w:val="24"/>
            <w:szCs w:val="24"/>
          </w:rPr>
          <w:id w:val="516659230"/>
          <w:citation/>
        </w:sdtPr>
        <w:sdtEndPr/>
        <w:sdtContent>
          <w:r w:rsidR="0028498E">
            <w:rPr>
              <w:sz w:val="24"/>
              <w:szCs w:val="24"/>
            </w:rPr>
            <w:fldChar w:fldCharType="begin"/>
          </w:r>
          <w:r w:rsidR="0028498E">
            <w:rPr>
              <w:sz w:val="24"/>
              <w:szCs w:val="24"/>
            </w:rPr>
            <w:instrText xml:space="preserve"> CITATION Cro19 \l 2057 </w:instrText>
          </w:r>
          <w:r w:rsidR="0028498E">
            <w:rPr>
              <w:sz w:val="24"/>
              <w:szCs w:val="24"/>
            </w:rPr>
            <w:fldChar w:fldCharType="separate"/>
          </w:r>
          <w:r w:rsidR="0028498E" w:rsidRPr="0028498E">
            <w:rPr>
              <w:noProof/>
              <w:sz w:val="24"/>
              <w:szCs w:val="24"/>
            </w:rPr>
            <w:t>(Cromarty, 2019)</w:t>
          </w:r>
          <w:r w:rsidR="0028498E">
            <w:rPr>
              <w:sz w:val="24"/>
              <w:szCs w:val="24"/>
            </w:rPr>
            <w:fldChar w:fldCharType="end"/>
          </w:r>
        </w:sdtContent>
      </w:sdt>
      <w:r w:rsidR="0028498E">
        <w:rPr>
          <w:sz w:val="24"/>
          <w:szCs w:val="24"/>
        </w:rPr>
        <w:t xml:space="preserve">. </w:t>
      </w:r>
      <w:r w:rsidR="00C36CF6">
        <w:rPr>
          <w:sz w:val="24"/>
          <w:szCs w:val="24"/>
        </w:rPr>
        <w:t xml:space="preserve">From my own experience the type of traveller I speak of also </w:t>
      </w:r>
      <w:r w:rsidR="00C36CF6">
        <w:rPr>
          <w:sz w:val="24"/>
          <w:szCs w:val="24"/>
        </w:rPr>
        <w:lastRenderedPageBreak/>
        <w:t xml:space="preserve">comes under attack from other traveller groups, not having a wider group of travellers or being of traveller ethnicity makes you an outsider even within the wider traveller community. </w:t>
      </w:r>
      <w:r w:rsidR="000C33C3">
        <w:rPr>
          <w:sz w:val="24"/>
          <w:szCs w:val="24"/>
        </w:rPr>
        <w:t xml:space="preserve">According to Berry (2006) this form of exclusion from both cultures can be classed as </w:t>
      </w:r>
      <w:r w:rsidR="000C33C3">
        <w:rPr>
          <w:i/>
          <w:iCs/>
          <w:sz w:val="24"/>
          <w:szCs w:val="24"/>
        </w:rPr>
        <w:t xml:space="preserve">marginalization. </w:t>
      </w:r>
      <w:r w:rsidR="000C33C3">
        <w:rPr>
          <w:sz w:val="24"/>
          <w:szCs w:val="24"/>
        </w:rPr>
        <w:t xml:space="preserve">This marginalization causes travellers to employ strategies to avoid confrontation and discrimination from both culture A and B. One example of this is where the traveller chooses to park, generally choosing a place with minimal contact with both cultures, therefore segregating themselves from others. Another example of this marginalization comes in the form of what vehicle you choose to live in, a large and expensive motorhome is generally looked upon as being acceptable due to its </w:t>
      </w:r>
      <w:r w:rsidR="00DA23C7">
        <w:rPr>
          <w:sz w:val="24"/>
          <w:szCs w:val="24"/>
        </w:rPr>
        <w:t>common</w:t>
      </w:r>
      <w:r w:rsidR="000C33C3">
        <w:rPr>
          <w:sz w:val="24"/>
          <w:szCs w:val="24"/>
        </w:rPr>
        <w:t xml:space="preserve"> use of being a holiday home. In opposition to this a van that is perhaps not meticulously </w:t>
      </w:r>
      <w:r w:rsidR="00017770">
        <w:rPr>
          <w:sz w:val="24"/>
          <w:szCs w:val="24"/>
        </w:rPr>
        <w:t>cleaned,</w:t>
      </w:r>
      <w:r w:rsidR="000C33C3">
        <w:rPr>
          <w:sz w:val="24"/>
          <w:szCs w:val="24"/>
        </w:rPr>
        <w:t xml:space="preserve"> or a new version of a vehicle is looked upon as dirty and is likely to draw negative attention from some within culture A. </w:t>
      </w:r>
      <w:r w:rsidR="00017770">
        <w:rPr>
          <w:sz w:val="24"/>
          <w:szCs w:val="24"/>
        </w:rPr>
        <w:t xml:space="preserve">This marginalization is not stagnant or permanent necessarily but can change over time and vary between areas </w:t>
      </w:r>
      <w:sdt>
        <w:sdtPr>
          <w:rPr>
            <w:sz w:val="24"/>
            <w:szCs w:val="24"/>
          </w:rPr>
          <w:id w:val="318237547"/>
          <w:citation/>
        </w:sdtPr>
        <w:sdtEndPr/>
        <w:sdtContent>
          <w:r w:rsidR="00017770">
            <w:rPr>
              <w:sz w:val="24"/>
              <w:szCs w:val="24"/>
            </w:rPr>
            <w:fldChar w:fldCharType="begin"/>
          </w:r>
          <w:r w:rsidR="00017770">
            <w:rPr>
              <w:sz w:val="24"/>
              <w:szCs w:val="24"/>
            </w:rPr>
            <w:instrText xml:space="preserve"> CITATION Ber02 \l 2057 </w:instrText>
          </w:r>
          <w:r w:rsidR="00017770">
            <w:rPr>
              <w:sz w:val="24"/>
              <w:szCs w:val="24"/>
            </w:rPr>
            <w:fldChar w:fldCharType="separate"/>
          </w:r>
          <w:r w:rsidR="00017770" w:rsidRPr="00994498">
            <w:rPr>
              <w:noProof/>
              <w:sz w:val="24"/>
              <w:szCs w:val="24"/>
            </w:rPr>
            <w:t>(Berry, et al., 2002)</w:t>
          </w:r>
          <w:r w:rsidR="00017770">
            <w:rPr>
              <w:sz w:val="24"/>
              <w:szCs w:val="24"/>
            </w:rPr>
            <w:fldChar w:fldCharType="end"/>
          </w:r>
        </w:sdtContent>
      </w:sdt>
      <w:r w:rsidR="00017770">
        <w:rPr>
          <w:sz w:val="24"/>
          <w:szCs w:val="24"/>
        </w:rPr>
        <w:t xml:space="preserve">. </w:t>
      </w:r>
      <w:r w:rsidR="00994498">
        <w:rPr>
          <w:sz w:val="24"/>
          <w:szCs w:val="24"/>
        </w:rPr>
        <w:t>Each area a traveller parks up in comes with its own set of societal rules, therefore the traveller must be constantly in a learning proces</w:t>
      </w:r>
      <w:r w:rsidR="00B66AF5">
        <w:rPr>
          <w:sz w:val="24"/>
          <w:szCs w:val="24"/>
        </w:rPr>
        <w:t xml:space="preserve">s. Travellers must perpetually learn, adjust and understand the accepted behaviours and rules within an area </w:t>
      </w:r>
      <w:sdt>
        <w:sdtPr>
          <w:rPr>
            <w:sz w:val="24"/>
            <w:szCs w:val="24"/>
          </w:rPr>
          <w:id w:val="-1899807598"/>
          <w:citation/>
        </w:sdtPr>
        <w:sdtEndPr/>
        <w:sdtContent>
          <w:r w:rsidR="00B66AF5">
            <w:rPr>
              <w:sz w:val="24"/>
              <w:szCs w:val="24"/>
            </w:rPr>
            <w:fldChar w:fldCharType="begin"/>
          </w:r>
          <w:r w:rsidR="00B66AF5">
            <w:rPr>
              <w:sz w:val="24"/>
              <w:szCs w:val="24"/>
            </w:rPr>
            <w:instrText xml:space="preserve">CITATION Lam92 \l 2057 </w:instrText>
          </w:r>
          <w:r w:rsidR="00B66AF5">
            <w:rPr>
              <w:sz w:val="24"/>
              <w:szCs w:val="24"/>
            </w:rPr>
            <w:fldChar w:fldCharType="separate"/>
          </w:r>
          <w:r w:rsidR="00B66AF5" w:rsidRPr="00B66AF5">
            <w:rPr>
              <w:noProof/>
              <w:sz w:val="24"/>
              <w:szCs w:val="24"/>
            </w:rPr>
            <w:t>(Lamming, 1992)</w:t>
          </w:r>
          <w:r w:rsidR="00B66AF5">
            <w:rPr>
              <w:sz w:val="24"/>
              <w:szCs w:val="24"/>
            </w:rPr>
            <w:fldChar w:fldCharType="end"/>
          </w:r>
        </w:sdtContent>
      </w:sdt>
      <w:r w:rsidR="00B66AF5">
        <w:rPr>
          <w:sz w:val="24"/>
          <w:szCs w:val="24"/>
        </w:rPr>
        <w:t xml:space="preserve">. </w:t>
      </w:r>
      <w:r w:rsidR="00017770">
        <w:rPr>
          <w:sz w:val="24"/>
          <w:szCs w:val="24"/>
        </w:rPr>
        <w:t>Not only must the traveller learn where they can park without drawing unnecessary attention, but also how to park within an area such as a carpark. Making sure to park out of the way an</w:t>
      </w:r>
      <w:r w:rsidR="00B66AF5">
        <w:rPr>
          <w:sz w:val="24"/>
          <w:szCs w:val="24"/>
        </w:rPr>
        <w:t>d</w:t>
      </w:r>
      <w:r w:rsidR="00017770">
        <w:rPr>
          <w:sz w:val="24"/>
          <w:szCs w:val="24"/>
        </w:rPr>
        <w:t xml:space="preserve"> not within the major area of use can lead to people being less likely to form a negative opinion of the traveller instantly. </w:t>
      </w:r>
    </w:p>
    <w:p w14:paraId="07A21D52" w14:textId="100BFCDF" w:rsidR="00803DFF" w:rsidRDefault="00D23943" w:rsidP="0023279C">
      <w:pPr>
        <w:rPr>
          <w:sz w:val="24"/>
          <w:szCs w:val="24"/>
        </w:rPr>
      </w:pPr>
      <w:r>
        <w:rPr>
          <w:sz w:val="24"/>
          <w:szCs w:val="24"/>
        </w:rPr>
        <w:t xml:space="preserve">The current working estimate for the population of the United Kingdom is 66,435,600 </w:t>
      </w:r>
      <w:sdt>
        <w:sdtPr>
          <w:rPr>
            <w:sz w:val="24"/>
            <w:szCs w:val="24"/>
          </w:rPr>
          <w:id w:val="757398448"/>
          <w:citation/>
        </w:sdtPr>
        <w:sdtEndPr/>
        <w:sdtContent>
          <w:r>
            <w:rPr>
              <w:sz w:val="24"/>
              <w:szCs w:val="24"/>
            </w:rPr>
            <w:fldChar w:fldCharType="begin"/>
          </w:r>
          <w:r>
            <w:rPr>
              <w:sz w:val="24"/>
              <w:szCs w:val="24"/>
            </w:rPr>
            <w:instrText xml:space="preserve"> CITATION Off191 \l 2057 </w:instrText>
          </w:r>
          <w:r>
            <w:rPr>
              <w:sz w:val="24"/>
              <w:szCs w:val="24"/>
            </w:rPr>
            <w:fldChar w:fldCharType="separate"/>
          </w:r>
          <w:r w:rsidRPr="00D23943">
            <w:rPr>
              <w:noProof/>
              <w:sz w:val="24"/>
              <w:szCs w:val="24"/>
            </w:rPr>
            <w:t>(Office for National Statistics, 2019)</w:t>
          </w:r>
          <w:r>
            <w:rPr>
              <w:sz w:val="24"/>
              <w:szCs w:val="24"/>
            </w:rPr>
            <w:fldChar w:fldCharType="end"/>
          </w:r>
        </w:sdtContent>
      </w:sdt>
      <w:r>
        <w:rPr>
          <w:sz w:val="24"/>
          <w:szCs w:val="24"/>
        </w:rPr>
        <w:t xml:space="preserve">, </w:t>
      </w:r>
      <w:r w:rsidR="00DA23C7">
        <w:rPr>
          <w:sz w:val="24"/>
          <w:szCs w:val="24"/>
        </w:rPr>
        <w:t xml:space="preserve">and </w:t>
      </w:r>
      <w:r>
        <w:rPr>
          <w:sz w:val="24"/>
          <w:szCs w:val="24"/>
        </w:rPr>
        <w:t xml:space="preserve">the current estimate for the number of overall travellers (umbrella term) residing in the UK </w:t>
      </w:r>
      <w:r w:rsidR="00914BA6">
        <w:rPr>
          <w:sz w:val="24"/>
          <w:szCs w:val="24"/>
        </w:rPr>
        <w:t xml:space="preserve">is </w:t>
      </w:r>
      <w:r>
        <w:rPr>
          <w:sz w:val="24"/>
          <w:szCs w:val="24"/>
        </w:rPr>
        <w:t xml:space="preserve">63,000 </w:t>
      </w:r>
      <w:sdt>
        <w:sdtPr>
          <w:rPr>
            <w:sz w:val="24"/>
            <w:szCs w:val="24"/>
          </w:rPr>
          <w:id w:val="-1805542563"/>
          <w:citation/>
        </w:sdtPr>
        <w:sdtEndPr/>
        <w:sdtContent>
          <w:r>
            <w:rPr>
              <w:sz w:val="24"/>
              <w:szCs w:val="24"/>
            </w:rPr>
            <w:fldChar w:fldCharType="begin"/>
          </w:r>
          <w:r>
            <w:rPr>
              <w:sz w:val="24"/>
              <w:szCs w:val="24"/>
            </w:rPr>
            <w:instrText xml:space="preserve"> CITATION Cro19 \l 2057 </w:instrText>
          </w:r>
          <w:r>
            <w:rPr>
              <w:sz w:val="24"/>
              <w:szCs w:val="24"/>
            </w:rPr>
            <w:fldChar w:fldCharType="separate"/>
          </w:r>
          <w:r w:rsidRPr="00D23943">
            <w:rPr>
              <w:noProof/>
              <w:sz w:val="24"/>
              <w:szCs w:val="24"/>
            </w:rPr>
            <w:t>(Cromarty, 2019)</w:t>
          </w:r>
          <w:r>
            <w:rPr>
              <w:sz w:val="24"/>
              <w:szCs w:val="24"/>
            </w:rPr>
            <w:fldChar w:fldCharType="end"/>
          </w:r>
        </w:sdtContent>
      </w:sdt>
      <w:r>
        <w:rPr>
          <w:sz w:val="24"/>
          <w:szCs w:val="24"/>
        </w:rPr>
        <w:t xml:space="preserve">. </w:t>
      </w:r>
      <w:r w:rsidR="001671DF">
        <w:rPr>
          <w:sz w:val="24"/>
          <w:szCs w:val="24"/>
        </w:rPr>
        <w:t xml:space="preserve">Of this number only around 24% live full time in a vehicle or temporary structure </w:t>
      </w:r>
      <w:sdt>
        <w:sdtPr>
          <w:rPr>
            <w:sz w:val="24"/>
            <w:szCs w:val="24"/>
          </w:rPr>
          <w:id w:val="1286477268"/>
          <w:citation/>
        </w:sdtPr>
        <w:sdtEndPr/>
        <w:sdtContent>
          <w:r w:rsidR="001671DF">
            <w:rPr>
              <w:sz w:val="24"/>
              <w:szCs w:val="24"/>
            </w:rPr>
            <w:fldChar w:fldCharType="begin"/>
          </w:r>
          <w:r w:rsidR="001671DF">
            <w:rPr>
              <w:sz w:val="24"/>
              <w:szCs w:val="24"/>
            </w:rPr>
            <w:instrText xml:space="preserve"> CITATION Cro19 \l 2057 </w:instrText>
          </w:r>
          <w:r w:rsidR="001671DF">
            <w:rPr>
              <w:sz w:val="24"/>
              <w:szCs w:val="24"/>
            </w:rPr>
            <w:fldChar w:fldCharType="separate"/>
          </w:r>
          <w:r w:rsidR="001671DF" w:rsidRPr="001671DF">
            <w:rPr>
              <w:noProof/>
              <w:sz w:val="24"/>
              <w:szCs w:val="24"/>
            </w:rPr>
            <w:t>(Cromarty, 2019)</w:t>
          </w:r>
          <w:r w:rsidR="001671DF">
            <w:rPr>
              <w:sz w:val="24"/>
              <w:szCs w:val="24"/>
            </w:rPr>
            <w:fldChar w:fldCharType="end"/>
          </w:r>
        </w:sdtContent>
      </w:sdt>
      <w:r w:rsidR="001671DF">
        <w:rPr>
          <w:sz w:val="24"/>
          <w:szCs w:val="24"/>
        </w:rPr>
        <w:t xml:space="preserve">. </w:t>
      </w:r>
      <w:r>
        <w:rPr>
          <w:sz w:val="24"/>
          <w:szCs w:val="24"/>
        </w:rPr>
        <w:t xml:space="preserve">This equates to roughly 0.09% of the population </w:t>
      </w:r>
      <w:r w:rsidR="001671DF">
        <w:rPr>
          <w:sz w:val="24"/>
          <w:szCs w:val="24"/>
        </w:rPr>
        <w:t>identifying with the Gypsy or Traveller lifestyle, and a</w:t>
      </w:r>
      <w:r w:rsidR="0028498E">
        <w:rPr>
          <w:sz w:val="24"/>
          <w:szCs w:val="24"/>
        </w:rPr>
        <w:t>n absolutely minute fraction of the general population actually living a nomadic lifestyle.</w:t>
      </w:r>
      <w:r w:rsidR="00017770">
        <w:rPr>
          <w:sz w:val="24"/>
          <w:szCs w:val="24"/>
        </w:rPr>
        <w:t xml:space="preserve"> </w:t>
      </w:r>
      <w:r w:rsidR="00590EAD">
        <w:rPr>
          <w:sz w:val="24"/>
          <w:szCs w:val="24"/>
        </w:rPr>
        <w:t xml:space="preserve">Due to this drastically small number of people it is easy for the general population to marginalize travellers, or never even come into contact with them. </w:t>
      </w:r>
      <w:r w:rsidR="00803DFF">
        <w:rPr>
          <w:sz w:val="24"/>
          <w:szCs w:val="24"/>
        </w:rPr>
        <w:t xml:space="preserve">This marginalization is </w:t>
      </w:r>
      <w:r w:rsidR="00DA23C7">
        <w:rPr>
          <w:sz w:val="24"/>
          <w:szCs w:val="24"/>
        </w:rPr>
        <w:t>exacerbated</w:t>
      </w:r>
      <w:r w:rsidR="00803DFF">
        <w:rPr>
          <w:sz w:val="24"/>
          <w:szCs w:val="24"/>
        </w:rPr>
        <w:t xml:space="preserve"> by damaging stereotypes and regular slurs in the media </w:t>
      </w:r>
      <w:sdt>
        <w:sdtPr>
          <w:rPr>
            <w:sz w:val="24"/>
            <w:szCs w:val="24"/>
          </w:rPr>
          <w:id w:val="491374988"/>
          <w:citation/>
        </w:sdtPr>
        <w:sdtEndPr/>
        <w:sdtContent>
          <w:r w:rsidR="00803DFF">
            <w:rPr>
              <w:sz w:val="24"/>
              <w:szCs w:val="24"/>
            </w:rPr>
            <w:fldChar w:fldCharType="begin"/>
          </w:r>
          <w:r w:rsidR="00803DFF">
            <w:rPr>
              <w:sz w:val="24"/>
              <w:szCs w:val="24"/>
            </w:rPr>
            <w:instrText xml:space="preserve"> CITATION Cro19 \l 2057 </w:instrText>
          </w:r>
          <w:r w:rsidR="00803DFF">
            <w:rPr>
              <w:sz w:val="24"/>
              <w:szCs w:val="24"/>
            </w:rPr>
            <w:fldChar w:fldCharType="separate"/>
          </w:r>
          <w:r w:rsidR="00803DFF" w:rsidRPr="00803DFF">
            <w:rPr>
              <w:noProof/>
              <w:sz w:val="24"/>
              <w:szCs w:val="24"/>
            </w:rPr>
            <w:t>(Cromarty, 2019)</w:t>
          </w:r>
          <w:r w:rsidR="00803DFF">
            <w:rPr>
              <w:sz w:val="24"/>
              <w:szCs w:val="24"/>
            </w:rPr>
            <w:fldChar w:fldCharType="end"/>
          </w:r>
        </w:sdtContent>
      </w:sdt>
      <w:r w:rsidR="00803DFF">
        <w:rPr>
          <w:sz w:val="24"/>
          <w:szCs w:val="24"/>
        </w:rPr>
        <w:t>. Offensive and insulting media coverage is often left unchallenged, with both local and national politicians add</w:t>
      </w:r>
      <w:r w:rsidR="00DA23C7">
        <w:rPr>
          <w:sz w:val="24"/>
          <w:szCs w:val="24"/>
        </w:rPr>
        <w:t>ing</w:t>
      </w:r>
      <w:r w:rsidR="00803DFF">
        <w:rPr>
          <w:sz w:val="24"/>
          <w:szCs w:val="24"/>
        </w:rPr>
        <w:t xml:space="preserve"> to the abuse by speaking out against travellers in an openly discriminatory manner </w:t>
      </w:r>
      <w:sdt>
        <w:sdtPr>
          <w:rPr>
            <w:sz w:val="24"/>
            <w:szCs w:val="24"/>
          </w:rPr>
          <w:id w:val="-1276706478"/>
          <w:citation/>
        </w:sdtPr>
        <w:sdtEndPr/>
        <w:sdtContent>
          <w:r w:rsidR="00803DFF">
            <w:rPr>
              <w:sz w:val="24"/>
              <w:szCs w:val="24"/>
            </w:rPr>
            <w:fldChar w:fldCharType="begin"/>
          </w:r>
          <w:r w:rsidR="00803DFF">
            <w:rPr>
              <w:sz w:val="24"/>
              <w:szCs w:val="24"/>
            </w:rPr>
            <w:instrText xml:space="preserve"> CITATION Cem09 \l 2057 </w:instrText>
          </w:r>
          <w:r w:rsidR="00803DFF">
            <w:rPr>
              <w:sz w:val="24"/>
              <w:szCs w:val="24"/>
            </w:rPr>
            <w:fldChar w:fldCharType="separate"/>
          </w:r>
          <w:r w:rsidR="00803DFF" w:rsidRPr="00803DFF">
            <w:rPr>
              <w:noProof/>
              <w:sz w:val="24"/>
              <w:szCs w:val="24"/>
            </w:rPr>
            <w:t>(Cemlyn, et al., 2009)</w:t>
          </w:r>
          <w:r w:rsidR="00803DFF">
            <w:rPr>
              <w:sz w:val="24"/>
              <w:szCs w:val="24"/>
            </w:rPr>
            <w:fldChar w:fldCharType="end"/>
          </w:r>
        </w:sdtContent>
      </w:sdt>
      <w:r w:rsidR="00803DFF">
        <w:rPr>
          <w:sz w:val="24"/>
          <w:szCs w:val="24"/>
        </w:rPr>
        <w:t>.</w:t>
      </w:r>
      <w:r w:rsidR="00811564">
        <w:rPr>
          <w:sz w:val="24"/>
          <w:szCs w:val="24"/>
        </w:rPr>
        <w:t xml:space="preserve"> While there are guidelines in place to discourage bias against a group of people within the media, there are no repercussions if these guidelines are broken, complaints can be made but are often left ignored </w:t>
      </w:r>
      <w:sdt>
        <w:sdtPr>
          <w:rPr>
            <w:sz w:val="24"/>
            <w:szCs w:val="24"/>
          </w:rPr>
          <w:id w:val="-1059478014"/>
          <w:citation/>
        </w:sdtPr>
        <w:sdtEndPr/>
        <w:sdtContent>
          <w:r w:rsidR="00811564">
            <w:rPr>
              <w:sz w:val="24"/>
              <w:szCs w:val="24"/>
            </w:rPr>
            <w:fldChar w:fldCharType="begin"/>
          </w:r>
          <w:r w:rsidR="00811564">
            <w:rPr>
              <w:sz w:val="24"/>
              <w:szCs w:val="24"/>
            </w:rPr>
            <w:instrText xml:space="preserve"> CITATION Cem09 \l 2057 </w:instrText>
          </w:r>
          <w:r w:rsidR="00811564">
            <w:rPr>
              <w:sz w:val="24"/>
              <w:szCs w:val="24"/>
            </w:rPr>
            <w:fldChar w:fldCharType="separate"/>
          </w:r>
          <w:r w:rsidR="00811564" w:rsidRPr="00811564">
            <w:rPr>
              <w:noProof/>
              <w:sz w:val="24"/>
              <w:szCs w:val="24"/>
            </w:rPr>
            <w:t>(Cemlyn, et al., 2009)</w:t>
          </w:r>
          <w:r w:rsidR="00811564">
            <w:rPr>
              <w:sz w:val="24"/>
              <w:szCs w:val="24"/>
            </w:rPr>
            <w:fldChar w:fldCharType="end"/>
          </w:r>
        </w:sdtContent>
      </w:sdt>
      <w:r w:rsidR="00811564">
        <w:rPr>
          <w:sz w:val="24"/>
          <w:szCs w:val="24"/>
        </w:rPr>
        <w:t>.</w:t>
      </w:r>
      <w:r w:rsidR="00803DFF">
        <w:rPr>
          <w:sz w:val="24"/>
          <w:szCs w:val="24"/>
        </w:rPr>
        <w:t xml:space="preserve"> </w:t>
      </w:r>
      <w:r w:rsidR="00E31627">
        <w:rPr>
          <w:sz w:val="24"/>
          <w:szCs w:val="24"/>
        </w:rPr>
        <w:t xml:space="preserve">A study showed that around a third of the United Kingdom population admitted to </w:t>
      </w:r>
      <w:r w:rsidR="00811564">
        <w:rPr>
          <w:sz w:val="24"/>
          <w:szCs w:val="24"/>
        </w:rPr>
        <w:t xml:space="preserve">an intolerance towards Gypsies and Travellers </w:t>
      </w:r>
      <w:sdt>
        <w:sdtPr>
          <w:rPr>
            <w:sz w:val="24"/>
            <w:szCs w:val="24"/>
          </w:rPr>
          <w:id w:val="239539119"/>
          <w:citation/>
        </w:sdtPr>
        <w:sdtEndPr/>
        <w:sdtContent>
          <w:r w:rsidR="00811564">
            <w:rPr>
              <w:sz w:val="24"/>
              <w:szCs w:val="24"/>
            </w:rPr>
            <w:fldChar w:fldCharType="begin"/>
          </w:r>
          <w:r w:rsidR="00811564">
            <w:rPr>
              <w:sz w:val="24"/>
              <w:szCs w:val="24"/>
            </w:rPr>
            <w:instrText xml:space="preserve"> CITATION Cem09 \l 2057 </w:instrText>
          </w:r>
          <w:r w:rsidR="00811564">
            <w:rPr>
              <w:sz w:val="24"/>
              <w:szCs w:val="24"/>
            </w:rPr>
            <w:fldChar w:fldCharType="separate"/>
          </w:r>
          <w:r w:rsidR="00811564" w:rsidRPr="00811564">
            <w:rPr>
              <w:noProof/>
              <w:sz w:val="24"/>
              <w:szCs w:val="24"/>
            </w:rPr>
            <w:t>(Cemlyn, et al., 2009)</w:t>
          </w:r>
          <w:r w:rsidR="00811564">
            <w:rPr>
              <w:sz w:val="24"/>
              <w:szCs w:val="24"/>
            </w:rPr>
            <w:fldChar w:fldCharType="end"/>
          </w:r>
        </w:sdtContent>
      </w:sdt>
      <w:r w:rsidR="00F81750">
        <w:rPr>
          <w:sz w:val="24"/>
          <w:szCs w:val="24"/>
        </w:rPr>
        <w:t xml:space="preserve"> and a later study showed this number had risen to around half of the total population </w:t>
      </w:r>
      <w:sdt>
        <w:sdtPr>
          <w:rPr>
            <w:sz w:val="24"/>
            <w:szCs w:val="24"/>
          </w:rPr>
          <w:id w:val="1389840089"/>
          <w:citation/>
        </w:sdtPr>
        <w:sdtEndPr/>
        <w:sdtContent>
          <w:r w:rsidR="00F81750">
            <w:rPr>
              <w:sz w:val="24"/>
              <w:szCs w:val="24"/>
            </w:rPr>
            <w:fldChar w:fldCharType="begin"/>
          </w:r>
          <w:r w:rsidR="00F81750">
            <w:rPr>
              <w:sz w:val="24"/>
              <w:szCs w:val="24"/>
            </w:rPr>
            <w:instrText xml:space="preserve"> CITATION Cro19 \l 2057 </w:instrText>
          </w:r>
          <w:r w:rsidR="00F81750">
            <w:rPr>
              <w:sz w:val="24"/>
              <w:szCs w:val="24"/>
            </w:rPr>
            <w:fldChar w:fldCharType="separate"/>
          </w:r>
          <w:r w:rsidR="00F81750" w:rsidRPr="00F81750">
            <w:rPr>
              <w:noProof/>
              <w:sz w:val="24"/>
              <w:szCs w:val="24"/>
            </w:rPr>
            <w:t>(Cromarty, 2019)</w:t>
          </w:r>
          <w:r w:rsidR="00F81750">
            <w:rPr>
              <w:sz w:val="24"/>
              <w:szCs w:val="24"/>
            </w:rPr>
            <w:fldChar w:fldCharType="end"/>
          </w:r>
        </w:sdtContent>
      </w:sdt>
      <w:r w:rsidR="00811564">
        <w:rPr>
          <w:sz w:val="24"/>
          <w:szCs w:val="24"/>
        </w:rPr>
        <w:t xml:space="preserve">. </w:t>
      </w:r>
      <w:r w:rsidR="00F81750">
        <w:rPr>
          <w:sz w:val="24"/>
          <w:szCs w:val="24"/>
        </w:rPr>
        <w:t xml:space="preserve">Four out of five Gypsies and Travellers have reportedly encountered hate speech or a hate crime directed towards them </w:t>
      </w:r>
      <w:sdt>
        <w:sdtPr>
          <w:rPr>
            <w:sz w:val="24"/>
            <w:szCs w:val="24"/>
          </w:rPr>
          <w:id w:val="-138261090"/>
          <w:citation/>
        </w:sdtPr>
        <w:sdtEndPr/>
        <w:sdtContent>
          <w:r w:rsidR="00F81750">
            <w:rPr>
              <w:sz w:val="24"/>
              <w:szCs w:val="24"/>
            </w:rPr>
            <w:fldChar w:fldCharType="begin"/>
          </w:r>
          <w:r w:rsidR="00F81750">
            <w:rPr>
              <w:sz w:val="24"/>
              <w:szCs w:val="24"/>
            </w:rPr>
            <w:instrText xml:space="preserve"> CITATION Tra18 \l 2057 </w:instrText>
          </w:r>
          <w:r w:rsidR="00F81750">
            <w:rPr>
              <w:sz w:val="24"/>
              <w:szCs w:val="24"/>
            </w:rPr>
            <w:fldChar w:fldCharType="separate"/>
          </w:r>
          <w:r w:rsidR="00F81750" w:rsidRPr="00F81750">
            <w:rPr>
              <w:noProof/>
              <w:sz w:val="24"/>
              <w:szCs w:val="24"/>
            </w:rPr>
            <w:t>(Traveller Movement, 2018)</w:t>
          </w:r>
          <w:r w:rsidR="00F81750">
            <w:rPr>
              <w:sz w:val="24"/>
              <w:szCs w:val="24"/>
            </w:rPr>
            <w:fldChar w:fldCharType="end"/>
          </w:r>
        </w:sdtContent>
      </w:sdt>
      <w:r w:rsidR="00F81750">
        <w:rPr>
          <w:sz w:val="24"/>
          <w:szCs w:val="24"/>
        </w:rPr>
        <w:t xml:space="preserve">, myself being one of these having received hate speech whilst simply sitting in my vehicle applying makeup. </w:t>
      </w:r>
      <w:r w:rsidR="00B11DB3">
        <w:rPr>
          <w:sz w:val="24"/>
          <w:szCs w:val="24"/>
        </w:rPr>
        <w:t xml:space="preserve">Only one out of five of those that have </w:t>
      </w:r>
      <w:r w:rsidR="00B11DB3">
        <w:rPr>
          <w:sz w:val="24"/>
          <w:szCs w:val="24"/>
        </w:rPr>
        <w:lastRenderedPageBreak/>
        <w:t xml:space="preserve">experienced this prejudice actually reported it to the local authorities or sought help due to them deeming it a futile waste of their time </w:t>
      </w:r>
      <w:sdt>
        <w:sdtPr>
          <w:rPr>
            <w:sz w:val="24"/>
            <w:szCs w:val="24"/>
          </w:rPr>
          <w:id w:val="-776490550"/>
          <w:citation/>
        </w:sdtPr>
        <w:sdtEndPr/>
        <w:sdtContent>
          <w:r w:rsidR="00B11DB3">
            <w:rPr>
              <w:sz w:val="24"/>
              <w:szCs w:val="24"/>
            </w:rPr>
            <w:fldChar w:fldCharType="begin"/>
          </w:r>
          <w:r w:rsidR="00B11DB3">
            <w:rPr>
              <w:sz w:val="24"/>
              <w:szCs w:val="24"/>
            </w:rPr>
            <w:instrText xml:space="preserve"> CITATION Tra18 \l 2057 </w:instrText>
          </w:r>
          <w:r w:rsidR="00B11DB3">
            <w:rPr>
              <w:sz w:val="24"/>
              <w:szCs w:val="24"/>
            </w:rPr>
            <w:fldChar w:fldCharType="separate"/>
          </w:r>
          <w:r w:rsidR="00B11DB3" w:rsidRPr="00B11DB3">
            <w:rPr>
              <w:noProof/>
              <w:sz w:val="24"/>
              <w:szCs w:val="24"/>
            </w:rPr>
            <w:t>(Traveller Movement, 2018)</w:t>
          </w:r>
          <w:r w:rsidR="00B11DB3">
            <w:rPr>
              <w:sz w:val="24"/>
              <w:szCs w:val="24"/>
            </w:rPr>
            <w:fldChar w:fldCharType="end"/>
          </w:r>
        </w:sdtContent>
      </w:sdt>
      <w:r w:rsidR="00B11DB3">
        <w:rPr>
          <w:sz w:val="24"/>
          <w:szCs w:val="24"/>
        </w:rPr>
        <w:t xml:space="preserve">. </w:t>
      </w:r>
      <w:r w:rsidR="00811564">
        <w:rPr>
          <w:sz w:val="24"/>
          <w:szCs w:val="24"/>
        </w:rPr>
        <w:t xml:space="preserve">Studies have also shown that many services, including education and health services, are often denied to those from a Gypsy or Traveller background, even the police and criminal justice system have been shown to have discrimination and racist practises embedded within them </w:t>
      </w:r>
      <w:sdt>
        <w:sdtPr>
          <w:rPr>
            <w:sz w:val="24"/>
            <w:szCs w:val="24"/>
          </w:rPr>
          <w:id w:val="-1288344280"/>
          <w:citation/>
        </w:sdtPr>
        <w:sdtEndPr/>
        <w:sdtContent>
          <w:r w:rsidR="00811564">
            <w:rPr>
              <w:sz w:val="24"/>
              <w:szCs w:val="24"/>
            </w:rPr>
            <w:fldChar w:fldCharType="begin"/>
          </w:r>
          <w:r w:rsidR="00811564">
            <w:rPr>
              <w:sz w:val="24"/>
              <w:szCs w:val="24"/>
            </w:rPr>
            <w:instrText xml:space="preserve"> CITATION Cem09 \l 2057 </w:instrText>
          </w:r>
          <w:r w:rsidR="00811564">
            <w:rPr>
              <w:sz w:val="24"/>
              <w:szCs w:val="24"/>
            </w:rPr>
            <w:fldChar w:fldCharType="separate"/>
          </w:r>
          <w:r w:rsidR="00811564" w:rsidRPr="00811564">
            <w:rPr>
              <w:noProof/>
              <w:sz w:val="24"/>
              <w:szCs w:val="24"/>
            </w:rPr>
            <w:t>(Cemlyn, et al., 2009)</w:t>
          </w:r>
          <w:r w:rsidR="00811564">
            <w:rPr>
              <w:sz w:val="24"/>
              <w:szCs w:val="24"/>
            </w:rPr>
            <w:fldChar w:fldCharType="end"/>
          </w:r>
        </w:sdtContent>
      </w:sdt>
      <w:r w:rsidR="00811564">
        <w:rPr>
          <w:sz w:val="24"/>
          <w:szCs w:val="24"/>
        </w:rPr>
        <w:t>. With such basic services and support being denied to a group on a national level, it is unsurprising that travellers (umbrella term) are left feeling marginalized.</w:t>
      </w:r>
    </w:p>
    <w:p w14:paraId="188364E9" w14:textId="0BBB1BCD" w:rsidR="003C1857" w:rsidRDefault="009B7C4D" w:rsidP="0023279C">
      <w:pPr>
        <w:rPr>
          <w:sz w:val="24"/>
          <w:szCs w:val="24"/>
        </w:rPr>
      </w:pPr>
      <w:r>
        <w:rPr>
          <w:sz w:val="24"/>
          <w:szCs w:val="24"/>
        </w:rPr>
        <w:t>Perhaps as a solution to the issues surrounding acculturation, particularly the discrimination involved in marginalization and separation, we could move away from the current use and thoughts behind culture. Culture is incredibly complex</w:t>
      </w:r>
      <w:r w:rsidR="00366909">
        <w:rPr>
          <w:sz w:val="24"/>
          <w:szCs w:val="24"/>
        </w:rPr>
        <w:t xml:space="preserve"> and cannot be pin pointed or universalized, it is not owned by any one person or any one group of people </w:t>
      </w:r>
      <w:sdt>
        <w:sdtPr>
          <w:rPr>
            <w:sz w:val="24"/>
            <w:szCs w:val="24"/>
          </w:rPr>
          <w:id w:val="1311140642"/>
          <w:citation/>
        </w:sdtPr>
        <w:sdtEndPr/>
        <w:sdtContent>
          <w:r w:rsidR="00366909">
            <w:rPr>
              <w:sz w:val="24"/>
              <w:szCs w:val="24"/>
            </w:rPr>
            <w:fldChar w:fldCharType="begin"/>
          </w:r>
          <w:r w:rsidR="00366909">
            <w:rPr>
              <w:sz w:val="24"/>
              <w:szCs w:val="24"/>
            </w:rPr>
            <w:instrText xml:space="preserve"> CITATION Aga06 \l 2057 </w:instrText>
          </w:r>
          <w:r w:rsidR="00366909">
            <w:rPr>
              <w:sz w:val="24"/>
              <w:szCs w:val="24"/>
            </w:rPr>
            <w:fldChar w:fldCharType="separate"/>
          </w:r>
          <w:r w:rsidR="00366909" w:rsidRPr="00366909">
            <w:rPr>
              <w:noProof/>
              <w:sz w:val="24"/>
              <w:szCs w:val="24"/>
            </w:rPr>
            <w:t>(Agar, 2006)</w:t>
          </w:r>
          <w:r w:rsidR="00366909">
            <w:rPr>
              <w:sz w:val="24"/>
              <w:szCs w:val="24"/>
            </w:rPr>
            <w:fldChar w:fldCharType="end"/>
          </w:r>
        </w:sdtContent>
      </w:sdt>
      <w:r w:rsidR="00366909">
        <w:rPr>
          <w:sz w:val="24"/>
          <w:szCs w:val="24"/>
        </w:rPr>
        <w:t xml:space="preserve">. It seems that culture as a term is used to force distinctions between an us and a them, insider and outsider, culture seems an unnecessary expression without these dichotomies </w:t>
      </w:r>
      <w:sdt>
        <w:sdtPr>
          <w:rPr>
            <w:sz w:val="24"/>
            <w:szCs w:val="24"/>
          </w:rPr>
          <w:id w:val="1929149765"/>
          <w:citation/>
        </w:sdtPr>
        <w:sdtEndPr/>
        <w:sdtContent>
          <w:r w:rsidR="00366909">
            <w:rPr>
              <w:sz w:val="24"/>
              <w:szCs w:val="24"/>
            </w:rPr>
            <w:fldChar w:fldCharType="begin"/>
          </w:r>
          <w:r w:rsidR="00366909">
            <w:rPr>
              <w:sz w:val="24"/>
              <w:szCs w:val="24"/>
            </w:rPr>
            <w:instrText xml:space="preserve"> CITATION Aga06 \l 2057 </w:instrText>
          </w:r>
          <w:r w:rsidR="00366909">
            <w:rPr>
              <w:sz w:val="24"/>
              <w:szCs w:val="24"/>
            </w:rPr>
            <w:fldChar w:fldCharType="separate"/>
          </w:r>
          <w:r w:rsidR="00366909" w:rsidRPr="00366909">
            <w:rPr>
              <w:noProof/>
              <w:sz w:val="24"/>
              <w:szCs w:val="24"/>
            </w:rPr>
            <w:t>(Agar, 2006)</w:t>
          </w:r>
          <w:r w:rsidR="00366909">
            <w:rPr>
              <w:sz w:val="24"/>
              <w:szCs w:val="24"/>
            </w:rPr>
            <w:fldChar w:fldCharType="end"/>
          </w:r>
        </w:sdtContent>
      </w:sdt>
      <w:r w:rsidR="00366909">
        <w:rPr>
          <w:sz w:val="24"/>
          <w:szCs w:val="24"/>
        </w:rPr>
        <w:t xml:space="preserve">. </w:t>
      </w:r>
      <w:r w:rsidR="00212E81">
        <w:rPr>
          <w:sz w:val="24"/>
          <w:szCs w:val="24"/>
        </w:rPr>
        <w:t xml:space="preserve">If we remove the dichotomies forced by the current understanding of </w:t>
      </w:r>
      <w:proofErr w:type="gramStart"/>
      <w:r w:rsidR="00212E81">
        <w:rPr>
          <w:sz w:val="24"/>
          <w:szCs w:val="24"/>
        </w:rPr>
        <w:t>culture</w:t>
      </w:r>
      <w:proofErr w:type="gramEnd"/>
      <w:r w:rsidR="00212E81">
        <w:rPr>
          <w:sz w:val="24"/>
          <w:szCs w:val="24"/>
        </w:rPr>
        <w:t xml:space="preserve"> then perhaps we would leave no room for the discrimination it inevitably causes. The use of culture labels people from within one as all the same, if “you were a Navajo or a Yoruba or a Trobriand Islander, period, all of you were pretty much the same” </w:t>
      </w:r>
      <w:sdt>
        <w:sdtPr>
          <w:rPr>
            <w:sz w:val="24"/>
            <w:szCs w:val="24"/>
          </w:rPr>
          <w:id w:val="-1381937375"/>
          <w:citation/>
        </w:sdtPr>
        <w:sdtEndPr/>
        <w:sdtContent>
          <w:r w:rsidR="00212E81">
            <w:rPr>
              <w:sz w:val="24"/>
              <w:szCs w:val="24"/>
            </w:rPr>
            <w:fldChar w:fldCharType="begin"/>
          </w:r>
          <w:r w:rsidR="00212E81">
            <w:rPr>
              <w:sz w:val="24"/>
              <w:szCs w:val="24"/>
            </w:rPr>
            <w:instrText xml:space="preserve">CITATION Aga06 \p 4 \l 2057 </w:instrText>
          </w:r>
          <w:r w:rsidR="00212E81">
            <w:rPr>
              <w:sz w:val="24"/>
              <w:szCs w:val="24"/>
            </w:rPr>
            <w:fldChar w:fldCharType="separate"/>
          </w:r>
          <w:r w:rsidR="00212E81" w:rsidRPr="00212E81">
            <w:rPr>
              <w:noProof/>
              <w:sz w:val="24"/>
              <w:szCs w:val="24"/>
            </w:rPr>
            <w:t>(Agar, 2006, p. 4)</w:t>
          </w:r>
          <w:r w:rsidR="00212E81">
            <w:rPr>
              <w:sz w:val="24"/>
              <w:szCs w:val="24"/>
            </w:rPr>
            <w:fldChar w:fldCharType="end"/>
          </w:r>
        </w:sdtContent>
      </w:sdt>
      <w:r w:rsidR="00212E81">
        <w:rPr>
          <w:sz w:val="24"/>
          <w:szCs w:val="24"/>
        </w:rPr>
        <w:t xml:space="preserve">. This is inherently untrue, you only have to look at your neighbour, friend, partner or a stranger on the street to understand that simply because you are labelled under the same culture does not make you the same. </w:t>
      </w:r>
      <w:r w:rsidR="00DA23C7">
        <w:rPr>
          <w:sz w:val="24"/>
          <w:szCs w:val="24"/>
        </w:rPr>
        <w:t xml:space="preserve">Equally being labelled as from another culture should not automatically make you an outsider, as with travellers the only noticeable difference is where the person calls home. </w:t>
      </w:r>
    </w:p>
    <w:p w14:paraId="6519972C" w14:textId="752BB3C4" w:rsidR="000708D5" w:rsidRDefault="000708D5" w:rsidP="0023279C">
      <w:pPr>
        <w:rPr>
          <w:sz w:val="24"/>
          <w:szCs w:val="24"/>
        </w:rPr>
      </w:pPr>
    </w:p>
    <w:sdt>
      <w:sdtPr>
        <w:id w:val="50547437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C5C8E82" w14:textId="562973E8" w:rsidR="004C2607" w:rsidRDefault="004C2607">
          <w:pPr>
            <w:pStyle w:val="Heading1"/>
          </w:pPr>
          <w:r>
            <w:t>References</w:t>
          </w:r>
        </w:p>
        <w:sdt>
          <w:sdtPr>
            <w:id w:val="-573587230"/>
            <w:bibliography/>
          </w:sdtPr>
          <w:sdtContent>
            <w:p w14:paraId="48642E53" w14:textId="77777777" w:rsidR="004C2607" w:rsidRDefault="004C2607" w:rsidP="004C2607">
              <w:pPr>
                <w:pStyle w:val="Bibliography"/>
                <w:rPr>
                  <w:noProof/>
                  <w:sz w:val="24"/>
                  <w:szCs w:val="24"/>
                  <w:lang w:val="en-US"/>
                </w:rPr>
              </w:pPr>
              <w:r>
                <w:fldChar w:fldCharType="begin"/>
              </w:r>
              <w:r>
                <w:instrText xml:space="preserve"> BIBLIOGRAPHY </w:instrText>
              </w:r>
              <w:r>
                <w:fldChar w:fldCharType="separate"/>
              </w:r>
              <w:r>
                <w:rPr>
                  <w:noProof/>
                  <w:lang w:val="en-US"/>
                </w:rPr>
                <w:t xml:space="preserve">Agar, M., 2006. Culture: Can You Take It Anywhere?. </w:t>
              </w:r>
              <w:r>
                <w:rPr>
                  <w:i/>
                  <w:iCs/>
                  <w:noProof/>
                  <w:lang w:val="en-US"/>
                </w:rPr>
                <w:t xml:space="preserve">International Journal of Qualitative Methods, </w:t>
              </w:r>
              <w:r>
                <w:rPr>
                  <w:noProof/>
                  <w:lang w:val="en-US"/>
                </w:rPr>
                <w:t>5(2), pp. 1-16.</w:t>
              </w:r>
            </w:p>
            <w:p w14:paraId="4651F966" w14:textId="77777777" w:rsidR="004C2607" w:rsidRDefault="004C2607" w:rsidP="004C2607">
              <w:pPr>
                <w:pStyle w:val="Bibliography"/>
                <w:rPr>
                  <w:noProof/>
                  <w:lang w:val="en-US"/>
                </w:rPr>
              </w:pPr>
              <w:r>
                <w:rPr>
                  <w:noProof/>
                  <w:lang w:val="en-US"/>
                </w:rPr>
                <w:t xml:space="preserve">Berry, J., 2006. Acculturation. In: W. Friedlmeier, P. Chakkarath &amp; B. Schwarz, eds. </w:t>
              </w:r>
              <w:r>
                <w:rPr>
                  <w:i/>
                  <w:iCs/>
                  <w:noProof/>
                  <w:lang w:val="en-US"/>
                </w:rPr>
                <w:t xml:space="preserve">Culture and Human Development: The Importance of Cross-Cultural Research for the Social Sciences. </w:t>
              </w:r>
              <w:r>
                <w:rPr>
                  <w:noProof/>
                  <w:lang w:val="en-US"/>
                </w:rPr>
                <w:t>Hove: Taylor &amp; Francis Group, pp. 263-273.</w:t>
              </w:r>
            </w:p>
            <w:p w14:paraId="51D99053" w14:textId="77777777" w:rsidR="004C2607" w:rsidRDefault="004C2607" w:rsidP="004C2607">
              <w:pPr>
                <w:pStyle w:val="Bibliography"/>
                <w:rPr>
                  <w:noProof/>
                  <w:lang w:val="en-US"/>
                </w:rPr>
              </w:pPr>
              <w:r>
                <w:rPr>
                  <w:noProof/>
                  <w:lang w:val="en-US"/>
                </w:rPr>
                <w:t xml:space="preserve">Berry, J., Poortinga, Y., Segall, M. &amp; Dasen, P., 2002. </w:t>
              </w:r>
              <w:r>
                <w:rPr>
                  <w:i/>
                  <w:iCs/>
                  <w:noProof/>
                  <w:lang w:val="en-US"/>
                </w:rPr>
                <w:t xml:space="preserve">Cross-Cultural Psychology: Research and Applications. </w:t>
              </w:r>
              <w:r>
                <w:rPr>
                  <w:noProof/>
                  <w:lang w:val="en-US"/>
                </w:rPr>
                <w:t>2nd ed. Cambridge: Cambridge University Press.</w:t>
              </w:r>
            </w:p>
            <w:p w14:paraId="2282AAED" w14:textId="77777777" w:rsidR="004C2607" w:rsidRDefault="004C2607" w:rsidP="004C2607">
              <w:pPr>
                <w:pStyle w:val="Bibliography"/>
                <w:rPr>
                  <w:noProof/>
                  <w:lang w:val="en-US"/>
                </w:rPr>
              </w:pPr>
              <w:r>
                <w:rPr>
                  <w:noProof/>
                  <w:lang w:val="en-US"/>
                </w:rPr>
                <w:t xml:space="preserve">Brown, P. &amp; Scullion, L., 2010. </w:t>
              </w:r>
              <w:r>
                <w:rPr>
                  <w:i/>
                  <w:iCs/>
                  <w:noProof/>
                  <w:lang w:val="en-US"/>
                </w:rPr>
                <w:t xml:space="preserve">'Doing Research' with Gypsy-Travellers in England: Reflections on Experience and Practise. </w:t>
              </w:r>
              <w:r>
                <w:rPr>
                  <w:noProof/>
                  <w:lang w:val="en-US"/>
                </w:rPr>
                <w:t xml:space="preserve">[Online] </w:t>
              </w:r>
              <w:r>
                <w:rPr>
                  <w:noProof/>
                  <w:lang w:val="en-US"/>
                </w:rPr>
                <w:br/>
                <w:t xml:space="preserve">Available at: </w:t>
              </w:r>
              <w:r>
                <w:rPr>
                  <w:noProof/>
                  <w:u w:val="single"/>
                  <w:lang w:val="en-US"/>
                </w:rPr>
                <w:t>http://usir.salford.ac.uk/id/eprint/9656/</w:t>
              </w:r>
              <w:r>
                <w:rPr>
                  <w:noProof/>
                  <w:lang w:val="en-US"/>
                </w:rPr>
                <w:br/>
                <w:t>[Accessed 02 March 2020].</w:t>
              </w:r>
            </w:p>
            <w:p w14:paraId="09E419B9" w14:textId="77777777" w:rsidR="004C2607" w:rsidRDefault="004C2607" w:rsidP="004C2607">
              <w:pPr>
                <w:pStyle w:val="Bibliography"/>
                <w:rPr>
                  <w:noProof/>
                  <w:lang w:val="en-US"/>
                </w:rPr>
              </w:pPr>
              <w:r>
                <w:rPr>
                  <w:noProof/>
                  <w:lang w:val="en-US"/>
                </w:rPr>
                <w:t xml:space="preserve">Cemlyn, S. et al., 2009. </w:t>
              </w:r>
              <w:r>
                <w:rPr>
                  <w:i/>
                  <w:iCs/>
                  <w:noProof/>
                  <w:lang w:val="en-US"/>
                </w:rPr>
                <w:t xml:space="preserve">Inequalities Experiences by Gypsy and Traveller Communities: A Review, </w:t>
              </w:r>
              <w:r>
                <w:rPr>
                  <w:noProof/>
                  <w:lang w:val="en-US"/>
                </w:rPr>
                <w:t>Manchester: Equality and Human Rights Commission.</w:t>
              </w:r>
            </w:p>
            <w:p w14:paraId="0EBB7699" w14:textId="77777777" w:rsidR="004C2607" w:rsidRDefault="004C2607" w:rsidP="004C2607">
              <w:pPr>
                <w:pStyle w:val="Bibliography"/>
                <w:rPr>
                  <w:noProof/>
                  <w:lang w:val="en-US"/>
                </w:rPr>
              </w:pPr>
              <w:r>
                <w:rPr>
                  <w:noProof/>
                  <w:lang w:val="en-US"/>
                </w:rPr>
                <w:lastRenderedPageBreak/>
                <w:t xml:space="preserve">Cromarty, H., 2019. </w:t>
              </w:r>
              <w:r>
                <w:rPr>
                  <w:i/>
                  <w:iCs/>
                  <w:noProof/>
                  <w:lang w:val="en-US"/>
                </w:rPr>
                <w:t xml:space="preserve">Gypsies and Travellers, </w:t>
              </w:r>
              <w:r>
                <w:rPr>
                  <w:noProof/>
                  <w:lang w:val="en-US"/>
                </w:rPr>
                <w:t>London: House of Commons Library.</w:t>
              </w:r>
            </w:p>
            <w:p w14:paraId="48C17B63" w14:textId="77777777" w:rsidR="004C2607" w:rsidRDefault="004C2607" w:rsidP="004C2607">
              <w:pPr>
                <w:pStyle w:val="Bibliography"/>
                <w:rPr>
                  <w:noProof/>
                  <w:lang w:val="en-US"/>
                </w:rPr>
              </w:pPr>
              <w:r>
                <w:rPr>
                  <w:noProof/>
                  <w:lang w:val="en-US"/>
                </w:rPr>
                <w:t xml:space="preserve">Furnham, A., 2019. Culture Shock: A Review of the Literature for Practitioners. </w:t>
              </w:r>
              <w:r>
                <w:rPr>
                  <w:i/>
                  <w:iCs/>
                  <w:noProof/>
                  <w:lang w:val="en-US"/>
                </w:rPr>
                <w:t xml:space="preserve">Psychology, </w:t>
              </w:r>
              <w:r>
                <w:rPr>
                  <w:noProof/>
                  <w:lang w:val="en-US"/>
                </w:rPr>
                <w:t>Volume 10, pp. 1832-1855.</w:t>
              </w:r>
            </w:p>
            <w:p w14:paraId="41A75A75" w14:textId="77777777" w:rsidR="004C2607" w:rsidRDefault="004C2607" w:rsidP="004C2607">
              <w:pPr>
                <w:pStyle w:val="Bibliography"/>
                <w:rPr>
                  <w:noProof/>
                  <w:lang w:val="en-US"/>
                </w:rPr>
              </w:pPr>
              <w:r>
                <w:rPr>
                  <w:noProof/>
                  <w:lang w:val="en-US"/>
                </w:rPr>
                <w:t xml:space="preserve">Kann, A., 2013. </w:t>
              </w:r>
              <w:r>
                <w:rPr>
                  <w:i/>
                  <w:iCs/>
                  <w:noProof/>
                  <w:lang w:val="en-US"/>
                </w:rPr>
                <w:t xml:space="preserve">5 Big Fat Myths about Gypsies, Travellers and Roma. </w:t>
              </w:r>
              <w:r>
                <w:rPr>
                  <w:noProof/>
                  <w:lang w:val="en-US"/>
                </w:rPr>
                <w:t xml:space="preserve">[Online] </w:t>
              </w:r>
              <w:r>
                <w:rPr>
                  <w:noProof/>
                  <w:lang w:val="en-US"/>
                </w:rPr>
                <w:br/>
                <w:t xml:space="preserve">Available at: </w:t>
              </w:r>
              <w:r>
                <w:rPr>
                  <w:noProof/>
                  <w:u w:val="single"/>
                  <w:lang w:val="en-US"/>
                </w:rPr>
                <w:t>https://www.independent.co.uk/voices/comment/5-big-fat-myths-about-gypsies-travellers-and-roma-8609751.html</w:t>
              </w:r>
              <w:r>
                <w:rPr>
                  <w:noProof/>
                  <w:lang w:val="en-US"/>
                </w:rPr>
                <w:br/>
                <w:t>[Accessed 29 February 2020].</w:t>
              </w:r>
            </w:p>
            <w:p w14:paraId="4C461E02" w14:textId="77777777" w:rsidR="004C2607" w:rsidRDefault="004C2607" w:rsidP="004C2607">
              <w:pPr>
                <w:pStyle w:val="Bibliography"/>
                <w:rPr>
                  <w:noProof/>
                  <w:lang w:val="en-US"/>
                </w:rPr>
              </w:pPr>
              <w:r>
                <w:rPr>
                  <w:noProof/>
                  <w:lang w:val="en-US"/>
                </w:rPr>
                <w:t xml:space="preserve">Lamming, G., 1992. </w:t>
              </w:r>
              <w:r>
                <w:rPr>
                  <w:i/>
                  <w:iCs/>
                  <w:noProof/>
                  <w:lang w:val="en-US"/>
                </w:rPr>
                <w:t xml:space="preserve">The Pleasures of Exile, </w:t>
              </w:r>
              <w:r>
                <w:rPr>
                  <w:noProof/>
                  <w:lang w:val="en-US"/>
                </w:rPr>
                <w:t>s.l.: University of Michigan Press.</w:t>
              </w:r>
            </w:p>
            <w:p w14:paraId="38FA14F5" w14:textId="77777777" w:rsidR="004C2607" w:rsidRDefault="004C2607" w:rsidP="004C2607">
              <w:pPr>
                <w:pStyle w:val="Bibliography"/>
                <w:rPr>
                  <w:noProof/>
                  <w:lang w:val="en-US"/>
                </w:rPr>
              </w:pPr>
              <w:r>
                <w:rPr>
                  <w:noProof/>
                  <w:lang w:val="en-US"/>
                </w:rPr>
                <w:t xml:space="preserve">Lexico, 2020. </w:t>
              </w:r>
              <w:r>
                <w:rPr>
                  <w:i/>
                  <w:iCs/>
                  <w:noProof/>
                  <w:lang w:val="en-US"/>
                </w:rPr>
                <w:t xml:space="preserve">Traveller. </w:t>
              </w:r>
              <w:r>
                <w:rPr>
                  <w:noProof/>
                  <w:lang w:val="en-US"/>
                </w:rPr>
                <w:t xml:space="preserve">[Online] </w:t>
              </w:r>
              <w:r>
                <w:rPr>
                  <w:noProof/>
                  <w:lang w:val="en-US"/>
                </w:rPr>
                <w:br/>
                <w:t xml:space="preserve">Available at: </w:t>
              </w:r>
              <w:r>
                <w:rPr>
                  <w:noProof/>
                  <w:u w:val="single"/>
                  <w:lang w:val="en-US"/>
                </w:rPr>
                <w:t>https://www.lexico.com/definition/traveller</w:t>
              </w:r>
              <w:r>
                <w:rPr>
                  <w:noProof/>
                  <w:lang w:val="en-US"/>
                </w:rPr>
                <w:br/>
                <w:t>[Accessed 29 February 2020].</w:t>
              </w:r>
            </w:p>
            <w:p w14:paraId="6D02D9DC" w14:textId="77777777" w:rsidR="004C2607" w:rsidRDefault="004C2607" w:rsidP="004C2607">
              <w:pPr>
                <w:pStyle w:val="Bibliography"/>
                <w:rPr>
                  <w:noProof/>
                  <w:lang w:val="en-US"/>
                </w:rPr>
              </w:pPr>
              <w:r>
                <w:rPr>
                  <w:noProof/>
                  <w:lang w:val="en-US"/>
                </w:rPr>
                <w:t xml:space="preserve">Oberg, K., 1960. Cultural Shock: Adjustment to New Cultural Environments. </w:t>
              </w:r>
              <w:r>
                <w:rPr>
                  <w:i/>
                  <w:iCs/>
                  <w:noProof/>
                  <w:lang w:val="en-US"/>
                </w:rPr>
                <w:t xml:space="preserve">Practical Anthropology, </w:t>
              </w:r>
              <w:r>
                <w:rPr>
                  <w:noProof/>
                  <w:lang w:val="en-US"/>
                </w:rPr>
                <w:t>os-7(4), pp. 177-182.</w:t>
              </w:r>
            </w:p>
            <w:p w14:paraId="216CCB7A" w14:textId="77777777" w:rsidR="004C2607" w:rsidRDefault="004C2607" w:rsidP="004C2607">
              <w:pPr>
                <w:pStyle w:val="Bibliography"/>
                <w:rPr>
                  <w:noProof/>
                  <w:lang w:val="en-US"/>
                </w:rPr>
              </w:pPr>
              <w:r>
                <w:rPr>
                  <w:noProof/>
                  <w:lang w:val="en-US"/>
                </w:rPr>
                <w:t xml:space="preserve">Office for National Statistics, 2019. </w:t>
              </w:r>
              <w:r>
                <w:rPr>
                  <w:i/>
                  <w:iCs/>
                  <w:noProof/>
                  <w:lang w:val="en-US"/>
                </w:rPr>
                <w:t xml:space="preserve">Population Estimates. </w:t>
              </w:r>
              <w:r>
                <w:rPr>
                  <w:noProof/>
                  <w:lang w:val="en-US"/>
                </w:rPr>
                <w:t xml:space="preserve">[Online] </w:t>
              </w:r>
              <w:r>
                <w:rPr>
                  <w:noProof/>
                  <w:lang w:val="en-US"/>
                </w:rPr>
                <w:br/>
                <w:t xml:space="preserve">Available at: </w:t>
              </w:r>
              <w:r>
                <w:rPr>
                  <w:noProof/>
                  <w:u w:val="single"/>
                  <w:lang w:val="en-US"/>
                </w:rPr>
                <w:t>https://www.ons.gov.uk/peoplepopulationandcommunity/populationandmigration/populationestimates#main</w:t>
              </w:r>
              <w:r>
                <w:rPr>
                  <w:noProof/>
                  <w:lang w:val="en-US"/>
                </w:rPr>
                <w:br/>
                <w:t>[Accessed 01 March 2020].</w:t>
              </w:r>
            </w:p>
            <w:p w14:paraId="65C6D937" w14:textId="77777777" w:rsidR="004C2607" w:rsidRDefault="004C2607" w:rsidP="004C2607">
              <w:pPr>
                <w:pStyle w:val="Bibliography"/>
                <w:rPr>
                  <w:noProof/>
                  <w:lang w:val="en-US"/>
                </w:rPr>
              </w:pPr>
              <w:r>
                <w:rPr>
                  <w:noProof/>
                  <w:lang w:val="en-US"/>
                </w:rPr>
                <w:t xml:space="preserve">Traveller Movement, 2018. </w:t>
              </w:r>
              <w:r>
                <w:rPr>
                  <w:i/>
                  <w:iCs/>
                  <w:noProof/>
                  <w:lang w:val="en-US"/>
                </w:rPr>
                <w:t xml:space="preserve">The Last Acceptable For of Racism?. </w:t>
              </w:r>
              <w:r>
                <w:rPr>
                  <w:noProof/>
                  <w:lang w:val="en-US"/>
                </w:rPr>
                <w:t xml:space="preserve">[Online] </w:t>
              </w:r>
              <w:r>
                <w:rPr>
                  <w:noProof/>
                  <w:lang w:val="en-US"/>
                </w:rPr>
                <w:br/>
                <w:t xml:space="preserve">Available at: </w:t>
              </w:r>
              <w:r>
                <w:rPr>
                  <w:noProof/>
                  <w:u w:val="single"/>
                  <w:lang w:val="en-US"/>
                </w:rPr>
                <w:t>https://travellermovement.org.uk/news/50-the-last-acceptable-form-of-racism?highlight=WyJsYXN0IiwiYWNjZXB0YWJsZSIsImZvcm0iLCJvZiIsInJhY2lzbSIsImxhc3QgYWNjZXB0YWJsZSIsImxhc3QgYWNjZXB0YWJsZSBmb3JtIiwiYWNjZXB0YWJsZSBmb3JtIiwiYWNjZXB0YWJsZSBmb3JtIG9mIiwiZm9yb</w:t>
              </w:r>
              <w:r>
                <w:rPr>
                  <w:noProof/>
                  <w:lang w:val="en-US"/>
                </w:rPr>
                <w:br/>
                <w:t>[Accessed 02 March 2020].</w:t>
              </w:r>
            </w:p>
            <w:p w14:paraId="55D3DA95" w14:textId="34A5C2A8" w:rsidR="004C2607" w:rsidRDefault="004C2607" w:rsidP="004C2607">
              <w:r>
                <w:rPr>
                  <w:b/>
                  <w:bCs/>
                  <w:noProof/>
                </w:rPr>
                <w:fldChar w:fldCharType="end"/>
              </w:r>
            </w:p>
          </w:sdtContent>
        </w:sdt>
      </w:sdtContent>
    </w:sdt>
    <w:p w14:paraId="289C5433" w14:textId="77777777" w:rsidR="004C2607" w:rsidRPr="0023279C" w:rsidRDefault="004C2607" w:rsidP="0023279C">
      <w:pPr>
        <w:rPr>
          <w:sz w:val="24"/>
          <w:szCs w:val="24"/>
        </w:rPr>
      </w:pPr>
      <w:bookmarkStart w:id="0" w:name="_GoBack"/>
      <w:bookmarkEnd w:id="0"/>
    </w:p>
    <w:sectPr w:rsidR="004C2607" w:rsidRPr="002327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23279C"/>
    <w:rsid w:val="00017770"/>
    <w:rsid w:val="000471BD"/>
    <w:rsid w:val="000708D5"/>
    <w:rsid w:val="000A3143"/>
    <w:rsid w:val="000C33C3"/>
    <w:rsid w:val="001671DF"/>
    <w:rsid w:val="00187DB2"/>
    <w:rsid w:val="00212E81"/>
    <w:rsid w:val="0023279C"/>
    <w:rsid w:val="0023519A"/>
    <w:rsid w:val="002770A5"/>
    <w:rsid w:val="0028498E"/>
    <w:rsid w:val="003246FD"/>
    <w:rsid w:val="00366909"/>
    <w:rsid w:val="00376414"/>
    <w:rsid w:val="00397D13"/>
    <w:rsid w:val="003C1857"/>
    <w:rsid w:val="004440ED"/>
    <w:rsid w:val="004C2607"/>
    <w:rsid w:val="004E1C4B"/>
    <w:rsid w:val="00590EAD"/>
    <w:rsid w:val="00612C25"/>
    <w:rsid w:val="00687F14"/>
    <w:rsid w:val="00776189"/>
    <w:rsid w:val="007E2D99"/>
    <w:rsid w:val="00803DFF"/>
    <w:rsid w:val="00811564"/>
    <w:rsid w:val="00836648"/>
    <w:rsid w:val="00914BA6"/>
    <w:rsid w:val="00956BC1"/>
    <w:rsid w:val="00994498"/>
    <w:rsid w:val="009B7C4D"/>
    <w:rsid w:val="009E4CAC"/>
    <w:rsid w:val="00B11DB3"/>
    <w:rsid w:val="00B62CDD"/>
    <w:rsid w:val="00B66AF5"/>
    <w:rsid w:val="00B9586C"/>
    <w:rsid w:val="00C04821"/>
    <w:rsid w:val="00C36CF6"/>
    <w:rsid w:val="00C96CDD"/>
    <w:rsid w:val="00D23943"/>
    <w:rsid w:val="00D84E96"/>
    <w:rsid w:val="00D97E12"/>
    <w:rsid w:val="00DA23C7"/>
    <w:rsid w:val="00E31627"/>
    <w:rsid w:val="00E350E9"/>
    <w:rsid w:val="00E57632"/>
    <w:rsid w:val="00F00C0B"/>
    <w:rsid w:val="00F81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DC17F"/>
  <w15:chartTrackingRefBased/>
  <w15:docId w15:val="{FA4EFB8E-A88B-4500-AA97-7B8613EF5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60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607"/>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4C2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07367">
      <w:bodyDiv w:val="1"/>
      <w:marLeft w:val="0"/>
      <w:marRight w:val="0"/>
      <w:marTop w:val="0"/>
      <w:marBottom w:val="0"/>
      <w:divBdr>
        <w:top w:val="none" w:sz="0" w:space="0" w:color="auto"/>
        <w:left w:val="none" w:sz="0" w:space="0" w:color="auto"/>
        <w:bottom w:val="none" w:sz="0" w:space="0" w:color="auto"/>
        <w:right w:val="none" w:sz="0" w:space="0" w:color="auto"/>
      </w:divBdr>
    </w:div>
    <w:div w:id="290795300">
      <w:bodyDiv w:val="1"/>
      <w:marLeft w:val="0"/>
      <w:marRight w:val="0"/>
      <w:marTop w:val="0"/>
      <w:marBottom w:val="0"/>
      <w:divBdr>
        <w:top w:val="none" w:sz="0" w:space="0" w:color="auto"/>
        <w:left w:val="none" w:sz="0" w:space="0" w:color="auto"/>
        <w:bottom w:val="none" w:sz="0" w:space="0" w:color="auto"/>
        <w:right w:val="none" w:sz="0" w:space="0" w:color="auto"/>
      </w:divBdr>
    </w:div>
    <w:div w:id="302976138">
      <w:bodyDiv w:val="1"/>
      <w:marLeft w:val="0"/>
      <w:marRight w:val="0"/>
      <w:marTop w:val="0"/>
      <w:marBottom w:val="0"/>
      <w:divBdr>
        <w:top w:val="none" w:sz="0" w:space="0" w:color="auto"/>
        <w:left w:val="none" w:sz="0" w:space="0" w:color="auto"/>
        <w:bottom w:val="none" w:sz="0" w:space="0" w:color="auto"/>
        <w:right w:val="none" w:sz="0" w:space="0" w:color="auto"/>
      </w:divBdr>
    </w:div>
    <w:div w:id="317541477">
      <w:bodyDiv w:val="1"/>
      <w:marLeft w:val="0"/>
      <w:marRight w:val="0"/>
      <w:marTop w:val="0"/>
      <w:marBottom w:val="0"/>
      <w:divBdr>
        <w:top w:val="none" w:sz="0" w:space="0" w:color="auto"/>
        <w:left w:val="none" w:sz="0" w:space="0" w:color="auto"/>
        <w:bottom w:val="none" w:sz="0" w:space="0" w:color="auto"/>
        <w:right w:val="none" w:sz="0" w:space="0" w:color="auto"/>
      </w:divBdr>
    </w:div>
    <w:div w:id="366218209">
      <w:bodyDiv w:val="1"/>
      <w:marLeft w:val="0"/>
      <w:marRight w:val="0"/>
      <w:marTop w:val="0"/>
      <w:marBottom w:val="0"/>
      <w:divBdr>
        <w:top w:val="none" w:sz="0" w:space="0" w:color="auto"/>
        <w:left w:val="none" w:sz="0" w:space="0" w:color="auto"/>
        <w:bottom w:val="none" w:sz="0" w:space="0" w:color="auto"/>
        <w:right w:val="none" w:sz="0" w:space="0" w:color="auto"/>
      </w:divBdr>
    </w:div>
    <w:div w:id="438765118">
      <w:bodyDiv w:val="1"/>
      <w:marLeft w:val="0"/>
      <w:marRight w:val="0"/>
      <w:marTop w:val="0"/>
      <w:marBottom w:val="0"/>
      <w:divBdr>
        <w:top w:val="none" w:sz="0" w:space="0" w:color="auto"/>
        <w:left w:val="none" w:sz="0" w:space="0" w:color="auto"/>
        <w:bottom w:val="none" w:sz="0" w:space="0" w:color="auto"/>
        <w:right w:val="none" w:sz="0" w:space="0" w:color="auto"/>
      </w:divBdr>
    </w:div>
    <w:div w:id="511726472">
      <w:bodyDiv w:val="1"/>
      <w:marLeft w:val="0"/>
      <w:marRight w:val="0"/>
      <w:marTop w:val="0"/>
      <w:marBottom w:val="0"/>
      <w:divBdr>
        <w:top w:val="none" w:sz="0" w:space="0" w:color="auto"/>
        <w:left w:val="none" w:sz="0" w:space="0" w:color="auto"/>
        <w:bottom w:val="none" w:sz="0" w:space="0" w:color="auto"/>
        <w:right w:val="none" w:sz="0" w:space="0" w:color="auto"/>
      </w:divBdr>
    </w:div>
    <w:div w:id="547189229">
      <w:bodyDiv w:val="1"/>
      <w:marLeft w:val="0"/>
      <w:marRight w:val="0"/>
      <w:marTop w:val="0"/>
      <w:marBottom w:val="0"/>
      <w:divBdr>
        <w:top w:val="none" w:sz="0" w:space="0" w:color="auto"/>
        <w:left w:val="none" w:sz="0" w:space="0" w:color="auto"/>
        <w:bottom w:val="none" w:sz="0" w:space="0" w:color="auto"/>
        <w:right w:val="none" w:sz="0" w:space="0" w:color="auto"/>
      </w:divBdr>
    </w:div>
    <w:div w:id="586233075">
      <w:bodyDiv w:val="1"/>
      <w:marLeft w:val="0"/>
      <w:marRight w:val="0"/>
      <w:marTop w:val="0"/>
      <w:marBottom w:val="0"/>
      <w:divBdr>
        <w:top w:val="none" w:sz="0" w:space="0" w:color="auto"/>
        <w:left w:val="none" w:sz="0" w:space="0" w:color="auto"/>
        <w:bottom w:val="none" w:sz="0" w:space="0" w:color="auto"/>
        <w:right w:val="none" w:sz="0" w:space="0" w:color="auto"/>
      </w:divBdr>
    </w:div>
    <w:div w:id="732653969">
      <w:bodyDiv w:val="1"/>
      <w:marLeft w:val="0"/>
      <w:marRight w:val="0"/>
      <w:marTop w:val="0"/>
      <w:marBottom w:val="0"/>
      <w:divBdr>
        <w:top w:val="none" w:sz="0" w:space="0" w:color="auto"/>
        <w:left w:val="none" w:sz="0" w:space="0" w:color="auto"/>
        <w:bottom w:val="none" w:sz="0" w:space="0" w:color="auto"/>
        <w:right w:val="none" w:sz="0" w:space="0" w:color="auto"/>
      </w:divBdr>
    </w:div>
    <w:div w:id="841629117">
      <w:bodyDiv w:val="1"/>
      <w:marLeft w:val="0"/>
      <w:marRight w:val="0"/>
      <w:marTop w:val="0"/>
      <w:marBottom w:val="0"/>
      <w:divBdr>
        <w:top w:val="none" w:sz="0" w:space="0" w:color="auto"/>
        <w:left w:val="none" w:sz="0" w:space="0" w:color="auto"/>
        <w:bottom w:val="none" w:sz="0" w:space="0" w:color="auto"/>
        <w:right w:val="none" w:sz="0" w:space="0" w:color="auto"/>
      </w:divBdr>
    </w:div>
    <w:div w:id="926690866">
      <w:bodyDiv w:val="1"/>
      <w:marLeft w:val="0"/>
      <w:marRight w:val="0"/>
      <w:marTop w:val="0"/>
      <w:marBottom w:val="0"/>
      <w:divBdr>
        <w:top w:val="none" w:sz="0" w:space="0" w:color="auto"/>
        <w:left w:val="none" w:sz="0" w:space="0" w:color="auto"/>
        <w:bottom w:val="none" w:sz="0" w:space="0" w:color="auto"/>
        <w:right w:val="none" w:sz="0" w:space="0" w:color="auto"/>
      </w:divBdr>
    </w:div>
    <w:div w:id="997466096">
      <w:bodyDiv w:val="1"/>
      <w:marLeft w:val="0"/>
      <w:marRight w:val="0"/>
      <w:marTop w:val="0"/>
      <w:marBottom w:val="0"/>
      <w:divBdr>
        <w:top w:val="none" w:sz="0" w:space="0" w:color="auto"/>
        <w:left w:val="none" w:sz="0" w:space="0" w:color="auto"/>
        <w:bottom w:val="none" w:sz="0" w:space="0" w:color="auto"/>
        <w:right w:val="none" w:sz="0" w:space="0" w:color="auto"/>
      </w:divBdr>
    </w:div>
    <w:div w:id="1115759388">
      <w:bodyDiv w:val="1"/>
      <w:marLeft w:val="0"/>
      <w:marRight w:val="0"/>
      <w:marTop w:val="0"/>
      <w:marBottom w:val="0"/>
      <w:divBdr>
        <w:top w:val="none" w:sz="0" w:space="0" w:color="auto"/>
        <w:left w:val="none" w:sz="0" w:space="0" w:color="auto"/>
        <w:bottom w:val="none" w:sz="0" w:space="0" w:color="auto"/>
        <w:right w:val="none" w:sz="0" w:space="0" w:color="auto"/>
      </w:divBdr>
    </w:div>
    <w:div w:id="1151487720">
      <w:bodyDiv w:val="1"/>
      <w:marLeft w:val="0"/>
      <w:marRight w:val="0"/>
      <w:marTop w:val="0"/>
      <w:marBottom w:val="0"/>
      <w:divBdr>
        <w:top w:val="none" w:sz="0" w:space="0" w:color="auto"/>
        <w:left w:val="none" w:sz="0" w:space="0" w:color="auto"/>
        <w:bottom w:val="none" w:sz="0" w:space="0" w:color="auto"/>
        <w:right w:val="none" w:sz="0" w:space="0" w:color="auto"/>
      </w:divBdr>
    </w:div>
    <w:div w:id="1182009929">
      <w:bodyDiv w:val="1"/>
      <w:marLeft w:val="0"/>
      <w:marRight w:val="0"/>
      <w:marTop w:val="0"/>
      <w:marBottom w:val="0"/>
      <w:divBdr>
        <w:top w:val="none" w:sz="0" w:space="0" w:color="auto"/>
        <w:left w:val="none" w:sz="0" w:space="0" w:color="auto"/>
        <w:bottom w:val="none" w:sz="0" w:space="0" w:color="auto"/>
        <w:right w:val="none" w:sz="0" w:space="0" w:color="auto"/>
      </w:divBdr>
    </w:div>
    <w:div w:id="1184243756">
      <w:bodyDiv w:val="1"/>
      <w:marLeft w:val="0"/>
      <w:marRight w:val="0"/>
      <w:marTop w:val="0"/>
      <w:marBottom w:val="0"/>
      <w:divBdr>
        <w:top w:val="none" w:sz="0" w:space="0" w:color="auto"/>
        <w:left w:val="none" w:sz="0" w:space="0" w:color="auto"/>
        <w:bottom w:val="none" w:sz="0" w:space="0" w:color="auto"/>
        <w:right w:val="none" w:sz="0" w:space="0" w:color="auto"/>
      </w:divBdr>
    </w:div>
    <w:div w:id="1193345432">
      <w:bodyDiv w:val="1"/>
      <w:marLeft w:val="0"/>
      <w:marRight w:val="0"/>
      <w:marTop w:val="0"/>
      <w:marBottom w:val="0"/>
      <w:divBdr>
        <w:top w:val="none" w:sz="0" w:space="0" w:color="auto"/>
        <w:left w:val="none" w:sz="0" w:space="0" w:color="auto"/>
        <w:bottom w:val="none" w:sz="0" w:space="0" w:color="auto"/>
        <w:right w:val="none" w:sz="0" w:space="0" w:color="auto"/>
      </w:divBdr>
    </w:div>
    <w:div w:id="1222864723">
      <w:bodyDiv w:val="1"/>
      <w:marLeft w:val="0"/>
      <w:marRight w:val="0"/>
      <w:marTop w:val="0"/>
      <w:marBottom w:val="0"/>
      <w:divBdr>
        <w:top w:val="none" w:sz="0" w:space="0" w:color="auto"/>
        <w:left w:val="none" w:sz="0" w:space="0" w:color="auto"/>
        <w:bottom w:val="none" w:sz="0" w:space="0" w:color="auto"/>
        <w:right w:val="none" w:sz="0" w:space="0" w:color="auto"/>
      </w:divBdr>
    </w:div>
    <w:div w:id="1228956097">
      <w:bodyDiv w:val="1"/>
      <w:marLeft w:val="0"/>
      <w:marRight w:val="0"/>
      <w:marTop w:val="0"/>
      <w:marBottom w:val="0"/>
      <w:divBdr>
        <w:top w:val="none" w:sz="0" w:space="0" w:color="auto"/>
        <w:left w:val="none" w:sz="0" w:space="0" w:color="auto"/>
        <w:bottom w:val="none" w:sz="0" w:space="0" w:color="auto"/>
        <w:right w:val="none" w:sz="0" w:space="0" w:color="auto"/>
      </w:divBdr>
    </w:div>
    <w:div w:id="1255892601">
      <w:bodyDiv w:val="1"/>
      <w:marLeft w:val="0"/>
      <w:marRight w:val="0"/>
      <w:marTop w:val="0"/>
      <w:marBottom w:val="0"/>
      <w:divBdr>
        <w:top w:val="none" w:sz="0" w:space="0" w:color="auto"/>
        <w:left w:val="none" w:sz="0" w:space="0" w:color="auto"/>
        <w:bottom w:val="none" w:sz="0" w:space="0" w:color="auto"/>
        <w:right w:val="none" w:sz="0" w:space="0" w:color="auto"/>
      </w:divBdr>
    </w:div>
    <w:div w:id="1300460205">
      <w:bodyDiv w:val="1"/>
      <w:marLeft w:val="0"/>
      <w:marRight w:val="0"/>
      <w:marTop w:val="0"/>
      <w:marBottom w:val="0"/>
      <w:divBdr>
        <w:top w:val="none" w:sz="0" w:space="0" w:color="auto"/>
        <w:left w:val="none" w:sz="0" w:space="0" w:color="auto"/>
        <w:bottom w:val="none" w:sz="0" w:space="0" w:color="auto"/>
        <w:right w:val="none" w:sz="0" w:space="0" w:color="auto"/>
      </w:divBdr>
    </w:div>
    <w:div w:id="1302728126">
      <w:bodyDiv w:val="1"/>
      <w:marLeft w:val="0"/>
      <w:marRight w:val="0"/>
      <w:marTop w:val="0"/>
      <w:marBottom w:val="0"/>
      <w:divBdr>
        <w:top w:val="none" w:sz="0" w:space="0" w:color="auto"/>
        <w:left w:val="none" w:sz="0" w:space="0" w:color="auto"/>
        <w:bottom w:val="none" w:sz="0" w:space="0" w:color="auto"/>
        <w:right w:val="none" w:sz="0" w:space="0" w:color="auto"/>
      </w:divBdr>
    </w:div>
    <w:div w:id="1305968512">
      <w:bodyDiv w:val="1"/>
      <w:marLeft w:val="0"/>
      <w:marRight w:val="0"/>
      <w:marTop w:val="0"/>
      <w:marBottom w:val="0"/>
      <w:divBdr>
        <w:top w:val="none" w:sz="0" w:space="0" w:color="auto"/>
        <w:left w:val="none" w:sz="0" w:space="0" w:color="auto"/>
        <w:bottom w:val="none" w:sz="0" w:space="0" w:color="auto"/>
        <w:right w:val="none" w:sz="0" w:space="0" w:color="auto"/>
      </w:divBdr>
    </w:div>
    <w:div w:id="1345789467">
      <w:bodyDiv w:val="1"/>
      <w:marLeft w:val="0"/>
      <w:marRight w:val="0"/>
      <w:marTop w:val="0"/>
      <w:marBottom w:val="0"/>
      <w:divBdr>
        <w:top w:val="none" w:sz="0" w:space="0" w:color="auto"/>
        <w:left w:val="none" w:sz="0" w:space="0" w:color="auto"/>
        <w:bottom w:val="none" w:sz="0" w:space="0" w:color="auto"/>
        <w:right w:val="none" w:sz="0" w:space="0" w:color="auto"/>
      </w:divBdr>
    </w:div>
    <w:div w:id="1383405218">
      <w:bodyDiv w:val="1"/>
      <w:marLeft w:val="0"/>
      <w:marRight w:val="0"/>
      <w:marTop w:val="0"/>
      <w:marBottom w:val="0"/>
      <w:divBdr>
        <w:top w:val="none" w:sz="0" w:space="0" w:color="auto"/>
        <w:left w:val="none" w:sz="0" w:space="0" w:color="auto"/>
        <w:bottom w:val="none" w:sz="0" w:space="0" w:color="auto"/>
        <w:right w:val="none" w:sz="0" w:space="0" w:color="auto"/>
      </w:divBdr>
    </w:div>
    <w:div w:id="1469859823">
      <w:bodyDiv w:val="1"/>
      <w:marLeft w:val="0"/>
      <w:marRight w:val="0"/>
      <w:marTop w:val="0"/>
      <w:marBottom w:val="0"/>
      <w:divBdr>
        <w:top w:val="none" w:sz="0" w:space="0" w:color="auto"/>
        <w:left w:val="none" w:sz="0" w:space="0" w:color="auto"/>
        <w:bottom w:val="none" w:sz="0" w:space="0" w:color="auto"/>
        <w:right w:val="none" w:sz="0" w:space="0" w:color="auto"/>
      </w:divBdr>
    </w:div>
    <w:div w:id="1495024758">
      <w:bodyDiv w:val="1"/>
      <w:marLeft w:val="0"/>
      <w:marRight w:val="0"/>
      <w:marTop w:val="0"/>
      <w:marBottom w:val="0"/>
      <w:divBdr>
        <w:top w:val="none" w:sz="0" w:space="0" w:color="auto"/>
        <w:left w:val="none" w:sz="0" w:space="0" w:color="auto"/>
        <w:bottom w:val="none" w:sz="0" w:space="0" w:color="auto"/>
        <w:right w:val="none" w:sz="0" w:space="0" w:color="auto"/>
      </w:divBdr>
    </w:div>
    <w:div w:id="1571111934">
      <w:bodyDiv w:val="1"/>
      <w:marLeft w:val="0"/>
      <w:marRight w:val="0"/>
      <w:marTop w:val="0"/>
      <w:marBottom w:val="0"/>
      <w:divBdr>
        <w:top w:val="none" w:sz="0" w:space="0" w:color="auto"/>
        <w:left w:val="none" w:sz="0" w:space="0" w:color="auto"/>
        <w:bottom w:val="none" w:sz="0" w:space="0" w:color="auto"/>
        <w:right w:val="none" w:sz="0" w:space="0" w:color="auto"/>
      </w:divBdr>
    </w:div>
    <w:div w:id="1622498154">
      <w:bodyDiv w:val="1"/>
      <w:marLeft w:val="0"/>
      <w:marRight w:val="0"/>
      <w:marTop w:val="0"/>
      <w:marBottom w:val="0"/>
      <w:divBdr>
        <w:top w:val="none" w:sz="0" w:space="0" w:color="auto"/>
        <w:left w:val="none" w:sz="0" w:space="0" w:color="auto"/>
        <w:bottom w:val="none" w:sz="0" w:space="0" w:color="auto"/>
        <w:right w:val="none" w:sz="0" w:space="0" w:color="auto"/>
      </w:divBdr>
    </w:div>
    <w:div w:id="1657302461">
      <w:bodyDiv w:val="1"/>
      <w:marLeft w:val="0"/>
      <w:marRight w:val="0"/>
      <w:marTop w:val="0"/>
      <w:marBottom w:val="0"/>
      <w:divBdr>
        <w:top w:val="none" w:sz="0" w:space="0" w:color="auto"/>
        <w:left w:val="none" w:sz="0" w:space="0" w:color="auto"/>
        <w:bottom w:val="none" w:sz="0" w:space="0" w:color="auto"/>
        <w:right w:val="none" w:sz="0" w:space="0" w:color="auto"/>
      </w:divBdr>
    </w:div>
    <w:div w:id="1705210253">
      <w:bodyDiv w:val="1"/>
      <w:marLeft w:val="0"/>
      <w:marRight w:val="0"/>
      <w:marTop w:val="0"/>
      <w:marBottom w:val="0"/>
      <w:divBdr>
        <w:top w:val="none" w:sz="0" w:space="0" w:color="auto"/>
        <w:left w:val="none" w:sz="0" w:space="0" w:color="auto"/>
        <w:bottom w:val="none" w:sz="0" w:space="0" w:color="auto"/>
        <w:right w:val="none" w:sz="0" w:space="0" w:color="auto"/>
      </w:divBdr>
    </w:div>
    <w:div w:id="1756197879">
      <w:bodyDiv w:val="1"/>
      <w:marLeft w:val="0"/>
      <w:marRight w:val="0"/>
      <w:marTop w:val="0"/>
      <w:marBottom w:val="0"/>
      <w:divBdr>
        <w:top w:val="none" w:sz="0" w:space="0" w:color="auto"/>
        <w:left w:val="none" w:sz="0" w:space="0" w:color="auto"/>
        <w:bottom w:val="none" w:sz="0" w:space="0" w:color="auto"/>
        <w:right w:val="none" w:sz="0" w:space="0" w:color="auto"/>
      </w:divBdr>
    </w:div>
    <w:div w:id="1861167241">
      <w:bodyDiv w:val="1"/>
      <w:marLeft w:val="0"/>
      <w:marRight w:val="0"/>
      <w:marTop w:val="0"/>
      <w:marBottom w:val="0"/>
      <w:divBdr>
        <w:top w:val="none" w:sz="0" w:space="0" w:color="auto"/>
        <w:left w:val="none" w:sz="0" w:space="0" w:color="auto"/>
        <w:bottom w:val="none" w:sz="0" w:space="0" w:color="auto"/>
        <w:right w:val="none" w:sz="0" w:space="0" w:color="auto"/>
      </w:divBdr>
    </w:div>
    <w:div w:id="1924220941">
      <w:bodyDiv w:val="1"/>
      <w:marLeft w:val="0"/>
      <w:marRight w:val="0"/>
      <w:marTop w:val="0"/>
      <w:marBottom w:val="0"/>
      <w:divBdr>
        <w:top w:val="none" w:sz="0" w:space="0" w:color="auto"/>
        <w:left w:val="none" w:sz="0" w:space="0" w:color="auto"/>
        <w:bottom w:val="none" w:sz="0" w:space="0" w:color="auto"/>
        <w:right w:val="none" w:sz="0" w:space="0" w:color="auto"/>
      </w:divBdr>
    </w:div>
    <w:div w:id="1933002401">
      <w:bodyDiv w:val="1"/>
      <w:marLeft w:val="0"/>
      <w:marRight w:val="0"/>
      <w:marTop w:val="0"/>
      <w:marBottom w:val="0"/>
      <w:divBdr>
        <w:top w:val="none" w:sz="0" w:space="0" w:color="auto"/>
        <w:left w:val="none" w:sz="0" w:space="0" w:color="auto"/>
        <w:bottom w:val="none" w:sz="0" w:space="0" w:color="auto"/>
        <w:right w:val="none" w:sz="0" w:space="0" w:color="auto"/>
      </w:divBdr>
    </w:div>
    <w:div w:id="1955281181">
      <w:bodyDiv w:val="1"/>
      <w:marLeft w:val="0"/>
      <w:marRight w:val="0"/>
      <w:marTop w:val="0"/>
      <w:marBottom w:val="0"/>
      <w:divBdr>
        <w:top w:val="none" w:sz="0" w:space="0" w:color="auto"/>
        <w:left w:val="none" w:sz="0" w:space="0" w:color="auto"/>
        <w:bottom w:val="none" w:sz="0" w:space="0" w:color="auto"/>
        <w:right w:val="none" w:sz="0" w:space="0" w:color="auto"/>
      </w:divBdr>
    </w:div>
    <w:div w:id="207284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Lex20</b:Tag>
    <b:SourceType>InternetSite</b:SourceType>
    <b:Guid>{3D886AC3-9286-4853-93C3-2610C599C274}</b:Guid>
    <b:Title>Traveller</b:Title>
    <b:Year>2020</b:Year>
    <b:Author>
      <b:Author>
        <b:Corporate>Lexico</b:Corporate>
      </b:Author>
    </b:Author>
    <b:YearAccessed>2020</b:YearAccessed>
    <b:MonthAccessed>February</b:MonthAccessed>
    <b:DayAccessed>29</b:DayAccessed>
    <b:URL>https://www.lexico.com/definition/traveller</b:URL>
    <b:RefOrder>13</b:RefOrder>
  </b:Source>
  <b:Source>
    <b:Tag>Kan13</b:Tag>
    <b:SourceType>InternetSite</b:SourceType>
    <b:Guid>{773F8B58-72EE-4CDB-A71B-3E7E9CBBF582}</b:Guid>
    <b:Author>
      <b:Author>
        <b:NameList>
          <b:Person>
            <b:Last>Kann</b:Last>
            <b:First>A</b:First>
          </b:Person>
        </b:NameList>
      </b:Author>
    </b:Author>
    <b:Title>5 Big Fat Myths about Gypsies, Travellers and Roma</b:Title>
    <b:Year>2013</b:Year>
    <b:YearAccessed>2020</b:YearAccessed>
    <b:MonthAccessed>February</b:MonthAccessed>
    <b:DayAccessed>29</b:DayAccessed>
    <b:URL>https://www.independent.co.uk/voices/comment/5-big-fat-myths-about-gypsies-travellers-and-roma-8609751.html</b:URL>
    <b:RefOrder>2</b:RefOrder>
  </b:Source>
  <b:Source>
    <b:Tag>Cro19</b:Tag>
    <b:SourceType>Report</b:SourceType>
    <b:Guid>{2F7C0579-CB7A-4C66-9F22-0BB986AE169C}</b:Guid>
    <b:Title>Gypsies and Travellers</b:Title>
    <b:Year>2019</b:Year>
    <b:Author>
      <b:Author>
        <b:NameList>
          <b:Person>
            <b:Last>Cromarty</b:Last>
            <b:First>H</b:First>
          </b:Person>
        </b:NameList>
      </b:Author>
    </b:Author>
    <b:Publisher>House of Commons Library</b:Publisher>
    <b:City>London</b:City>
    <b:RefOrder>3</b:RefOrder>
  </b:Source>
  <b:Source>
    <b:Tag>Ber02</b:Tag>
    <b:SourceType>Book</b:SourceType>
    <b:Guid>{F052DC6F-0B41-44AB-8170-FBBCDD7B609B}</b:Guid>
    <b:Author>
      <b:Author>
        <b:NameList>
          <b:Person>
            <b:Last>Berry</b:Last>
            <b:First>J</b:First>
          </b:Person>
          <b:Person>
            <b:Last>Poortinga</b:Last>
            <b:First>Y</b:First>
          </b:Person>
          <b:Person>
            <b:Last>Segall</b:Last>
            <b:First>M</b:First>
          </b:Person>
          <b:Person>
            <b:Last>Dasen</b:Last>
            <b:First>P</b:First>
          </b:Person>
        </b:NameList>
      </b:Author>
    </b:Author>
    <b:Title>Cross-Cultural Psychology: Research and Applications</b:Title>
    <b:Year>2002</b:Year>
    <b:City>Cambridge</b:City>
    <b:Publisher>Cambridge University Press</b:Publisher>
    <b:Edition>2nd</b:Edition>
    <b:RefOrder>5</b:RefOrder>
  </b:Source>
  <b:Source>
    <b:Tag>Fur19</b:Tag>
    <b:SourceType>JournalArticle</b:SourceType>
    <b:Guid>{FD30A3E0-2BB0-44F9-93EC-3CEA5480A6F9}</b:Guid>
    <b:Author>
      <b:Author>
        <b:NameList>
          <b:Person>
            <b:Last>Furnham</b:Last>
            <b:First>A</b:First>
          </b:Person>
        </b:NameList>
      </b:Author>
    </b:Author>
    <b:Title>Culture Shock: A Review of the Literature for Practitioners</b:Title>
    <b:JournalName>Psychology</b:JournalName>
    <b:Year>2019</b:Year>
    <b:Pages>1832-1855</b:Pages>
    <b:Volume>10</b:Volume>
    <b:RefOrder>1</b:RefOrder>
  </b:Source>
  <b:Source>
    <b:Tag>Off191</b:Tag>
    <b:SourceType>InternetSite</b:SourceType>
    <b:Guid>{ECDE0E0D-0250-48FE-93DE-2B21A5D45F3B}</b:Guid>
    <b:Title>Population Estimates</b:Title>
    <b:Year>2019</b:Year>
    <b:Author>
      <b:Author>
        <b:Corporate>Office for National Statistics</b:Corporate>
      </b:Author>
    </b:Author>
    <b:YearAccessed>2020</b:YearAccessed>
    <b:MonthAccessed>March</b:MonthAccessed>
    <b:DayAccessed>01</b:DayAccessed>
    <b:URL>https://www.ons.gov.uk/peoplepopulationandcommunity/populationandmigration/populationestimates#main</b:URL>
    <b:RefOrder>9</b:RefOrder>
  </b:Source>
  <b:Source>
    <b:Tag>Ber06</b:Tag>
    <b:SourceType>BookSection</b:SourceType>
    <b:Guid>{B0EDF5BD-2C3F-4387-B4F3-9820A6844808}</b:Guid>
    <b:Title>Acculturation</b:Title>
    <b:Year>2006</b:Year>
    <b:Author>
      <b:Author>
        <b:NameList>
          <b:Person>
            <b:Last>Berry</b:Last>
            <b:First>J</b:First>
          </b:Person>
        </b:NameList>
      </b:Author>
      <b:Editor>
        <b:NameList>
          <b:Person>
            <b:Last>Friedlmeier</b:Last>
            <b:First>W</b:First>
          </b:Person>
          <b:Person>
            <b:Last>Chakkarath</b:Last>
            <b:First>P</b:First>
          </b:Person>
          <b:Person>
            <b:Last>Schwarz</b:Last>
            <b:First>B</b:First>
          </b:Person>
        </b:NameList>
      </b:Editor>
    </b:Author>
    <b:BookTitle>Culture and Human Development: The Importance of Cross-Cultural Research for the Social Sciences</b:BookTitle>
    <b:Pages>263-273</b:Pages>
    <b:City>Hove</b:City>
    <b:Publisher>Taylor &amp; Francis Group</b:Publisher>
    <b:RefOrder>7</b:RefOrder>
  </b:Source>
  <b:Source>
    <b:Tag>Obe60</b:Tag>
    <b:SourceType>JournalArticle</b:SourceType>
    <b:Guid>{DB8B9331-3068-443A-A6D5-D0847886147B}</b:Guid>
    <b:Title>Cultural Shock: Adjustment to New Cultural Environments</b:Title>
    <b:Year>1960</b:Year>
    <b:Pages>177-182</b:Pages>
    <b:Author>
      <b:Author>
        <b:NameList>
          <b:Person>
            <b:Last>Oberg</b:Last>
            <b:First>K</b:First>
          </b:Person>
        </b:NameList>
      </b:Author>
    </b:Author>
    <b:JournalName>Practical Anthropology</b:JournalName>
    <b:Volume>os-7</b:Volume>
    <b:Issue>4</b:Issue>
    <b:RefOrder>6</b:RefOrder>
  </b:Source>
  <b:Source>
    <b:Tag>Aga06</b:Tag>
    <b:SourceType>JournalArticle</b:SourceType>
    <b:Guid>{472CD3E7-3094-4DB5-B2B9-DD2AE2E7D700}</b:Guid>
    <b:Author>
      <b:Author>
        <b:NameList>
          <b:Person>
            <b:Last>Agar</b:Last>
            <b:First>M</b:First>
          </b:Person>
        </b:NameList>
      </b:Author>
    </b:Author>
    <b:Title>Culture: Can You Take It Anywhere?</b:Title>
    <b:JournalName>International Journal of Qualitative Methods</b:JournalName>
    <b:Year>2006</b:Year>
    <b:Pages>1-16</b:Pages>
    <b:Volume>5</b:Volume>
    <b:Issue>2</b:Issue>
    <b:RefOrder>12</b:RefOrder>
  </b:Source>
  <b:Source>
    <b:Tag>Lam92</b:Tag>
    <b:SourceType>Report</b:SourceType>
    <b:Guid>{CD7B0E2B-4D1D-47CE-801F-9C3B79EA74D8}</b:Guid>
    <b:Title>The Pleasures of Exile</b:Title>
    <b:Year>1992</b:Year>
    <b:Author>
      <b:Author>
        <b:NameList>
          <b:Person>
            <b:Last>Lamming</b:Last>
            <b:First>G</b:First>
          </b:Person>
        </b:NameList>
      </b:Author>
    </b:Author>
    <b:Publisher>University of Michigan Press</b:Publisher>
    <b:RefOrder>8</b:RefOrder>
  </b:Source>
  <b:Source>
    <b:Tag>Cem09</b:Tag>
    <b:SourceType>Report</b:SourceType>
    <b:Guid>{5FBB9DAC-1600-4D98-B179-A1C1FB6F7687}</b:Guid>
    <b:Author>
      <b:Author>
        <b:NameList>
          <b:Person>
            <b:Last>Cemlyn</b:Last>
            <b:First>S</b:First>
          </b:Person>
          <b:Person>
            <b:Last>Greenfields</b:Last>
            <b:First>M</b:First>
          </b:Person>
          <b:Person>
            <b:Last>Burnett</b:Last>
            <b:First>S</b:First>
          </b:Person>
          <b:Person>
            <b:Last>Matthews</b:Last>
            <b:First>Z</b:First>
          </b:Person>
          <b:Person>
            <b:Last>Whitwell</b:Last>
            <b:First>C</b:First>
          </b:Person>
        </b:NameList>
      </b:Author>
    </b:Author>
    <b:Title>Inequalities Experiences by Gypsy and Traveller Communities: A Review</b:Title>
    <b:Year>2009</b:Year>
    <b:Publisher>Equality and Human Rights Commission</b:Publisher>
    <b:City>Manchester</b:City>
    <b:RefOrder>10</b:RefOrder>
  </b:Source>
  <b:Source>
    <b:Tag>Tra18</b:Tag>
    <b:SourceType>InternetSite</b:SourceType>
    <b:Guid>{81EB2ADF-B4E2-4514-856D-808787951C03}</b:Guid>
    <b:Author>
      <b:Author>
        <b:Corporate>Traveller Movement</b:Corporate>
      </b:Author>
    </b:Author>
    <b:Title>The Last Acceptable For of Racism?</b:Title>
    <b:Year>2018</b:Year>
    <b:YearAccessed>2020</b:YearAccessed>
    <b:MonthAccessed>March</b:MonthAccessed>
    <b:DayAccessed>02</b:DayAccessed>
    <b:URL>https://travellermovement.org.uk/news/50-the-last-acceptable-form-of-racism?highlight=WyJsYXN0IiwiYWNjZXB0YWJsZSIsImZvcm0iLCJvZiIsInJhY2lzbSIsImxhc3QgYWNjZXB0YWJsZSIsImxhc3QgYWNjZXB0YWJsZSBmb3JtIiwiYWNjZXB0YWJsZSBmb3JtIiwiYWNjZXB0YWJsZSBmb3JtIG9mIiwiZm9yb</b:URL>
    <b:RefOrder>11</b:RefOrder>
  </b:Source>
  <b:Source>
    <b:Tag>Bro10</b:Tag>
    <b:SourceType>InternetSite</b:SourceType>
    <b:Guid>{48DB41E4-F449-4154-B229-F28F98F8D164}</b:Guid>
    <b:Title>'Doing Research' with Gypsy-Travellers in England: Reflections on Experience and Practise</b:Title>
    <b:Year>2010</b:Year>
    <b:YearAccessed>2020</b:YearAccessed>
    <b:MonthAccessed>March</b:MonthAccessed>
    <b:DayAccessed>02</b:DayAccessed>
    <b:URL>http://usir.salford.ac.uk/id/eprint/9656/</b:URL>
    <b:Author>
      <b:Author>
        <b:NameList>
          <b:Person>
            <b:Last>Brown</b:Last>
            <b:First>P</b:First>
          </b:Person>
          <b:Person>
            <b:Last>Scullion</b:Last>
            <b:First>L</b:First>
          </b:Person>
        </b:NameList>
      </b:Author>
    </b:Author>
    <b:JournalName>USIR</b:JournalName>
    <b:RefOrder>4</b:RefOrder>
  </b:Source>
</b:Sources>
</file>

<file path=customXml/itemProps1.xml><?xml version="1.0" encoding="utf-8"?>
<ds:datastoreItem xmlns:ds="http://schemas.openxmlformats.org/officeDocument/2006/customXml" ds:itemID="{72B6D046-0948-4742-B849-9E40690C5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3291</TotalTime>
  <Pages>5</Pages>
  <Words>2321</Words>
  <Characters>13230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dc:creator>
  <cp:keywords/>
  <dc:description/>
  <cp:lastModifiedBy> </cp:lastModifiedBy>
  <cp:revision>13</cp:revision>
  <dcterms:created xsi:type="dcterms:W3CDTF">2020-02-29T14:58:00Z</dcterms:created>
  <dcterms:modified xsi:type="dcterms:W3CDTF">2020-03-02T21:55:00Z</dcterms:modified>
</cp:coreProperties>
</file>