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32CF5" w:rsidRDefault="004C175C">
      <w:pPr>
        <w:jc w:val="center"/>
      </w:pPr>
      <w:r>
        <w:rPr>
          <w:b/>
          <w:color w:val="18495F"/>
          <w:sz w:val="32"/>
        </w:rPr>
        <w:t xml:space="preserve">LCHS7000 Social Epidemiology and Public Health </w:t>
      </w:r>
      <w:bookmarkStart w:id="0" w:name="_GoBack"/>
      <w:bookmarkEnd w:id="0"/>
      <w:r>
        <w:rPr>
          <w:b/>
          <w:color w:val="18495F"/>
          <w:sz w:val="32"/>
        </w:rPr>
        <w:t>Development</w:t>
      </w:r>
    </w:p>
    <w:p w:rsidR="00532CF5" w:rsidRDefault="004C175C">
      <w:pPr>
        <w:jc w:val="center"/>
      </w:pPr>
      <w:r>
        <w:rPr>
          <w:b/>
          <w:color w:val="18495F"/>
          <w:sz w:val="44"/>
        </w:rPr>
        <w:br/>
        <w:t>Component 2 Analytical Report</w:t>
      </w:r>
    </w:p>
    <w:p w:rsidR="00532CF5" w:rsidRDefault="004C175C">
      <w:pPr>
        <w:jc w:val="center"/>
      </w:pPr>
      <w:r>
        <w:rPr>
          <w:b/>
          <w:sz w:val="24"/>
        </w:rPr>
        <w:br/>
        <w:t>Task 1: Gender and Health Inequalities</w:t>
      </w:r>
    </w:p>
    <w:p w:rsidR="00532CF5" w:rsidRDefault="004C175C">
      <w:pPr>
        <w:jc w:val="center"/>
        <w:rPr>
          <w:b/>
          <w:sz w:val="24"/>
        </w:rPr>
      </w:pPr>
      <w:r>
        <w:rPr>
          <w:b/>
          <w:sz w:val="24"/>
        </w:rPr>
        <w:t>Task 2: Type 2 Diabetes Epidemiological Analysis</w:t>
      </w:r>
    </w:p>
    <w:p w:rsidR="00532CF5" w:rsidRDefault="00532CF5">
      <w:pPr>
        <w:jc w:val="center"/>
      </w:pPr>
    </w:p>
    <w:tbl>
      <w:tblPr>
        <w:tblStyle w:val="TableGrid"/>
        <w:tblW w:w="0" w:type="auto"/>
        <w:jc w:val="center"/>
        <w:tblLook w:val="04A0" w:firstRow="1" w:lastRow="0" w:firstColumn="1" w:lastColumn="0" w:noHBand="0" w:noVBand="1"/>
      </w:tblPr>
      <w:tblGrid>
        <w:gridCol w:w="3168"/>
        <w:gridCol w:w="6048"/>
      </w:tblGrid>
      <w:tr w:rsidR="00532CF5">
        <w:trPr>
          <w:jc w:val="center"/>
        </w:trPr>
        <w:tc>
          <w:tcPr>
            <w:tcW w:w="3168" w:type="dxa"/>
            <w:vAlign w:val="center"/>
          </w:tcPr>
          <w:p w:rsidR="00532CF5" w:rsidRDefault="004C175C">
            <w:pPr>
              <w:rPr>
                <w:b/>
                <w:bCs/>
              </w:rPr>
            </w:pPr>
            <w:r>
              <w:rPr>
                <w:b/>
                <w:bCs/>
              </w:rPr>
              <w:t>Student name</w:t>
            </w:r>
          </w:p>
        </w:tc>
        <w:tc>
          <w:tcPr>
            <w:tcW w:w="6048" w:type="dxa"/>
            <w:vAlign w:val="center"/>
          </w:tcPr>
          <w:p w:rsidR="00532CF5" w:rsidRDefault="004C175C">
            <w:r>
              <w:rPr>
                <w:rFonts w:cs="Arial"/>
                <w:iCs/>
                <w:color w:val="000000"/>
              </w:rPr>
              <w:t>Syed Md Raihanul Hoque</w:t>
            </w:r>
          </w:p>
        </w:tc>
      </w:tr>
      <w:tr w:rsidR="00532CF5">
        <w:trPr>
          <w:jc w:val="center"/>
        </w:trPr>
        <w:tc>
          <w:tcPr>
            <w:tcW w:w="3168" w:type="dxa"/>
            <w:vAlign w:val="center"/>
          </w:tcPr>
          <w:p w:rsidR="00532CF5" w:rsidRDefault="004C175C">
            <w:pPr>
              <w:rPr>
                <w:b/>
                <w:bCs/>
              </w:rPr>
            </w:pPr>
            <w:r>
              <w:rPr>
                <w:b/>
                <w:bCs/>
              </w:rPr>
              <w:t>Student ID</w:t>
            </w:r>
          </w:p>
        </w:tc>
        <w:tc>
          <w:tcPr>
            <w:tcW w:w="6048" w:type="dxa"/>
            <w:vAlign w:val="center"/>
          </w:tcPr>
          <w:p w:rsidR="00532CF5" w:rsidRDefault="004C175C">
            <w:r>
              <w:rPr>
                <w:rFonts w:cs="Arial"/>
                <w:iCs/>
                <w:color w:val="000000"/>
              </w:rPr>
              <w:t>2521856</w:t>
            </w:r>
          </w:p>
        </w:tc>
      </w:tr>
      <w:tr w:rsidR="00532CF5">
        <w:trPr>
          <w:jc w:val="center"/>
        </w:trPr>
        <w:tc>
          <w:tcPr>
            <w:tcW w:w="3168" w:type="dxa"/>
            <w:vAlign w:val="center"/>
          </w:tcPr>
          <w:p w:rsidR="00532CF5" w:rsidRDefault="004C175C">
            <w:pPr>
              <w:rPr>
                <w:b/>
                <w:bCs/>
              </w:rPr>
            </w:pPr>
            <w:r>
              <w:rPr>
                <w:b/>
                <w:bCs/>
              </w:rPr>
              <w:t>Programme</w:t>
            </w:r>
          </w:p>
        </w:tc>
        <w:tc>
          <w:tcPr>
            <w:tcW w:w="6048" w:type="dxa"/>
            <w:vAlign w:val="center"/>
          </w:tcPr>
          <w:p w:rsidR="00532CF5" w:rsidRDefault="004C175C">
            <w:r>
              <w:t xml:space="preserve">MSc </w:t>
            </w:r>
            <w:r>
              <w:t>Public Health and Social Care in Practice</w:t>
            </w:r>
          </w:p>
        </w:tc>
      </w:tr>
      <w:tr w:rsidR="00532CF5">
        <w:trPr>
          <w:jc w:val="center"/>
        </w:trPr>
        <w:tc>
          <w:tcPr>
            <w:tcW w:w="3168" w:type="dxa"/>
            <w:vAlign w:val="center"/>
          </w:tcPr>
          <w:p w:rsidR="00532CF5" w:rsidRDefault="004C175C">
            <w:pPr>
              <w:rPr>
                <w:b/>
                <w:bCs/>
              </w:rPr>
            </w:pPr>
            <w:r>
              <w:rPr>
                <w:b/>
                <w:bCs/>
              </w:rPr>
              <w:t>Module</w:t>
            </w:r>
          </w:p>
        </w:tc>
        <w:tc>
          <w:tcPr>
            <w:tcW w:w="6048" w:type="dxa"/>
            <w:vAlign w:val="center"/>
          </w:tcPr>
          <w:p w:rsidR="00532CF5" w:rsidRDefault="004C175C">
            <w:r>
              <w:t>Social Epidemiology and Public Health Development</w:t>
            </w:r>
          </w:p>
        </w:tc>
      </w:tr>
      <w:tr w:rsidR="00532CF5">
        <w:trPr>
          <w:jc w:val="center"/>
        </w:trPr>
        <w:tc>
          <w:tcPr>
            <w:tcW w:w="3168" w:type="dxa"/>
            <w:vAlign w:val="center"/>
          </w:tcPr>
          <w:p w:rsidR="00532CF5" w:rsidRDefault="004C175C">
            <w:pPr>
              <w:rPr>
                <w:b/>
                <w:bCs/>
              </w:rPr>
            </w:pPr>
            <w:r>
              <w:rPr>
                <w:b/>
                <w:bCs/>
              </w:rPr>
              <w:t>Module code</w:t>
            </w:r>
          </w:p>
        </w:tc>
        <w:tc>
          <w:tcPr>
            <w:tcW w:w="6048" w:type="dxa"/>
            <w:vAlign w:val="center"/>
          </w:tcPr>
          <w:p w:rsidR="00532CF5" w:rsidRDefault="004C175C">
            <w:r>
              <w:t>LCHS7000</w:t>
            </w:r>
          </w:p>
        </w:tc>
      </w:tr>
      <w:tr w:rsidR="00532CF5">
        <w:trPr>
          <w:jc w:val="center"/>
        </w:trPr>
        <w:tc>
          <w:tcPr>
            <w:tcW w:w="3168" w:type="dxa"/>
            <w:vAlign w:val="center"/>
          </w:tcPr>
          <w:p w:rsidR="00532CF5" w:rsidRDefault="004C175C">
            <w:pPr>
              <w:rPr>
                <w:b/>
                <w:bCs/>
              </w:rPr>
            </w:pPr>
            <w:r>
              <w:rPr>
                <w:b/>
                <w:bCs/>
              </w:rPr>
              <w:t>Lecturer</w:t>
            </w:r>
          </w:p>
        </w:tc>
        <w:tc>
          <w:tcPr>
            <w:tcW w:w="6048" w:type="dxa"/>
            <w:vAlign w:val="center"/>
          </w:tcPr>
          <w:p w:rsidR="00532CF5" w:rsidRDefault="004C175C">
            <w:r>
              <w:t>Dr Hamdi Hussain</w:t>
            </w:r>
          </w:p>
        </w:tc>
      </w:tr>
      <w:tr w:rsidR="00532CF5">
        <w:trPr>
          <w:jc w:val="center"/>
        </w:trPr>
        <w:tc>
          <w:tcPr>
            <w:tcW w:w="3168" w:type="dxa"/>
            <w:vAlign w:val="center"/>
          </w:tcPr>
          <w:p w:rsidR="00532CF5" w:rsidRDefault="004C175C">
            <w:pPr>
              <w:rPr>
                <w:b/>
                <w:bCs/>
              </w:rPr>
            </w:pPr>
            <w:r>
              <w:rPr>
                <w:b/>
                <w:bCs/>
              </w:rPr>
              <w:t>Word Count</w:t>
            </w:r>
          </w:p>
        </w:tc>
        <w:tc>
          <w:tcPr>
            <w:tcW w:w="6048" w:type="dxa"/>
            <w:vAlign w:val="center"/>
          </w:tcPr>
          <w:p w:rsidR="00532CF5" w:rsidRDefault="004C175C">
            <w:r>
              <w:t>2736</w:t>
            </w:r>
          </w:p>
        </w:tc>
      </w:tr>
      <w:tr w:rsidR="00532CF5">
        <w:trPr>
          <w:jc w:val="center"/>
        </w:trPr>
        <w:tc>
          <w:tcPr>
            <w:tcW w:w="3168" w:type="dxa"/>
            <w:vAlign w:val="center"/>
          </w:tcPr>
          <w:p w:rsidR="00532CF5" w:rsidRDefault="004C175C">
            <w:pPr>
              <w:rPr>
                <w:b/>
                <w:bCs/>
              </w:rPr>
            </w:pPr>
            <w:r>
              <w:rPr>
                <w:b/>
                <w:bCs/>
              </w:rPr>
              <w:t>Submission date</w:t>
            </w:r>
          </w:p>
        </w:tc>
        <w:tc>
          <w:tcPr>
            <w:tcW w:w="6048" w:type="dxa"/>
            <w:vAlign w:val="center"/>
          </w:tcPr>
          <w:p w:rsidR="00532CF5" w:rsidRDefault="008B1C5E">
            <w:r>
              <w:t>21 March 2026</w:t>
            </w:r>
          </w:p>
        </w:tc>
      </w:tr>
    </w:tbl>
    <w:p w:rsidR="00532CF5" w:rsidRDefault="004C175C">
      <w:r>
        <w:br w:type="page"/>
      </w:r>
    </w:p>
    <w:p w:rsidR="00532CF5" w:rsidRDefault="004C175C">
      <w:pPr>
        <w:pStyle w:val="TOCHeading"/>
      </w:pPr>
      <w:r>
        <w:lastRenderedPageBreak/>
        <w:t>Table of Contents</w:t>
      </w:r>
    </w:p>
    <w:p w:rsidR="00532CF5" w:rsidRDefault="004C175C">
      <w:pPr>
        <w:pStyle w:val="TOC1"/>
        <w:tabs>
          <w:tab w:val="right" w:leader="dot" w:pos="9638"/>
        </w:tabs>
        <w:rPr>
          <w:noProof/>
        </w:rPr>
      </w:pPr>
      <w:r>
        <w:fldChar w:fldCharType="begin"/>
      </w:r>
      <w:r>
        <w:instrText xml:space="preserve"> TOC \o "1-3" \h \z \u </w:instrText>
      </w:r>
      <w:r>
        <w:fldChar w:fldCharType="separate"/>
      </w:r>
      <w:hyperlink w:anchor="_Toc224480160" w:history="1">
        <w:r>
          <w:rPr>
            <w:rStyle w:val="Hyperlink"/>
            <w:rFonts w:cs="Arial"/>
            <w:noProof/>
          </w:rPr>
          <w:t>Task 1: Gender inequality and health inequalities in the UK: a social epidemiological analysis</w:t>
        </w:r>
        <w:r>
          <w:rPr>
            <w:noProof/>
            <w:webHidden/>
          </w:rPr>
          <w:tab/>
        </w:r>
        <w:r>
          <w:rPr>
            <w:noProof/>
            <w:webHidden/>
          </w:rPr>
          <w:fldChar w:fldCharType="begin"/>
        </w:r>
        <w:r>
          <w:rPr>
            <w:noProof/>
            <w:webHidden/>
          </w:rPr>
          <w:instrText xml:space="preserve"> PAGEREF _Toc224480160 \h </w:instrText>
        </w:r>
        <w:r>
          <w:rPr>
            <w:noProof/>
            <w:webHidden/>
          </w:rPr>
        </w:r>
        <w:r>
          <w:rPr>
            <w:noProof/>
            <w:webHidden/>
          </w:rPr>
          <w:fldChar w:fldCharType="separate"/>
        </w:r>
        <w:r>
          <w:rPr>
            <w:noProof/>
            <w:webHidden/>
          </w:rPr>
          <w:t>3</w:t>
        </w:r>
        <w:r>
          <w:rPr>
            <w:noProof/>
            <w:webHidden/>
          </w:rPr>
          <w:fldChar w:fldCharType="end"/>
        </w:r>
      </w:hyperlink>
    </w:p>
    <w:p w:rsidR="00532CF5" w:rsidRDefault="004C175C">
      <w:pPr>
        <w:pStyle w:val="TOC2"/>
        <w:tabs>
          <w:tab w:val="right" w:leader="dot" w:pos="9638"/>
        </w:tabs>
        <w:rPr>
          <w:noProof/>
        </w:rPr>
      </w:pPr>
      <w:hyperlink w:anchor="_Toc224480161" w:history="1">
        <w:r>
          <w:rPr>
            <w:rStyle w:val="Hyperlink"/>
            <w:rFonts w:cs="Arial"/>
            <w:noProof/>
          </w:rPr>
          <w:t>Introduction</w:t>
        </w:r>
        <w:r>
          <w:rPr>
            <w:noProof/>
            <w:webHidden/>
          </w:rPr>
          <w:tab/>
        </w:r>
        <w:r>
          <w:rPr>
            <w:noProof/>
            <w:webHidden/>
          </w:rPr>
          <w:fldChar w:fldCharType="begin"/>
        </w:r>
        <w:r>
          <w:rPr>
            <w:noProof/>
            <w:webHidden/>
          </w:rPr>
          <w:instrText xml:space="preserve"> PAGEREF _Toc2244</w:instrText>
        </w:r>
        <w:r>
          <w:rPr>
            <w:noProof/>
            <w:webHidden/>
          </w:rPr>
          <w:instrText xml:space="preserve">80161 \h </w:instrText>
        </w:r>
        <w:r>
          <w:rPr>
            <w:noProof/>
            <w:webHidden/>
          </w:rPr>
        </w:r>
        <w:r>
          <w:rPr>
            <w:noProof/>
            <w:webHidden/>
          </w:rPr>
          <w:fldChar w:fldCharType="separate"/>
        </w:r>
        <w:r>
          <w:rPr>
            <w:noProof/>
            <w:webHidden/>
          </w:rPr>
          <w:t>3</w:t>
        </w:r>
        <w:r>
          <w:rPr>
            <w:noProof/>
            <w:webHidden/>
          </w:rPr>
          <w:fldChar w:fldCharType="end"/>
        </w:r>
      </w:hyperlink>
    </w:p>
    <w:p w:rsidR="00532CF5" w:rsidRDefault="004C175C">
      <w:pPr>
        <w:pStyle w:val="TOC2"/>
        <w:tabs>
          <w:tab w:val="right" w:leader="dot" w:pos="9638"/>
        </w:tabs>
        <w:rPr>
          <w:noProof/>
        </w:rPr>
      </w:pPr>
      <w:hyperlink w:anchor="_Toc224480162" w:history="1">
        <w:r>
          <w:rPr>
            <w:rStyle w:val="Hyperlink"/>
            <w:rFonts w:cs="Arial"/>
            <w:noProof/>
          </w:rPr>
          <w:t>Contextual background and underlying factors</w:t>
        </w:r>
        <w:r>
          <w:rPr>
            <w:noProof/>
            <w:webHidden/>
          </w:rPr>
          <w:tab/>
        </w:r>
        <w:r>
          <w:rPr>
            <w:noProof/>
            <w:webHidden/>
          </w:rPr>
          <w:fldChar w:fldCharType="begin"/>
        </w:r>
        <w:r>
          <w:rPr>
            <w:noProof/>
            <w:webHidden/>
          </w:rPr>
          <w:instrText xml:space="preserve"> PAGEREF _Toc224480162 \h </w:instrText>
        </w:r>
        <w:r>
          <w:rPr>
            <w:noProof/>
            <w:webHidden/>
          </w:rPr>
        </w:r>
        <w:r>
          <w:rPr>
            <w:noProof/>
            <w:webHidden/>
          </w:rPr>
          <w:fldChar w:fldCharType="separate"/>
        </w:r>
        <w:r>
          <w:rPr>
            <w:noProof/>
            <w:webHidden/>
          </w:rPr>
          <w:t>3</w:t>
        </w:r>
        <w:r>
          <w:rPr>
            <w:noProof/>
            <w:webHidden/>
          </w:rPr>
          <w:fldChar w:fldCharType="end"/>
        </w:r>
      </w:hyperlink>
    </w:p>
    <w:p w:rsidR="00532CF5" w:rsidRDefault="004C175C">
      <w:pPr>
        <w:pStyle w:val="TOC2"/>
        <w:tabs>
          <w:tab w:val="right" w:leader="dot" w:pos="9638"/>
        </w:tabs>
        <w:rPr>
          <w:noProof/>
        </w:rPr>
      </w:pPr>
      <w:hyperlink w:anchor="_Toc224480163" w:history="1">
        <w:r>
          <w:rPr>
            <w:rStyle w:val="Hyperlink"/>
            <w:rFonts w:cs="Arial"/>
            <w:noProof/>
          </w:rPr>
          <w:t>National response to reduce health inequalities in women</w:t>
        </w:r>
        <w:r>
          <w:rPr>
            <w:noProof/>
            <w:webHidden/>
          </w:rPr>
          <w:tab/>
        </w:r>
        <w:r>
          <w:rPr>
            <w:noProof/>
            <w:webHidden/>
          </w:rPr>
          <w:fldChar w:fldCharType="begin"/>
        </w:r>
        <w:r>
          <w:rPr>
            <w:noProof/>
            <w:webHidden/>
          </w:rPr>
          <w:instrText xml:space="preserve"> PAGEREF _Toc224480163 \h </w:instrText>
        </w:r>
        <w:r>
          <w:rPr>
            <w:noProof/>
            <w:webHidden/>
          </w:rPr>
        </w:r>
        <w:r>
          <w:rPr>
            <w:noProof/>
            <w:webHidden/>
          </w:rPr>
          <w:fldChar w:fldCharType="separate"/>
        </w:r>
        <w:r>
          <w:rPr>
            <w:noProof/>
            <w:webHidden/>
          </w:rPr>
          <w:t>5</w:t>
        </w:r>
        <w:r>
          <w:rPr>
            <w:noProof/>
            <w:webHidden/>
          </w:rPr>
          <w:fldChar w:fldCharType="end"/>
        </w:r>
      </w:hyperlink>
    </w:p>
    <w:p w:rsidR="00532CF5" w:rsidRDefault="004C175C">
      <w:pPr>
        <w:pStyle w:val="TOC2"/>
        <w:tabs>
          <w:tab w:val="right" w:leader="dot" w:pos="9638"/>
        </w:tabs>
        <w:rPr>
          <w:noProof/>
        </w:rPr>
      </w:pPr>
      <w:hyperlink w:anchor="_Toc224480164" w:history="1">
        <w:r>
          <w:rPr>
            <w:rStyle w:val="Hyperlink"/>
            <w:rFonts w:cs="Arial"/>
            <w:noProof/>
          </w:rPr>
          <w:t>Organisation supporting the chosen group</w:t>
        </w:r>
        <w:r>
          <w:rPr>
            <w:noProof/>
            <w:webHidden/>
          </w:rPr>
          <w:tab/>
        </w:r>
        <w:r>
          <w:rPr>
            <w:noProof/>
            <w:webHidden/>
          </w:rPr>
          <w:fldChar w:fldCharType="begin"/>
        </w:r>
        <w:r>
          <w:rPr>
            <w:noProof/>
            <w:webHidden/>
          </w:rPr>
          <w:instrText xml:space="preserve"> PAGEREF _Toc</w:instrText>
        </w:r>
        <w:r>
          <w:rPr>
            <w:noProof/>
            <w:webHidden/>
          </w:rPr>
          <w:instrText xml:space="preserve">224480164 \h </w:instrText>
        </w:r>
        <w:r>
          <w:rPr>
            <w:noProof/>
            <w:webHidden/>
          </w:rPr>
        </w:r>
        <w:r>
          <w:rPr>
            <w:noProof/>
            <w:webHidden/>
          </w:rPr>
          <w:fldChar w:fldCharType="separate"/>
        </w:r>
        <w:r>
          <w:rPr>
            <w:noProof/>
            <w:webHidden/>
          </w:rPr>
          <w:t>5</w:t>
        </w:r>
        <w:r>
          <w:rPr>
            <w:noProof/>
            <w:webHidden/>
          </w:rPr>
          <w:fldChar w:fldCharType="end"/>
        </w:r>
      </w:hyperlink>
    </w:p>
    <w:p w:rsidR="00532CF5" w:rsidRDefault="004C175C">
      <w:pPr>
        <w:pStyle w:val="TOC2"/>
        <w:tabs>
          <w:tab w:val="right" w:leader="dot" w:pos="9638"/>
        </w:tabs>
        <w:rPr>
          <w:noProof/>
        </w:rPr>
      </w:pPr>
      <w:hyperlink w:anchor="_Toc224480165" w:history="1">
        <w:r>
          <w:rPr>
            <w:rStyle w:val="Hyperlink"/>
            <w:rFonts w:cs="Arial"/>
            <w:noProof/>
          </w:rPr>
          <w:t>Conclusion</w:t>
        </w:r>
        <w:r>
          <w:rPr>
            <w:noProof/>
            <w:webHidden/>
          </w:rPr>
          <w:tab/>
        </w:r>
        <w:r>
          <w:rPr>
            <w:noProof/>
            <w:webHidden/>
          </w:rPr>
          <w:fldChar w:fldCharType="begin"/>
        </w:r>
        <w:r>
          <w:rPr>
            <w:noProof/>
            <w:webHidden/>
          </w:rPr>
          <w:instrText xml:space="preserve"> PAGEREF _Toc224480165 \h </w:instrText>
        </w:r>
        <w:r>
          <w:rPr>
            <w:noProof/>
            <w:webHidden/>
          </w:rPr>
        </w:r>
        <w:r>
          <w:rPr>
            <w:noProof/>
            <w:webHidden/>
          </w:rPr>
          <w:fldChar w:fldCharType="separate"/>
        </w:r>
        <w:r>
          <w:rPr>
            <w:noProof/>
            <w:webHidden/>
          </w:rPr>
          <w:t>5</w:t>
        </w:r>
        <w:r>
          <w:rPr>
            <w:noProof/>
            <w:webHidden/>
          </w:rPr>
          <w:fldChar w:fldCharType="end"/>
        </w:r>
      </w:hyperlink>
    </w:p>
    <w:p w:rsidR="00532CF5" w:rsidRDefault="004C175C">
      <w:pPr>
        <w:pStyle w:val="TOC1"/>
        <w:tabs>
          <w:tab w:val="right" w:leader="dot" w:pos="9638"/>
        </w:tabs>
        <w:rPr>
          <w:noProof/>
        </w:rPr>
      </w:pPr>
      <w:hyperlink w:anchor="_Toc224480166" w:history="1">
        <w:r>
          <w:rPr>
            <w:rStyle w:val="Hyperlink"/>
            <w:rFonts w:cs="Arial"/>
            <w:noProof/>
          </w:rPr>
          <w:t>Task 2: Epidemiological analysis of Type 2 diabetes among adults in Tower Hamlets</w:t>
        </w:r>
        <w:r>
          <w:rPr>
            <w:noProof/>
            <w:webHidden/>
          </w:rPr>
          <w:tab/>
        </w:r>
        <w:r>
          <w:rPr>
            <w:noProof/>
            <w:webHidden/>
          </w:rPr>
          <w:fldChar w:fldCharType="begin"/>
        </w:r>
        <w:r>
          <w:rPr>
            <w:noProof/>
            <w:webHidden/>
          </w:rPr>
          <w:instrText xml:space="preserve"> PAGEREF _Toc224480166 \h </w:instrText>
        </w:r>
        <w:r>
          <w:rPr>
            <w:noProof/>
            <w:webHidden/>
          </w:rPr>
        </w:r>
        <w:r>
          <w:rPr>
            <w:noProof/>
            <w:webHidden/>
          </w:rPr>
          <w:fldChar w:fldCharType="separate"/>
        </w:r>
        <w:r>
          <w:rPr>
            <w:noProof/>
            <w:webHidden/>
          </w:rPr>
          <w:t>6</w:t>
        </w:r>
        <w:r>
          <w:rPr>
            <w:noProof/>
            <w:webHidden/>
          </w:rPr>
          <w:fldChar w:fldCharType="end"/>
        </w:r>
      </w:hyperlink>
    </w:p>
    <w:p w:rsidR="00532CF5" w:rsidRDefault="004C175C">
      <w:pPr>
        <w:pStyle w:val="TOC2"/>
        <w:tabs>
          <w:tab w:val="right" w:leader="dot" w:pos="9638"/>
        </w:tabs>
        <w:rPr>
          <w:noProof/>
        </w:rPr>
      </w:pPr>
      <w:hyperlink w:anchor="_Toc224480167" w:history="1">
        <w:r>
          <w:rPr>
            <w:rStyle w:val="Hyperlink"/>
            <w:rFonts w:cs="Arial"/>
            <w:noProof/>
          </w:rPr>
          <w:t>Introduction</w:t>
        </w:r>
        <w:r>
          <w:rPr>
            <w:noProof/>
            <w:webHidden/>
          </w:rPr>
          <w:tab/>
        </w:r>
        <w:r>
          <w:rPr>
            <w:noProof/>
            <w:webHidden/>
          </w:rPr>
          <w:fldChar w:fldCharType="begin"/>
        </w:r>
        <w:r>
          <w:rPr>
            <w:noProof/>
            <w:webHidden/>
          </w:rPr>
          <w:instrText xml:space="preserve"> PAGEREF _Toc224480167 \h </w:instrText>
        </w:r>
        <w:r>
          <w:rPr>
            <w:noProof/>
            <w:webHidden/>
          </w:rPr>
        </w:r>
        <w:r>
          <w:rPr>
            <w:noProof/>
            <w:webHidden/>
          </w:rPr>
          <w:fldChar w:fldCharType="separate"/>
        </w:r>
        <w:r>
          <w:rPr>
            <w:noProof/>
            <w:webHidden/>
          </w:rPr>
          <w:t>6</w:t>
        </w:r>
        <w:r>
          <w:rPr>
            <w:noProof/>
            <w:webHidden/>
          </w:rPr>
          <w:fldChar w:fldCharType="end"/>
        </w:r>
      </w:hyperlink>
    </w:p>
    <w:p w:rsidR="00532CF5" w:rsidRDefault="004C175C">
      <w:pPr>
        <w:pStyle w:val="TOC2"/>
        <w:tabs>
          <w:tab w:val="right" w:leader="dot" w:pos="9638"/>
        </w:tabs>
        <w:rPr>
          <w:noProof/>
        </w:rPr>
      </w:pPr>
      <w:hyperlink w:anchor="_Toc224480168" w:history="1">
        <w:r>
          <w:rPr>
            <w:rStyle w:val="Hyperlink"/>
            <w:rFonts w:cs="Arial"/>
            <w:noProof/>
          </w:rPr>
          <w:t>Public health measures using the 3 Ps</w:t>
        </w:r>
        <w:r>
          <w:rPr>
            <w:noProof/>
            <w:webHidden/>
          </w:rPr>
          <w:tab/>
        </w:r>
        <w:r>
          <w:rPr>
            <w:noProof/>
            <w:webHidden/>
          </w:rPr>
          <w:fldChar w:fldCharType="begin"/>
        </w:r>
        <w:r>
          <w:rPr>
            <w:noProof/>
            <w:webHidden/>
          </w:rPr>
          <w:instrText xml:space="preserve"> PAGEREF _Toc224480168 \h </w:instrText>
        </w:r>
        <w:r>
          <w:rPr>
            <w:noProof/>
            <w:webHidden/>
          </w:rPr>
        </w:r>
        <w:r>
          <w:rPr>
            <w:noProof/>
            <w:webHidden/>
          </w:rPr>
          <w:fldChar w:fldCharType="separate"/>
        </w:r>
        <w:r>
          <w:rPr>
            <w:noProof/>
            <w:webHidden/>
          </w:rPr>
          <w:t>6</w:t>
        </w:r>
        <w:r>
          <w:rPr>
            <w:noProof/>
            <w:webHidden/>
          </w:rPr>
          <w:fldChar w:fldCharType="end"/>
        </w:r>
      </w:hyperlink>
    </w:p>
    <w:p w:rsidR="00532CF5" w:rsidRDefault="004C175C">
      <w:pPr>
        <w:pStyle w:val="TOC2"/>
        <w:tabs>
          <w:tab w:val="right" w:leader="dot" w:pos="9638"/>
        </w:tabs>
        <w:rPr>
          <w:noProof/>
        </w:rPr>
      </w:pPr>
      <w:hyperlink w:anchor="_Toc224480169" w:history="1">
        <w:r>
          <w:rPr>
            <w:rStyle w:val="Hyperlink"/>
            <w:rFonts w:cs="Arial"/>
            <w:noProof/>
          </w:rPr>
          <w:t>Key determinants and risk factors</w:t>
        </w:r>
        <w:r>
          <w:rPr>
            <w:noProof/>
            <w:webHidden/>
          </w:rPr>
          <w:tab/>
        </w:r>
        <w:r>
          <w:rPr>
            <w:noProof/>
            <w:webHidden/>
          </w:rPr>
          <w:fldChar w:fldCharType="begin"/>
        </w:r>
        <w:r>
          <w:rPr>
            <w:noProof/>
            <w:webHidden/>
          </w:rPr>
          <w:instrText xml:space="preserve"> PAGEREF _Toc224480169 \h </w:instrText>
        </w:r>
        <w:r>
          <w:rPr>
            <w:noProof/>
            <w:webHidden/>
          </w:rPr>
        </w:r>
        <w:r>
          <w:rPr>
            <w:noProof/>
            <w:webHidden/>
          </w:rPr>
          <w:fldChar w:fldCharType="separate"/>
        </w:r>
        <w:r>
          <w:rPr>
            <w:noProof/>
            <w:webHidden/>
          </w:rPr>
          <w:t>7</w:t>
        </w:r>
        <w:r>
          <w:rPr>
            <w:noProof/>
            <w:webHidden/>
          </w:rPr>
          <w:fldChar w:fldCharType="end"/>
        </w:r>
      </w:hyperlink>
    </w:p>
    <w:p w:rsidR="00532CF5" w:rsidRDefault="004C175C">
      <w:pPr>
        <w:pStyle w:val="TOC2"/>
        <w:tabs>
          <w:tab w:val="right" w:leader="dot" w:pos="9638"/>
        </w:tabs>
        <w:rPr>
          <w:noProof/>
        </w:rPr>
      </w:pPr>
      <w:hyperlink w:anchor="_Toc224480170" w:history="1">
        <w:r>
          <w:rPr>
            <w:rStyle w:val="Hyperlink"/>
            <w:rFonts w:cs="Arial"/>
            <w:noProof/>
          </w:rPr>
          <w:t>Those affected or at risk in the specific population</w:t>
        </w:r>
        <w:r>
          <w:rPr>
            <w:noProof/>
            <w:webHidden/>
          </w:rPr>
          <w:tab/>
        </w:r>
        <w:r>
          <w:rPr>
            <w:noProof/>
            <w:webHidden/>
          </w:rPr>
          <w:fldChar w:fldCharType="begin"/>
        </w:r>
        <w:r>
          <w:rPr>
            <w:noProof/>
            <w:webHidden/>
          </w:rPr>
          <w:instrText xml:space="preserve"> PAGEREF _Toc224480170 \h </w:instrText>
        </w:r>
        <w:r>
          <w:rPr>
            <w:noProof/>
            <w:webHidden/>
          </w:rPr>
        </w:r>
        <w:r>
          <w:rPr>
            <w:noProof/>
            <w:webHidden/>
          </w:rPr>
          <w:fldChar w:fldCharType="separate"/>
        </w:r>
        <w:r>
          <w:rPr>
            <w:noProof/>
            <w:webHidden/>
          </w:rPr>
          <w:t>7</w:t>
        </w:r>
        <w:r>
          <w:rPr>
            <w:noProof/>
            <w:webHidden/>
          </w:rPr>
          <w:fldChar w:fldCharType="end"/>
        </w:r>
      </w:hyperlink>
    </w:p>
    <w:p w:rsidR="00532CF5" w:rsidRDefault="004C175C">
      <w:pPr>
        <w:pStyle w:val="TOC2"/>
        <w:tabs>
          <w:tab w:val="right" w:leader="dot" w:pos="9638"/>
        </w:tabs>
        <w:rPr>
          <w:noProof/>
        </w:rPr>
      </w:pPr>
      <w:hyperlink w:anchor="_Toc224480171" w:history="1">
        <w:r>
          <w:rPr>
            <w:rStyle w:val="Hyperlink"/>
            <w:rFonts w:cs="Arial"/>
            <w:noProof/>
          </w:rPr>
          <w:t>Monitoring and surveillance systems</w:t>
        </w:r>
        <w:r>
          <w:rPr>
            <w:noProof/>
            <w:webHidden/>
          </w:rPr>
          <w:tab/>
        </w:r>
        <w:r>
          <w:rPr>
            <w:noProof/>
            <w:webHidden/>
          </w:rPr>
          <w:fldChar w:fldCharType="begin"/>
        </w:r>
        <w:r>
          <w:rPr>
            <w:noProof/>
            <w:webHidden/>
          </w:rPr>
          <w:instrText xml:space="preserve"> PAGEREF _Toc224480171 \h </w:instrText>
        </w:r>
        <w:r>
          <w:rPr>
            <w:noProof/>
            <w:webHidden/>
          </w:rPr>
        </w:r>
        <w:r>
          <w:rPr>
            <w:noProof/>
            <w:webHidden/>
          </w:rPr>
          <w:fldChar w:fldCharType="separate"/>
        </w:r>
        <w:r>
          <w:rPr>
            <w:noProof/>
            <w:webHidden/>
          </w:rPr>
          <w:t>8</w:t>
        </w:r>
        <w:r>
          <w:rPr>
            <w:noProof/>
            <w:webHidden/>
          </w:rPr>
          <w:fldChar w:fldCharType="end"/>
        </w:r>
      </w:hyperlink>
    </w:p>
    <w:p w:rsidR="00532CF5" w:rsidRDefault="004C175C">
      <w:pPr>
        <w:pStyle w:val="TOC2"/>
        <w:tabs>
          <w:tab w:val="right" w:leader="dot" w:pos="9638"/>
        </w:tabs>
        <w:rPr>
          <w:noProof/>
        </w:rPr>
      </w:pPr>
      <w:hyperlink w:anchor="_Toc224480172" w:history="1">
        <w:r>
          <w:rPr>
            <w:rStyle w:val="Hyperlink"/>
            <w:rFonts w:cs="Arial"/>
            <w:noProof/>
          </w:rPr>
          <w:t>Public health impact and short- and long-term consequences</w:t>
        </w:r>
        <w:r>
          <w:rPr>
            <w:noProof/>
            <w:webHidden/>
          </w:rPr>
          <w:tab/>
        </w:r>
        <w:r>
          <w:rPr>
            <w:noProof/>
            <w:webHidden/>
          </w:rPr>
          <w:fldChar w:fldCharType="begin"/>
        </w:r>
        <w:r>
          <w:rPr>
            <w:noProof/>
            <w:webHidden/>
          </w:rPr>
          <w:instrText xml:space="preserve"> PAGEREF _Toc224480172 \h </w:instrText>
        </w:r>
        <w:r>
          <w:rPr>
            <w:noProof/>
            <w:webHidden/>
          </w:rPr>
        </w:r>
        <w:r>
          <w:rPr>
            <w:noProof/>
            <w:webHidden/>
          </w:rPr>
          <w:fldChar w:fldCharType="separate"/>
        </w:r>
        <w:r>
          <w:rPr>
            <w:noProof/>
            <w:webHidden/>
          </w:rPr>
          <w:t>8</w:t>
        </w:r>
        <w:r>
          <w:rPr>
            <w:noProof/>
            <w:webHidden/>
          </w:rPr>
          <w:fldChar w:fldCharType="end"/>
        </w:r>
      </w:hyperlink>
    </w:p>
    <w:p w:rsidR="00532CF5" w:rsidRDefault="004C175C">
      <w:pPr>
        <w:pStyle w:val="TOC2"/>
        <w:tabs>
          <w:tab w:val="right" w:leader="dot" w:pos="9638"/>
        </w:tabs>
        <w:rPr>
          <w:noProof/>
        </w:rPr>
      </w:pPr>
      <w:hyperlink w:anchor="_Toc224480173" w:history="1">
        <w:r>
          <w:rPr>
            <w:rStyle w:val="Hyperlink"/>
            <w:rFonts w:cs="Arial"/>
            <w:noProof/>
          </w:rPr>
          <w:t>Proposed intervention programme and evaluation</w:t>
        </w:r>
        <w:r>
          <w:rPr>
            <w:noProof/>
            <w:webHidden/>
          </w:rPr>
          <w:tab/>
        </w:r>
        <w:r>
          <w:rPr>
            <w:noProof/>
            <w:webHidden/>
          </w:rPr>
          <w:fldChar w:fldCharType="begin"/>
        </w:r>
        <w:r>
          <w:rPr>
            <w:noProof/>
            <w:webHidden/>
          </w:rPr>
          <w:instrText xml:space="preserve"> PAGEREF _Toc224480173 \h </w:instrText>
        </w:r>
        <w:r>
          <w:rPr>
            <w:noProof/>
            <w:webHidden/>
          </w:rPr>
        </w:r>
        <w:r>
          <w:rPr>
            <w:noProof/>
            <w:webHidden/>
          </w:rPr>
          <w:fldChar w:fldCharType="separate"/>
        </w:r>
        <w:r>
          <w:rPr>
            <w:noProof/>
            <w:webHidden/>
          </w:rPr>
          <w:t>8</w:t>
        </w:r>
        <w:r>
          <w:rPr>
            <w:noProof/>
            <w:webHidden/>
          </w:rPr>
          <w:fldChar w:fldCharType="end"/>
        </w:r>
      </w:hyperlink>
    </w:p>
    <w:p w:rsidR="00532CF5" w:rsidRDefault="004C175C">
      <w:pPr>
        <w:pStyle w:val="TOC2"/>
        <w:tabs>
          <w:tab w:val="right" w:leader="dot" w:pos="9638"/>
        </w:tabs>
        <w:rPr>
          <w:noProof/>
        </w:rPr>
      </w:pPr>
      <w:hyperlink w:anchor="_Toc224480174" w:history="1">
        <w:r>
          <w:rPr>
            <w:rStyle w:val="Hyperlink"/>
            <w:rFonts w:cs="Arial"/>
            <w:noProof/>
          </w:rPr>
          <w:t>Strengths and weaknesses of the epidemiological approach</w:t>
        </w:r>
        <w:r>
          <w:rPr>
            <w:noProof/>
            <w:webHidden/>
          </w:rPr>
          <w:tab/>
        </w:r>
        <w:r>
          <w:rPr>
            <w:noProof/>
            <w:webHidden/>
          </w:rPr>
          <w:fldChar w:fldCharType="begin"/>
        </w:r>
        <w:r>
          <w:rPr>
            <w:noProof/>
            <w:webHidden/>
          </w:rPr>
          <w:instrText xml:space="preserve"> PAGEREF _Toc224480174 \h </w:instrText>
        </w:r>
        <w:r>
          <w:rPr>
            <w:noProof/>
            <w:webHidden/>
          </w:rPr>
        </w:r>
        <w:r>
          <w:rPr>
            <w:noProof/>
            <w:webHidden/>
          </w:rPr>
          <w:fldChar w:fldCharType="separate"/>
        </w:r>
        <w:r>
          <w:rPr>
            <w:noProof/>
            <w:webHidden/>
          </w:rPr>
          <w:t>9</w:t>
        </w:r>
        <w:r>
          <w:rPr>
            <w:noProof/>
            <w:webHidden/>
          </w:rPr>
          <w:fldChar w:fldCharType="end"/>
        </w:r>
      </w:hyperlink>
    </w:p>
    <w:p w:rsidR="00532CF5" w:rsidRDefault="004C175C">
      <w:pPr>
        <w:pStyle w:val="TOC2"/>
        <w:tabs>
          <w:tab w:val="right" w:leader="dot" w:pos="9638"/>
        </w:tabs>
        <w:rPr>
          <w:noProof/>
        </w:rPr>
      </w:pPr>
      <w:hyperlink w:anchor="_Toc224480175" w:history="1">
        <w:r>
          <w:rPr>
            <w:rStyle w:val="Hyperlink"/>
            <w:rFonts w:cs="Arial"/>
            <w:noProof/>
          </w:rPr>
          <w:t>Conclusion and recommendation</w:t>
        </w:r>
        <w:r>
          <w:rPr>
            <w:noProof/>
            <w:webHidden/>
          </w:rPr>
          <w:tab/>
        </w:r>
        <w:r>
          <w:rPr>
            <w:noProof/>
            <w:webHidden/>
          </w:rPr>
          <w:fldChar w:fldCharType="begin"/>
        </w:r>
        <w:r>
          <w:rPr>
            <w:noProof/>
            <w:webHidden/>
          </w:rPr>
          <w:instrText xml:space="preserve"> PAGEREF _Toc224480175 \h </w:instrText>
        </w:r>
        <w:r>
          <w:rPr>
            <w:noProof/>
            <w:webHidden/>
          </w:rPr>
        </w:r>
        <w:r>
          <w:rPr>
            <w:noProof/>
            <w:webHidden/>
          </w:rPr>
          <w:fldChar w:fldCharType="separate"/>
        </w:r>
        <w:r>
          <w:rPr>
            <w:noProof/>
            <w:webHidden/>
          </w:rPr>
          <w:t>9</w:t>
        </w:r>
        <w:r>
          <w:rPr>
            <w:noProof/>
            <w:webHidden/>
          </w:rPr>
          <w:fldChar w:fldCharType="end"/>
        </w:r>
      </w:hyperlink>
    </w:p>
    <w:p w:rsidR="00532CF5" w:rsidRDefault="004C175C">
      <w:pPr>
        <w:pStyle w:val="TOC1"/>
        <w:tabs>
          <w:tab w:val="right" w:leader="dot" w:pos="9638"/>
        </w:tabs>
        <w:rPr>
          <w:noProof/>
        </w:rPr>
      </w:pPr>
      <w:hyperlink w:anchor="_Toc224480176" w:history="1">
        <w:r>
          <w:rPr>
            <w:rStyle w:val="Hyperlink"/>
            <w:rFonts w:cs="Arial"/>
            <w:noProof/>
          </w:rPr>
          <w:t>Reference</w:t>
        </w:r>
        <w:r>
          <w:rPr>
            <w:noProof/>
            <w:webHidden/>
          </w:rPr>
          <w:tab/>
        </w:r>
        <w:r>
          <w:rPr>
            <w:noProof/>
            <w:webHidden/>
          </w:rPr>
          <w:fldChar w:fldCharType="begin"/>
        </w:r>
        <w:r>
          <w:rPr>
            <w:noProof/>
            <w:webHidden/>
          </w:rPr>
          <w:instrText xml:space="preserve"> PAGEREF _Toc224480176 \h </w:instrText>
        </w:r>
        <w:r>
          <w:rPr>
            <w:noProof/>
            <w:webHidden/>
          </w:rPr>
        </w:r>
        <w:r>
          <w:rPr>
            <w:noProof/>
            <w:webHidden/>
          </w:rPr>
          <w:fldChar w:fldCharType="separate"/>
        </w:r>
        <w:r>
          <w:rPr>
            <w:noProof/>
            <w:webHidden/>
          </w:rPr>
          <w:t>11</w:t>
        </w:r>
        <w:r>
          <w:rPr>
            <w:noProof/>
            <w:webHidden/>
          </w:rPr>
          <w:fldChar w:fldCharType="end"/>
        </w:r>
      </w:hyperlink>
    </w:p>
    <w:p w:rsidR="00532CF5" w:rsidRDefault="004C175C">
      <w:r>
        <w:rPr>
          <w:b/>
          <w:bCs/>
          <w:noProof/>
        </w:rPr>
        <w:fldChar w:fldCharType="end"/>
      </w:r>
    </w:p>
    <w:p w:rsidR="00532CF5" w:rsidRDefault="004C175C">
      <w:pPr>
        <w:spacing w:after="200" w:line="276" w:lineRule="auto"/>
      </w:pPr>
      <w:r>
        <w:br w:type="page"/>
      </w:r>
    </w:p>
    <w:p w:rsidR="00532CF5" w:rsidRDefault="004C175C">
      <w:pPr>
        <w:pStyle w:val="Heading1"/>
        <w:jc w:val="both"/>
        <w:rPr>
          <w:rFonts w:ascii="Arial" w:hAnsi="Arial" w:cs="Arial"/>
          <w:color w:val="000000"/>
          <w:sz w:val="28"/>
        </w:rPr>
      </w:pPr>
      <w:bookmarkStart w:id="1" w:name="_Toc224480160"/>
      <w:r>
        <w:rPr>
          <w:rFonts w:ascii="Arial" w:hAnsi="Arial" w:cs="Arial"/>
          <w:color w:val="000000"/>
          <w:sz w:val="28"/>
        </w:rPr>
        <w:lastRenderedPageBreak/>
        <w:t>Task 1: Gend</w:t>
      </w:r>
      <w:r>
        <w:rPr>
          <w:rFonts w:ascii="Arial" w:hAnsi="Arial" w:cs="Arial"/>
          <w:color w:val="000000"/>
          <w:sz w:val="28"/>
        </w:rPr>
        <w:t>er inequality and health inequalities in the UK: a social epidemiological analysis</w:t>
      </w:r>
      <w:bookmarkEnd w:id="1"/>
    </w:p>
    <w:p w:rsidR="00532CF5" w:rsidRDefault="004C175C">
      <w:pPr>
        <w:pStyle w:val="Heading2"/>
        <w:jc w:val="both"/>
        <w:rPr>
          <w:rFonts w:ascii="Arial" w:hAnsi="Arial" w:cs="Arial"/>
          <w:color w:val="000000"/>
        </w:rPr>
      </w:pPr>
      <w:bookmarkStart w:id="2" w:name="_Toc224480161"/>
      <w:r>
        <w:rPr>
          <w:rFonts w:ascii="Arial" w:hAnsi="Arial" w:cs="Arial"/>
          <w:color w:val="000000"/>
        </w:rPr>
        <w:t>Introduction</w:t>
      </w:r>
      <w:bookmarkEnd w:id="2"/>
    </w:p>
    <w:p w:rsidR="00532CF5" w:rsidRDefault="004C175C">
      <w:pPr>
        <w:jc w:val="both"/>
      </w:pPr>
      <w:r>
        <w:t>The target population in the larger problem of gender and health inequalities in the UK is women. Their health is influenced not just by needs that are sex-spec</w:t>
      </w:r>
      <w:r>
        <w:t>ific, but also by unequal social circumstances such as low income, lack of paid care, violence, and diagnostic bias. A social epidemiological approach is beneficial because it explains illness not only by biology but also by power, resources and institutio</w:t>
      </w:r>
      <w:r>
        <w:t>ns. The evidence of the UK confirms that mental health, reproductive care, cardiometabolic risks and safety continue to be unequal (NHS England, 2025a; ONS, 2025a).</w:t>
      </w:r>
    </w:p>
    <w:p w:rsidR="00532CF5" w:rsidRDefault="004C175C">
      <w:pPr>
        <w:pStyle w:val="Heading2"/>
        <w:jc w:val="both"/>
        <w:rPr>
          <w:rFonts w:ascii="Arial" w:hAnsi="Arial" w:cs="Arial"/>
          <w:color w:val="000000"/>
        </w:rPr>
      </w:pPr>
      <w:bookmarkStart w:id="3" w:name="_Toc224480162"/>
      <w:r>
        <w:rPr>
          <w:rFonts w:ascii="Arial" w:hAnsi="Arial" w:cs="Arial"/>
          <w:color w:val="000000"/>
        </w:rPr>
        <w:t>Contextual background and underlying factors</w:t>
      </w:r>
      <w:bookmarkEnd w:id="3"/>
    </w:p>
    <w:p w:rsidR="00532CF5" w:rsidRDefault="004C175C">
      <w:pPr>
        <w:jc w:val="both"/>
        <w:rPr>
          <w:b/>
          <w:bCs/>
        </w:rPr>
      </w:pPr>
      <w:r>
        <w:rPr>
          <w:b/>
          <w:bCs/>
        </w:rPr>
        <w:t>Higher rates of common mental health condition</w:t>
      </w:r>
      <w:r>
        <w:rPr>
          <w:b/>
          <w:bCs/>
        </w:rPr>
        <w:t>s</w:t>
      </w:r>
    </w:p>
    <w:p w:rsidR="00532CF5" w:rsidRDefault="004C175C">
      <w:pPr>
        <w:jc w:val="both"/>
      </w:pPr>
      <w:r>
        <w:t>One of the most vivid illustrations of inequality among women is mental health. Adult Psychiatric Morbidity Survey identified common mental health conditions in 24.2% of women versus 15.4% of men, and prevalence increased with deprivation, reaching 26.2%</w:t>
      </w:r>
      <w:r>
        <w:t xml:space="preserve"> in the most deprived areas and 16.0% in the least deprived areas (NHS England, 2025a). This trend hints that the low income, insecure working, unpaid care and abuse of women contributes more to their poor mental health than vulnerability alone. Treatment </w:t>
      </w:r>
      <w:r>
        <w:t>and prevention such as flexible working, timely talking therapies and regular enquiry about domestic abuse should be used in primary care (NHS England, 2025a; DHSC, 2022).</w:t>
      </w:r>
    </w:p>
    <w:p w:rsidR="00532CF5" w:rsidRDefault="004C175C">
      <w:pPr>
        <w:jc w:val="both"/>
        <w:rPr>
          <w:b/>
          <w:bCs/>
        </w:rPr>
      </w:pPr>
      <w:r>
        <w:rPr>
          <w:b/>
          <w:bCs/>
        </w:rPr>
        <w:t>Reproductive health inequalities and delayed diagnosis</w:t>
      </w:r>
    </w:p>
    <w:p w:rsidR="00532CF5" w:rsidRDefault="004C175C">
      <w:pPr>
        <w:jc w:val="both"/>
      </w:pPr>
      <w:r>
        <w:t>Reproductive and gynaecologic</w:t>
      </w:r>
      <w:r>
        <w:t>al care is another inequality area. Cervical screening coverage in the 25-64 age group was 68.8% in 2023/24 (NHS England, 2024). In 2026, Endometriosis UK released a report that the average time to diagnosis had deteriorated to 9 years and 4 months with 11</w:t>
      </w:r>
      <w:r>
        <w:t xml:space="preserve"> years in ethnically diverse communities and 83 percent of the surveyed individuals reported that a professional had dismissed or normalised their symptoms (Endometriosis UK, 2026). This shows that inequality is not only about the strain of the service but</w:t>
      </w:r>
      <w:r>
        <w:t xml:space="preserve"> also whose anguish is perceived. Among the feasible solutions, one may identify women health hubs, improved GP training and better referral routes (DHSC, 2024; DHSC, 2025c; Endometriosis UK, 2026).</w:t>
      </w:r>
    </w:p>
    <w:p w:rsidR="00532CF5" w:rsidRDefault="004C175C">
      <w:pPr>
        <w:jc w:val="both"/>
        <w:rPr>
          <w:b/>
          <w:bCs/>
        </w:rPr>
      </w:pPr>
      <w:r>
        <w:rPr>
          <w:b/>
          <w:bCs/>
        </w:rPr>
        <w:t>Cardiometabolic risk across the life course</w:t>
      </w:r>
    </w:p>
    <w:p w:rsidR="00532CF5" w:rsidRDefault="004C175C">
      <w:pPr>
        <w:jc w:val="both"/>
      </w:pPr>
      <w:r>
        <w:t>The cardiometabolic risk shows that the well-being of women cannot be reduced to reproduction. In 2024, obesity prevalence was 31% in women and 29% in men compared to raised cholesterol in 56% in women and 49% in men in 2022 (NHS England, 2026a; NHS Englan</w:t>
      </w:r>
      <w:r>
        <w:t xml:space="preserve">d, 2024a). These </w:t>
      </w:r>
      <w:r>
        <w:lastRenderedPageBreak/>
        <w:t xml:space="preserve">statistics dispute the fact that cardiovascular risk is a male issue. The issue becomes of particular concern in the case of deprivation, ethnicity, pregnancy, menopause and time poverty. It thus demands a life-course approach, instead of </w:t>
      </w:r>
      <w:r>
        <w:t>disease-specific responses, which are fragmented, and weight-management support, culturally suitable nutrition and physical exercise programmes, and regular cardiovascular follow-ups during pregnancy, post-partum, and menopause follow-up (DHSC, 2022; NHS E</w:t>
      </w:r>
      <w:r>
        <w:t>ngland, 2026a).</w:t>
      </w:r>
    </w:p>
    <w:p w:rsidR="00532CF5" w:rsidRDefault="004C175C">
      <w:pPr>
        <w:jc w:val="both"/>
        <w:rPr>
          <w:b/>
          <w:bCs/>
        </w:rPr>
      </w:pPr>
      <w:r>
        <w:rPr>
          <w:b/>
          <w:bCs/>
        </w:rPr>
        <w:t>Gender pays gap and material disadvantage</w:t>
      </w:r>
    </w:p>
    <w:p w:rsidR="00532CF5" w:rsidRDefault="004C175C">
      <w:pPr>
        <w:jc w:val="both"/>
      </w:pPr>
      <w:r>
        <w:t>Economic inequality is a significant contributor to worse health opportunities. In April 2025, the gender pay gap between all employees stood at 12.8% and approximately 84% of men versus approximate</w:t>
      </w:r>
      <w:r>
        <w:t>ly 60% of women were working full-time (ONS, 2025). These numbers are indicators of structural inequality, occupational segregation, motherhood penalties, and part-time work. This is of health importance as income determines housing, diet, transport and ti</w:t>
      </w:r>
      <w:r>
        <w:t>me to care. This material disadvantage could be minimised through pay transparency, secure work, cheap childcare and fair progression.</w:t>
      </w:r>
    </w:p>
    <w:p w:rsidR="00532CF5" w:rsidRDefault="004C175C">
      <w:pPr>
        <w:jc w:val="both"/>
        <w:rPr>
          <w:b/>
          <w:bCs/>
        </w:rPr>
      </w:pPr>
      <w:r>
        <w:rPr>
          <w:b/>
          <w:bCs/>
        </w:rPr>
        <w:t>Gender-based violence and safety</w:t>
      </w:r>
    </w:p>
    <w:p w:rsidR="00532CF5" w:rsidRDefault="004C175C">
      <w:pPr>
        <w:jc w:val="both"/>
      </w:pPr>
      <w:r>
        <w:t>Women violence is an issue of social injustice as well as a big health disparity. Accord</w:t>
      </w:r>
      <w:r>
        <w:t>ing to the ONS (2025a) annual data on domestic abuse, 2.2 million women (9.1 percent) or 1.5 million men (6.5 percent) experienced domestic abuse in the previous year. Women Aid is of the opinion that fear, coercive control and repeat victimisation are sti</w:t>
      </w:r>
      <w:r>
        <w:t>ll underrepresented in headlines (Women Aid, 2025). Domestic abuse affects mental health, physical safety, reproductive health and economic participation and therefore needs to be treated as a health issue of the general population. This requires routine i</w:t>
      </w:r>
      <w:r>
        <w:t>nquiry, trauma-informed practice, safe referral pathways and ongoing investment in specialist services (Women’s Aid, 2025; ONS, 2025a).</w:t>
      </w:r>
    </w:p>
    <w:p w:rsidR="00532CF5" w:rsidRDefault="004C175C">
      <w:pPr>
        <w:jc w:val="both"/>
        <w:rPr>
          <w:b/>
          <w:bCs/>
        </w:rPr>
      </w:pPr>
      <w:r>
        <w:rPr>
          <w:b/>
          <w:bCs/>
        </w:rPr>
        <w:t>Unpaid care burden and time poverty</w:t>
      </w:r>
    </w:p>
    <w:p w:rsidR="00532CF5" w:rsidRDefault="004C175C">
      <w:pPr>
        <w:jc w:val="both"/>
      </w:pPr>
      <w:r>
        <w:t xml:space="preserve">Unpaid care and the resulting time poverty are also forms of inequality experienced </w:t>
      </w:r>
      <w:r>
        <w:t>by women. An analysis of census 2021 identified approximately 3.0 million female unpaid carers in England and Wales versus approximately 2.0 million male unpaid carers. Unpaid care rate was highest among women aged 55 to 59 in England which is 19.9%, and w</w:t>
      </w:r>
      <w:r>
        <w:t>omen were more likely to give unpaid care compared to men in all ages below 75 to 79 years (ONS, 2023). This strain decreases the time to work, visit a doctor, sleep and self-care, but it is not perceived as a health concern but rather a personal responsib</w:t>
      </w:r>
      <w:r>
        <w:t>ility. Common discovery of carers, respite, flexible work and monetary assistance would contribute to decreasing this unseen inequality.</w:t>
      </w:r>
    </w:p>
    <w:p w:rsidR="00532CF5" w:rsidRDefault="004C175C">
      <w:pPr>
        <w:pStyle w:val="Heading2"/>
        <w:jc w:val="both"/>
        <w:rPr>
          <w:rFonts w:ascii="Arial" w:hAnsi="Arial" w:cs="Arial"/>
          <w:color w:val="000000"/>
          <w:sz w:val="24"/>
          <w:szCs w:val="24"/>
        </w:rPr>
      </w:pPr>
      <w:bookmarkStart w:id="4" w:name="_Toc224480163"/>
      <w:r>
        <w:rPr>
          <w:rFonts w:ascii="Arial" w:hAnsi="Arial" w:cs="Arial"/>
          <w:color w:val="000000"/>
          <w:sz w:val="24"/>
          <w:szCs w:val="24"/>
        </w:rPr>
        <w:lastRenderedPageBreak/>
        <w:t>National response to reduce health inequalities in women</w:t>
      </w:r>
      <w:bookmarkEnd w:id="4"/>
    </w:p>
    <w:p w:rsidR="00532CF5" w:rsidRDefault="004C175C">
      <w:pPr>
        <w:jc w:val="both"/>
      </w:pPr>
      <w:r>
        <w:t>There are two national responses, which are of particular sign</w:t>
      </w:r>
      <w:r>
        <w:t>ificance. To start with, the Women Health Strategy of England developed a 10-year plan to enhance information, access and system responsiveness, and in 2025 the government declared that it was going to be renewed with a greater emphasis on addressing inequ</w:t>
      </w:r>
      <w:r>
        <w:t>alities (DHSC, 2022; DHSC, 2025). Second, health hubs that provide community care to women are more intertwined. Government data estimated approximately 5 benefit per 1 pound of investment, and by December 2024, 80 of 88 funded hubs were operational; NHS E</w:t>
      </w:r>
      <w:r>
        <w:t>ngland also reported provision established or expanded in 42 integrated care boards in 2024/25 (DHSC, 2024; DHSC, 2025c; NHS England, 2026c). Such efforts are encouraging, though they will be successful only to the extent they reduce the disparity of the l</w:t>
      </w:r>
      <w:r>
        <w:t xml:space="preserve">east served women. Employers on the company level must match these national responses by providing secure time to make appointments, occupational health support and flexible work, in such a way that policy promises are converted into daily practise (DHSC, </w:t>
      </w:r>
      <w:r>
        <w:t>2022; DHSC, 2025).</w:t>
      </w:r>
    </w:p>
    <w:p w:rsidR="00532CF5" w:rsidRDefault="004C175C">
      <w:pPr>
        <w:pStyle w:val="Heading2"/>
        <w:jc w:val="both"/>
        <w:rPr>
          <w:rFonts w:ascii="Arial" w:hAnsi="Arial" w:cs="Arial"/>
          <w:color w:val="000000"/>
          <w:sz w:val="24"/>
          <w:szCs w:val="24"/>
        </w:rPr>
      </w:pPr>
      <w:bookmarkStart w:id="5" w:name="_Toc224480164"/>
      <w:r>
        <w:rPr>
          <w:rFonts w:ascii="Arial" w:hAnsi="Arial" w:cs="Arial"/>
          <w:color w:val="000000"/>
          <w:sz w:val="24"/>
          <w:szCs w:val="24"/>
        </w:rPr>
        <w:t>Organisation supporting the chosen group</w:t>
      </w:r>
      <w:bookmarkEnd w:id="5"/>
    </w:p>
    <w:p w:rsidR="00532CF5" w:rsidRDefault="004C175C">
      <w:pPr>
        <w:jc w:val="both"/>
      </w:pPr>
      <w:r>
        <w:t>Women Aid helps women who are victims of inequality and domestic violence in particular. It identifies itself as the charity that aims to stop domestic abuse of women and children and as the federation of 183 organisations that offer over 300 local service</w:t>
      </w:r>
      <w:r>
        <w:t>s (Women’s Aid, 2025). It also has four data sets on domestic abuse and survivors that aid in transforming lived experience into policy reform (Women’s Aid, 2025a).</w:t>
      </w:r>
    </w:p>
    <w:p w:rsidR="00532CF5" w:rsidRDefault="004C175C">
      <w:pPr>
        <w:pStyle w:val="Heading2"/>
        <w:jc w:val="both"/>
        <w:rPr>
          <w:rFonts w:ascii="Arial" w:hAnsi="Arial" w:cs="Arial"/>
          <w:color w:val="000000"/>
          <w:sz w:val="24"/>
          <w:szCs w:val="24"/>
        </w:rPr>
      </w:pPr>
      <w:bookmarkStart w:id="6" w:name="_Toc224480165"/>
      <w:r>
        <w:rPr>
          <w:rFonts w:ascii="Arial" w:hAnsi="Arial" w:cs="Arial"/>
          <w:color w:val="000000"/>
          <w:sz w:val="24"/>
          <w:szCs w:val="24"/>
        </w:rPr>
        <w:t>Conclusion</w:t>
      </w:r>
      <w:bookmarkEnd w:id="6"/>
    </w:p>
    <w:p w:rsidR="00532CF5" w:rsidRDefault="004C175C">
      <w:pPr>
        <w:jc w:val="both"/>
      </w:pPr>
      <w:r>
        <w:t>Illness burden, material disadvantage, and institutional failure are the drivers</w:t>
      </w:r>
      <w:r>
        <w:t xml:space="preserve"> of women health inequalities in UK. The gender pay gap, domestic abuse and unpaid care are closely related to higher rates of mental ill health, delayed reproductive diagnosis and cardiometabolic risk. The future development requires joined effort which i</w:t>
      </w:r>
      <w:r>
        <w:t>ncorporates policy, NHS service redesign, employer action and voluntary-sector support.</w:t>
      </w:r>
    </w:p>
    <w:p w:rsidR="00532CF5" w:rsidRDefault="004C175C">
      <w:pPr>
        <w:jc w:val="both"/>
      </w:pPr>
      <w:r>
        <w:br w:type="page"/>
      </w:r>
    </w:p>
    <w:p w:rsidR="00532CF5" w:rsidRDefault="004C175C">
      <w:pPr>
        <w:pStyle w:val="Heading1"/>
        <w:jc w:val="both"/>
        <w:rPr>
          <w:rFonts w:ascii="Arial" w:hAnsi="Arial" w:cs="Arial"/>
          <w:color w:val="000000"/>
          <w:sz w:val="28"/>
        </w:rPr>
      </w:pPr>
      <w:bookmarkStart w:id="7" w:name="_Toc224480166"/>
      <w:r>
        <w:rPr>
          <w:rFonts w:ascii="Arial" w:hAnsi="Arial" w:cs="Arial"/>
          <w:color w:val="000000"/>
          <w:sz w:val="28"/>
        </w:rPr>
        <w:lastRenderedPageBreak/>
        <w:t>Task 2: Epidemiological analysis of Type 2 diabetes among adults in Tower Hamlets</w:t>
      </w:r>
      <w:bookmarkEnd w:id="7"/>
    </w:p>
    <w:p w:rsidR="00532CF5" w:rsidRDefault="004C175C">
      <w:pPr>
        <w:pStyle w:val="Heading2"/>
        <w:jc w:val="both"/>
        <w:rPr>
          <w:rFonts w:ascii="Arial" w:hAnsi="Arial" w:cs="Arial"/>
          <w:color w:val="000000"/>
          <w:sz w:val="24"/>
          <w:szCs w:val="24"/>
        </w:rPr>
      </w:pPr>
      <w:bookmarkStart w:id="8" w:name="_Toc224480167"/>
      <w:r>
        <w:rPr>
          <w:rFonts w:ascii="Arial" w:hAnsi="Arial" w:cs="Arial"/>
          <w:color w:val="000000"/>
          <w:sz w:val="24"/>
          <w:szCs w:val="24"/>
        </w:rPr>
        <w:t>Introduction</w:t>
      </w:r>
      <w:bookmarkEnd w:id="8"/>
    </w:p>
    <w:p w:rsidR="00532CF5" w:rsidRDefault="004C175C">
      <w:pPr>
        <w:jc w:val="both"/>
      </w:pPr>
      <w:r>
        <w:t>Type 2 diabetes mellitus is a long-term metabolic condition where insul</w:t>
      </w:r>
      <w:r>
        <w:t>in resistance and progressive dysfunction of the beta-cells cause the persistent hyperglycaemia. It is a significant issue of public health due to its prevalence, frequent asymptomatic initial presentation, and close linkage with cardiovascular disease, re</w:t>
      </w:r>
      <w:r>
        <w:t>nal failure, neuropathy, retinopathy and amputation of the lower limbs. Its impacts are social as well since work, income, housing and culture determine self-management, diet and access to care. In 2022, approximately 830 million individuals in the world h</w:t>
      </w:r>
      <w:r>
        <w:t>ad diabetes (WHO, 2024). As of March 2024, the prevalence of type 2 diabetes in adults aged 17 and above in England recorded in GP was 7.0% and the prevalence of all diagnosed and undiagnosed type 2 diabetes was also estimated at 7.8% in 2021 (DHSC, 2025a)</w:t>
      </w:r>
      <w:r>
        <w:t>. Nationally in the UK, it has been estimated that over 5.8 million individuals live with diabetes and approximately 1.3 million have undiagnosed type 2 diabetes and approximately 90 percent of diagnosed diabetes is type 2 (Diabetes UK, 2025). A JSNA facts</w:t>
      </w:r>
      <w:r>
        <w:t xml:space="preserve">heet in Tower Hamlets reported approximately 14,915 adults registered on local GP type 2 diabetes registers in June 2014, and a further 1,800 undiagnosed and projected prevalence of 10.1% by 2030 (Tower Hamlets Council, 2015). According to more up-to-date </w:t>
      </w:r>
      <w:r>
        <w:t>local reports, the prevalence of crude diabetes is approximately equal to that of England and London, despite younger age, which indicates that the age-adjusted burden in the borough is disproportionate (Tower Hamlets Council, 2022).</w:t>
      </w:r>
    </w:p>
    <w:p w:rsidR="00532CF5" w:rsidRDefault="004C175C">
      <w:pPr>
        <w:pStyle w:val="Heading2"/>
        <w:jc w:val="both"/>
        <w:rPr>
          <w:rFonts w:ascii="Arial" w:hAnsi="Arial" w:cs="Arial"/>
          <w:sz w:val="24"/>
          <w:szCs w:val="24"/>
        </w:rPr>
      </w:pPr>
      <w:bookmarkStart w:id="9" w:name="_Toc224480168"/>
      <w:r>
        <w:rPr>
          <w:rFonts w:ascii="Arial" w:hAnsi="Arial" w:cs="Arial"/>
          <w:color w:val="000000"/>
          <w:sz w:val="24"/>
          <w:szCs w:val="24"/>
        </w:rPr>
        <w:t>Public health measures</w:t>
      </w:r>
      <w:r>
        <w:rPr>
          <w:rFonts w:ascii="Arial" w:hAnsi="Arial" w:cs="Arial"/>
          <w:color w:val="000000"/>
          <w:sz w:val="24"/>
          <w:szCs w:val="24"/>
        </w:rPr>
        <w:t xml:space="preserve"> using the 3 Ps</w:t>
      </w:r>
      <w:bookmarkEnd w:id="9"/>
    </w:p>
    <w:p w:rsidR="00532CF5" w:rsidRDefault="004C175C">
      <w:pPr>
        <w:jc w:val="both"/>
      </w:pPr>
      <w:r>
        <w:t>Prevention, protection and promotion can be used to understand public health management in Tower Hamlets. Prevention involves NHS Health Cheques, opportunistic primary care testing and referral into the Healthier You NHS Diabetes Prevention</w:t>
      </w:r>
      <w:r>
        <w:t xml:space="preserve"> Programme in those with non-diabetic hyperglycaemia. Domestic data indicate that the programme lowers new diagnoses by over a third in completers (NICE, 2012; NHS England, 2025b). Community-facing prevention in Tower Hamlets also takes the form of the Com</w:t>
      </w:r>
      <w:r>
        <w:t>munity Health Cheque Programme, which brings diabetes and cardiovascular risk assessment into schools, workplaces, libraries, community centres and faith settings (Tower Hamlets Together, 2025). Protection aims at reducing complications by means of blood p</w:t>
      </w:r>
      <w:r>
        <w:t>ressure and lipid management, retinal testing, foot monitoring, and provision of the NICE care processes quantified in the National Diabetes Audit (NHS England, 2024c; NHS England, 2026b). Promotion involves self-management education, healthy eating suppor</w:t>
      </w:r>
      <w:r>
        <w:t xml:space="preserve">t, physical activity and neighbourhood initiatives like Communities Keeping Well (Tower Hamlets Council, n.d.). Importantly, </w:t>
      </w:r>
      <w:r>
        <w:lastRenderedPageBreak/>
        <w:t>all three factors need to be interconnected, as without follow-up that is accessible, screening can increase inequality.</w:t>
      </w:r>
    </w:p>
    <w:p w:rsidR="00532CF5" w:rsidRDefault="004C175C">
      <w:pPr>
        <w:pStyle w:val="Heading2"/>
        <w:jc w:val="both"/>
        <w:rPr>
          <w:rFonts w:ascii="Arial" w:hAnsi="Arial" w:cs="Arial"/>
          <w:color w:val="000000"/>
          <w:sz w:val="24"/>
          <w:szCs w:val="24"/>
        </w:rPr>
      </w:pPr>
      <w:bookmarkStart w:id="10" w:name="_Toc224480169"/>
      <w:r>
        <w:rPr>
          <w:rFonts w:ascii="Arial" w:hAnsi="Arial" w:cs="Arial"/>
          <w:color w:val="000000"/>
          <w:sz w:val="24"/>
          <w:szCs w:val="24"/>
        </w:rPr>
        <w:t>Key determ</w:t>
      </w:r>
      <w:r>
        <w:rPr>
          <w:rFonts w:ascii="Arial" w:hAnsi="Arial" w:cs="Arial"/>
          <w:color w:val="000000"/>
          <w:sz w:val="24"/>
          <w:szCs w:val="24"/>
        </w:rPr>
        <w:t>inants and risk factors</w:t>
      </w:r>
      <w:bookmarkEnd w:id="10"/>
    </w:p>
    <w:p w:rsidR="00532CF5" w:rsidRDefault="004C175C">
      <w:pPr>
        <w:jc w:val="both"/>
      </w:pPr>
      <w:r>
        <w:t>In Tower Hamlets, the principal determinants of type 2 diabetes are biological, behavioural and structural. The risk factors are age, family history, obesity, physical inactivity, unhealthy diet and past gestational diabetes, but th</w:t>
      </w:r>
      <w:r>
        <w:t>eir influence is socially patterned (NICE, 2012; WHO, 2024). This is important as Tower Hamlets is characterised by both high levels of deprivation and strong ethnic diversity. The 2021 Annual Public Health Report revealed that approximately 34% of the pop</w:t>
      </w:r>
      <w:r>
        <w:t xml:space="preserve">ulation is Bangladeshi and that poverty and poor employment are also a local concern, especially among older adults (Tower Hamlets Council, 2022). Evidence in East London demonstrates that South Asian people are more prone to developing type 2 diabetes at </w:t>
      </w:r>
      <w:r>
        <w:t>younger ages and lower body mass index than white Europeans (Grace et al., 2008; Mathur et al., 2012). Nevertheless, ethnicity is not a sufficient set of explanations. An even better epidemiological explanation is that exposure to risk and diagnosis can be</w:t>
      </w:r>
      <w:r>
        <w:t xml:space="preserve"> influenced by deprivation, food environment, work patterns and unequal access to services.</w:t>
      </w:r>
    </w:p>
    <w:p w:rsidR="00532CF5" w:rsidRDefault="004C175C">
      <w:pPr>
        <w:pStyle w:val="Heading2"/>
        <w:jc w:val="both"/>
        <w:rPr>
          <w:rFonts w:ascii="Arial" w:hAnsi="Arial" w:cs="Arial"/>
          <w:color w:val="000000"/>
          <w:sz w:val="24"/>
          <w:szCs w:val="24"/>
        </w:rPr>
      </w:pPr>
      <w:bookmarkStart w:id="11" w:name="_Toc224480170"/>
      <w:r>
        <w:rPr>
          <w:rFonts w:ascii="Arial" w:hAnsi="Arial" w:cs="Arial"/>
          <w:color w:val="000000"/>
          <w:sz w:val="24"/>
          <w:szCs w:val="24"/>
        </w:rPr>
        <w:t>Those affected or at risk in the specific population</w:t>
      </w:r>
      <w:bookmarkEnd w:id="11"/>
    </w:p>
    <w:p w:rsidR="00532CF5" w:rsidRDefault="004C175C">
      <w:pPr>
        <w:jc w:val="both"/>
      </w:pPr>
      <w:r>
        <w:t>A health needs assessment must not only determine the number of adults with type 2 diabetes, but also the group</w:t>
      </w:r>
      <w:r>
        <w:t>s of people with the highest preventable risk and unmet need. Epidemiological research in East London is also helpful as it covers residents of Tower Hamlets and indicates local service realities. QDScore work reported significantly high risks in South Asi</w:t>
      </w:r>
      <w:r>
        <w:t>an groups and demonstrated the significance of deprivation and cardiovascular risk markers (Mathur et al., 2012). Local general practise populations also provided cohort evidence that ethnicity and social group affect glycated haemoglobin outcomes, indicat</w:t>
      </w:r>
      <w:r>
        <w:t>ing that inequality persists after diagnosis, not just before it (James et al., 2012). Local data also demonstrates that the overall population in Tower Hamlets is younger than average but diabetes burden is national and London average, suggesting that the</w:t>
      </w:r>
      <w:r>
        <w:t xml:space="preserve"> risk is concentrated in specific subgroups (Tower Hamlets Council, 2022). The most affected or at-risk groups are middle-aged and older adults, the Bangladeshi and other South Asian residents, individuals who are obese or have non-diabetic hyperglycaemia,</w:t>
      </w:r>
      <w:r>
        <w:t xml:space="preserve"> and adults who live in deprivation.</w:t>
      </w:r>
    </w:p>
    <w:p w:rsidR="00532CF5" w:rsidRDefault="004C175C">
      <w:pPr>
        <w:pStyle w:val="Heading2"/>
        <w:jc w:val="both"/>
        <w:rPr>
          <w:rFonts w:ascii="Arial" w:hAnsi="Arial" w:cs="Arial"/>
          <w:color w:val="000000"/>
          <w:sz w:val="24"/>
          <w:szCs w:val="24"/>
        </w:rPr>
      </w:pPr>
      <w:bookmarkStart w:id="12" w:name="_Toc224480171"/>
      <w:r>
        <w:rPr>
          <w:rFonts w:ascii="Arial" w:hAnsi="Arial" w:cs="Arial"/>
          <w:color w:val="000000"/>
          <w:sz w:val="24"/>
          <w:szCs w:val="24"/>
        </w:rPr>
        <w:t>Monitoring and surveillance systems</w:t>
      </w:r>
      <w:bookmarkEnd w:id="12"/>
    </w:p>
    <w:p w:rsidR="00532CF5" w:rsidRDefault="004C175C">
      <w:pPr>
        <w:jc w:val="both"/>
      </w:pPr>
      <w:r>
        <w:t>Monitoring and surveillance translate individual diagnosis into population intelligence. The diagnosed prevalence in Tower Hamlets is monitored using GP registers and Quality and Outc</w:t>
      </w:r>
      <w:r>
        <w:t xml:space="preserve">omes Framework data, and the diabetes Fingertips profile allows the comparison with London and England in terms of prevalence, care processes and complications (DHSC, 2025a; DHSC, 2025b). Incidence is more </w:t>
      </w:r>
      <w:r>
        <w:lastRenderedPageBreak/>
        <w:t>difficult to track since biological onset is earli</w:t>
      </w:r>
      <w:r>
        <w:t>er than a diagnosis, and systems depend on newly reported cases found by HbA1c or fasting glucose analysis, NHS Health Cheques, hospital detection and progression of non-diabetic hyperglycaemia. The National Diabetes Audit is also the core, as it quantifie</w:t>
      </w:r>
      <w:r>
        <w:t>s the quality of care and targets of treatment, whereas the data on referral and uptake of prevention pathways reveal the extent to which a high-risk population is accessing preventive care (NHS England, 2025b; NHS England, 2026b). Prescribing data, eye sc</w:t>
      </w:r>
      <w:r>
        <w:t>reening, hospital episode and mortality data provide surveillance of downstream harm and complications (NHS England, 2024c; NHS Business Services Authority, 2025). Benchmarking and service evaluation are the strengths of this system yet it lacks undiagnose</w:t>
      </w:r>
      <w:r>
        <w:t>d disease and relies on the quality of coding.</w:t>
      </w:r>
    </w:p>
    <w:p w:rsidR="00532CF5" w:rsidRDefault="004C175C">
      <w:pPr>
        <w:pStyle w:val="Heading2"/>
        <w:jc w:val="both"/>
        <w:rPr>
          <w:rFonts w:ascii="Arial" w:hAnsi="Arial" w:cs="Arial"/>
          <w:color w:val="000000"/>
          <w:sz w:val="24"/>
          <w:szCs w:val="24"/>
        </w:rPr>
      </w:pPr>
      <w:bookmarkStart w:id="13" w:name="_Toc224480172"/>
      <w:r>
        <w:rPr>
          <w:rFonts w:ascii="Arial" w:hAnsi="Arial" w:cs="Arial"/>
          <w:color w:val="000000"/>
          <w:sz w:val="24"/>
          <w:szCs w:val="24"/>
        </w:rPr>
        <w:t>Public health impact and short- and long-term consequences</w:t>
      </w:r>
      <w:bookmarkEnd w:id="13"/>
    </w:p>
    <w:p w:rsidR="00532CF5" w:rsidRDefault="004C175C">
      <w:pPr>
        <w:jc w:val="both"/>
      </w:pPr>
      <w:r>
        <w:t>Type 2 diabetes has a cumulative and immediate public health effect on Tower Hamlets. Short term effects of poor glycaemic control include fatigue, fr</w:t>
      </w:r>
      <w:r>
        <w:t>equent infection, anxiety and work or caring disruptions. Over the long run, the disease is a cause of myocardial infarction, stroke, chronic kidney disease, neuropathy, foot ulceration, visual loss and preterm death (WHO, 2024). Such implications are espe</w:t>
      </w:r>
      <w:r>
        <w:t>cially relevant in Tower Hamlets since the local public health reporting reveals above-average premature cardiovascular disease mortality, which is among the primary mechanisms by which diabetes leads to early mortality (Tower Hamlets Council, 2022). It is</w:t>
      </w:r>
      <w:r>
        <w:t xml:space="preserve"> also heavy on the economy. According to NHS England, the annual cost of diabetes in England to the NHS is approximately 10.7 billion, and the cost of prescribed items to treat diabetes increased to 1.92 billion in 2024/25 (NHS England, 2025c; NHS Business</w:t>
      </w:r>
      <w:r>
        <w:t xml:space="preserve"> Services Authority, 2025). Diabetes as such is a clinical problem, as well as a broader inequality problem that impacts families, health services and social care.</w:t>
      </w:r>
    </w:p>
    <w:p w:rsidR="00532CF5" w:rsidRDefault="004C175C">
      <w:pPr>
        <w:pStyle w:val="Heading2"/>
        <w:jc w:val="both"/>
        <w:rPr>
          <w:rFonts w:ascii="Arial" w:hAnsi="Arial" w:cs="Arial"/>
          <w:color w:val="000000"/>
          <w:sz w:val="24"/>
          <w:szCs w:val="24"/>
        </w:rPr>
      </w:pPr>
      <w:bookmarkStart w:id="14" w:name="_Toc224480173"/>
      <w:r>
        <w:rPr>
          <w:rFonts w:ascii="Arial" w:hAnsi="Arial" w:cs="Arial"/>
          <w:color w:val="000000"/>
          <w:sz w:val="24"/>
          <w:szCs w:val="24"/>
        </w:rPr>
        <w:t>Proposed intervention programme and evaluation</w:t>
      </w:r>
      <w:bookmarkEnd w:id="14"/>
    </w:p>
    <w:p w:rsidR="00532CF5" w:rsidRDefault="004C175C">
      <w:pPr>
        <w:jc w:val="both"/>
      </w:pPr>
      <w:r>
        <w:t>A suitable intervention to Tower Hamlets woul</w:t>
      </w:r>
      <w:r>
        <w:t>d be a culturally sensitive, community-based diabetes prevention and early management initiative targeting high-risk adults in Bangladeshi and other deprived populations. It must include active case-finding of mosques, pharmacies, community centres and wor</w:t>
      </w:r>
      <w:r>
        <w:t>kplaces with diabetes risk scoring and referral to HbA1c testing; prompt referral of individuals with non-diabetic hyperglycaemia to the NHS Diabetes Prevention Programme; bilingual structured education of adults with diabetes at the time of diagnosis; and</w:t>
      </w:r>
      <w:r>
        <w:t xml:space="preserve"> community navigation to tackle barriers (such as language, appointment systems, caring responsibilities and lack of trust in services). The rationale behind this design is that Tower Hamlets already has community screening infrastructure and neighbourhood</w:t>
      </w:r>
      <w:r>
        <w:t xml:space="preserve">-based prevention activity but these resources must be joined into a consistent pathway before complications arise (Tower Hamlets Together, 2025; Tower Hamlets Council, n.d.). </w:t>
      </w:r>
    </w:p>
    <w:p w:rsidR="00532CF5" w:rsidRDefault="004C175C">
      <w:pPr>
        <w:jc w:val="both"/>
      </w:pPr>
      <w:r>
        <w:lastRenderedPageBreak/>
        <w:t>It should be evaluated as it goes. Process evaluation must be used to determine</w:t>
      </w:r>
      <w:r>
        <w:t xml:space="preserve"> reach, uptake and completion particularly among the Bangladeshi residents and adults in deprived neighbourhoods. Knowledge, weight, physical activity and HbA1c testing uptake should be evaluated as changes (WHO, 2024). Primary care and audit data should b</w:t>
      </w:r>
      <w:r>
        <w:t>e used to track the conversion of non-diabetic hyperglycaemia to diagnosed diabetes, glycaemic control, uptake of retinal screening and complication-related hospital use (Tower Hamlets Together, 2025). The economic analysis must approximate the costs per p</w:t>
      </w:r>
      <w:r>
        <w:t>articipant and the possible savings due to preventing complications. A stern analysis should also be made on whether the inequalities can be reduced, since the inequalities can be reduced but still ethnic and socioeconomic disparities are present.</w:t>
      </w:r>
    </w:p>
    <w:p w:rsidR="00532CF5" w:rsidRDefault="004C175C">
      <w:pPr>
        <w:pStyle w:val="Heading2"/>
        <w:jc w:val="both"/>
        <w:rPr>
          <w:rFonts w:ascii="Arial" w:hAnsi="Arial" w:cs="Arial"/>
          <w:color w:val="000000"/>
          <w:sz w:val="24"/>
          <w:szCs w:val="24"/>
        </w:rPr>
      </w:pPr>
      <w:bookmarkStart w:id="15" w:name="_Toc224480174"/>
      <w:r>
        <w:rPr>
          <w:rFonts w:ascii="Arial" w:hAnsi="Arial" w:cs="Arial"/>
          <w:color w:val="000000"/>
          <w:sz w:val="24"/>
          <w:szCs w:val="24"/>
        </w:rPr>
        <w:t>Strength</w:t>
      </w:r>
      <w:r>
        <w:rPr>
          <w:rFonts w:ascii="Arial" w:hAnsi="Arial" w:cs="Arial"/>
          <w:color w:val="000000"/>
          <w:sz w:val="24"/>
          <w:szCs w:val="24"/>
        </w:rPr>
        <w:t>s and weaknesses of the epidemiological approach</w:t>
      </w:r>
      <w:bookmarkEnd w:id="15"/>
    </w:p>
    <w:p w:rsidR="00532CF5" w:rsidRDefault="004C175C">
      <w:pPr>
        <w:jc w:val="both"/>
      </w:pPr>
      <w:r>
        <w:t xml:space="preserve">There are significant strengths of this epidemiological approach. It applies local data routinely, national audit infrastructure and published East London studies to define burden and stratify risk and make </w:t>
      </w:r>
      <w:r>
        <w:t>targeted action (Tower Hamlets Together, 2025). It also acknowledges that local interpretation is important since Tower Hamlets has a demographic profile that can mislead crude comparison. The method is, however, limited. Routine surveillance is more diagn</w:t>
      </w:r>
      <w:r>
        <w:t>ostic of disease than all disease, and thus hidden prevalence is important. The association between ethnicity, deprivation and outcomes can be observed with the help of observational studies, but not completely isolate causal pathways. Part of the Jsna mat</w:t>
      </w:r>
      <w:r>
        <w:t>erial is not the latest and so accuracy is compromised in planning the present services. Epidemiology consequently offers a solid planning foundation, but it must be integrated with qualitative understanding and involvement in the community (WHO, 2024).</w:t>
      </w:r>
    </w:p>
    <w:p w:rsidR="00532CF5" w:rsidRDefault="004C175C">
      <w:pPr>
        <w:pStyle w:val="Heading2"/>
        <w:jc w:val="both"/>
        <w:rPr>
          <w:rFonts w:ascii="Arial" w:hAnsi="Arial" w:cs="Arial"/>
          <w:color w:val="000000"/>
          <w:sz w:val="24"/>
          <w:szCs w:val="24"/>
        </w:rPr>
      </w:pPr>
      <w:bookmarkStart w:id="16" w:name="_Toc224480175"/>
      <w:r>
        <w:rPr>
          <w:rFonts w:ascii="Arial" w:hAnsi="Arial" w:cs="Arial"/>
          <w:color w:val="000000"/>
          <w:sz w:val="24"/>
          <w:szCs w:val="24"/>
        </w:rPr>
        <w:t>Co</w:t>
      </w:r>
      <w:r>
        <w:rPr>
          <w:rFonts w:ascii="Arial" w:hAnsi="Arial" w:cs="Arial"/>
          <w:color w:val="000000"/>
          <w:sz w:val="24"/>
          <w:szCs w:val="24"/>
        </w:rPr>
        <w:t>nclusion and recommendation</w:t>
      </w:r>
      <w:bookmarkEnd w:id="16"/>
    </w:p>
    <w:p w:rsidR="00532CF5" w:rsidRDefault="004C175C">
      <w:pPr>
        <w:jc w:val="both"/>
      </w:pPr>
      <w:r>
        <w:t>Type 2 diabetes in Tower Hamlets demonstrates how a significant non-communicable disease is caused and spread via a biology, deprivation, ethnicity and service access interaction. The response is based on epidemiology, which def</w:t>
      </w:r>
      <w:r>
        <w:t>ines burden, high-risk groups, as well as monitors diagnosed and undiagnosed risk, consequences and intervention guidance. The best suggestion is to enhance an equity-driven local route between community case-finding, prevention, initial management, and au</w:t>
      </w:r>
      <w:r>
        <w:t>dit-based assessment. An interdisciplinary, locally focused intervention is more apt to decrease the burden of diabetes and the inequality of diabetes than a borough-wide intervention.</w:t>
      </w:r>
    </w:p>
    <w:p w:rsidR="00532CF5" w:rsidRDefault="004C175C">
      <w:pPr>
        <w:spacing w:after="200" w:line="276" w:lineRule="auto"/>
      </w:pPr>
      <w:r>
        <w:br w:type="page"/>
      </w:r>
    </w:p>
    <w:p w:rsidR="00532CF5" w:rsidRDefault="004C175C">
      <w:pPr>
        <w:pStyle w:val="Heading1"/>
        <w:rPr>
          <w:rFonts w:ascii="Arial" w:hAnsi="Arial" w:cs="Arial"/>
          <w:color w:val="000000"/>
          <w:sz w:val="28"/>
          <w:szCs w:val="24"/>
        </w:rPr>
      </w:pPr>
      <w:bookmarkStart w:id="17" w:name="_Toc224480176"/>
      <w:r>
        <w:rPr>
          <w:rFonts w:ascii="Arial" w:hAnsi="Arial" w:cs="Arial"/>
          <w:color w:val="000000"/>
          <w:sz w:val="28"/>
          <w:szCs w:val="24"/>
        </w:rPr>
        <w:lastRenderedPageBreak/>
        <w:t>Reference</w:t>
      </w:r>
      <w:bookmarkEnd w:id="17"/>
      <w:r>
        <w:rPr>
          <w:rFonts w:ascii="Arial" w:hAnsi="Arial" w:cs="Arial"/>
          <w:color w:val="000000"/>
          <w:sz w:val="28"/>
          <w:szCs w:val="24"/>
        </w:rPr>
        <w:t xml:space="preserve"> </w:t>
      </w:r>
    </w:p>
    <w:p w:rsidR="00532CF5" w:rsidRDefault="004C175C">
      <w:pPr>
        <w:ind w:left="720" w:hanging="720"/>
      </w:pPr>
      <w:r>
        <w:t xml:space="preserve">Age UK (2024a) </w:t>
      </w:r>
      <w:r>
        <w:rPr>
          <w:i/>
          <w:iCs/>
        </w:rPr>
        <w:t xml:space="preserve">Information and advice services for older </w:t>
      </w:r>
      <w:r>
        <w:rPr>
          <w:i/>
          <w:iCs/>
        </w:rPr>
        <w:t>people</w:t>
      </w:r>
      <w:r>
        <w:t xml:space="preserve">. Available at: </w:t>
      </w:r>
      <w:hyperlink r:id="rId8" w:tgtFrame="_new" w:history="1">
        <w:r>
          <w:rPr>
            <w:rStyle w:val="Hyperlink"/>
          </w:rPr>
          <w:t>https://www.ageuk.org.uk/services/information-advice/</w:t>
        </w:r>
      </w:hyperlink>
      <w:r>
        <w:t xml:space="preserve"> (Accessed: 15 March 2026).</w:t>
      </w:r>
      <w:r>
        <w:br/>
        <w:t xml:space="preserve">Age UK (2024b) </w:t>
      </w:r>
      <w:r>
        <w:rPr>
          <w:i/>
          <w:iCs/>
        </w:rPr>
        <w:t>Age UK's new report shows 'You are not alone in feeling lo</w:t>
      </w:r>
      <w:r>
        <w:rPr>
          <w:i/>
          <w:iCs/>
        </w:rPr>
        <w:t>nely'</w:t>
      </w:r>
      <w:r>
        <w:t xml:space="preserve">. Available at: </w:t>
      </w:r>
      <w:hyperlink r:id="rId9" w:tgtFrame="_new" w:history="1">
        <w:r>
          <w:rPr>
            <w:rStyle w:val="Hyperlink"/>
          </w:rPr>
          <w:t>https://www.ageuk.org.uk/latest-press/articles/age-uks-new-report-shows-you-are-not-alone-in-feeling-lo</w:t>
        </w:r>
        <w:r>
          <w:rPr>
            <w:rStyle w:val="Hyperlink"/>
          </w:rPr>
          <w:t>nely/</w:t>
        </w:r>
      </w:hyperlink>
      <w:r>
        <w:t xml:space="preserve"> </w:t>
      </w:r>
    </w:p>
    <w:p w:rsidR="00532CF5" w:rsidRDefault="004C175C">
      <w:pPr>
        <w:ind w:left="720" w:hanging="720"/>
      </w:pPr>
      <w:r>
        <w:t xml:space="preserve">Department of Health and Social Care (DHSC) (2022) </w:t>
      </w:r>
      <w:r>
        <w:rPr>
          <w:i/>
          <w:iCs/>
        </w:rPr>
        <w:t>Women’s Health Strategy for England</w:t>
      </w:r>
      <w:r>
        <w:t xml:space="preserve">. London: DHSC. Available at: </w:t>
      </w:r>
      <w:hyperlink r:id="rId10" w:tgtFrame="_new" w:history="1">
        <w:r>
          <w:rPr>
            <w:rStyle w:val="Hyperlink"/>
          </w:rPr>
          <w:t>https://www.gov.uk/government/publications/womens-health-strategy-for-england/womens-health-strategy-for-england</w:t>
        </w:r>
      </w:hyperlink>
      <w:r>
        <w:t xml:space="preserve"> </w:t>
      </w:r>
    </w:p>
    <w:p w:rsidR="00532CF5" w:rsidRDefault="004C175C">
      <w:pPr>
        <w:ind w:left="720" w:hanging="720"/>
      </w:pPr>
      <w:r>
        <w:t xml:space="preserve">Department of Health and Social Care (DHSC) (2024) </w:t>
      </w:r>
      <w:r>
        <w:rPr>
          <w:i/>
          <w:iCs/>
        </w:rPr>
        <w:t>Women’s health hubs: cost benefit analysis</w:t>
      </w:r>
      <w:r>
        <w:t xml:space="preserve">. London: DHSC. Available at: </w:t>
      </w:r>
      <w:hyperlink r:id="rId11" w:tgtFrame="_new" w:history="1">
        <w:r>
          <w:rPr>
            <w:rStyle w:val="Hyperlink"/>
          </w:rPr>
          <w:t>https://www.gov.uk/government/publications/womens-health-hubs-information-and-guidance/womens-health-hubs-cost-bene</w:t>
        </w:r>
        <w:r>
          <w:rPr>
            <w:rStyle w:val="Hyperlink"/>
          </w:rPr>
          <w:t>fit-analysis</w:t>
        </w:r>
      </w:hyperlink>
      <w:r>
        <w:t xml:space="preserve"> (Accessed: 15 March 2026).</w:t>
      </w:r>
    </w:p>
    <w:p w:rsidR="00532CF5" w:rsidRDefault="004C175C">
      <w:pPr>
        <w:ind w:left="720" w:hanging="720"/>
      </w:pPr>
      <w:r>
        <w:t xml:space="preserve">Department of Health and Social Care (DHSC) (2025) </w:t>
      </w:r>
      <w:r>
        <w:rPr>
          <w:i/>
          <w:iCs/>
        </w:rPr>
        <w:t>Government announces Women’s Health Strategy to be renewed</w:t>
      </w:r>
      <w:r>
        <w:t xml:space="preserve">. London: DHSC. Available at: </w:t>
      </w:r>
      <w:hyperlink r:id="rId12" w:tgtFrame="_new" w:history="1">
        <w:r>
          <w:rPr>
            <w:rStyle w:val="Hyperlink"/>
          </w:rPr>
          <w:t>https://www.gov.uk/government/news/government-announces-womens-health-strategy-to-be-renewed</w:t>
        </w:r>
      </w:hyperlink>
      <w:r>
        <w:t xml:space="preserve"> </w:t>
      </w:r>
    </w:p>
    <w:p w:rsidR="00532CF5" w:rsidRDefault="004C175C">
      <w:pPr>
        <w:ind w:left="720" w:hanging="720"/>
      </w:pPr>
      <w:r>
        <w:t xml:space="preserve">Department of Health and Social Care (DHSC) (2025a) </w:t>
      </w:r>
      <w:r>
        <w:rPr>
          <w:i/>
          <w:iCs/>
        </w:rPr>
        <w:t>Diabetes profile: statistical commentary, March 2025</w:t>
      </w:r>
      <w:r>
        <w:t>. London: DHS</w:t>
      </w:r>
      <w:r>
        <w:t xml:space="preserve">C. Available at: </w:t>
      </w:r>
      <w:hyperlink r:id="rId13" w:tgtFrame="_new" w:history="1">
        <w:r>
          <w:rPr>
            <w:rStyle w:val="Hyperlink"/>
          </w:rPr>
          <w:t>https://www.gov.uk/government/statistics/diabetes-profile-update-march-2025/diabetes-prof</w:t>
        </w:r>
        <w:r>
          <w:rPr>
            <w:rStyle w:val="Hyperlink"/>
          </w:rPr>
          <w:t>ile-statistical-commentary-march-2025</w:t>
        </w:r>
      </w:hyperlink>
      <w:r>
        <w:t xml:space="preserve"> </w:t>
      </w:r>
    </w:p>
    <w:p w:rsidR="00532CF5" w:rsidRDefault="004C175C">
      <w:pPr>
        <w:ind w:left="720" w:hanging="720"/>
      </w:pPr>
      <w:r>
        <w:t xml:space="preserve">Department of Health and Social Care (DHSC) (2025b) </w:t>
      </w:r>
      <w:r>
        <w:rPr>
          <w:i/>
          <w:iCs/>
        </w:rPr>
        <w:t>Diabetes profile, Fingertips</w:t>
      </w:r>
      <w:r>
        <w:t xml:space="preserve">. London: DHSC. Available at: </w:t>
      </w:r>
      <w:hyperlink r:id="rId14" w:tgtFrame="_new" w:history="1">
        <w:r>
          <w:rPr>
            <w:rStyle w:val="Hyperlink"/>
          </w:rPr>
          <w:t>https://fingertips.phe.org.uk/p</w:t>
        </w:r>
        <w:r>
          <w:rPr>
            <w:rStyle w:val="Hyperlink"/>
          </w:rPr>
          <w:t>rofile/diabetes-ft</w:t>
        </w:r>
      </w:hyperlink>
      <w:r>
        <w:t xml:space="preserve"> (Accessed: 15 March 2026).</w:t>
      </w:r>
    </w:p>
    <w:p w:rsidR="00532CF5" w:rsidRDefault="004C175C">
      <w:pPr>
        <w:ind w:left="720" w:hanging="720"/>
      </w:pPr>
      <w:r>
        <w:t xml:space="preserve">Department of Health and Social Care (DHSC) (2025c) </w:t>
      </w:r>
      <w:r>
        <w:rPr>
          <w:i/>
          <w:iCs/>
        </w:rPr>
        <w:t>Government response to the Women and Equalities Committee’s first report of session 2024 to 2025: women’s reproductive health conditions</w:t>
      </w:r>
      <w:r>
        <w:t>. London: DHSC. Ava</w:t>
      </w:r>
      <w:r>
        <w:t xml:space="preserve">ilable at: </w:t>
      </w:r>
      <w:hyperlink r:id="rId15" w:tgtFrame="_new" w:history="1">
        <w:r>
          <w:rPr>
            <w:rStyle w:val="Hyperlink"/>
          </w:rPr>
          <w:t>https://www.gov.uk/government/publications/government-response-to-the-women-and-equalities-committee-report-on-womens-reproductive-health-conditions/government-response-to-the-women-and-equalitie</w:t>
        </w:r>
        <w:r>
          <w:rPr>
            <w:rStyle w:val="Hyperlink"/>
          </w:rPr>
          <w:t>s-committees-first-report-of-session-2024-to-2025-womens-reproductive-health-conditions</w:t>
        </w:r>
      </w:hyperlink>
      <w:r>
        <w:t xml:space="preserve"> </w:t>
      </w:r>
    </w:p>
    <w:p w:rsidR="00532CF5" w:rsidRDefault="004C175C">
      <w:pPr>
        <w:ind w:left="720" w:hanging="720"/>
      </w:pPr>
      <w:r>
        <w:lastRenderedPageBreak/>
        <w:t xml:space="preserve">Diabetes UK (2025) </w:t>
      </w:r>
      <w:r>
        <w:rPr>
          <w:i/>
          <w:iCs/>
        </w:rPr>
        <w:t>How many people in the UK have diabetes?</w:t>
      </w:r>
      <w:r>
        <w:t xml:space="preserve"> London: Diabetes UK. Available at: </w:t>
      </w:r>
      <w:hyperlink r:id="rId16" w:tgtFrame="_new" w:history="1">
        <w:r>
          <w:rPr>
            <w:rStyle w:val="Hyperlink"/>
          </w:rPr>
          <w:t>https://www.diabetes.org.uk/about-us/about-the-charity/our-strategy/statistics</w:t>
        </w:r>
      </w:hyperlink>
      <w:r>
        <w:t xml:space="preserve"> (Accessed: 15 March 2026).</w:t>
      </w:r>
    </w:p>
    <w:p w:rsidR="00532CF5" w:rsidRDefault="004C175C">
      <w:pPr>
        <w:ind w:left="720" w:hanging="720"/>
      </w:pPr>
      <w:r>
        <w:t xml:space="preserve">Endometriosis UK (2026) </w:t>
      </w:r>
      <w:r>
        <w:rPr>
          <w:i/>
          <w:iCs/>
        </w:rPr>
        <w:t>The state of endometriosis care in the UK</w:t>
      </w:r>
      <w:r>
        <w:t xml:space="preserve">. London: Endometriosis UK. Available at: </w:t>
      </w:r>
      <w:hyperlink r:id="rId17" w:tgtFrame="_new" w:history="1">
        <w:r>
          <w:rPr>
            <w:rStyle w:val="Hyperlink"/>
          </w:rPr>
          <w:t>https://www.endometriosis-uk.org/sites/default/files/2026-02/Endometriosis%20-%20The%20State%20of%2</w:t>
        </w:r>
        <w:r>
          <w:rPr>
            <w:rStyle w:val="Hyperlink"/>
          </w:rPr>
          <w:t>0Endometriosis%20Care%20Report.pdf</w:t>
        </w:r>
      </w:hyperlink>
      <w:r>
        <w:t xml:space="preserve"> (Accessed: 15 March 2026).</w:t>
      </w:r>
    </w:p>
    <w:p w:rsidR="00532CF5" w:rsidRDefault="004C175C">
      <w:pPr>
        <w:ind w:left="720" w:hanging="720"/>
      </w:pPr>
      <w:r>
        <w:t>Grace, C., Begum, R., Subhani, S., Kopelman, P. and Greenhalgh, T. (2008) ‘Prevention of type 2 diabetes in British Bangladeshis: qualitative study of community, religious, and professional p</w:t>
      </w:r>
      <w:r>
        <w:t xml:space="preserve">erspectives’, </w:t>
      </w:r>
      <w:r>
        <w:rPr>
          <w:i/>
          <w:iCs/>
        </w:rPr>
        <w:t>BMJ</w:t>
      </w:r>
      <w:r>
        <w:t xml:space="preserve">, 337, a1931. Available at: </w:t>
      </w:r>
      <w:hyperlink r:id="rId18" w:tgtFrame="_new" w:history="1">
        <w:r>
          <w:rPr>
            <w:rStyle w:val="Hyperlink"/>
          </w:rPr>
          <w:t>https://www.bmj.com/content/337/bmj.a1931</w:t>
        </w:r>
      </w:hyperlink>
      <w:r>
        <w:t xml:space="preserve"> </w:t>
      </w:r>
    </w:p>
    <w:p w:rsidR="00532CF5" w:rsidRDefault="004C175C">
      <w:pPr>
        <w:ind w:left="720" w:hanging="720"/>
      </w:pPr>
      <w:r>
        <w:t>James, G.D., Baker, P., Badrick, E., Mathur, R. and Robson, J. (2012) ‘Type 2 diabetes: a cohort stu</w:t>
      </w:r>
      <w:r>
        <w:t xml:space="preserve">dy of treatment, ethnic and social group influences on glycated haemoglobin’, </w:t>
      </w:r>
      <w:r>
        <w:rPr>
          <w:i/>
          <w:iCs/>
        </w:rPr>
        <w:t>BMJ Open</w:t>
      </w:r>
      <w:r>
        <w:t xml:space="preserve">, 2(5), e001477. Available at: </w:t>
      </w:r>
      <w:hyperlink r:id="rId19" w:tgtFrame="_new" w:history="1">
        <w:r>
          <w:rPr>
            <w:rStyle w:val="Hyperlink"/>
          </w:rPr>
          <w:t>https://bmjopen.bmj.com/content/2/5/e001477</w:t>
        </w:r>
      </w:hyperlink>
      <w:r>
        <w:t xml:space="preserve"> </w:t>
      </w:r>
    </w:p>
    <w:p w:rsidR="00532CF5" w:rsidRDefault="004C175C">
      <w:pPr>
        <w:ind w:left="720" w:hanging="720"/>
      </w:pPr>
      <w:r>
        <w:t>Mathur, R., Noble, D., S</w:t>
      </w:r>
      <w:r>
        <w:t xml:space="preserve">mith, D., Greenhalgh, T. and Robson, J. (2012) ‘Quantifying the risk of type 2 diabetes in East London using the QDScore: a cross-sectional analysis’, </w:t>
      </w:r>
      <w:r>
        <w:rPr>
          <w:i/>
          <w:iCs/>
        </w:rPr>
        <w:t>British Journal of General Practice</w:t>
      </w:r>
      <w:r>
        <w:t xml:space="preserve">, 62(603), pp. e663-e670. Available at: </w:t>
      </w:r>
      <w:hyperlink r:id="rId20" w:tgtFrame="_new" w:history="1">
        <w:r>
          <w:rPr>
            <w:rStyle w:val="Hyperlink"/>
          </w:rPr>
          <w:t>https://bjgp.org/content/62/603/e663</w:t>
        </w:r>
      </w:hyperlink>
      <w:r>
        <w:t xml:space="preserve"> </w:t>
      </w:r>
    </w:p>
    <w:p w:rsidR="00532CF5" w:rsidRDefault="004C175C">
      <w:pPr>
        <w:ind w:left="720" w:hanging="720"/>
      </w:pPr>
      <w:r>
        <w:t xml:space="preserve">National Institute for Health and Care Excellence (NICE) (2012) </w:t>
      </w:r>
      <w:r>
        <w:rPr>
          <w:i/>
          <w:iCs/>
        </w:rPr>
        <w:t>Type 2 diabetes: prevention in people at high risk. Public health guideline PH38</w:t>
      </w:r>
      <w:r>
        <w:t xml:space="preserve">. London: NICE. Available at: </w:t>
      </w:r>
      <w:hyperlink r:id="rId21" w:tgtFrame="_new" w:history="1">
        <w:r>
          <w:rPr>
            <w:rStyle w:val="Hyperlink"/>
          </w:rPr>
          <w:t>https://www.nice.org.uk/guidance/ph38</w:t>
        </w:r>
      </w:hyperlink>
      <w:r>
        <w:t xml:space="preserve"> (Accessed: 15 March 2026).</w:t>
      </w:r>
    </w:p>
    <w:p w:rsidR="00532CF5" w:rsidRDefault="004C175C">
      <w:pPr>
        <w:ind w:left="720" w:hanging="720"/>
      </w:pPr>
      <w:r>
        <w:t xml:space="preserve">NHS Business Services Authority (2025) </w:t>
      </w:r>
      <w:r>
        <w:rPr>
          <w:i/>
          <w:iCs/>
        </w:rPr>
        <w:t>NHS diabetes treatment spending reaches £1.92 billion as new medications become available</w:t>
      </w:r>
      <w:r>
        <w:t>. Newcastl</w:t>
      </w:r>
      <w:r>
        <w:t xml:space="preserve">e: NHSBSA. Available at: </w:t>
      </w:r>
      <w:hyperlink r:id="rId22" w:tgtFrame="_new" w:history="1">
        <w:r>
          <w:rPr>
            <w:rStyle w:val="Hyperlink"/>
          </w:rPr>
          <w:t>https://media.nhsbsa.nhs.uk/press-relea</w:t>
        </w:r>
        <w:r>
          <w:rPr>
            <w:rStyle w:val="Hyperlink"/>
          </w:rPr>
          <w:t>ses/e29454d6-7346-4183-b9fe-57a31a04ce1e/nhs-diabetes-treatment-spending-reaches-1-92-billion-as-new-medications-become-available</w:t>
        </w:r>
      </w:hyperlink>
      <w:r>
        <w:t xml:space="preserve"> </w:t>
      </w:r>
    </w:p>
    <w:p w:rsidR="00532CF5" w:rsidRDefault="004C175C">
      <w:pPr>
        <w:ind w:left="720" w:hanging="720"/>
      </w:pPr>
      <w:r>
        <w:t xml:space="preserve">NHS England (2024) </w:t>
      </w:r>
      <w:r>
        <w:rPr>
          <w:i/>
          <w:iCs/>
        </w:rPr>
        <w:t>Cervical Screening Programme, England 2023-24</w:t>
      </w:r>
      <w:r>
        <w:t xml:space="preserve">. Leeds: NHS England. Available at: </w:t>
      </w:r>
      <w:hyperlink r:id="rId23" w:tgtFrame="_new" w:history="1">
        <w:r>
          <w:rPr>
            <w:rStyle w:val="Hyperlink"/>
          </w:rPr>
          <w:t>https://digital.nhs.uk/data-and-information/publications/statistical/cervical-screening-annual/england-2023-24</w:t>
        </w:r>
      </w:hyperlink>
      <w:r>
        <w:t xml:space="preserve"> </w:t>
      </w:r>
    </w:p>
    <w:p w:rsidR="00532CF5" w:rsidRDefault="004C175C">
      <w:pPr>
        <w:ind w:left="720" w:hanging="720"/>
      </w:pPr>
      <w:r>
        <w:t xml:space="preserve">NHS England (2024a) </w:t>
      </w:r>
      <w:r>
        <w:rPr>
          <w:i/>
          <w:iCs/>
        </w:rPr>
        <w:t>Health Su</w:t>
      </w:r>
      <w:r>
        <w:rPr>
          <w:i/>
          <w:iCs/>
        </w:rPr>
        <w:t>rvey for England, 2022 Part 2</w:t>
      </w:r>
      <w:r>
        <w:t xml:space="preserve">. Leeds: NHS England. Available at: </w:t>
      </w:r>
      <w:hyperlink r:id="rId24" w:tgtFrame="_new" w:history="1">
        <w:r>
          <w:rPr>
            <w:rStyle w:val="Hyperlink"/>
          </w:rPr>
          <w:t>https://digital.nhs.uk/data-and-information/publications/stat</w:t>
        </w:r>
        <w:r>
          <w:rPr>
            <w:rStyle w:val="Hyperlink"/>
          </w:rPr>
          <w:t>istical/health-survey-for-england/2022-part-2</w:t>
        </w:r>
      </w:hyperlink>
      <w:r>
        <w:t xml:space="preserve"> (Accessed: 15 March 2026).</w:t>
      </w:r>
    </w:p>
    <w:p w:rsidR="00532CF5" w:rsidRDefault="004C175C">
      <w:pPr>
        <w:ind w:left="720" w:hanging="720"/>
      </w:pPr>
      <w:r>
        <w:lastRenderedPageBreak/>
        <w:t xml:space="preserve">NHS England (2024c) </w:t>
      </w:r>
      <w:r>
        <w:rPr>
          <w:i/>
          <w:iCs/>
        </w:rPr>
        <w:t>NHS diabetic eye screening pathway standards from 1 October 2024</w:t>
      </w:r>
      <w:r>
        <w:t xml:space="preserve">. Leeds: NHS England. Available at: </w:t>
      </w:r>
      <w:hyperlink r:id="rId25" w:tgtFrame="_new" w:history="1">
        <w:r>
          <w:rPr>
            <w:rStyle w:val="Hyperlink"/>
          </w:rPr>
          <w:t>https://www.gov.uk/government/publications/diabetic-eye-screening-programme-standards/nhs-diabetic-eye-sc</w:t>
        </w:r>
        <w:r>
          <w:rPr>
            <w:rStyle w:val="Hyperlink"/>
          </w:rPr>
          <w:t>reening-pathway-standards-from-1st-october-2024-public-facing-guidance-information</w:t>
        </w:r>
      </w:hyperlink>
      <w:r>
        <w:t xml:space="preserve"> (Accessed: 15 March 2026).</w:t>
      </w:r>
    </w:p>
    <w:p w:rsidR="00532CF5" w:rsidRDefault="004C175C">
      <w:pPr>
        <w:ind w:left="720" w:hanging="720"/>
      </w:pPr>
      <w:r>
        <w:t xml:space="preserve">NHS England (2025a) </w:t>
      </w:r>
      <w:r>
        <w:rPr>
          <w:i/>
          <w:iCs/>
        </w:rPr>
        <w:t>Adult Psychiatric Morbidity Survey: Survey of Mental Health and Wellbeing, England, 2023/24</w:t>
      </w:r>
      <w:r>
        <w:t xml:space="preserve">. Leeds: NHS England. Available </w:t>
      </w:r>
      <w:r>
        <w:t xml:space="preserve">at: </w:t>
      </w:r>
      <w:hyperlink r:id="rId26" w:tgtFrame="_new" w:history="1">
        <w:r>
          <w:rPr>
            <w:rStyle w:val="Hyperlink"/>
          </w:rPr>
          <w:t>https://digital.nhs.uk/data-and-information/publications/statistical/ad</w:t>
        </w:r>
        <w:r>
          <w:rPr>
            <w:rStyle w:val="Hyperlink"/>
          </w:rPr>
          <w:t>ult-psychiatric-morbidity-survey/survey-of-mental-health-and-wellbeing-england-2023-24</w:t>
        </w:r>
      </w:hyperlink>
      <w:r>
        <w:t xml:space="preserve"> </w:t>
      </w:r>
    </w:p>
    <w:p w:rsidR="00532CF5" w:rsidRDefault="004C175C">
      <w:pPr>
        <w:ind w:left="720" w:hanging="720"/>
      </w:pPr>
      <w:r>
        <w:t xml:space="preserve">NHS England (2025b) </w:t>
      </w:r>
      <w:r>
        <w:rPr>
          <w:i/>
          <w:iCs/>
        </w:rPr>
        <w:t>NHS Diabetes Prevention Programme (Healthier You)</w:t>
      </w:r>
      <w:r>
        <w:t xml:space="preserve">. Leeds: NHS England. Available at: </w:t>
      </w:r>
      <w:hyperlink r:id="rId27" w:tgtFrame="_new" w:history="1">
        <w:r>
          <w:rPr>
            <w:rStyle w:val="Hyperlink"/>
          </w:rPr>
          <w:t>https://www.england.nhs.uk/diabetes/diabetes-prevention/</w:t>
        </w:r>
      </w:hyperlink>
      <w:r>
        <w:t xml:space="preserve"> </w:t>
      </w:r>
    </w:p>
    <w:p w:rsidR="00532CF5" w:rsidRDefault="004C175C">
      <w:pPr>
        <w:ind w:left="720" w:hanging="720"/>
      </w:pPr>
      <w:r>
        <w:t xml:space="preserve">NHS England (2025c) </w:t>
      </w:r>
      <w:r>
        <w:rPr>
          <w:i/>
          <w:iCs/>
        </w:rPr>
        <w:t>NHS initiative helps thousands more tackle their diabetes risk</w:t>
      </w:r>
      <w:r>
        <w:t xml:space="preserve">. Leeds: NHS England. Available at: </w:t>
      </w:r>
      <w:hyperlink r:id="rId28" w:tgtFrame="_new" w:history="1">
        <w:r>
          <w:rPr>
            <w:rStyle w:val="Hyperlink"/>
          </w:rPr>
          <w:t>https://www.england.nhs.uk/2025/05/nhs-initiative-helps-thousands-more-tackle-their-diabetes-risk/</w:t>
        </w:r>
      </w:hyperlink>
      <w:r>
        <w:t xml:space="preserve"> </w:t>
      </w:r>
    </w:p>
    <w:p w:rsidR="00532CF5" w:rsidRDefault="004C175C">
      <w:pPr>
        <w:ind w:left="720" w:hanging="720"/>
      </w:pPr>
      <w:r>
        <w:t xml:space="preserve">NHS England (2026a) </w:t>
      </w:r>
      <w:r>
        <w:rPr>
          <w:i/>
          <w:iCs/>
        </w:rPr>
        <w:t>Health Survey for England, 2024: adults’ overweight and obesity</w:t>
      </w:r>
      <w:r>
        <w:t>. Lee</w:t>
      </w:r>
      <w:r>
        <w:t xml:space="preserve">ds: NHS England. Available at: </w:t>
      </w:r>
      <w:hyperlink r:id="rId29" w:tgtFrame="_new" w:history="1">
        <w:r>
          <w:rPr>
            <w:rStyle w:val="Hyperlink"/>
          </w:rPr>
          <w:t>https://digital.nhs.uk/data-and-information/publications/statistical/hea</w:t>
        </w:r>
        <w:r>
          <w:rPr>
            <w:rStyle w:val="Hyperlink"/>
          </w:rPr>
          <w:t>lth-survey-for-england/2024/adults-overweight-and-obesity</w:t>
        </w:r>
      </w:hyperlink>
      <w:r>
        <w:t xml:space="preserve"> </w:t>
      </w:r>
    </w:p>
    <w:p w:rsidR="00532CF5" w:rsidRDefault="004C175C">
      <w:pPr>
        <w:ind w:left="720" w:hanging="720"/>
      </w:pPr>
      <w:r>
        <w:t xml:space="preserve">NHS England (2026b) </w:t>
      </w:r>
      <w:r>
        <w:rPr>
          <w:i/>
          <w:iCs/>
        </w:rPr>
        <w:t>National Diabetes Audit Core Report 1: Care Processes and Treatment Targets 2024-25, Underlying data</w:t>
      </w:r>
      <w:r>
        <w:t xml:space="preserve">. Leeds: NHS England. Available at: </w:t>
      </w:r>
      <w:hyperlink r:id="rId30" w:tgtFrame="_new" w:history="1">
        <w:r>
          <w:rPr>
            <w:rStyle w:val="Hyperlink"/>
          </w:rPr>
          <w:t>https://digital.nhs.uk/data-and-information/publications/statistical</w:t>
        </w:r>
        <w:r>
          <w:rPr>
            <w:rStyle w:val="Hyperlink"/>
          </w:rPr>
          <w:t>/national-diabetes-audit/report-1-cp-and-tt-data-release-2024-25/nda-report-1-cp-and-tt-data-release-2024-25</w:t>
        </w:r>
      </w:hyperlink>
      <w:r>
        <w:t xml:space="preserve"> (Accessed: 15 March 2026).</w:t>
      </w:r>
    </w:p>
    <w:p w:rsidR="00532CF5" w:rsidRDefault="004C175C">
      <w:pPr>
        <w:ind w:left="720" w:hanging="720"/>
      </w:pPr>
      <w:r>
        <w:t xml:space="preserve">NHS England (2026c) </w:t>
      </w:r>
      <w:r>
        <w:rPr>
          <w:i/>
          <w:iCs/>
        </w:rPr>
        <w:t>Performance report 24/25</w:t>
      </w:r>
      <w:r>
        <w:t xml:space="preserve">. Leeds: NHS England. Available at: </w:t>
      </w:r>
      <w:hyperlink r:id="rId31" w:tgtFrame="_new" w:history="1">
        <w:r>
          <w:rPr>
            <w:rStyle w:val="Hyperlink"/>
          </w:rPr>
          <w:t>https://www.england.nhs.uk/long-read/performance-report-24-25/</w:t>
        </w:r>
      </w:hyperlink>
      <w:r>
        <w:t xml:space="preserve"> (Accessed: 15 March 2026).</w:t>
      </w:r>
    </w:p>
    <w:p w:rsidR="00532CF5" w:rsidRDefault="004C175C">
      <w:pPr>
        <w:ind w:left="720" w:hanging="720"/>
      </w:pPr>
      <w:r>
        <w:t xml:space="preserve">Office for National Statistics (ONS) (2023) </w:t>
      </w:r>
      <w:r>
        <w:rPr>
          <w:i/>
          <w:iCs/>
        </w:rPr>
        <w:t>Unpaid care by age, sex and deprivation, England and Wales: Census 202</w:t>
      </w:r>
      <w:r>
        <w:rPr>
          <w:i/>
          <w:iCs/>
        </w:rPr>
        <w:t>1</w:t>
      </w:r>
      <w:r>
        <w:t xml:space="preserve">. Newport: ONS. Available at: </w:t>
      </w:r>
      <w:hyperlink r:id="rId32" w:tgtFrame="_new" w:history="1">
        <w:r>
          <w:rPr>
            <w:rStyle w:val="Hyperlink"/>
          </w:rPr>
          <w:t>https://www.ons.gov.uk/peoplepopulationandcommunity</w:t>
        </w:r>
        <w:r>
          <w:rPr>
            <w:rStyle w:val="Hyperlink"/>
          </w:rPr>
          <w:t>/healthandsocialcare/socialcare/articles/unpaidcarebyagesexanddeprivationenglandandwales/census2021</w:t>
        </w:r>
      </w:hyperlink>
      <w:r>
        <w:t xml:space="preserve"> (Accessed: 15 March 2026).</w:t>
      </w:r>
    </w:p>
    <w:p w:rsidR="00532CF5" w:rsidRDefault="004C175C">
      <w:pPr>
        <w:ind w:left="720" w:hanging="720"/>
      </w:pPr>
      <w:r>
        <w:t xml:space="preserve">Office for National Statistics (ONS) (2025) </w:t>
      </w:r>
      <w:r>
        <w:rPr>
          <w:i/>
          <w:iCs/>
        </w:rPr>
        <w:t>Gender pay gap in the UK: 2025</w:t>
      </w:r>
      <w:r>
        <w:t xml:space="preserve">. Newport: ONS. Available at: </w:t>
      </w:r>
      <w:hyperlink r:id="rId33" w:tgtFrame="_new" w:history="1">
        <w:r>
          <w:rPr>
            <w:rStyle w:val="Hyperlink"/>
          </w:rPr>
          <w:t>https://www.ons.gov.uk/employmentandlabourmarket/peopleinwork/earningsandworkinghours/bulletins/genderpaygapintheuk/2025</w:t>
        </w:r>
      </w:hyperlink>
      <w:r>
        <w:t xml:space="preserve"> </w:t>
      </w:r>
    </w:p>
    <w:p w:rsidR="00532CF5" w:rsidRDefault="004C175C">
      <w:pPr>
        <w:ind w:left="720" w:hanging="720"/>
      </w:pPr>
      <w:r>
        <w:t>Office fo</w:t>
      </w:r>
      <w:r>
        <w:t xml:space="preserve">r National Statistics (ONS) (2025a) </w:t>
      </w:r>
      <w:r>
        <w:rPr>
          <w:i/>
          <w:iCs/>
        </w:rPr>
        <w:t>Domestic abuse in England and Wales overview: November 2025</w:t>
      </w:r>
      <w:r>
        <w:t xml:space="preserve">. Newport: ONS. Available at: </w:t>
      </w:r>
      <w:hyperlink r:id="rId34" w:tgtFrame="_new" w:history="1">
        <w:r>
          <w:rPr>
            <w:rStyle w:val="Hyperlink"/>
          </w:rPr>
          <w:t>https://www.ons.gov.uk/peoplepopulationandcommunity/crimeandjustice/bulletins/domesticabuseinenglandandwalesoverview/november2025</w:t>
        </w:r>
      </w:hyperlink>
      <w:r>
        <w:t xml:space="preserve"> (Accessed: 15 March 2026).</w:t>
      </w:r>
    </w:p>
    <w:p w:rsidR="00532CF5" w:rsidRDefault="004C175C">
      <w:pPr>
        <w:ind w:left="720" w:hanging="720"/>
      </w:pPr>
      <w:r>
        <w:t xml:space="preserve">Tower Hamlets Council (2015) </w:t>
      </w:r>
      <w:r>
        <w:rPr>
          <w:i/>
          <w:iCs/>
        </w:rPr>
        <w:t>Type 2 diabetes: Joint Strategic Needs Assess</w:t>
      </w:r>
      <w:r>
        <w:rPr>
          <w:i/>
          <w:iCs/>
        </w:rPr>
        <w:t>ment factsheet</w:t>
      </w:r>
      <w:r>
        <w:t xml:space="preserve">. London: Tower Hamlets Council. Available at: </w:t>
      </w:r>
      <w:hyperlink r:id="rId35" w:tgtFrame="_new" w:history="1">
        <w:r>
          <w:rPr>
            <w:rStyle w:val="Hyperlink"/>
          </w:rPr>
          <w:t>https://www.towerhamlets.gov.uk/Documents/Public-Health/JSNA/Type_2_diabetes.pdf</w:t>
        </w:r>
      </w:hyperlink>
      <w:r>
        <w:t xml:space="preserve"> </w:t>
      </w:r>
    </w:p>
    <w:p w:rsidR="00532CF5" w:rsidRDefault="004C175C">
      <w:pPr>
        <w:ind w:left="720" w:hanging="720"/>
      </w:pPr>
      <w:r>
        <w:t xml:space="preserve">Tower Hamlets Council (2022) </w:t>
      </w:r>
      <w:r>
        <w:rPr>
          <w:i/>
          <w:iCs/>
        </w:rPr>
        <w:t>Tower Hamlets Annual Public Health Report 2022</w:t>
      </w:r>
      <w:r>
        <w:t xml:space="preserve">. London: Tower Hamlets Council. Available at: </w:t>
      </w:r>
      <w:hyperlink r:id="rId36" w:tgtFrame="_new" w:history="1">
        <w:r>
          <w:rPr>
            <w:rStyle w:val="Hyperlink"/>
          </w:rPr>
          <w:t>https://www.towe</w:t>
        </w:r>
        <w:r>
          <w:rPr>
            <w:rStyle w:val="Hyperlink"/>
          </w:rPr>
          <w:t>rhamlets.gov.uk/Documents/Public-Health/TowerHamletsPublicHealthReport2022.pdf</w:t>
        </w:r>
      </w:hyperlink>
      <w:r>
        <w:t xml:space="preserve"> (Accessed: 15 March 2026).</w:t>
      </w:r>
    </w:p>
    <w:p w:rsidR="00532CF5" w:rsidRDefault="004C175C">
      <w:pPr>
        <w:ind w:left="720" w:hanging="720"/>
      </w:pPr>
      <w:r>
        <w:t xml:space="preserve">Tower Hamlets Council (n.d.) </w:t>
      </w:r>
      <w:r>
        <w:rPr>
          <w:i/>
          <w:iCs/>
        </w:rPr>
        <w:t>Healthy communities</w:t>
      </w:r>
      <w:r>
        <w:t xml:space="preserve">. London: Tower Hamlets Council. Available at: </w:t>
      </w:r>
      <w:hyperlink r:id="rId37" w:tgtFrame="_new" w:history="1">
        <w:r>
          <w:rPr>
            <w:rStyle w:val="Hyperlink"/>
          </w:rPr>
          <w:t>https://www.towerhamlets.gov.uk/lgnl/health__social_care/public_health/Healthy-communities.aspx</w:t>
        </w:r>
      </w:hyperlink>
      <w:r>
        <w:t xml:space="preserve"> (Accessed: 15 March 2026).</w:t>
      </w:r>
    </w:p>
    <w:p w:rsidR="00532CF5" w:rsidRDefault="004C175C">
      <w:pPr>
        <w:ind w:left="720" w:hanging="720"/>
      </w:pPr>
      <w:r>
        <w:t xml:space="preserve">Tower Hamlets Together (2025) </w:t>
      </w:r>
      <w:r>
        <w:rPr>
          <w:i/>
          <w:iCs/>
        </w:rPr>
        <w:t>Community Health Check Programme</w:t>
      </w:r>
      <w:r>
        <w:t>.</w:t>
      </w:r>
      <w:r>
        <w:t xml:space="preserve"> London: Tower Hamlets Together. Available at: </w:t>
      </w:r>
      <w:hyperlink r:id="rId38" w:tgtFrame="_new" w:history="1">
        <w:r>
          <w:rPr>
            <w:rStyle w:val="Hyperlink"/>
          </w:rPr>
          <w:t>https://www.towerhamletstogether.com/community-health-check-programme</w:t>
        </w:r>
      </w:hyperlink>
      <w:r>
        <w:t xml:space="preserve"> </w:t>
      </w:r>
    </w:p>
    <w:p w:rsidR="00532CF5" w:rsidRDefault="004C175C">
      <w:pPr>
        <w:ind w:left="720" w:hanging="720"/>
      </w:pPr>
      <w:r>
        <w:t xml:space="preserve">Women’s Aid (2025) </w:t>
      </w:r>
      <w:r>
        <w:rPr>
          <w:i/>
          <w:iCs/>
        </w:rPr>
        <w:t>Annual Audit 2025</w:t>
      </w:r>
      <w:r>
        <w:t>. Bris</w:t>
      </w:r>
      <w:r>
        <w:t xml:space="preserve">tol: Women’s Aid. Available at: </w:t>
      </w:r>
      <w:hyperlink r:id="rId39" w:tgtFrame="_new" w:history="1">
        <w:r>
          <w:rPr>
            <w:rStyle w:val="Hyperlink"/>
          </w:rPr>
          <w:t>https://womensaid.org.uk/annual-audit-2025/</w:t>
        </w:r>
      </w:hyperlink>
      <w:r>
        <w:t xml:space="preserve"> (Accessed: 15 March 2026).</w:t>
      </w:r>
    </w:p>
    <w:p w:rsidR="00532CF5" w:rsidRDefault="004C175C">
      <w:pPr>
        <w:ind w:left="720" w:hanging="720"/>
      </w:pPr>
      <w:r>
        <w:t xml:space="preserve">Women’s Aid (2025a) </w:t>
      </w:r>
      <w:r>
        <w:rPr>
          <w:i/>
          <w:iCs/>
        </w:rPr>
        <w:t>About Women’s Aid research and data</w:t>
      </w:r>
      <w:r>
        <w:t>. Bristol: Women’s Aid. Avai</w:t>
      </w:r>
      <w:r>
        <w:t xml:space="preserve">lable at: </w:t>
      </w:r>
      <w:hyperlink r:id="rId40" w:tgtFrame="_new" w:history="1">
        <w:r>
          <w:rPr>
            <w:rStyle w:val="Hyperlink"/>
          </w:rPr>
          <w:t>https://womensaid.org.uk/what-we-do/research/about-womens-aid-research-and-data/</w:t>
        </w:r>
      </w:hyperlink>
      <w:r>
        <w:t xml:space="preserve"> (Accessed: 15 March 2026).</w:t>
      </w:r>
    </w:p>
    <w:p w:rsidR="00532CF5" w:rsidRDefault="004C175C">
      <w:pPr>
        <w:ind w:left="720" w:hanging="720"/>
      </w:pPr>
      <w:r>
        <w:t>World Health Organization (WHO)</w:t>
      </w:r>
      <w:r>
        <w:t xml:space="preserve"> (2024) </w:t>
      </w:r>
      <w:r>
        <w:rPr>
          <w:i/>
          <w:iCs/>
        </w:rPr>
        <w:t>Diabetes fact sheet</w:t>
      </w:r>
      <w:r>
        <w:t xml:space="preserve">. Geneva: WHO. Available at: </w:t>
      </w:r>
      <w:hyperlink r:id="rId41" w:tgtFrame="_new" w:history="1">
        <w:r>
          <w:rPr>
            <w:rStyle w:val="Hyperlink"/>
          </w:rPr>
          <w:t>https://www.who.int/news-room/fact-sheets/detail/diabetes</w:t>
        </w:r>
      </w:hyperlink>
      <w:r>
        <w:t xml:space="preserve"> </w:t>
      </w:r>
    </w:p>
    <w:p w:rsidR="00532CF5" w:rsidRDefault="00532CF5">
      <w:pPr>
        <w:spacing w:line="240" w:lineRule="auto"/>
        <w:ind w:left="720" w:hanging="720"/>
      </w:pPr>
    </w:p>
    <w:sectPr w:rsidR="00532CF5">
      <w:footerReference w:type="default" r:id="rId42"/>
      <w:pgSz w:w="12240" w:h="15840"/>
      <w:pgMar w:top="1152" w:right="1296" w:bottom="1008" w:left="1296"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C175C" w:rsidRDefault="004C175C">
      <w:pPr>
        <w:spacing w:after="0" w:line="240" w:lineRule="auto"/>
      </w:pPr>
      <w:r>
        <w:separator/>
      </w:r>
    </w:p>
  </w:endnote>
  <w:endnote w:type="continuationSeparator" w:id="0">
    <w:p w:rsidR="004C175C" w:rsidRDefault="004C1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Vrinda">
    <w:panose1 w:val="00000400000000000000"/>
    <w:charset w:val="01"/>
    <w:family w:val="roman"/>
    <w:notTrueType/>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32CF5" w:rsidRDefault="004C175C">
    <w:pPr>
      <w:pStyle w:val="Footer"/>
      <w:jc w:val="center"/>
    </w:pPr>
    <w:r>
      <w:fldChar w:fldCharType="begin"/>
    </w:r>
    <w:r>
      <w:instrText xml:space="preserve"> PAGE   \* MERGEFORMAT </w:instrText>
    </w:r>
    <w:r>
      <w:fldChar w:fldCharType="separate"/>
    </w:r>
    <w:r w:rsidR="008B1C5E">
      <w:rPr>
        <w:noProof/>
      </w:rPr>
      <w:t>1</w:t>
    </w:r>
    <w:r>
      <w:rPr>
        <w:noProof/>
      </w:rPr>
      <w:fldChar w:fldCharType="end"/>
    </w:r>
  </w:p>
  <w:p w:rsidR="00532CF5" w:rsidRDefault="00532C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C175C" w:rsidRDefault="004C175C">
      <w:pPr>
        <w:spacing w:after="0" w:line="240" w:lineRule="auto"/>
      </w:pPr>
      <w:r>
        <w:separator/>
      </w:r>
    </w:p>
  </w:footnote>
  <w:footnote w:type="continuationSeparator" w:id="0">
    <w:p w:rsidR="004C175C" w:rsidRDefault="004C175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multiLevelType w:val="singleLevel"/>
    <w:tmpl w:val="C310EC42"/>
    <w:lvl w:ilvl="0">
      <w:start w:val="1"/>
      <w:numFmt w:val="decimal"/>
      <w:lvlText w:val="%1."/>
      <w:lvlJc w:val="left"/>
      <w:pPr>
        <w:tabs>
          <w:tab w:val="left" w:pos="1800"/>
        </w:tabs>
        <w:ind w:left="1800" w:hanging="360"/>
      </w:pPr>
    </w:lvl>
  </w:abstractNum>
  <w:abstractNum w:abstractNumId="1">
    <w:nsid w:val="00000001"/>
    <w:multiLevelType w:val="singleLevel"/>
    <w:tmpl w:val="E4089024"/>
    <w:lvl w:ilvl="0">
      <w:start w:val="1"/>
      <w:numFmt w:val="decimal"/>
      <w:lvlText w:val="%1."/>
      <w:lvlJc w:val="left"/>
      <w:pPr>
        <w:tabs>
          <w:tab w:val="left" w:pos="1440"/>
        </w:tabs>
        <w:ind w:left="1440" w:hanging="360"/>
      </w:pPr>
    </w:lvl>
  </w:abstractNum>
  <w:abstractNum w:abstractNumId="2">
    <w:nsid w:val="00000002"/>
    <w:multiLevelType w:val="singleLevel"/>
    <w:tmpl w:val="FB12693A"/>
    <w:lvl w:ilvl="0">
      <w:start w:val="1"/>
      <w:numFmt w:val="decimal"/>
      <w:pStyle w:val="ListNumber3"/>
      <w:lvlText w:val="%1."/>
      <w:lvlJc w:val="left"/>
      <w:pPr>
        <w:tabs>
          <w:tab w:val="left" w:pos="1080"/>
        </w:tabs>
        <w:ind w:left="1080" w:hanging="360"/>
      </w:pPr>
    </w:lvl>
  </w:abstractNum>
  <w:abstractNum w:abstractNumId="3">
    <w:nsid w:val="00000003"/>
    <w:multiLevelType w:val="singleLevel"/>
    <w:tmpl w:val="38441652"/>
    <w:lvl w:ilvl="0">
      <w:start w:val="1"/>
      <w:numFmt w:val="decimal"/>
      <w:pStyle w:val="ListNumber2"/>
      <w:lvlText w:val="%1."/>
      <w:lvlJc w:val="left"/>
      <w:pPr>
        <w:tabs>
          <w:tab w:val="left" w:pos="720"/>
        </w:tabs>
        <w:ind w:left="720" w:hanging="360"/>
      </w:pPr>
    </w:lvl>
  </w:abstractNum>
  <w:abstractNum w:abstractNumId="4">
    <w:nsid w:val="00000004"/>
    <w:multiLevelType w:val="singleLevel"/>
    <w:tmpl w:val="171AC3A4"/>
    <w:lvl w:ilvl="0">
      <w:start w:val="1"/>
      <w:numFmt w:val="bullet"/>
      <w:lvlText w:val=""/>
      <w:lvlJc w:val="left"/>
      <w:pPr>
        <w:tabs>
          <w:tab w:val="left" w:pos="1440"/>
        </w:tabs>
        <w:ind w:left="1440" w:hanging="360"/>
      </w:pPr>
      <w:rPr>
        <w:rFonts w:ascii="Symbol" w:hAnsi="Symbol" w:hint="default"/>
      </w:rPr>
    </w:lvl>
  </w:abstractNum>
  <w:abstractNum w:abstractNumId="5">
    <w:nsid w:val="00000005"/>
    <w:multiLevelType w:val="singleLevel"/>
    <w:tmpl w:val="F3EAFDEC"/>
    <w:lvl w:ilvl="0">
      <w:start w:val="1"/>
      <w:numFmt w:val="bullet"/>
      <w:pStyle w:val="ListBullet3"/>
      <w:lvlText w:val=""/>
      <w:lvlJc w:val="left"/>
      <w:pPr>
        <w:tabs>
          <w:tab w:val="left" w:pos="1080"/>
        </w:tabs>
        <w:ind w:left="1080" w:hanging="360"/>
      </w:pPr>
      <w:rPr>
        <w:rFonts w:ascii="Symbol" w:hAnsi="Symbol" w:hint="default"/>
      </w:rPr>
    </w:lvl>
  </w:abstractNum>
  <w:abstractNum w:abstractNumId="6">
    <w:nsid w:val="00000006"/>
    <w:multiLevelType w:val="singleLevel"/>
    <w:tmpl w:val="3D1EFFD4"/>
    <w:lvl w:ilvl="0">
      <w:start w:val="1"/>
      <w:numFmt w:val="bullet"/>
      <w:pStyle w:val="ListBullet2"/>
      <w:lvlText w:val=""/>
      <w:lvlJc w:val="left"/>
      <w:pPr>
        <w:tabs>
          <w:tab w:val="left" w:pos="720"/>
        </w:tabs>
        <w:ind w:left="720" w:hanging="360"/>
      </w:pPr>
      <w:rPr>
        <w:rFonts w:ascii="Symbol" w:hAnsi="Symbol" w:hint="default"/>
      </w:rPr>
    </w:lvl>
  </w:abstractNum>
  <w:abstractNum w:abstractNumId="7">
    <w:nsid w:val="00000007"/>
    <w:multiLevelType w:val="singleLevel"/>
    <w:tmpl w:val="D0A62B40"/>
    <w:lvl w:ilvl="0">
      <w:start w:val="1"/>
      <w:numFmt w:val="decimal"/>
      <w:pStyle w:val="ListNumber"/>
      <w:lvlText w:val="%1."/>
      <w:lvlJc w:val="left"/>
      <w:pPr>
        <w:tabs>
          <w:tab w:val="left" w:pos="360"/>
        </w:tabs>
        <w:ind w:left="360" w:hanging="360"/>
      </w:pPr>
    </w:lvl>
  </w:abstractNum>
  <w:abstractNum w:abstractNumId="8">
    <w:nsid w:val="00000008"/>
    <w:multiLevelType w:val="singleLevel"/>
    <w:tmpl w:val="29761A62"/>
    <w:lvl w:ilvl="0">
      <w:start w:val="1"/>
      <w:numFmt w:val="bullet"/>
      <w:pStyle w:val="ListBullet"/>
      <w:lvlText w:val=""/>
      <w:lvlJc w:val="left"/>
      <w:pPr>
        <w:tabs>
          <w:tab w:val="left" w:pos="360"/>
        </w:tabs>
        <w:ind w:left="360" w:hanging="360"/>
      </w:pPr>
      <w:rPr>
        <w:rFonts w:ascii="Symbol" w:hAnsi="Symbol" w:hint="default"/>
      </w:rPr>
    </w:lvl>
  </w:abstractNum>
  <w:num w:numId="1">
    <w:abstractNumId w:val="8"/>
  </w:num>
  <w:num w:numId="2">
    <w:abstractNumId w:val="6"/>
  </w:num>
  <w:num w:numId="3">
    <w:abstractNumId w:val="5"/>
  </w:num>
  <w:num w:numId="4">
    <w:abstractNumId w:val="7"/>
  </w:num>
  <w:num w:numId="5">
    <w:abstractNumId w:val="3"/>
  </w:num>
  <w:num w:numId="6">
    <w:abstractNumId w:val="2"/>
  </w:num>
  <w:num w:numId="7">
    <w:abstractNumId w:val="4"/>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2CF5"/>
    <w:rsid w:val="004C175C"/>
    <w:rsid w:val="00532CF5"/>
    <w:rsid w:val="008B1C5E"/>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EE983E09-8762-4872-BFFE-DFA5000F5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mbria" w:eastAsia="MS Mincho" w:hAnsi="Cambria"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20" w:line="360" w:lineRule="auto"/>
    </w:pPr>
    <w:rPr>
      <w:rFonts w:ascii="Arial" w:eastAsia="Arial" w:hAnsi="Arial"/>
    </w:rPr>
  </w:style>
  <w:style w:type="paragraph" w:styleId="Heading1">
    <w:name w:val="heading 1"/>
    <w:basedOn w:val="Normal"/>
    <w:next w:val="Normal"/>
    <w:link w:val="Heading1Char"/>
    <w:uiPriority w:val="9"/>
    <w:qFormat/>
    <w:pPr>
      <w:keepNext/>
      <w:keepLines/>
      <w:spacing w:before="480" w:after="0"/>
      <w:outlineLvl w:val="0"/>
    </w:pPr>
    <w:rPr>
      <w:rFonts w:ascii="Calibri" w:eastAsia="MS Gothic" w:hAnsi="Calibri"/>
      <w:b/>
      <w:bCs/>
      <w:color w:val="18495F"/>
      <w:sz w:val="30"/>
      <w:szCs w:val="28"/>
    </w:rPr>
  </w:style>
  <w:style w:type="paragraph" w:styleId="Heading2">
    <w:name w:val="heading 2"/>
    <w:basedOn w:val="Normal"/>
    <w:next w:val="Normal"/>
    <w:link w:val="Heading2Char"/>
    <w:uiPriority w:val="9"/>
    <w:qFormat/>
    <w:pPr>
      <w:keepNext/>
      <w:keepLines/>
      <w:spacing w:before="200" w:after="0"/>
      <w:outlineLvl w:val="1"/>
    </w:pPr>
    <w:rPr>
      <w:rFonts w:ascii="Calibri" w:eastAsia="MS Gothic" w:hAnsi="Calibri"/>
      <w:b/>
      <w:bCs/>
      <w:color w:val="29627D"/>
      <w:sz w:val="25"/>
      <w:szCs w:val="26"/>
    </w:rPr>
  </w:style>
  <w:style w:type="paragraph" w:styleId="Heading3">
    <w:name w:val="heading 3"/>
    <w:basedOn w:val="Normal"/>
    <w:next w:val="Normal"/>
    <w:link w:val="Heading3Char"/>
    <w:uiPriority w:val="9"/>
    <w:qFormat/>
    <w:pPr>
      <w:keepNext/>
      <w:keepLines/>
      <w:spacing w:before="200" w:after="0"/>
      <w:outlineLvl w:val="2"/>
    </w:pPr>
    <w:rPr>
      <w:rFonts w:ascii="Calibri" w:eastAsia="MS Gothic" w:hAnsi="Calibri"/>
      <w:b/>
      <w:bCs/>
      <w:color w:val="29627D"/>
      <w:sz w:val="23"/>
    </w:rPr>
  </w:style>
  <w:style w:type="paragraph" w:styleId="Heading4">
    <w:name w:val="heading 4"/>
    <w:basedOn w:val="Normal"/>
    <w:next w:val="Normal"/>
    <w:link w:val="Heading4Char"/>
    <w:uiPriority w:val="9"/>
    <w:qFormat/>
    <w:pPr>
      <w:keepNext/>
      <w:keepLines/>
      <w:spacing w:before="200" w:after="0"/>
      <w:outlineLvl w:val="3"/>
    </w:pPr>
    <w:rPr>
      <w:rFonts w:ascii="Calibri" w:eastAsia="MS Gothic" w:hAnsi="Calibri"/>
      <w:b/>
      <w:bCs/>
      <w:i/>
      <w:iCs/>
      <w:color w:val="4F81BD"/>
    </w:rPr>
  </w:style>
  <w:style w:type="paragraph" w:styleId="Heading5">
    <w:name w:val="heading 5"/>
    <w:basedOn w:val="Normal"/>
    <w:next w:val="Normal"/>
    <w:link w:val="Heading5Char"/>
    <w:uiPriority w:val="9"/>
    <w:qFormat/>
    <w:pPr>
      <w:keepNext/>
      <w:keepLines/>
      <w:spacing w:before="200" w:after="0"/>
      <w:outlineLvl w:val="4"/>
    </w:pPr>
    <w:rPr>
      <w:rFonts w:ascii="Calibri" w:eastAsia="MS Gothic" w:hAnsi="Calibri"/>
      <w:color w:val="243F60"/>
    </w:rPr>
  </w:style>
  <w:style w:type="paragraph" w:styleId="Heading6">
    <w:name w:val="heading 6"/>
    <w:basedOn w:val="Normal"/>
    <w:next w:val="Normal"/>
    <w:link w:val="Heading6Char"/>
    <w:uiPriority w:val="9"/>
    <w:qFormat/>
    <w:pPr>
      <w:keepNext/>
      <w:keepLines/>
      <w:spacing w:before="200" w:after="0"/>
      <w:outlineLvl w:val="5"/>
    </w:pPr>
    <w:rPr>
      <w:rFonts w:ascii="Calibri" w:eastAsia="MS Gothic" w:hAnsi="Calibri"/>
      <w:i/>
      <w:iCs/>
      <w:color w:val="243F60"/>
    </w:rPr>
  </w:style>
  <w:style w:type="paragraph" w:styleId="Heading7">
    <w:name w:val="heading 7"/>
    <w:basedOn w:val="Normal"/>
    <w:next w:val="Normal"/>
    <w:link w:val="Heading7Char"/>
    <w:uiPriority w:val="9"/>
    <w:qFormat/>
    <w:pPr>
      <w:keepNext/>
      <w:keepLines/>
      <w:spacing w:before="200" w:after="0"/>
      <w:outlineLvl w:val="6"/>
    </w:pPr>
    <w:rPr>
      <w:rFonts w:ascii="Calibri" w:eastAsia="MS Gothic" w:hAnsi="Calibri"/>
      <w:i/>
      <w:iCs/>
      <w:color w:val="404040"/>
    </w:rPr>
  </w:style>
  <w:style w:type="paragraph" w:styleId="Heading8">
    <w:name w:val="heading 8"/>
    <w:basedOn w:val="Normal"/>
    <w:next w:val="Normal"/>
    <w:link w:val="Heading8Char"/>
    <w:uiPriority w:val="9"/>
    <w:qFormat/>
    <w:pPr>
      <w:keepNext/>
      <w:keepLines/>
      <w:spacing w:before="200" w:after="0"/>
      <w:outlineLvl w:val="7"/>
    </w:pPr>
    <w:rPr>
      <w:rFonts w:ascii="Calibri" w:eastAsia="MS Gothic" w:hAnsi="Calibri"/>
      <w:color w:val="4F81BD"/>
      <w:sz w:val="20"/>
      <w:szCs w:val="20"/>
    </w:rPr>
  </w:style>
  <w:style w:type="paragraph" w:styleId="Heading9">
    <w:name w:val="heading 9"/>
    <w:basedOn w:val="Normal"/>
    <w:next w:val="Normal"/>
    <w:link w:val="Heading9Char"/>
    <w:uiPriority w:val="9"/>
    <w:qFormat/>
    <w:pPr>
      <w:keepNext/>
      <w:keepLines/>
      <w:spacing w:before="200" w:after="0"/>
      <w:outlineLvl w:val="8"/>
    </w:pPr>
    <w:rPr>
      <w:rFonts w:ascii="Calibri" w:eastAsia="MS Gothic" w:hAnsi="Calibri"/>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Calibri" w:eastAsia="MS Gothic" w:hAnsi="Calibri" w:cs="SimSun"/>
      <w:b/>
      <w:bCs/>
      <w:color w:val="365F91"/>
      <w:sz w:val="28"/>
      <w:szCs w:val="28"/>
    </w:rPr>
  </w:style>
  <w:style w:type="character" w:customStyle="1" w:styleId="Heading2Char">
    <w:name w:val="Heading 2 Char"/>
    <w:basedOn w:val="DefaultParagraphFont"/>
    <w:link w:val="Heading2"/>
    <w:uiPriority w:val="9"/>
    <w:rPr>
      <w:rFonts w:ascii="Calibri" w:eastAsia="MS Gothic" w:hAnsi="Calibri" w:cs="SimSun"/>
      <w:b/>
      <w:bCs/>
      <w:color w:val="4F81BD"/>
      <w:sz w:val="26"/>
      <w:szCs w:val="26"/>
    </w:rPr>
  </w:style>
  <w:style w:type="character" w:customStyle="1" w:styleId="Heading3Char">
    <w:name w:val="Heading 3 Char"/>
    <w:basedOn w:val="DefaultParagraphFont"/>
    <w:link w:val="Heading3"/>
    <w:uiPriority w:val="9"/>
    <w:rPr>
      <w:rFonts w:ascii="Calibri" w:eastAsia="MS Gothic" w:hAnsi="Calibri" w:cs="SimSun"/>
      <w:b/>
      <w:bCs/>
      <w:color w:val="4F81BD"/>
    </w:rPr>
  </w:style>
  <w:style w:type="paragraph" w:styleId="Title">
    <w:name w:val="Title"/>
    <w:basedOn w:val="Normal"/>
    <w:next w:val="Normal"/>
    <w:link w:val="TitleChar"/>
    <w:uiPriority w:val="10"/>
    <w:qFormat/>
    <w:pPr>
      <w:pBdr>
        <w:bottom w:val="single" w:sz="8" w:space="4" w:color="4F81BD"/>
      </w:pBdr>
      <w:spacing w:after="300" w:line="240" w:lineRule="auto"/>
      <w:contextualSpacing/>
    </w:pPr>
    <w:rPr>
      <w:rFonts w:ascii="Calibri" w:eastAsia="MS Gothic" w:hAnsi="Calibri"/>
      <w:b/>
      <w:color w:val="18495F"/>
      <w:spacing w:val="5"/>
      <w:kern w:val="28"/>
      <w:sz w:val="40"/>
      <w:szCs w:val="52"/>
    </w:rPr>
  </w:style>
  <w:style w:type="character" w:customStyle="1" w:styleId="TitleChar">
    <w:name w:val="Title Char"/>
    <w:basedOn w:val="DefaultParagraphFont"/>
    <w:link w:val="Title"/>
    <w:uiPriority w:val="10"/>
    <w:rPr>
      <w:rFonts w:ascii="Calibri" w:eastAsia="MS Gothic" w:hAnsi="Calibri" w:cs="SimSun"/>
      <w:color w:val="17365D"/>
      <w:spacing w:val="5"/>
      <w:kern w:val="28"/>
      <w:sz w:val="52"/>
      <w:szCs w:val="52"/>
    </w:rPr>
  </w:style>
  <w:style w:type="paragraph" w:styleId="Subtitle">
    <w:name w:val="Subtitle"/>
    <w:basedOn w:val="Normal"/>
    <w:next w:val="Normal"/>
    <w:link w:val="SubtitleChar"/>
    <w:uiPriority w:val="11"/>
    <w:qFormat/>
    <w:pPr>
      <w:numPr>
        <w:ilvl w:val="1"/>
      </w:numPr>
    </w:pPr>
    <w:rPr>
      <w:rFonts w:ascii="Calibri" w:eastAsia="MS Gothic" w:hAnsi="Calibri"/>
      <w:i/>
      <w:iCs/>
      <w:color w:val="4F81BD"/>
      <w:spacing w:val="15"/>
      <w:sz w:val="24"/>
      <w:szCs w:val="24"/>
    </w:rPr>
  </w:style>
  <w:style w:type="character" w:customStyle="1" w:styleId="SubtitleChar">
    <w:name w:val="Subtitle Char"/>
    <w:basedOn w:val="DefaultParagraphFont"/>
    <w:link w:val="Subtitle"/>
    <w:uiPriority w:val="11"/>
    <w:rPr>
      <w:rFonts w:ascii="Calibri" w:eastAsia="MS Gothic" w:hAnsi="Calibri" w:cs="SimSun"/>
      <w:i/>
      <w:iCs/>
      <w:color w:val="4F81BD"/>
      <w:spacing w:val="15"/>
      <w:sz w:val="24"/>
      <w:szCs w:val="24"/>
    </w:rPr>
  </w:style>
  <w:style w:type="paragraph" w:styleId="ListParagraph">
    <w:name w:val="List Paragraph"/>
    <w:basedOn w:val="Normal"/>
    <w:uiPriority w:val="34"/>
    <w:qFormat/>
    <w:pPr>
      <w:ind w:left="720"/>
      <w:contextualSpacing/>
    </w:pPr>
  </w:style>
  <w:style w:type="paragraph" w:styleId="BodyText">
    <w:name w:val="Body Text"/>
    <w:basedOn w:val="Normal"/>
    <w:link w:val="BodyTextChar"/>
    <w:uiPriority w:val="99"/>
  </w:style>
  <w:style w:type="character" w:customStyle="1" w:styleId="BodyTextChar">
    <w:name w:val="Body Text Char"/>
    <w:basedOn w:val="DefaultParagraphFont"/>
    <w:link w:val="BodyText"/>
    <w:uiPriority w:val="99"/>
  </w:style>
  <w:style w:type="paragraph" w:styleId="BodyText2">
    <w:name w:val="Body Text 2"/>
    <w:basedOn w:val="Normal"/>
    <w:link w:val="BodyText2Char"/>
    <w:uiPriority w:val="99"/>
    <w:pPr>
      <w:spacing w:line="480" w:lineRule="auto"/>
    </w:pPr>
  </w:style>
  <w:style w:type="character" w:customStyle="1" w:styleId="BodyText2Char">
    <w:name w:val="Body Text 2 Char"/>
    <w:basedOn w:val="DefaultParagraphFont"/>
    <w:link w:val="BodyText2"/>
    <w:uiPriority w:val="99"/>
  </w:style>
  <w:style w:type="paragraph" w:styleId="BodyText3">
    <w:name w:val="Body Text 3"/>
    <w:basedOn w:val="Normal"/>
    <w:link w:val="BodyText3Char"/>
    <w:uiPriority w:val="99"/>
    <w:rPr>
      <w:sz w:val="16"/>
      <w:szCs w:val="16"/>
    </w:rPr>
  </w:style>
  <w:style w:type="character" w:customStyle="1" w:styleId="BodyText3Char">
    <w:name w:val="Body Text 3 Char"/>
    <w:basedOn w:val="DefaultParagraphFont"/>
    <w:link w:val="BodyText3"/>
    <w:uiPriority w:val="99"/>
    <w:rPr>
      <w:sz w:val="16"/>
      <w:szCs w:val="16"/>
    </w:rPr>
  </w:style>
  <w:style w:type="paragraph" w:styleId="List">
    <w:name w:val="List"/>
    <w:basedOn w:val="Normal"/>
    <w:uiPriority w:val="99"/>
    <w:pPr>
      <w:ind w:left="360" w:hanging="360"/>
      <w:contextualSpacing/>
    </w:pPr>
  </w:style>
  <w:style w:type="paragraph" w:styleId="List2">
    <w:name w:val="List 2"/>
    <w:basedOn w:val="Normal"/>
    <w:uiPriority w:val="99"/>
    <w:pPr>
      <w:ind w:left="720" w:hanging="360"/>
      <w:contextualSpacing/>
    </w:pPr>
  </w:style>
  <w:style w:type="paragraph" w:styleId="List3">
    <w:name w:val="List 3"/>
    <w:basedOn w:val="Normal"/>
    <w:uiPriority w:val="99"/>
    <w:pPr>
      <w:ind w:left="1080" w:hanging="360"/>
      <w:contextualSpacing/>
    </w:pPr>
  </w:style>
  <w:style w:type="paragraph" w:styleId="ListBullet">
    <w:name w:val="List Bullet"/>
    <w:basedOn w:val="Normal"/>
    <w:uiPriority w:val="99"/>
    <w:pPr>
      <w:numPr>
        <w:numId w:val="1"/>
      </w:numPr>
      <w:contextualSpacing/>
    </w:pPr>
  </w:style>
  <w:style w:type="paragraph" w:styleId="ListBullet2">
    <w:name w:val="List Bullet 2"/>
    <w:basedOn w:val="Normal"/>
    <w:uiPriority w:val="99"/>
    <w:pPr>
      <w:numPr>
        <w:numId w:val="2"/>
      </w:numPr>
      <w:contextualSpacing/>
    </w:pPr>
  </w:style>
  <w:style w:type="paragraph" w:styleId="ListBullet3">
    <w:name w:val="List Bullet 3"/>
    <w:basedOn w:val="Normal"/>
    <w:uiPriority w:val="99"/>
    <w:pPr>
      <w:numPr>
        <w:numId w:val="3"/>
      </w:numPr>
      <w:contextualSpacing/>
    </w:pPr>
  </w:style>
  <w:style w:type="paragraph" w:styleId="ListNumber">
    <w:name w:val="List Number"/>
    <w:basedOn w:val="Normal"/>
    <w:uiPriority w:val="99"/>
    <w:pPr>
      <w:numPr>
        <w:numId w:val="4"/>
      </w:numPr>
      <w:contextualSpacing/>
    </w:pPr>
  </w:style>
  <w:style w:type="paragraph" w:styleId="ListNumber2">
    <w:name w:val="List Number 2"/>
    <w:basedOn w:val="Normal"/>
    <w:uiPriority w:val="99"/>
    <w:pPr>
      <w:numPr>
        <w:numId w:val="5"/>
      </w:numPr>
      <w:contextualSpacing/>
    </w:pPr>
  </w:style>
  <w:style w:type="paragraph" w:styleId="ListNumber3">
    <w:name w:val="List Number 3"/>
    <w:basedOn w:val="Normal"/>
    <w:uiPriority w:val="99"/>
    <w:pPr>
      <w:numPr>
        <w:numId w:val="6"/>
      </w:numPr>
      <w:contextualSpacing/>
    </w:pPr>
  </w:style>
  <w:style w:type="paragraph" w:styleId="ListContinue">
    <w:name w:val="List Continue"/>
    <w:basedOn w:val="Normal"/>
    <w:uiPriority w:val="99"/>
    <w:pPr>
      <w:ind w:left="360"/>
      <w:contextualSpacing/>
    </w:pPr>
  </w:style>
  <w:style w:type="paragraph" w:styleId="ListContinue2">
    <w:name w:val="List Continue 2"/>
    <w:basedOn w:val="Normal"/>
    <w:uiPriority w:val="99"/>
    <w:pPr>
      <w:ind w:left="720"/>
      <w:contextualSpacing/>
    </w:pPr>
  </w:style>
  <w:style w:type="paragraph" w:styleId="ListContinue3">
    <w:name w:val="List Continue 3"/>
    <w:basedOn w:val="Normal"/>
    <w:uiPriority w:val="99"/>
    <w:pPr>
      <w:ind w:left="1080"/>
      <w:contextualSpacing/>
    </w:pPr>
  </w:style>
  <w:style w:type="paragraph" w:styleId="MacroText">
    <w:name w:val="macro"/>
    <w:link w:val="MacroTextChar"/>
    <w:uiPriority w:val="99"/>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Pr>
      <w:rFonts w:ascii="Courier" w:hAnsi="Courier"/>
      <w:sz w:val="20"/>
      <w:szCs w:val="20"/>
    </w:rPr>
  </w:style>
  <w:style w:type="paragraph" w:styleId="Quote">
    <w:name w:val="Quote"/>
    <w:basedOn w:val="Normal"/>
    <w:next w:val="Normal"/>
    <w:link w:val="QuoteChar"/>
    <w:uiPriority w:val="29"/>
    <w:qFormat/>
    <w:rPr>
      <w:i/>
      <w:iCs/>
      <w:color w:val="000000"/>
    </w:rPr>
  </w:style>
  <w:style w:type="character" w:customStyle="1" w:styleId="QuoteChar">
    <w:name w:val="Quote Char"/>
    <w:basedOn w:val="DefaultParagraphFont"/>
    <w:link w:val="Quote"/>
    <w:uiPriority w:val="29"/>
    <w:rPr>
      <w:i/>
      <w:iCs/>
      <w:color w:val="000000"/>
    </w:rPr>
  </w:style>
  <w:style w:type="character" w:customStyle="1" w:styleId="Heading4Char">
    <w:name w:val="Heading 4 Char"/>
    <w:basedOn w:val="DefaultParagraphFont"/>
    <w:link w:val="Heading4"/>
    <w:uiPriority w:val="9"/>
    <w:rPr>
      <w:rFonts w:ascii="Calibri" w:eastAsia="MS Gothic" w:hAnsi="Calibri" w:cs="SimSun"/>
      <w:b/>
      <w:bCs/>
      <w:i/>
      <w:iCs/>
      <w:color w:val="4F81BD"/>
    </w:rPr>
  </w:style>
  <w:style w:type="character" w:customStyle="1" w:styleId="Heading5Char">
    <w:name w:val="Heading 5 Char"/>
    <w:basedOn w:val="DefaultParagraphFont"/>
    <w:link w:val="Heading5"/>
    <w:uiPriority w:val="9"/>
    <w:rPr>
      <w:rFonts w:ascii="Calibri" w:eastAsia="MS Gothic" w:hAnsi="Calibri" w:cs="SimSun"/>
      <w:color w:val="243F60"/>
    </w:rPr>
  </w:style>
  <w:style w:type="character" w:customStyle="1" w:styleId="Heading6Char">
    <w:name w:val="Heading 6 Char"/>
    <w:basedOn w:val="DefaultParagraphFont"/>
    <w:link w:val="Heading6"/>
    <w:uiPriority w:val="9"/>
    <w:rPr>
      <w:rFonts w:ascii="Calibri" w:eastAsia="MS Gothic" w:hAnsi="Calibri" w:cs="SimSun"/>
      <w:i/>
      <w:iCs/>
      <w:color w:val="243F60"/>
    </w:rPr>
  </w:style>
  <w:style w:type="character" w:customStyle="1" w:styleId="Heading7Char">
    <w:name w:val="Heading 7 Char"/>
    <w:basedOn w:val="DefaultParagraphFont"/>
    <w:link w:val="Heading7"/>
    <w:uiPriority w:val="9"/>
    <w:rPr>
      <w:rFonts w:ascii="Calibri" w:eastAsia="MS Gothic" w:hAnsi="Calibri" w:cs="SimSun"/>
      <w:i/>
      <w:iCs/>
      <w:color w:val="404040"/>
    </w:rPr>
  </w:style>
  <w:style w:type="character" w:customStyle="1" w:styleId="Heading8Char">
    <w:name w:val="Heading 8 Char"/>
    <w:basedOn w:val="DefaultParagraphFont"/>
    <w:link w:val="Heading8"/>
    <w:uiPriority w:val="9"/>
    <w:rPr>
      <w:rFonts w:ascii="Calibri" w:eastAsia="MS Gothic" w:hAnsi="Calibri" w:cs="SimSun"/>
      <w:color w:val="4F81BD"/>
      <w:sz w:val="20"/>
      <w:szCs w:val="20"/>
    </w:rPr>
  </w:style>
  <w:style w:type="character" w:customStyle="1" w:styleId="Heading9Char">
    <w:name w:val="Heading 9 Char"/>
    <w:basedOn w:val="DefaultParagraphFont"/>
    <w:link w:val="Heading9"/>
    <w:uiPriority w:val="9"/>
    <w:rPr>
      <w:rFonts w:ascii="Calibri" w:eastAsia="MS Gothic" w:hAnsi="Calibri" w:cs="SimSun"/>
      <w:i/>
      <w:iCs/>
      <w:color w:val="404040"/>
      <w:sz w:val="20"/>
      <w:szCs w:val="20"/>
    </w:rPr>
  </w:style>
  <w:style w:type="paragraph" w:styleId="Caption">
    <w:name w:val="caption"/>
    <w:basedOn w:val="Normal"/>
    <w:next w:val="Normal"/>
    <w:uiPriority w:val="35"/>
    <w:qFormat/>
    <w:pPr>
      <w:spacing w:line="240" w:lineRule="auto"/>
    </w:pPr>
    <w:rPr>
      <w:b/>
      <w:bCs/>
      <w:color w:val="4F81BD"/>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paragraph" w:styleId="IntenseQuote">
    <w:name w:val="Intense Quote"/>
    <w:basedOn w:val="Normal"/>
    <w:next w:val="Normal"/>
    <w:link w:val="IntenseQuoteChar"/>
    <w:uiPriority w:val="30"/>
    <w:qFormat/>
    <w:pPr>
      <w:pBdr>
        <w:bottom w:val="single" w:sz="4" w:space="4" w:color="4F81BD"/>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Pr>
      <w:b/>
      <w:bCs/>
      <w:i/>
      <w:iCs/>
      <w:color w:val="4F81BD"/>
    </w:rPr>
  </w:style>
  <w:style w:type="character" w:styleId="SubtleEmphasis">
    <w:name w:val="Subtle Emphasis"/>
    <w:basedOn w:val="DefaultParagraphFont"/>
    <w:uiPriority w:val="19"/>
    <w:qFormat/>
    <w:rPr>
      <w:i/>
      <w:iCs/>
      <w:color w:val="808080"/>
    </w:rPr>
  </w:style>
  <w:style w:type="character" w:styleId="IntenseEmphasis">
    <w:name w:val="Intense Emphasis"/>
    <w:basedOn w:val="DefaultParagraphFont"/>
    <w:uiPriority w:val="21"/>
    <w:qFormat/>
    <w:rPr>
      <w:b/>
      <w:bCs/>
      <w:i/>
      <w:iCs/>
      <w:color w:val="4F81BD"/>
    </w:rPr>
  </w:style>
  <w:style w:type="character" w:styleId="SubtleReference">
    <w:name w:val="Subtle Reference"/>
    <w:basedOn w:val="DefaultParagraphFont"/>
    <w:uiPriority w:val="31"/>
    <w:qFormat/>
    <w:rPr>
      <w:smallCaps/>
      <w:color w:val="C0504D"/>
      <w:u w:val="single"/>
    </w:rPr>
  </w:style>
  <w:style w:type="character" w:styleId="IntenseReference">
    <w:name w:val="Intense Reference"/>
    <w:basedOn w:val="DefaultParagraphFont"/>
    <w:uiPriority w:val="32"/>
    <w:qFormat/>
    <w:rPr>
      <w:b/>
      <w:bCs/>
      <w:smallCaps/>
      <w:color w:val="C0504D"/>
      <w:spacing w:val="5"/>
      <w:u w:val="single"/>
    </w:rPr>
  </w:style>
  <w:style w:type="character" w:styleId="BookTitle">
    <w:name w:val="Book Title"/>
    <w:basedOn w:val="DefaultParagraphFont"/>
    <w:uiPriority w:val="33"/>
    <w:qFormat/>
    <w:rPr>
      <w:b/>
      <w:bCs/>
      <w:smallCaps/>
      <w:spacing w:val="5"/>
    </w:rPr>
  </w:style>
  <w:style w:type="paragraph" w:styleId="TOCHeading">
    <w:name w:val="TOC Heading"/>
    <w:basedOn w:val="Heading1"/>
    <w:next w:val="Normal"/>
    <w:uiPriority w:val="39"/>
    <w:qFormat/>
    <w:pPr>
      <w:outlineLvl w:val="9"/>
    </w:pPr>
  </w:style>
  <w:style w:type="table" w:styleId="TableGrid">
    <w:name w:val="Table Grid"/>
    <w:basedOn w:val="TableNormal"/>
    <w:uiPriority w:val="5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pPr>
      <w:spacing w:after="0" w:line="240" w:lineRule="auto"/>
    </w:pPr>
    <w:rPr>
      <w:color w:val="000000"/>
    </w:rPr>
    <w:tblPr>
      <w:tblStyleRowBandSize w:val="1"/>
      <w:tblStyleColBandSize w:val="1"/>
      <w:tblInd w:w="0" w:type="dxa"/>
      <w:tblBorders>
        <w:top w:val="single" w:sz="8" w:space="0" w:color="000000"/>
        <w:bottom w:val="single" w:sz="8" w:space="0" w:color="000000"/>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Accent1">
    <w:name w:val="Light Shading Accent 1"/>
    <w:basedOn w:val="TableNormal"/>
    <w:uiPriority w:val="60"/>
    <w:pPr>
      <w:spacing w:after="0" w:line="240" w:lineRule="auto"/>
    </w:pPr>
    <w:rPr>
      <w:color w:val="365F91"/>
    </w:rPr>
    <w:tblPr>
      <w:tblStyleRowBandSize w:val="1"/>
      <w:tblStyleColBandSize w:val="1"/>
      <w:tblInd w:w="0" w:type="dxa"/>
      <w:tblBorders>
        <w:top w:val="single" w:sz="8" w:space="0" w:color="4F81BD"/>
        <w:bottom w:val="single" w:sz="8" w:space="0" w:color="4F81BD"/>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cPr>
    </w:tblStylePr>
    <w:tblStylePr w:type="band1Horz">
      <w:tblPr/>
      <w:tcPr>
        <w:tcBorders>
          <w:left w:val="nil"/>
          <w:right w:val="nil"/>
          <w:insideH w:val="nil"/>
          <w:insideV w:val="nil"/>
        </w:tcBorders>
        <w:shd w:val="clear" w:color="auto" w:fill="D3DFEE"/>
      </w:tcPr>
    </w:tblStylePr>
  </w:style>
  <w:style w:type="table" w:styleId="LightShading-Accent2">
    <w:name w:val="Light Shading Accent 2"/>
    <w:basedOn w:val="TableNormal"/>
    <w:uiPriority w:val="60"/>
    <w:pPr>
      <w:spacing w:after="0" w:line="240" w:lineRule="auto"/>
    </w:pPr>
    <w:rPr>
      <w:color w:val="943634"/>
    </w:rPr>
    <w:tblPr>
      <w:tblStyleRowBandSize w:val="1"/>
      <w:tblStyleColBandSize w:val="1"/>
      <w:tblInd w:w="0" w:type="dxa"/>
      <w:tblBorders>
        <w:top w:val="single" w:sz="8" w:space="0" w:color="C0504D"/>
        <w:bottom w:val="single" w:sz="8" w:space="0" w:color="C0504D"/>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la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cPr>
    </w:tblStylePr>
    <w:tblStylePr w:type="band1Horz">
      <w:tblPr/>
      <w:tcPr>
        <w:tcBorders>
          <w:left w:val="nil"/>
          <w:right w:val="nil"/>
          <w:insideH w:val="nil"/>
          <w:insideV w:val="nil"/>
        </w:tcBorders>
        <w:shd w:val="clear" w:color="auto" w:fill="EFD3D2"/>
      </w:tcPr>
    </w:tblStylePr>
  </w:style>
  <w:style w:type="table" w:styleId="LightShading-Accent3">
    <w:name w:val="Light Shading Accent 3"/>
    <w:basedOn w:val="TableNormal"/>
    <w:uiPriority w:val="60"/>
    <w:pPr>
      <w:spacing w:after="0" w:line="240" w:lineRule="auto"/>
    </w:pPr>
    <w:rPr>
      <w:color w:val="76923C"/>
    </w:rPr>
    <w:tblPr>
      <w:tblStyleRowBandSize w:val="1"/>
      <w:tblStyleColBandSize w:val="1"/>
      <w:tblInd w:w="0" w:type="dxa"/>
      <w:tblBorders>
        <w:top w:val="single" w:sz="8" w:space="0" w:color="9BBB59"/>
        <w:bottom w:val="single" w:sz="8" w:space="0" w:color="9BBB59"/>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la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cPr>
    </w:tblStylePr>
    <w:tblStylePr w:type="band1Horz">
      <w:tblPr/>
      <w:tcPr>
        <w:tcBorders>
          <w:left w:val="nil"/>
          <w:right w:val="nil"/>
          <w:insideH w:val="nil"/>
          <w:insideV w:val="nil"/>
        </w:tcBorders>
        <w:shd w:val="clear" w:color="auto" w:fill="E6EED5"/>
      </w:tcPr>
    </w:tblStylePr>
  </w:style>
  <w:style w:type="table" w:styleId="LightShading-Accent4">
    <w:name w:val="Light Shading Accent 4"/>
    <w:basedOn w:val="TableNormal"/>
    <w:uiPriority w:val="60"/>
    <w:pPr>
      <w:spacing w:after="0" w:line="240" w:lineRule="auto"/>
    </w:pPr>
    <w:rPr>
      <w:color w:val="5F497A"/>
    </w:rPr>
    <w:tblPr>
      <w:tblStyleRowBandSize w:val="1"/>
      <w:tblStyleColBandSize w:val="1"/>
      <w:tblInd w:w="0" w:type="dxa"/>
      <w:tblBorders>
        <w:top w:val="single" w:sz="8" w:space="0" w:color="8064A2"/>
        <w:bottom w:val="single" w:sz="8" w:space="0" w:color="8064A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la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cPr>
    </w:tblStylePr>
    <w:tblStylePr w:type="band1Horz">
      <w:tblPr/>
      <w:tcPr>
        <w:tcBorders>
          <w:left w:val="nil"/>
          <w:right w:val="nil"/>
          <w:insideH w:val="nil"/>
          <w:insideV w:val="nil"/>
        </w:tcBorders>
        <w:shd w:val="clear" w:color="auto" w:fill="DFD8E8"/>
      </w:tcPr>
    </w:tblStylePr>
  </w:style>
  <w:style w:type="table" w:styleId="LightShading-Accent5">
    <w:name w:val="Light Shading Accent 5"/>
    <w:basedOn w:val="TableNormal"/>
    <w:uiPriority w:val="60"/>
    <w:pPr>
      <w:spacing w:after="0" w:line="240" w:lineRule="auto"/>
    </w:pPr>
    <w:rPr>
      <w:color w:val="31849B"/>
    </w:rPr>
    <w:tblPr>
      <w:tblStyleRowBandSize w:val="1"/>
      <w:tblStyleColBandSize w:val="1"/>
      <w:tblInd w:w="0" w:type="dxa"/>
      <w:tblBorders>
        <w:top w:val="single" w:sz="8" w:space="0" w:color="4BACC6"/>
        <w:bottom w:val="single" w:sz="8" w:space="0" w:color="4BACC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LightShading-Accent6">
    <w:name w:val="Light Shading Accent 6"/>
    <w:basedOn w:val="TableNormal"/>
    <w:uiPriority w:val="60"/>
    <w:pPr>
      <w:spacing w:after="0" w:line="240" w:lineRule="auto"/>
    </w:pPr>
    <w:rPr>
      <w:color w:val="E36C0A"/>
    </w:rPr>
    <w:tblPr>
      <w:tblStyleRowBandSize w:val="1"/>
      <w:tblStyleColBandSize w:val="1"/>
      <w:tblInd w:w="0" w:type="dxa"/>
      <w:tblBorders>
        <w:top w:val="single" w:sz="8" w:space="0" w:color="F79646"/>
        <w:bottom w:val="single" w:sz="8" w:space="0" w:color="F7964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la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cPr>
    </w:tblStylePr>
    <w:tblStylePr w:type="band1Horz">
      <w:tblPr/>
      <w:tcPr>
        <w:tcBorders>
          <w:left w:val="nil"/>
          <w:right w:val="nil"/>
          <w:insideH w:val="nil"/>
          <w:insideV w:val="nil"/>
        </w:tcBorders>
        <w:shd w:val="clear" w:color="auto" w:fill="FDE4D0"/>
      </w:tcPr>
    </w:tblStylePr>
  </w:style>
  <w:style w:type="table" w:styleId="LightList">
    <w:name w:val="Light List"/>
    <w:basedOn w:val="TableNormal"/>
    <w:uiPriority w:val="61"/>
    <w:pPr>
      <w:spacing w:after="0" w:line="240" w:lineRule="auto"/>
    </w:pPr>
    <w:tblPr>
      <w:tblStyleRowBandSize w:val="1"/>
      <w:tblStyleColBandSize w:val="1"/>
      <w:tblInd w:w="0" w:type="dxa"/>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pPr>
      <w:spacing w:after="0" w:line="240" w:lineRule="auto"/>
    </w:pPr>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pPr>
      <w:spacing w:after="0" w:line="240" w:lineRule="auto"/>
    </w:pPr>
    <w:tblPr>
      <w:tblStyleRowBandSize w:val="1"/>
      <w:tblStyleColBandSize w:val="1"/>
      <w:tblInd w:w="0" w:type="dxa"/>
      <w:tblBorders>
        <w:top w:val="single" w:sz="8" w:space="0" w:color="C0504D"/>
        <w:left w:val="single" w:sz="8" w:space="0" w:color="C0504D"/>
        <w:bottom w:val="single" w:sz="8" w:space="0" w:color="C0504D"/>
        <w:right w:val="single" w:sz="8" w:space="0" w:color="C0504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pPr>
      <w:spacing w:after="0" w:line="240" w:lineRule="auto"/>
    </w:p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pPr>
      <w:spacing w:after="0" w:line="240" w:lineRule="auto"/>
    </w:pPr>
    <w:tblPr>
      <w:tblStyleRowBandSize w:val="1"/>
      <w:tblStyleColBandSize w:val="1"/>
      <w:tblInd w:w="0" w:type="dxa"/>
      <w:tblBorders>
        <w:top w:val="single" w:sz="8" w:space="0" w:color="8064A2"/>
        <w:left w:val="single" w:sz="8" w:space="0" w:color="8064A2"/>
        <w:bottom w:val="single" w:sz="8" w:space="0" w:color="8064A2"/>
        <w:right w:val="single" w:sz="8" w:space="0" w:color="8064A2"/>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pPr>
      <w:spacing w:after="0" w:line="240" w:lineRule="auto"/>
    </w:pPr>
    <w:tblPr>
      <w:tblStyleRowBandSize w:val="1"/>
      <w:tblStyleColBandSize w:val="1"/>
      <w:tblInd w:w="0" w:type="dxa"/>
      <w:tblBorders>
        <w:top w:val="single" w:sz="8" w:space="0" w:color="4BACC6"/>
        <w:left w:val="single" w:sz="8" w:space="0" w:color="4BACC6"/>
        <w:bottom w:val="single" w:sz="8" w:space="0" w:color="4BACC6"/>
        <w:right w:val="single" w:sz="8" w:space="0" w:color="4BACC6"/>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pPr>
      <w:spacing w:after="0" w:line="240" w:lineRule="auto"/>
    </w:pPr>
    <w:tblPr>
      <w:tblStyleRowBandSize w:val="1"/>
      <w:tblStyleColBandSize w:val="1"/>
      <w:tblInd w:w="0" w:type="dxa"/>
      <w:tblBorders>
        <w:top w:val="single" w:sz="8" w:space="0" w:color="F79646"/>
        <w:left w:val="single" w:sz="8" w:space="0" w:color="F79646"/>
        <w:bottom w:val="single" w:sz="8" w:space="0" w:color="F79646"/>
        <w:right w:val="single" w:sz="8" w:space="0" w:color="F79646"/>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pPr>
      <w:spacing w:after="0" w:line="240" w:lineRule="auto"/>
    </w:pPr>
    <w:tblPr>
      <w:tblStyleRowBandSize w:val="1"/>
      <w:tblStyleColBandSize w:val="1"/>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blStylePr w:type="firstRow">
      <w:pPr>
        <w:spacing w:before="0" w:after="0" w:line="240" w:lineRule="auto"/>
      </w:pPr>
      <w:rPr>
        <w:rFonts w:ascii="Calibri" w:eastAsia="MS Gothic" w:hAnsi="Calibri" w:cs="SimSun"/>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libri" w:eastAsia="MS Gothic" w:hAnsi="Calibri" w:cs="SimSun"/>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styleId="LightGrid-Accent1">
    <w:name w:val="Light Grid Accent 1"/>
    <w:basedOn w:val="TableNormal"/>
    <w:uiPriority w:val="62"/>
    <w:pPr>
      <w:spacing w:after="0" w:line="240" w:lineRule="auto"/>
    </w:pPr>
    <w:tblPr>
      <w:tblStyleRowBandSize w:val="1"/>
      <w:tblStyleColBandSize w:val="1"/>
      <w:tblInd w:w="0"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CellMar>
        <w:top w:w="0" w:type="dxa"/>
        <w:left w:w="108" w:type="dxa"/>
        <w:bottom w:w="0" w:type="dxa"/>
        <w:right w:w="108" w:type="dxa"/>
      </w:tblCellMar>
    </w:tblPr>
    <w:tblStylePr w:type="firstRow">
      <w:pPr>
        <w:spacing w:before="0" w:after="0" w:line="240" w:lineRule="auto"/>
      </w:pPr>
      <w:rPr>
        <w:rFonts w:ascii="Calibri" w:eastAsia="MS Gothic" w:hAnsi="Calibri" w:cs="SimSu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libri" w:eastAsia="MS Gothic" w:hAnsi="Calibri" w:cs="SimSu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table" w:styleId="LightGrid-Accent2">
    <w:name w:val="Light Grid Accent 2"/>
    <w:basedOn w:val="TableNormal"/>
    <w:uiPriority w:val="62"/>
    <w:pPr>
      <w:spacing w:after="0" w:line="240" w:lineRule="auto"/>
    </w:pPr>
    <w:tblPr>
      <w:tblStyleRowBandSize w:val="1"/>
      <w:tblStyleColBandSize w:val="1"/>
      <w:tblInd w:w="0" w:type="dxa"/>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CellMar>
        <w:top w:w="0" w:type="dxa"/>
        <w:left w:w="108" w:type="dxa"/>
        <w:bottom w:w="0" w:type="dxa"/>
        <w:right w:w="108" w:type="dxa"/>
      </w:tblCellMar>
    </w:tblPr>
    <w:tblStylePr w:type="firstRow">
      <w:pPr>
        <w:spacing w:before="0" w:after="0" w:line="240" w:lineRule="auto"/>
      </w:pPr>
      <w:rPr>
        <w:rFonts w:ascii="Calibri" w:eastAsia="MS Gothic" w:hAnsi="Calibri" w:cs="SimSun"/>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240" w:lineRule="auto"/>
      </w:pPr>
      <w:rPr>
        <w:rFonts w:ascii="Calibri" w:eastAsia="MS Gothic" w:hAnsi="Calibri" w:cs="SimSun"/>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C0504D"/>
        </w:tcBorders>
      </w:tcPr>
    </w:tblStylePr>
  </w:style>
  <w:style w:type="table" w:styleId="LightGrid-Accent3">
    <w:name w:val="Light Grid Accent 3"/>
    <w:basedOn w:val="TableNormal"/>
    <w:uiPriority w:val="62"/>
    <w:pPr>
      <w:spacing w:after="0" w:line="240" w:lineRule="auto"/>
    </w:pPr>
    <w:tblPr>
      <w:tblStyleRowBandSize w:val="1"/>
      <w:tblStyleColBandSize w:val="1"/>
      <w:tblInd w:w="0"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CellMar>
        <w:top w:w="0" w:type="dxa"/>
        <w:left w:w="108" w:type="dxa"/>
        <w:bottom w:w="0" w:type="dxa"/>
        <w:right w:w="108" w:type="dxa"/>
      </w:tblCellMar>
    </w:tblPr>
    <w:tblStylePr w:type="firstRow">
      <w:pPr>
        <w:spacing w:before="0" w:after="0" w:line="240" w:lineRule="auto"/>
      </w:pPr>
      <w:rPr>
        <w:rFonts w:ascii="Calibri" w:eastAsia="MS Gothic" w:hAnsi="Calibri" w:cs="SimSun"/>
        <w:b/>
        <w:bCs/>
      </w:rPr>
      <w:tblPr/>
      <w:tcPr>
        <w:tcBorders>
          <w:top w:val="single" w:sz="8" w:space="0" w:color="9BBB59"/>
          <w:left w:val="single" w:sz="8" w:space="0" w:color="9BBB59"/>
          <w:bottom w:val="single" w:sz="18" w:space="0" w:color="9BBB59"/>
          <w:right w:val="single" w:sz="8" w:space="0" w:color="9BBB59"/>
          <w:insideH w:val="nil"/>
          <w:insideV w:val="single" w:sz="8" w:space="0" w:color="9BBB59"/>
        </w:tcBorders>
      </w:tcPr>
    </w:tblStylePr>
    <w:tblStylePr w:type="lastRow">
      <w:pPr>
        <w:spacing w:before="0" w:after="0" w:line="240" w:lineRule="auto"/>
      </w:pPr>
      <w:rPr>
        <w:rFonts w:ascii="Calibri" w:eastAsia="MS Gothic" w:hAnsi="Calibri" w:cs="SimSun"/>
        <w:b/>
        <w:bCs/>
      </w:rPr>
      <w:tblPr/>
      <w:tcPr>
        <w:tcBorders>
          <w:top w:val="double" w:sz="6" w:space="0" w:color="9BBB59"/>
          <w:left w:val="single" w:sz="8" w:space="0" w:color="9BBB59"/>
          <w:bottom w:val="single" w:sz="8" w:space="0" w:color="9BBB59"/>
          <w:right w:val="single" w:sz="8" w:space="0" w:color="9BBB59"/>
          <w:insideH w:val="nil"/>
          <w:insideV w:val="single" w:sz="8" w:space="0" w:color="9BBB59"/>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9BBB59"/>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9BBB59"/>
        </w:tcBorders>
      </w:tcPr>
    </w:tblStylePr>
  </w:style>
  <w:style w:type="table" w:styleId="LightGrid-Accent4">
    <w:name w:val="Light Grid Accent 4"/>
    <w:basedOn w:val="TableNormal"/>
    <w:uiPriority w:val="62"/>
    <w:pPr>
      <w:spacing w:after="0" w:line="240" w:lineRule="auto"/>
    </w:pPr>
    <w:tblPr>
      <w:tblStyleRowBandSize w:val="1"/>
      <w:tblStyleColBandSize w:val="1"/>
      <w:tblInd w:w="0" w:type="dxa"/>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CellMar>
        <w:top w:w="0" w:type="dxa"/>
        <w:left w:w="108" w:type="dxa"/>
        <w:bottom w:w="0" w:type="dxa"/>
        <w:right w:w="108" w:type="dxa"/>
      </w:tblCellMar>
    </w:tblPr>
    <w:tblStylePr w:type="firstRow">
      <w:pPr>
        <w:spacing w:before="0" w:after="0" w:line="240" w:lineRule="auto"/>
      </w:pPr>
      <w:rPr>
        <w:rFonts w:ascii="Calibri" w:eastAsia="MS Gothic" w:hAnsi="Calibri" w:cs="SimSun"/>
        <w:b/>
        <w:bCs/>
      </w:rPr>
      <w:tblPr/>
      <w:tcPr>
        <w:tcBorders>
          <w:top w:val="single" w:sz="8" w:space="0" w:color="8064A2"/>
          <w:left w:val="single" w:sz="8" w:space="0" w:color="8064A2"/>
          <w:bottom w:val="single" w:sz="18" w:space="0" w:color="8064A2"/>
          <w:right w:val="single" w:sz="8" w:space="0" w:color="8064A2"/>
          <w:insideH w:val="nil"/>
          <w:insideV w:val="single" w:sz="8" w:space="0" w:color="8064A2"/>
        </w:tcBorders>
      </w:tcPr>
    </w:tblStylePr>
    <w:tblStylePr w:type="lastRow">
      <w:pPr>
        <w:spacing w:before="0" w:after="0" w:line="240" w:lineRule="auto"/>
      </w:pPr>
      <w:rPr>
        <w:rFonts w:ascii="Calibri" w:eastAsia="MS Gothic" w:hAnsi="Calibri" w:cs="SimSun"/>
        <w:b/>
        <w:bCs/>
      </w:rPr>
      <w:tblPr/>
      <w:tcPr>
        <w:tcBorders>
          <w:top w:val="double" w:sz="6" w:space="0" w:color="8064A2"/>
          <w:left w:val="single" w:sz="8" w:space="0" w:color="8064A2"/>
          <w:bottom w:val="single" w:sz="8" w:space="0" w:color="8064A2"/>
          <w:right w:val="single" w:sz="8" w:space="0" w:color="8064A2"/>
          <w:insideH w:val="nil"/>
          <w:insideV w:val="single" w:sz="8" w:space="0" w:color="8064A2"/>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8064A2"/>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8064A2"/>
        </w:tcBorders>
      </w:tcPr>
    </w:tblStylePr>
  </w:style>
  <w:style w:type="table" w:styleId="LightGrid-Accent5">
    <w:name w:val="Light Grid Accent 5"/>
    <w:basedOn w:val="TableNormal"/>
    <w:uiPriority w:val="62"/>
    <w:pPr>
      <w:spacing w:after="0" w:line="240" w:lineRule="auto"/>
    </w:pPr>
    <w:tblPr>
      <w:tblStyleRowBandSize w:val="1"/>
      <w:tblStyleColBandSize w:val="1"/>
      <w:tblInd w:w="0" w:type="dxa"/>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CellMar>
        <w:top w:w="0" w:type="dxa"/>
        <w:left w:w="108" w:type="dxa"/>
        <w:bottom w:w="0" w:type="dxa"/>
        <w:right w:w="108" w:type="dxa"/>
      </w:tblCellMar>
    </w:tblPr>
    <w:tblStylePr w:type="firstRow">
      <w:pPr>
        <w:spacing w:before="0" w:after="0" w:line="240" w:lineRule="auto"/>
      </w:pPr>
      <w:rPr>
        <w:rFonts w:ascii="Calibri" w:eastAsia="MS Gothic" w:hAnsi="Calibri" w:cs="SimSun"/>
        <w:b/>
        <w:bCs/>
      </w:rPr>
      <w:tblPr/>
      <w:tcPr>
        <w:tcBorders>
          <w:top w:val="single" w:sz="8" w:space="0" w:color="4BACC6"/>
          <w:left w:val="single" w:sz="8" w:space="0" w:color="4BACC6"/>
          <w:bottom w:val="single" w:sz="18" w:space="0" w:color="4BACC6"/>
          <w:right w:val="single" w:sz="8" w:space="0" w:color="4BACC6"/>
          <w:insideH w:val="nil"/>
          <w:insideV w:val="single" w:sz="8" w:space="0" w:color="4BACC6"/>
        </w:tcBorders>
      </w:tcPr>
    </w:tblStylePr>
    <w:tblStylePr w:type="lastRow">
      <w:pPr>
        <w:spacing w:before="0" w:after="0" w:line="240" w:lineRule="auto"/>
      </w:pPr>
      <w:rPr>
        <w:rFonts w:ascii="Calibri" w:eastAsia="MS Gothic" w:hAnsi="Calibri" w:cs="SimSun"/>
        <w:b/>
        <w:bCs/>
      </w:rPr>
      <w:tblPr/>
      <w:tcPr>
        <w:tcBorders>
          <w:top w:val="double" w:sz="6" w:space="0" w:color="4BACC6"/>
          <w:left w:val="single" w:sz="8" w:space="0" w:color="4BACC6"/>
          <w:bottom w:val="single" w:sz="8" w:space="0" w:color="4BACC6"/>
          <w:right w:val="single" w:sz="8" w:space="0" w:color="4BACC6"/>
          <w:insideH w:val="nil"/>
          <w:insideV w:val="single" w:sz="8" w:space="0" w:color="4BACC6"/>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4BACC6"/>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4BACC6"/>
        </w:tcBorders>
      </w:tcPr>
    </w:tblStylePr>
  </w:style>
  <w:style w:type="table" w:styleId="LightGrid-Accent6">
    <w:name w:val="Light Grid Accent 6"/>
    <w:basedOn w:val="TableNormal"/>
    <w:uiPriority w:val="62"/>
    <w:pPr>
      <w:spacing w:after="0" w:line="240" w:lineRule="auto"/>
    </w:pPr>
    <w:tblPr>
      <w:tblStyleRowBandSize w:val="1"/>
      <w:tblStyleColBandSize w:val="1"/>
      <w:tblInd w:w="0" w:type="dxa"/>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CellMar>
        <w:top w:w="0" w:type="dxa"/>
        <w:left w:w="108" w:type="dxa"/>
        <w:bottom w:w="0" w:type="dxa"/>
        <w:right w:w="108" w:type="dxa"/>
      </w:tblCellMar>
    </w:tblPr>
    <w:tblStylePr w:type="firstRow">
      <w:pPr>
        <w:spacing w:before="0" w:after="0" w:line="240" w:lineRule="auto"/>
      </w:pPr>
      <w:rPr>
        <w:rFonts w:ascii="Calibri" w:eastAsia="MS Gothic" w:hAnsi="Calibri" w:cs="SimSun"/>
        <w:b/>
        <w:bCs/>
      </w:rPr>
      <w:tblPr/>
      <w:tcPr>
        <w:tcBorders>
          <w:top w:val="single" w:sz="8" w:space="0" w:color="F79646"/>
          <w:left w:val="single" w:sz="8" w:space="0" w:color="F79646"/>
          <w:bottom w:val="single" w:sz="18" w:space="0" w:color="F79646"/>
          <w:right w:val="single" w:sz="8" w:space="0" w:color="F79646"/>
          <w:insideH w:val="nil"/>
          <w:insideV w:val="single" w:sz="8" w:space="0" w:color="F79646"/>
        </w:tcBorders>
      </w:tcPr>
    </w:tblStylePr>
    <w:tblStylePr w:type="lastRow">
      <w:pPr>
        <w:spacing w:before="0" w:after="0" w:line="240" w:lineRule="auto"/>
      </w:pPr>
      <w:rPr>
        <w:rFonts w:ascii="Calibri" w:eastAsia="MS Gothic" w:hAnsi="Calibri" w:cs="SimSun"/>
        <w:b/>
        <w:bCs/>
      </w:rPr>
      <w:tblPr/>
      <w:tcPr>
        <w:tcBorders>
          <w:top w:val="double" w:sz="6" w:space="0" w:color="F79646"/>
          <w:left w:val="single" w:sz="8" w:space="0" w:color="F79646"/>
          <w:bottom w:val="single" w:sz="8" w:space="0" w:color="F79646"/>
          <w:right w:val="single" w:sz="8" w:space="0" w:color="F79646"/>
          <w:insideH w:val="nil"/>
          <w:insideV w:val="single" w:sz="8" w:space="0" w:color="F79646"/>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F79646"/>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F79646"/>
        </w:tcBorders>
      </w:tcPr>
    </w:tblStylePr>
  </w:style>
  <w:style w:type="table" w:styleId="MediumShading1">
    <w:name w:val="Medium Shading 1"/>
    <w:basedOn w:val="TableNormal"/>
    <w:uiPriority w:val="63"/>
    <w:pPr>
      <w:spacing w:after="0" w:line="240" w:lineRule="auto"/>
    </w:pPr>
    <w:tblPr>
      <w:tblStyleRowBandSize w:val="1"/>
      <w:tblStyleColBandSize w:val="1"/>
      <w:tblInd w:w="0" w:type="dxa"/>
      <w:tblBorders>
        <w:top w:val="single" w:sz="8" w:space="0" w:color="404040"/>
        <w:left w:val="single" w:sz="8" w:space="0" w:color="404040"/>
        <w:bottom w:val="single" w:sz="8" w:space="0" w:color="404040"/>
        <w:right w:val="single" w:sz="8" w:space="0" w:color="404040"/>
        <w:insideH w:val="single" w:sz="8" w:space="0" w:color="40404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pPr>
      <w:spacing w:after="0" w:line="240" w:lineRule="auto"/>
    </w:pPr>
    <w:tblPr>
      <w:tblStyleRowBandSize w:val="1"/>
      <w:tblStyleColBandSize w:val="1"/>
      <w:tblInd w:w="0" w:type="dxa"/>
      <w:tblBorders>
        <w:top w:val="single" w:sz="8" w:space="0" w:color="7BA0CD"/>
        <w:left w:val="single" w:sz="8" w:space="0" w:color="7BA0CD"/>
        <w:bottom w:val="single" w:sz="8" w:space="0" w:color="7BA0CD"/>
        <w:right w:val="single" w:sz="8" w:space="0" w:color="7BA0CD"/>
        <w:insideH w:val="single" w:sz="8" w:space="0" w:color="7BA0CD"/>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pPr>
      <w:spacing w:after="0" w:line="240" w:lineRule="auto"/>
    </w:pPr>
    <w:tblPr>
      <w:tblStyleRowBandSize w:val="1"/>
      <w:tblStyleColBandSize w:val="1"/>
      <w:tblInd w:w="0" w:type="dxa"/>
      <w:tblBorders>
        <w:top w:val="single" w:sz="8" w:space="0" w:color="CF7B79"/>
        <w:left w:val="single" w:sz="8" w:space="0" w:color="CF7B79"/>
        <w:bottom w:val="single" w:sz="8" w:space="0" w:color="CF7B79"/>
        <w:right w:val="single" w:sz="8" w:space="0" w:color="CF7B79"/>
        <w:insideH w:val="single" w:sz="8" w:space="0" w:color="CF7B79"/>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pPr>
      <w:spacing w:after="0" w:line="240" w:lineRule="auto"/>
    </w:pPr>
    <w:tblPr>
      <w:tblStyleRowBandSize w:val="1"/>
      <w:tblStyleColBandSize w:val="1"/>
      <w:tblInd w:w="0" w:type="dxa"/>
      <w:tblBorders>
        <w:top w:val="single" w:sz="8" w:space="0" w:color="B3CC82"/>
        <w:left w:val="single" w:sz="8" w:space="0" w:color="B3CC82"/>
        <w:bottom w:val="single" w:sz="8" w:space="0" w:color="B3CC82"/>
        <w:right w:val="single" w:sz="8" w:space="0" w:color="B3CC82"/>
        <w:insideH w:val="single" w:sz="8" w:space="0" w:color="B3CC82"/>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pPr>
      <w:spacing w:after="0" w:line="240" w:lineRule="auto"/>
    </w:pPr>
    <w:tblPr>
      <w:tblStyleRowBandSize w:val="1"/>
      <w:tblStyleColBandSize w:val="1"/>
      <w:tblInd w:w="0" w:type="dxa"/>
      <w:tblBorders>
        <w:top w:val="single" w:sz="8" w:space="0" w:color="9F8AB9"/>
        <w:left w:val="single" w:sz="8" w:space="0" w:color="9F8AB9"/>
        <w:bottom w:val="single" w:sz="8" w:space="0" w:color="9F8AB9"/>
        <w:right w:val="single" w:sz="8" w:space="0" w:color="9F8AB9"/>
        <w:insideH w:val="single" w:sz="8" w:space="0" w:color="9F8AB9"/>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pPr>
      <w:spacing w:after="0" w:line="240" w:lineRule="auto"/>
    </w:pPr>
    <w:tblPr>
      <w:tblStyleRowBandSize w:val="1"/>
      <w:tblStyleColBandSize w:val="1"/>
      <w:tblInd w:w="0" w:type="dxa"/>
      <w:tblBorders>
        <w:top w:val="single" w:sz="8" w:space="0" w:color="78C0D4"/>
        <w:left w:val="single" w:sz="8" w:space="0" w:color="78C0D4"/>
        <w:bottom w:val="single" w:sz="8" w:space="0" w:color="78C0D4"/>
        <w:right w:val="single" w:sz="8" w:space="0" w:color="78C0D4"/>
        <w:insideH w:val="single" w:sz="8" w:space="0" w:color="78C0D4"/>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pPr>
      <w:spacing w:after="0" w:line="240" w:lineRule="auto"/>
    </w:pPr>
    <w:tblPr>
      <w:tblStyleRowBandSize w:val="1"/>
      <w:tblStyleColBandSize w:val="1"/>
      <w:tblInd w:w="0" w:type="dxa"/>
      <w:tblBorders>
        <w:top w:val="single" w:sz="8" w:space="0" w:color="F9B074"/>
        <w:left w:val="single" w:sz="8" w:space="0" w:color="F9B074"/>
        <w:bottom w:val="single" w:sz="8" w:space="0" w:color="F9B074"/>
        <w:right w:val="single" w:sz="8" w:space="0" w:color="F9B074"/>
        <w:insideH w:val="single" w:sz="8" w:space="0" w:color="F9B074"/>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0000"/>
      </w:tcPr>
    </w:tblStylePr>
    <w:tblStylePr w:type="lastCol">
      <w:rPr>
        <w:b/>
        <w:bCs/>
        <w:color w:val="FFFFFF"/>
      </w:rPr>
      <w:tblPr/>
      <w:tcPr>
        <w:tcBorders>
          <w:left w:val="nil"/>
          <w:right w:val="nil"/>
          <w:insideH w:val="nil"/>
          <w:insideV w:val="nil"/>
        </w:tcBorders>
        <w:shd w:val="clear" w:color="auto" w:fill="000000"/>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C0504D"/>
      </w:tcPr>
    </w:tblStylePr>
    <w:tblStylePr w:type="lastCol">
      <w:rPr>
        <w:b/>
        <w:bCs/>
        <w:color w:val="FFFFFF"/>
      </w:rPr>
      <w:tblPr/>
      <w:tcPr>
        <w:tcBorders>
          <w:left w:val="nil"/>
          <w:right w:val="nil"/>
          <w:insideH w:val="nil"/>
          <w:insideV w:val="nil"/>
        </w:tcBorders>
        <w:shd w:val="clear" w:color="auto" w:fill="C0504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9BBB59"/>
      </w:tcPr>
    </w:tblStylePr>
    <w:tblStylePr w:type="lastCol">
      <w:rPr>
        <w:b/>
        <w:bCs/>
        <w:color w:val="FFFFFF"/>
      </w:rPr>
      <w:tblPr/>
      <w:tcPr>
        <w:tcBorders>
          <w:left w:val="nil"/>
          <w:right w:val="nil"/>
          <w:insideH w:val="nil"/>
          <w:insideV w:val="nil"/>
        </w:tcBorders>
        <w:shd w:val="clear" w:color="auto" w:fill="9BBB59"/>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pPr>
      <w:spacing w:after="0" w:line="240" w:lineRule="auto"/>
    </w:pPr>
    <w:rPr>
      <w:color w:val="000000"/>
    </w:rPr>
    <w:tblPr>
      <w:tblStyleRowBandSize w:val="1"/>
      <w:tblStyleColBandSize w:val="1"/>
      <w:tblInd w:w="0" w:type="dxa"/>
      <w:tblBorders>
        <w:top w:val="single" w:sz="8" w:space="0" w:color="000000"/>
        <w:bottom w:val="single" w:sz="8" w:space="0" w:color="000000"/>
      </w:tblBorders>
      <w:tblCellMar>
        <w:top w:w="0" w:type="dxa"/>
        <w:left w:w="108" w:type="dxa"/>
        <w:bottom w:w="0" w:type="dxa"/>
        <w:right w:w="108" w:type="dxa"/>
      </w:tblCellMar>
    </w:tblPr>
    <w:tblStylePr w:type="firstRow">
      <w:rPr>
        <w:rFonts w:ascii="Calibri" w:eastAsia="MS Gothic" w:hAnsi="Calibri" w:cs="SimSun"/>
      </w:rPr>
      <w:tblPr/>
      <w:tcPr>
        <w:tcBorders>
          <w:top w:val="nil"/>
          <w:bottom w:val="single" w:sz="8" w:space="0" w:color="000000"/>
        </w:tcBorders>
      </w:tcPr>
    </w:tblStylePr>
    <w:tblStylePr w:type="lastRow">
      <w:rPr>
        <w:b/>
        <w:bCs/>
        <w:color w:val="1F497D"/>
      </w:rPr>
      <w:tblPr/>
      <w:tcPr>
        <w:tcBorders>
          <w:top w:val="single" w:sz="8" w:space="0" w:color="000000"/>
          <w:bottom w:val="single" w:sz="8" w:space="0" w:color="000000"/>
        </w:tcBorders>
      </w:tcPr>
    </w:tblStylePr>
    <w:tblStylePr w:type="firstCol">
      <w:rPr>
        <w:b/>
        <w:bCs/>
      </w:rPr>
    </w:tblStylePr>
    <w:tblStylePr w:type="lastCol">
      <w:rPr>
        <w:b/>
        <w:bCs/>
      </w:rPr>
      <w:tblPr/>
      <w:tcPr>
        <w:tcBorders>
          <w:top w:val="single" w:sz="8" w:space="0" w:color="000000"/>
          <w:bottom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pPr>
      <w:spacing w:after="0" w:line="240" w:lineRule="auto"/>
    </w:pPr>
    <w:rPr>
      <w:color w:val="000000"/>
    </w:rPr>
    <w:tblPr>
      <w:tblStyleRowBandSize w:val="1"/>
      <w:tblStyleColBandSize w:val="1"/>
      <w:tblInd w:w="0" w:type="dxa"/>
      <w:tblBorders>
        <w:top w:val="single" w:sz="8" w:space="0" w:color="4F81BD"/>
        <w:bottom w:val="single" w:sz="8" w:space="0" w:color="4F81BD"/>
      </w:tblBorders>
      <w:tblCellMar>
        <w:top w:w="0" w:type="dxa"/>
        <w:left w:w="108" w:type="dxa"/>
        <w:bottom w:w="0" w:type="dxa"/>
        <w:right w:w="108" w:type="dxa"/>
      </w:tblCellMar>
    </w:tblPr>
    <w:tblStylePr w:type="firstRow">
      <w:rPr>
        <w:rFonts w:ascii="Calibri" w:eastAsia="MS Gothic" w:hAnsi="Calibri" w:cs="SimSun"/>
      </w:rPr>
      <w:tblPr/>
      <w:tcPr>
        <w:tcBorders>
          <w:top w:val="nil"/>
          <w:bottom w:val="single" w:sz="8" w:space="0" w:color="4F81BD"/>
        </w:tcBorders>
      </w:tcPr>
    </w:tblStylePr>
    <w:tblStylePr w:type="lastRow">
      <w:rPr>
        <w:b/>
        <w:bCs/>
        <w:color w:val="1F497D"/>
      </w:rPr>
      <w:tblPr/>
      <w:tcPr>
        <w:tcBorders>
          <w:top w:val="single" w:sz="8" w:space="0" w:color="4F81BD"/>
          <w:bottom w:val="single" w:sz="8" w:space="0" w:color="4F81BD"/>
        </w:tcBorders>
      </w:tcPr>
    </w:tblStylePr>
    <w:tblStylePr w:type="firstCol">
      <w:rPr>
        <w:b/>
        <w:bCs/>
      </w:rPr>
    </w:tblStylePr>
    <w:tblStylePr w:type="lastCol">
      <w:rPr>
        <w:b/>
        <w:bCs/>
      </w:rPr>
      <w:tblPr/>
      <w:tcPr>
        <w:tcBorders>
          <w:top w:val="single" w:sz="8" w:space="0" w:color="4F81BD"/>
          <w:bottom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pPr>
      <w:spacing w:after="0" w:line="240" w:lineRule="auto"/>
    </w:pPr>
    <w:rPr>
      <w:color w:val="000000"/>
    </w:rPr>
    <w:tblPr>
      <w:tblStyleRowBandSize w:val="1"/>
      <w:tblStyleColBandSize w:val="1"/>
      <w:tblInd w:w="0" w:type="dxa"/>
      <w:tblBorders>
        <w:top w:val="single" w:sz="8" w:space="0" w:color="C0504D"/>
        <w:bottom w:val="single" w:sz="8" w:space="0" w:color="C0504D"/>
      </w:tblBorders>
      <w:tblCellMar>
        <w:top w:w="0" w:type="dxa"/>
        <w:left w:w="108" w:type="dxa"/>
        <w:bottom w:w="0" w:type="dxa"/>
        <w:right w:w="108" w:type="dxa"/>
      </w:tblCellMar>
    </w:tblPr>
    <w:tblStylePr w:type="firstRow">
      <w:rPr>
        <w:rFonts w:ascii="Calibri" w:eastAsia="MS Gothic" w:hAnsi="Calibri" w:cs="SimSun"/>
      </w:rPr>
      <w:tblPr/>
      <w:tcPr>
        <w:tcBorders>
          <w:top w:val="nil"/>
          <w:bottom w:val="single" w:sz="8" w:space="0" w:color="C0504D"/>
        </w:tcBorders>
      </w:tcPr>
    </w:tblStylePr>
    <w:tblStylePr w:type="lastRow">
      <w:rPr>
        <w:b/>
        <w:bCs/>
        <w:color w:val="1F497D"/>
      </w:rPr>
      <w:tblPr/>
      <w:tcPr>
        <w:tcBorders>
          <w:top w:val="single" w:sz="8" w:space="0" w:color="C0504D"/>
          <w:bottom w:val="single" w:sz="8" w:space="0" w:color="C0504D"/>
        </w:tcBorders>
      </w:tcPr>
    </w:tblStylePr>
    <w:tblStylePr w:type="firstCol">
      <w:rPr>
        <w:b/>
        <w:bCs/>
      </w:rPr>
    </w:tblStylePr>
    <w:tblStylePr w:type="lastCol">
      <w:rPr>
        <w:b/>
        <w:bCs/>
      </w:rPr>
      <w:tblPr/>
      <w:tcPr>
        <w:tcBorders>
          <w:top w:val="single" w:sz="8" w:space="0" w:color="C0504D"/>
          <w:bottom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pPr>
      <w:spacing w:after="0" w:line="240" w:lineRule="auto"/>
    </w:pPr>
    <w:rPr>
      <w:color w:val="000000"/>
    </w:rPr>
    <w:tblPr>
      <w:tblStyleRowBandSize w:val="1"/>
      <w:tblStyleColBandSize w:val="1"/>
      <w:tblInd w:w="0" w:type="dxa"/>
      <w:tblBorders>
        <w:top w:val="single" w:sz="8" w:space="0" w:color="9BBB59"/>
        <w:bottom w:val="single" w:sz="8" w:space="0" w:color="9BBB59"/>
      </w:tblBorders>
      <w:tblCellMar>
        <w:top w:w="0" w:type="dxa"/>
        <w:left w:w="108" w:type="dxa"/>
        <w:bottom w:w="0" w:type="dxa"/>
        <w:right w:w="108" w:type="dxa"/>
      </w:tblCellMar>
    </w:tblPr>
    <w:tblStylePr w:type="firstRow">
      <w:rPr>
        <w:rFonts w:ascii="Calibri" w:eastAsia="MS Gothic" w:hAnsi="Calibri" w:cs="SimSun"/>
      </w:rPr>
      <w:tblPr/>
      <w:tcPr>
        <w:tcBorders>
          <w:top w:val="nil"/>
          <w:bottom w:val="single" w:sz="8" w:space="0" w:color="9BBB59"/>
        </w:tcBorders>
      </w:tcPr>
    </w:tblStylePr>
    <w:tblStylePr w:type="lastRow">
      <w:rPr>
        <w:b/>
        <w:bCs/>
        <w:color w:val="1F497D"/>
      </w:rPr>
      <w:tblPr/>
      <w:tcPr>
        <w:tcBorders>
          <w:top w:val="single" w:sz="8" w:space="0" w:color="9BBB59"/>
          <w:bottom w:val="single" w:sz="8" w:space="0" w:color="9BBB59"/>
        </w:tcBorders>
      </w:tcPr>
    </w:tblStylePr>
    <w:tblStylePr w:type="firstCol">
      <w:rPr>
        <w:b/>
        <w:bCs/>
      </w:rPr>
    </w:tblStylePr>
    <w:tblStylePr w:type="lastCol">
      <w:rPr>
        <w:b/>
        <w:bCs/>
      </w:rPr>
      <w:tblPr/>
      <w:tcPr>
        <w:tcBorders>
          <w:top w:val="single" w:sz="8" w:space="0" w:color="9BBB59"/>
          <w:bottom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pPr>
      <w:spacing w:after="0" w:line="240" w:lineRule="auto"/>
    </w:pPr>
    <w:rPr>
      <w:color w:val="000000"/>
    </w:rPr>
    <w:tblPr>
      <w:tblStyleRowBandSize w:val="1"/>
      <w:tblStyleColBandSize w:val="1"/>
      <w:tblInd w:w="0" w:type="dxa"/>
      <w:tblBorders>
        <w:top w:val="single" w:sz="8" w:space="0" w:color="8064A2"/>
        <w:bottom w:val="single" w:sz="8" w:space="0" w:color="8064A2"/>
      </w:tblBorders>
      <w:tblCellMar>
        <w:top w:w="0" w:type="dxa"/>
        <w:left w:w="108" w:type="dxa"/>
        <w:bottom w:w="0" w:type="dxa"/>
        <w:right w:w="108" w:type="dxa"/>
      </w:tblCellMar>
    </w:tblPr>
    <w:tblStylePr w:type="firstRow">
      <w:rPr>
        <w:rFonts w:ascii="Calibri" w:eastAsia="MS Gothic" w:hAnsi="Calibri" w:cs="SimSun"/>
      </w:rPr>
      <w:tblPr/>
      <w:tcPr>
        <w:tcBorders>
          <w:top w:val="nil"/>
          <w:bottom w:val="single" w:sz="8" w:space="0" w:color="8064A2"/>
        </w:tcBorders>
      </w:tcPr>
    </w:tblStylePr>
    <w:tblStylePr w:type="lastRow">
      <w:rPr>
        <w:b/>
        <w:bCs/>
        <w:color w:val="1F497D"/>
      </w:rPr>
      <w:tblPr/>
      <w:tcPr>
        <w:tcBorders>
          <w:top w:val="single" w:sz="8" w:space="0" w:color="8064A2"/>
          <w:bottom w:val="single" w:sz="8" w:space="0" w:color="8064A2"/>
        </w:tcBorders>
      </w:tcPr>
    </w:tblStylePr>
    <w:tblStylePr w:type="firstCol">
      <w:rPr>
        <w:b/>
        <w:bCs/>
      </w:rPr>
    </w:tblStylePr>
    <w:tblStylePr w:type="lastCol">
      <w:rPr>
        <w:b/>
        <w:bCs/>
      </w:rPr>
      <w:tblPr/>
      <w:tcPr>
        <w:tcBorders>
          <w:top w:val="single" w:sz="8" w:space="0" w:color="8064A2"/>
          <w:bottom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pPr>
      <w:spacing w:after="0" w:line="240" w:lineRule="auto"/>
    </w:pPr>
    <w:rPr>
      <w:color w:val="000000"/>
    </w:rPr>
    <w:tblPr>
      <w:tblStyleRowBandSize w:val="1"/>
      <w:tblStyleColBandSize w:val="1"/>
      <w:tblInd w:w="0" w:type="dxa"/>
      <w:tblBorders>
        <w:top w:val="single" w:sz="8" w:space="0" w:color="4BACC6"/>
        <w:bottom w:val="single" w:sz="8" w:space="0" w:color="4BACC6"/>
      </w:tblBorders>
      <w:tblCellMar>
        <w:top w:w="0" w:type="dxa"/>
        <w:left w:w="108" w:type="dxa"/>
        <w:bottom w:w="0" w:type="dxa"/>
        <w:right w:w="108" w:type="dxa"/>
      </w:tblCellMar>
    </w:tblPr>
    <w:tblStylePr w:type="firstRow">
      <w:rPr>
        <w:rFonts w:ascii="Calibri" w:eastAsia="MS Gothic" w:hAnsi="Calibri" w:cs="SimSu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pPr>
      <w:spacing w:after="0" w:line="240" w:lineRule="auto"/>
    </w:pPr>
    <w:rPr>
      <w:color w:val="000000"/>
    </w:rPr>
    <w:tblPr>
      <w:tblStyleRowBandSize w:val="1"/>
      <w:tblStyleColBandSize w:val="1"/>
      <w:tblInd w:w="0" w:type="dxa"/>
      <w:tblBorders>
        <w:top w:val="single" w:sz="8" w:space="0" w:color="F79646"/>
        <w:bottom w:val="single" w:sz="8" w:space="0" w:color="F79646"/>
      </w:tblBorders>
      <w:tblCellMar>
        <w:top w:w="0" w:type="dxa"/>
        <w:left w:w="108" w:type="dxa"/>
        <w:bottom w:w="0" w:type="dxa"/>
        <w:right w:w="108" w:type="dxa"/>
      </w:tblCellMar>
    </w:tblPr>
    <w:tblStylePr w:type="firstRow">
      <w:rPr>
        <w:rFonts w:ascii="Calibri" w:eastAsia="MS Gothic" w:hAnsi="Calibri" w:cs="SimSun"/>
      </w:rPr>
      <w:tblPr/>
      <w:tcPr>
        <w:tcBorders>
          <w:top w:val="nil"/>
          <w:bottom w:val="single" w:sz="8" w:space="0" w:color="F79646"/>
        </w:tcBorders>
      </w:tcPr>
    </w:tblStylePr>
    <w:tblStylePr w:type="lastRow">
      <w:rPr>
        <w:b/>
        <w:bCs/>
        <w:color w:val="1F497D"/>
      </w:rPr>
      <w:tblPr/>
      <w:tcPr>
        <w:tcBorders>
          <w:top w:val="single" w:sz="8" w:space="0" w:color="F79646"/>
          <w:bottom w:val="single" w:sz="8" w:space="0" w:color="F79646"/>
        </w:tcBorders>
      </w:tcPr>
    </w:tblStylePr>
    <w:tblStylePr w:type="firstCol">
      <w:rPr>
        <w:b/>
        <w:bCs/>
      </w:rPr>
    </w:tblStylePr>
    <w:tblStylePr w:type="lastCol">
      <w:rPr>
        <w:b/>
        <w:bCs/>
      </w:rPr>
      <w:tblPr/>
      <w:tcPr>
        <w:tcBorders>
          <w:top w:val="single" w:sz="8" w:space="0" w:color="F79646"/>
          <w:bottom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pPr>
      <w:spacing w:after="0" w:line="240" w:lineRule="auto"/>
    </w:pPr>
    <w:rPr>
      <w:rFonts w:ascii="Calibri" w:eastAsia="MS Gothic" w:hAnsi="Calibri"/>
      <w:color w:val="000000"/>
    </w:rPr>
    <w:tblPr>
      <w:tblStyleRowBandSize w:val="1"/>
      <w:tblStyleColBandSize w:val="1"/>
      <w:tblInd w:w="0" w:type="dxa"/>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single" w:sz="8" w:space="0" w:color="000000"/>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C0C0C0"/>
      </w:tcPr>
    </w:tblStylePr>
    <w:tblStylePr w:type="band1Horz">
      <w:tblPr/>
      <w:tcPr>
        <w:tcBorders>
          <w:top w:val="nil"/>
          <w:bottom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pPr>
      <w:spacing w:after="0" w:line="240" w:lineRule="auto"/>
    </w:pPr>
    <w:rPr>
      <w:rFonts w:ascii="Calibri" w:eastAsia="MS Gothic" w:hAnsi="Calibri"/>
      <w:color w:val="000000"/>
    </w:rPr>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single" w:sz="8" w:space="0" w:color="4F81B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3DFEE"/>
      </w:tcPr>
    </w:tblStylePr>
    <w:tblStylePr w:type="band1Horz">
      <w:tblPr/>
      <w:tcPr>
        <w:tcBorders>
          <w:top w:val="nil"/>
          <w:bottom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pPr>
      <w:spacing w:after="0" w:line="240" w:lineRule="auto"/>
    </w:pPr>
    <w:rPr>
      <w:rFonts w:ascii="Calibri" w:eastAsia="MS Gothic" w:hAnsi="Calibri"/>
      <w:color w:val="000000"/>
    </w:rPr>
    <w:tblPr>
      <w:tblStyleRowBandSize w:val="1"/>
      <w:tblStyleColBandSize w:val="1"/>
      <w:tblInd w:w="0" w:type="dxa"/>
      <w:tblBorders>
        <w:top w:val="single" w:sz="8" w:space="0" w:color="C0504D"/>
        <w:left w:val="single" w:sz="8" w:space="0" w:color="C0504D"/>
        <w:bottom w:val="single" w:sz="8" w:space="0" w:color="C0504D"/>
        <w:right w:val="single" w:sz="8" w:space="0" w:color="C0504D"/>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single" w:sz="8" w:space="0" w:color="C0504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FD3D2"/>
      </w:tcPr>
    </w:tblStylePr>
    <w:tblStylePr w:type="band1Horz">
      <w:tblPr/>
      <w:tcPr>
        <w:tcBorders>
          <w:top w:val="nil"/>
          <w:bottom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pPr>
      <w:spacing w:after="0" w:line="240" w:lineRule="auto"/>
    </w:pPr>
    <w:rPr>
      <w:rFonts w:ascii="Calibri" w:eastAsia="MS Gothic" w:hAnsi="Calibri"/>
      <w:color w:val="000000"/>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single" w:sz="8" w:space="0" w:color="9BBB59"/>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6EED5"/>
      </w:tcPr>
    </w:tblStylePr>
    <w:tblStylePr w:type="band1Horz">
      <w:tblPr/>
      <w:tcPr>
        <w:tcBorders>
          <w:top w:val="nil"/>
          <w:bottom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pPr>
      <w:spacing w:after="0" w:line="240" w:lineRule="auto"/>
    </w:pPr>
    <w:rPr>
      <w:rFonts w:ascii="Calibri" w:eastAsia="MS Gothic" w:hAnsi="Calibri"/>
      <w:color w:val="000000"/>
    </w:rPr>
    <w:tblPr>
      <w:tblStyleRowBandSize w:val="1"/>
      <w:tblStyleColBandSize w:val="1"/>
      <w:tblInd w:w="0" w:type="dxa"/>
      <w:tblBorders>
        <w:top w:val="single" w:sz="8" w:space="0" w:color="8064A2"/>
        <w:left w:val="single" w:sz="8" w:space="0" w:color="8064A2"/>
        <w:bottom w:val="single" w:sz="8" w:space="0" w:color="8064A2"/>
        <w:right w:val="single" w:sz="8" w:space="0" w:color="8064A2"/>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single" w:sz="8" w:space="0" w:color="8064A2"/>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FD8E8"/>
      </w:tcPr>
    </w:tblStylePr>
    <w:tblStylePr w:type="band1Horz">
      <w:tblPr/>
      <w:tcPr>
        <w:tcBorders>
          <w:top w:val="nil"/>
          <w:bottom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pPr>
      <w:spacing w:after="0" w:line="240" w:lineRule="auto"/>
    </w:pPr>
    <w:rPr>
      <w:rFonts w:ascii="Calibri" w:eastAsia="MS Gothic" w:hAnsi="Calibri"/>
      <w:color w:val="000000"/>
    </w:rPr>
    <w:tblPr>
      <w:tblStyleRowBandSize w:val="1"/>
      <w:tblStyleColBandSize w:val="1"/>
      <w:tblInd w:w="0" w:type="dxa"/>
      <w:tblBorders>
        <w:top w:val="single" w:sz="8" w:space="0" w:color="4BACC6"/>
        <w:left w:val="single" w:sz="8" w:space="0" w:color="4BACC6"/>
        <w:bottom w:val="single" w:sz="8" w:space="0" w:color="4BACC6"/>
        <w:right w:val="single" w:sz="8" w:space="0" w:color="4BACC6"/>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single" w:sz="8" w:space="0" w:color="4BACC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2EAF1"/>
      </w:tcPr>
    </w:tblStylePr>
    <w:tblStylePr w:type="band1Horz">
      <w:tblPr/>
      <w:tcPr>
        <w:tcBorders>
          <w:top w:val="nil"/>
          <w:bottom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pPr>
      <w:spacing w:after="0" w:line="240" w:lineRule="auto"/>
    </w:pPr>
    <w:rPr>
      <w:rFonts w:ascii="Calibri" w:eastAsia="MS Gothic" w:hAnsi="Calibri"/>
      <w:color w:val="000000"/>
    </w:rPr>
    <w:tblPr>
      <w:tblStyleRowBandSize w:val="1"/>
      <w:tblStyleColBandSize w:val="1"/>
      <w:tblInd w:w="0" w:type="dxa"/>
      <w:tblBorders>
        <w:top w:val="single" w:sz="8" w:space="0" w:color="F79646"/>
        <w:left w:val="single" w:sz="8" w:space="0" w:color="F79646"/>
        <w:bottom w:val="single" w:sz="8" w:space="0" w:color="F79646"/>
        <w:right w:val="single" w:sz="8" w:space="0" w:color="F7964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single" w:sz="8" w:space="0" w:color="F7964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DE4D0"/>
      </w:tcPr>
    </w:tblStylePr>
    <w:tblStylePr w:type="band1Horz">
      <w:tblPr/>
      <w:tcPr>
        <w:tcBorders>
          <w:top w:val="nil"/>
          <w:bottom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pPr>
      <w:spacing w:after="0" w:line="240" w:lineRule="auto"/>
    </w:pPr>
    <w:tblPr>
      <w:tblStyleRowBandSize w:val="1"/>
      <w:tblStyleColBandSize w:val="1"/>
      <w:tblInd w:w="0" w:type="dxa"/>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shd w:val="clear" w:color="auto" w:fill="C0C0C0"/>
      <w:tblCellMar>
        <w:top w:w="0" w:type="dxa"/>
        <w:left w:w="108" w:type="dxa"/>
        <w:bottom w:w="0" w:type="dxa"/>
        <w:right w:w="108" w:type="dxa"/>
      </w:tblCellMar>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pPr>
      <w:spacing w:after="0" w:line="240" w:lineRule="auto"/>
    </w:pPr>
    <w:tblPr>
      <w:tblStyleRowBandSize w:val="1"/>
      <w:tblStyleColBandSize w:val="1"/>
      <w:tblInd w:w="0" w:type="dxa"/>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shd w:val="clear" w:color="auto" w:fill="D3DFEE"/>
      <w:tblCellMar>
        <w:top w:w="0" w:type="dxa"/>
        <w:left w:w="108" w:type="dxa"/>
        <w:bottom w:w="0" w:type="dxa"/>
        <w:right w:w="108" w:type="dxa"/>
      </w:tblCellMar>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pPr>
      <w:spacing w:after="0" w:line="240" w:lineRule="auto"/>
    </w:pPr>
    <w:tblPr>
      <w:tblStyleRowBandSize w:val="1"/>
      <w:tblStyleColBandSize w:val="1"/>
      <w:tblInd w:w="0" w:type="dxa"/>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shd w:val="clear" w:color="auto" w:fill="EFD3D2"/>
      <w:tblCellMar>
        <w:top w:w="0" w:type="dxa"/>
        <w:left w:w="108" w:type="dxa"/>
        <w:bottom w:w="0" w:type="dxa"/>
        <w:right w:w="108" w:type="dxa"/>
      </w:tblCellMar>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pPr>
      <w:spacing w:after="0" w:line="240" w:lineRule="auto"/>
    </w:pPr>
    <w:tblPr>
      <w:tblStyleRowBandSize w:val="1"/>
      <w:tblStyleColBandSize w:val="1"/>
      <w:tblInd w:w="0" w:type="dxa"/>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shd w:val="clear" w:color="auto" w:fill="E6EED5"/>
      <w:tblCellMar>
        <w:top w:w="0" w:type="dxa"/>
        <w:left w:w="108" w:type="dxa"/>
        <w:bottom w:w="0" w:type="dxa"/>
        <w:right w:w="108" w:type="dxa"/>
      </w:tblCellMar>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pPr>
      <w:spacing w:after="0" w:line="240" w:lineRule="auto"/>
    </w:pPr>
    <w:tblPr>
      <w:tblStyleRowBandSize w:val="1"/>
      <w:tblStyleColBandSize w:val="1"/>
      <w:tblInd w:w="0" w:type="dxa"/>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shd w:val="clear" w:color="auto" w:fill="DFD8E8"/>
      <w:tblCellMar>
        <w:top w:w="0" w:type="dxa"/>
        <w:left w:w="108" w:type="dxa"/>
        <w:bottom w:w="0" w:type="dxa"/>
        <w:right w:w="108" w:type="dxa"/>
      </w:tblCellMar>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pPr>
      <w:spacing w:after="0" w:line="240" w:lineRule="auto"/>
    </w:pPr>
    <w:tblPr>
      <w:tblStyleRowBandSize w:val="1"/>
      <w:tblStyleColBandSize w:val="1"/>
      <w:tblInd w:w="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shd w:val="clear" w:color="auto" w:fill="D2EAF1"/>
      <w:tblCellMar>
        <w:top w:w="0" w:type="dxa"/>
        <w:left w:w="108" w:type="dxa"/>
        <w:bottom w:w="0" w:type="dxa"/>
        <w:right w:w="108" w:type="dxa"/>
      </w:tblCellMar>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pPr>
      <w:spacing w:after="0" w:line="240" w:lineRule="auto"/>
    </w:pPr>
    <w:tblPr>
      <w:tblStyleRowBandSize w:val="1"/>
      <w:tblStyleColBandSize w:val="1"/>
      <w:tblInd w:w="0" w:type="dxa"/>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shd w:val="clear" w:color="auto" w:fill="FDE4D0"/>
      <w:tblCellMar>
        <w:top w:w="0" w:type="dxa"/>
        <w:left w:w="108" w:type="dxa"/>
        <w:bottom w:w="0" w:type="dxa"/>
        <w:right w:w="108" w:type="dxa"/>
      </w:tblCellMar>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pPr>
      <w:spacing w:after="0" w:line="240" w:lineRule="auto"/>
    </w:pPr>
    <w:rPr>
      <w:rFonts w:ascii="Calibri" w:eastAsia="MS Gothic" w:hAnsi="Calibri"/>
      <w:color w:val="000000"/>
    </w:rPr>
    <w:tblPr>
      <w:tblStyleRowBandSize w:val="1"/>
      <w:tblStyleColBandSize w:val="1"/>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C0C0C0"/>
      <w:tblCellMar>
        <w:top w:w="0" w:type="dxa"/>
        <w:left w:w="108" w:type="dxa"/>
        <w:bottom w:w="0" w:type="dxa"/>
        <w:right w:w="108" w:type="dxa"/>
      </w:tblCellMar>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000000"/>
          <w:insideV w:val="single" w:sz="6" w:space="0" w:color="000000"/>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pPr>
      <w:spacing w:after="0" w:line="240" w:lineRule="auto"/>
    </w:pPr>
    <w:rPr>
      <w:rFonts w:ascii="Calibri" w:eastAsia="MS Gothic" w:hAnsi="Calibri"/>
      <w:color w:val="000000"/>
    </w:rPr>
    <w:tblPr>
      <w:tblStyleRowBandSize w:val="1"/>
      <w:tblStyleColBandSize w:val="1"/>
      <w:tblInd w:w="0"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shd w:val="clear" w:color="auto" w:fill="D3DFEE"/>
      <w:tblCellMar>
        <w:top w:w="0" w:type="dxa"/>
        <w:left w:w="108" w:type="dxa"/>
        <w:bottom w:w="0" w:type="dxa"/>
        <w:right w:w="108" w:type="dxa"/>
      </w:tblCellMar>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4F81BD"/>
          <w:insideV w:val="single" w:sz="6" w:space="0" w:color="4F81BD"/>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pPr>
      <w:spacing w:after="0" w:line="240" w:lineRule="auto"/>
    </w:pPr>
    <w:rPr>
      <w:rFonts w:ascii="Calibri" w:eastAsia="MS Gothic" w:hAnsi="Calibri"/>
      <w:color w:val="000000"/>
    </w:rPr>
    <w:tblPr>
      <w:tblStyleRowBandSize w:val="1"/>
      <w:tblStyleColBandSize w:val="1"/>
      <w:tblInd w:w="0" w:type="dxa"/>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shd w:val="clear" w:color="auto" w:fill="EFD3D2"/>
      <w:tblCellMar>
        <w:top w:w="0" w:type="dxa"/>
        <w:left w:w="108" w:type="dxa"/>
        <w:bottom w:w="0" w:type="dxa"/>
        <w:right w:w="108" w:type="dxa"/>
      </w:tblCellMar>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C0504D"/>
          <w:insideV w:val="single" w:sz="6" w:space="0" w:color="C0504D"/>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pPr>
      <w:spacing w:after="0" w:line="240" w:lineRule="auto"/>
    </w:pPr>
    <w:rPr>
      <w:rFonts w:ascii="Calibri" w:eastAsia="MS Gothic" w:hAnsi="Calibri"/>
      <w:color w:val="000000"/>
    </w:rPr>
    <w:tblPr>
      <w:tblStyleRowBandSize w:val="1"/>
      <w:tblStyleColBandSize w:val="1"/>
      <w:tblInd w:w="0"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shd w:val="clear" w:color="auto" w:fill="E6EED5"/>
      <w:tblCellMar>
        <w:top w:w="0" w:type="dxa"/>
        <w:left w:w="108" w:type="dxa"/>
        <w:bottom w:w="0" w:type="dxa"/>
        <w:right w:w="108" w:type="dxa"/>
      </w:tblCellMar>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9BBB59"/>
          <w:insideV w:val="single" w:sz="6" w:space="0" w:color="9BBB59"/>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pPr>
      <w:spacing w:after="0" w:line="240" w:lineRule="auto"/>
    </w:pPr>
    <w:rPr>
      <w:rFonts w:ascii="Calibri" w:eastAsia="MS Gothic" w:hAnsi="Calibri"/>
      <w:color w:val="000000"/>
    </w:rPr>
    <w:tblPr>
      <w:tblStyleRowBandSize w:val="1"/>
      <w:tblStyleColBandSize w:val="1"/>
      <w:tblInd w:w="0" w:type="dxa"/>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shd w:val="clear" w:color="auto" w:fill="DFD8E8"/>
      <w:tblCellMar>
        <w:top w:w="0" w:type="dxa"/>
        <w:left w:w="108" w:type="dxa"/>
        <w:bottom w:w="0" w:type="dxa"/>
        <w:right w:w="108" w:type="dxa"/>
      </w:tblCellMar>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8064A2"/>
          <w:insideV w:val="single" w:sz="6" w:space="0" w:color="8064A2"/>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pPr>
      <w:spacing w:after="0" w:line="240" w:lineRule="auto"/>
    </w:pPr>
    <w:rPr>
      <w:rFonts w:ascii="Calibri" w:eastAsia="MS Gothic" w:hAnsi="Calibri"/>
      <w:color w:val="000000"/>
    </w:rPr>
    <w:tblPr>
      <w:tblStyleRowBandSize w:val="1"/>
      <w:tblStyleColBandSize w:val="1"/>
      <w:tblInd w:w="0" w:type="dxa"/>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shd w:val="clear" w:color="auto" w:fill="D2EAF1"/>
      <w:tblCellMar>
        <w:top w:w="0" w:type="dxa"/>
        <w:left w:w="108" w:type="dxa"/>
        <w:bottom w:w="0" w:type="dxa"/>
        <w:right w:w="108" w:type="dxa"/>
      </w:tblCellMar>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4BACC6"/>
          <w:insideV w:val="single" w:sz="6" w:space="0" w:color="4BACC6"/>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pPr>
      <w:spacing w:after="0" w:line="240" w:lineRule="auto"/>
    </w:pPr>
    <w:rPr>
      <w:rFonts w:ascii="Calibri" w:eastAsia="MS Gothic" w:hAnsi="Calibri"/>
      <w:color w:val="000000"/>
    </w:rPr>
    <w:tblPr>
      <w:tblStyleRowBandSize w:val="1"/>
      <w:tblStyleColBandSize w:val="1"/>
      <w:tblInd w:w="0" w:type="dxa"/>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shd w:val="clear" w:color="auto" w:fill="FDE4D0"/>
      <w:tblCellMar>
        <w:top w:w="0" w:type="dxa"/>
        <w:left w:w="108" w:type="dxa"/>
        <w:bottom w:w="0" w:type="dxa"/>
        <w:right w:w="108" w:type="dxa"/>
      </w:tblCellMar>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F79646"/>
          <w:insideV w:val="single" w:sz="6" w:space="0" w:color="F79646"/>
        </w:tcBorders>
        <w:shd w:val="clear" w:color="auto" w:fill="FBCAA2"/>
      </w:tcPr>
    </w:tblStylePr>
    <w:tblStylePr w:type="nwCell">
      <w:tblPr/>
      <w:tcPr>
        <w:shd w:val="clear" w:color="auto" w:fill="FFFFFF"/>
      </w:tcPr>
    </w:tblStylePr>
  </w:style>
  <w:style w:type="table" w:styleId="MediumGrid3">
    <w:name w:val="Medium Grid 3"/>
    <w:basedOn w:val="TableNormal"/>
    <w:uiPriority w:val="69"/>
    <w:pPr>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C0C0C0"/>
      <w:tblCellMar>
        <w:top w:w="0" w:type="dxa"/>
        <w:left w:w="108" w:type="dxa"/>
        <w:bottom w:w="0" w:type="dxa"/>
        <w:right w:w="108" w:type="dxa"/>
      </w:tblCellMar>
    </w:tblPr>
    <w:tcPr>
      <w:shd w:val="clear" w:color="auto" w:fill="C0C0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0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808080"/>
      </w:tcPr>
    </w:tblStylePr>
  </w:style>
  <w:style w:type="table" w:styleId="MediumGrid3-Accent1">
    <w:name w:val="Medium Grid 3 Accent 1"/>
    <w:basedOn w:val="TableNormal"/>
    <w:uiPriority w:val="69"/>
    <w:pPr>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3DFEE"/>
      <w:tblCellMar>
        <w:top w:w="0" w:type="dxa"/>
        <w:left w:w="108" w:type="dxa"/>
        <w:bottom w:w="0" w:type="dxa"/>
        <w:right w:w="108" w:type="dxa"/>
      </w:tblCellMar>
    </w:tblPr>
    <w:tcPr>
      <w:shd w:val="clear" w:color="auto" w:fill="D3DFEE"/>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F81B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7BFDE"/>
      </w:tcPr>
    </w:tblStylePr>
  </w:style>
  <w:style w:type="table" w:styleId="MediumGrid3-Accent2">
    <w:name w:val="Medium Grid 3 Accent 2"/>
    <w:basedOn w:val="TableNormal"/>
    <w:uiPriority w:val="69"/>
    <w:pPr>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FD3D2"/>
      <w:tblCellMar>
        <w:top w:w="0" w:type="dxa"/>
        <w:left w:w="108" w:type="dxa"/>
        <w:bottom w:w="0" w:type="dxa"/>
        <w:right w:w="108" w:type="dxa"/>
      </w:tblCellMar>
    </w:tblPr>
    <w:tcPr>
      <w:shd w:val="clear" w:color="auto" w:fill="EFD3D2"/>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C0504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DFA7A6"/>
      </w:tcPr>
    </w:tblStylePr>
  </w:style>
  <w:style w:type="table" w:styleId="MediumGrid3-Accent3">
    <w:name w:val="Medium Grid 3 Accent 3"/>
    <w:basedOn w:val="TableNormal"/>
    <w:uiPriority w:val="69"/>
    <w:pPr>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6EED5"/>
      <w:tblCellMar>
        <w:top w:w="0" w:type="dxa"/>
        <w:left w:w="108" w:type="dxa"/>
        <w:bottom w:w="0" w:type="dxa"/>
        <w:right w:w="108" w:type="dxa"/>
      </w:tblCellMar>
    </w:tblPr>
    <w:tcPr>
      <w:shd w:val="clear" w:color="auto" w:fill="E6EED5"/>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9BBB59"/>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CDDDAC"/>
      </w:tcPr>
    </w:tblStylePr>
  </w:style>
  <w:style w:type="table" w:styleId="MediumGrid3-Accent4">
    <w:name w:val="Medium Grid 3 Accent 4"/>
    <w:basedOn w:val="TableNormal"/>
    <w:uiPriority w:val="69"/>
    <w:pPr>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FD8E8"/>
      <w:tblCellMar>
        <w:top w:w="0" w:type="dxa"/>
        <w:left w:w="108" w:type="dxa"/>
        <w:bottom w:w="0" w:type="dxa"/>
        <w:right w:w="108" w:type="dxa"/>
      </w:tblCellMar>
    </w:tblPr>
    <w:tcPr>
      <w:shd w:val="clear" w:color="auto" w:fill="DFD8E8"/>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8064A2"/>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BFB1D0"/>
      </w:tcPr>
    </w:tblStylePr>
  </w:style>
  <w:style w:type="table" w:styleId="MediumGrid3-Accent5">
    <w:name w:val="Medium Grid 3 Accent 5"/>
    <w:basedOn w:val="TableNormal"/>
    <w:uiPriority w:val="69"/>
    <w:pPr>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2EAF1"/>
      <w:tblCellMar>
        <w:top w:w="0" w:type="dxa"/>
        <w:left w:w="108" w:type="dxa"/>
        <w:bottom w:w="0" w:type="dxa"/>
        <w:right w:w="108" w:type="dxa"/>
      </w:tblCellMar>
    </w:tblPr>
    <w:tcPr>
      <w:shd w:val="clear" w:color="auto" w:fill="D2EAF1"/>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BACC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5D5E2"/>
      </w:tcPr>
    </w:tblStylePr>
  </w:style>
  <w:style w:type="table" w:styleId="MediumGrid3-Accent6">
    <w:name w:val="Medium Grid 3 Accent 6"/>
    <w:basedOn w:val="TableNormal"/>
    <w:uiPriority w:val="69"/>
    <w:pPr>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FDE4D0"/>
      <w:tblCellMar>
        <w:top w:w="0" w:type="dxa"/>
        <w:left w:w="108" w:type="dxa"/>
        <w:bottom w:w="0" w:type="dxa"/>
        <w:right w:w="108" w:type="dxa"/>
      </w:tblCellMar>
    </w:tblPr>
    <w:tcPr>
      <w:shd w:val="clear" w:color="auto" w:fill="FDE4D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7964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BCAA2"/>
      </w:tcPr>
    </w:tblStylePr>
  </w:style>
  <w:style w:type="table" w:styleId="DarkList">
    <w:name w:val="Dark List"/>
    <w:basedOn w:val="TableNormal"/>
    <w:uiPriority w:val="70"/>
    <w:pPr>
      <w:spacing w:after="0" w:line="240" w:lineRule="auto"/>
    </w:pPr>
    <w:rPr>
      <w:color w:val="FFFFFF"/>
    </w:rPr>
    <w:tblPr>
      <w:tblStyleRowBandSize w:val="1"/>
      <w:tblStyleColBandSize w:val="1"/>
      <w:tblInd w:w="0" w:type="dxa"/>
      <w:shd w:val="clear" w:color="auto" w:fill="000000"/>
      <w:tblCellMar>
        <w:top w:w="0" w:type="dxa"/>
        <w:left w:w="108" w:type="dxa"/>
        <w:bottom w:w="0" w:type="dxa"/>
        <w:right w:w="108" w:type="dxa"/>
      </w:tblCellMar>
    </w:tblPr>
    <w:tcPr>
      <w:shd w:val="clear" w:color="auto" w:fill="000000"/>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single" w:sz="18" w:space="0" w:color="FFFFFF"/>
          <w:bottom w:val="nil"/>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pPr>
      <w:spacing w:after="0" w:line="240" w:lineRule="auto"/>
    </w:pPr>
    <w:rPr>
      <w:color w:val="FFFFFF"/>
    </w:rPr>
    <w:tblPr>
      <w:tblStyleRowBandSize w:val="1"/>
      <w:tblStyleColBandSize w:val="1"/>
      <w:tblInd w:w="0" w:type="dxa"/>
      <w:shd w:val="clear" w:color="auto" w:fill="4F81BD"/>
      <w:tblCellMar>
        <w:top w:w="0" w:type="dxa"/>
        <w:left w:w="108" w:type="dxa"/>
        <w:bottom w:w="0" w:type="dxa"/>
        <w:right w:w="108" w:type="dxa"/>
      </w:tblCellMar>
    </w:tblPr>
    <w:tcPr>
      <w:shd w:val="clear" w:color="auto" w:fill="4F81B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single" w:sz="18" w:space="0" w:color="FFFFFF"/>
          <w:bottom w:val="nil"/>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pPr>
      <w:spacing w:after="0" w:line="240" w:lineRule="auto"/>
    </w:pPr>
    <w:rPr>
      <w:color w:val="FFFFFF"/>
    </w:rPr>
    <w:tblPr>
      <w:tblStyleRowBandSize w:val="1"/>
      <w:tblStyleColBandSize w:val="1"/>
      <w:tblInd w:w="0" w:type="dxa"/>
      <w:shd w:val="clear" w:color="auto" w:fill="C0504D"/>
      <w:tblCellMar>
        <w:top w:w="0" w:type="dxa"/>
        <w:left w:w="108" w:type="dxa"/>
        <w:bottom w:w="0" w:type="dxa"/>
        <w:right w:w="108" w:type="dxa"/>
      </w:tblCellMar>
    </w:tblPr>
    <w:tcPr>
      <w:shd w:val="clear" w:color="auto" w:fill="C0504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single" w:sz="18" w:space="0" w:color="FFFFFF"/>
          <w:bottom w:val="nil"/>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pPr>
      <w:spacing w:after="0" w:line="240" w:lineRule="auto"/>
    </w:pPr>
    <w:rPr>
      <w:color w:val="FFFFFF"/>
    </w:rPr>
    <w:tblPr>
      <w:tblStyleRowBandSize w:val="1"/>
      <w:tblStyleColBandSize w:val="1"/>
      <w:tblInd w:w="0" w:type="dxa"/>
      <w:shd w:val="clear" w:color="auto" w:fill="9BBB59"/>
      <w:tblCellMar>
        <w:top w:w="0" w:type="dxa"/>
        <w:left w:w="108" w:type="dxa"/>
        <w:bottom w:w="0" w:type="dxa"/>
        <w:right w:w="108" w:type="dxa"/>
      </w:tblCellMar>
    </w:tblPr>
    <w:tcPr>
      <w:shd w:val="clear" w:color="auto" w:fill="9BBB59"/>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single" w:sz="18" w:space="0" w:color="FFFFFF"/>
          <w:bottom w:val="nil"/>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pPr>
      <w:spacing w:after="0" w:line="240" w:lineRule="auto"/>
    </w:pPr>
    <w:rPr>
      <w:color w:val="FFFFFF"/>
    </w:rPr>
    <w:tblPr>
      <w:tblStyleRowBandSize w:val="1"/>
      <w:tblStyleColBandSize w:val="1"/>
      <w:tblInd w:w="0" w:type="dxa"/>
      <w:shd w:val="clear" w:color="auto" w:fill="8064A2"/>
      <w:tblCellMar>
        <w:top w:w="0" w:type="dxa"/>
        <w:left w:w="108" w:type="dxa"/>
        <w:bottom w:w="0" w:type="dxa"/>
        <w:right w:w="108" w:type="dxa"/>
      </w:tblCellMar>
    </w:tblPr>
    <w:tcPr>
      <w:shd w:val="clear" w:color="auto" w:fill="8064A2"/>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single" w:sz="18" w:space="0" w:color="FFFFFF"/>
          <w:bottom w:val="nil"/>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pPr>
      <w:spacing w:after="0" w:line="240" w:lineRule="auto"/>
    </w:pPr>
    <w:rPr>
      <w:color w:val="FFFFFF"/>
    </w:rPr>
    <w:tblPr>
      <w:tblStyleRowBandSize w:val="1"/>
      <w:tblStyleColBandSize w:val="1"/>
      <w:tblInd w:w="0" w:type="dxa"/>
      <w:shd w:val="clear" w:color="auto" w:fill="4BACC6"/>
      <w:tblCellMar>
        <w:top w:w="0" w:type="dxa"/>
        <w:left w:w="108" w:type="dxa"/>
        <w:bottom w:w="0" w:type="dxa"/>
        <w:right w:w="108" w:type="dxa"/>
      </w:tblCellMar>
    </w:tblPr>
    <w:tcPr>
      <w:shd w:val="clear" w:color="auto" w:fill="4BACC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single" w:sz="18" w:space="0" w:color="FFFFFF"/>
          <w:bottom w:val="nil"/>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pPr>
      <w:spacing w:after="0" w:line="240" w:lineRule="auto"/>
    </w:pPr>
    <w:rPr>
      <w:color w:val="FFFFFF"/>
    </w:rPr>
    <w:tblPr>
      <w:tblStyleRowBandSize w:val="1"/>
      <w:tblStyleColBandSize w:val="1"/>
      <w:tblInd w:w="0" w:type="dxa"/>
      <w:shd w:val="clear" w:color="auto" w:fill="F79646"/>
      <w:tblCellMar>
        <w:top w:w="0" w:type="dxa"/>
        <w:left w:w="108" w:type="dxa"/>
        <w:bottom w:w="0" w:type="dxa"/>
        <w:right w:w="108" w:type="dxa"/>
      </w:tblCellMar>
    </w:tblPr>
    <w:tcPr>
      <w:shd w:val="clear" w:color="auto" w:fill="F7964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single" w:sz="18" w:space="0" w:color="FFFFFF"/>
          <w:bottom w:val="nil"/>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pPr>
      <w:spacing w:after="0" w:line="240" w:lineRule="auto"/>
    </w:pPr>
    <w:rPr>
      <w:color w:val="000000"/>
    </w:rPr>
    <w:tblPr>
      <w:tblStyleRowBandSize w:val="1"/>
      <w:tblStyleColBandSize w:val="1"/>
      <w:tblInd w:w="0" w:type="dxa"/>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shd w:val="clear" w:color="auto" w:fill="E6E6E6"/>
      <w:tblCellMar>
        <w:top w:w="0" w:type="dxa"/>
        <w:left w:w="108" w:type="dxa"/>
        <w:bottom w:w="0" w:type="dxa"/>
        <w:right w:w="108" w:type="dxa"/>
      </w:tblCellMar>
    </w:tblPr>
    <w:tcPr>
      <w:shd w:val="clear" w:color="auto" w:fill="E6E6E6"/>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00000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pPr>
      <w:spacing w:after="0" w:line="240" w:lineRule="auto"/>
    </w:pPr>
    <w:rPr>
      <w:color w:val="000000"/>
    </w:rPr>
    <w:tblPr>
      <w:tblStyleRowBandSize w:val="1"/>
      <w:tblStyleColBandSize w:val="1"/>
      <w:tblInd w:w="0" w:type="dxa"/>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shd w:val="clear" w:color="auto" w:fill="EDF2F8"/>
      <w:tblCellMar>
        <w:top w:w="0" w:type="dxa"/>
        <w:left w:w="108" w:type="dxa"/>
        <w:bottom w:w="0" w:type="dxa"/>
        <w:right w:w="108" w:type="dxa"/>
      </w:tblCellMar>
    </w:tblPr>
    <w:tcPr>
      <w:shd w:val="clear" w:color="auto" w:fill="EDF2F8"/>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2C4C74"/>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pPr>
      <w:spacing w:after="0" w:line="240" w:lineRule="auto"/>
    </w:pPr>
    <w:rPr>
      <w:color w:val="000000"/>
    </w:rPr>
    <w:tblPr>
      <w:tblStyleRowBandSize w:val="1"/>
      <w:tblStyleColBandSize w:val="1"/>
      <w:tblInd w:w="0" w:type="dxa"/>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shd w:val="clear" w:color="auto" w:fill="F8EDED"/>
      <w:tblCellMar>
        <w:top w:w="0" w:type="dxa"/>
        <w:left w:w="108" w:type="dxa"/>
        <w:bottom w:w="0" w:type="dxa"/>
        <w:right w:w="108" w:type="dxa"/>
      </w:tblCellMar>
    </w:tblPr>
    <w:tcPr>
      <w:shd w:val="clear" w:color="auto" w:fill="F8EDED"/>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772C2A"/>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pPr>
      <w:spacing w:after="0" w:line="240" w:lineRule="auto"/>
    </w:pPr>
    <w:rPr>
      <w:color w:val="000000"/>
    </w:rPr>
    <w:tblPr>
      <w:tblStyleRowBandSize w:val="1"/>
      <w:tblStyleColBandSize w:val="1"/>
      <w:tblInd w:w="0" w:type="dxa"/>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shd w:val="clear" w:color="auto" w:fill="F5F8EE"/>
      <w:tblCellMar>
        <w:top w:w="0" w:type="dxa"/>
        <w:left w:w="108" w:type="dxa"/>
        <w:bottom w:w="0" w:type="dxa"/>
        <w:right w:w="108" w:type="dxa"/>
      </w:tblCellMar>
    </w:tblPr>
    <w:tcPr>
      <w:shd w:val="clear" w:color="auto" w:fill="F5F8EE"/>
    </w:tcPr>
    <w:tblStylePr w:type="firstRow">
      <w:rPr>
        <w:b/>
        <w:bCs/>
      </w:rPr>
      <w:tblPr/>
      <w:tcPr>
        <w:tcBorders>
          <w:top w:val="nil"/>
          <w:left w:val="nil"/>
          <w:bottom w:val="single" w:sz="24" w:space="0" w:color="8064A2"/>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5E753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pPr>
      <w:spacing w:after="0" w:line="240" w:lineRule="auto"/>
    </w:pPr>
    <w:rPr>
      <w:color w:val="000000"/>
    </w:rPr>
    <w:tblPr>
      <w:tblStyleRowBandSize w:val="1"/>
      <w:tblStyleColBandSize w:val="1"/>
      <w:tblInd w:w="0" w:type="dxa"/>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shd w:val="clear" w:color="auto" w:fill="F2EFF6"/>
      <w:tblCellMar>
        <w:top w:w="0" w:type="dxa"/>
        <w:left w:w="108" w:type="dxa"/>
        <w:bottom w:w="0" w:type="dxa"/>
        <w:right w:w="108" w:type="dxa"/>
      </w:tblCellMar>
    </w:tblPr>
    <w:tcPr>
      <w:shd w:val="clear" w:color="auto" w:fill="F2EFF6"/>
    </w:tcPr>
    <w:tblStylePr w:type="firstRow">
      <w:rPr>
        <w:b/>
        <w:bCs/>
      </w:rPr>
      <w:tblPr/>
      <w:tcPr>
        <w:tcBorders>
          <w:top w:val="nil"/>
          <w:left w:val="nil"/>
          <w:bottom w:val="single" w:sz="24" w:space="0" w:color="9BBB59"/>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4C3B62"/>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pPr>
      <w:spacing w:after="0" w:line="240" w:lineRule="auto"/>
    </w:pPr>
    <w:rPr>
      <w:color w:val="000000"/>
    </w:rPr>
    <w:tblPr>
      <w:tblStyleRowBandSize w:val="1"/>
      <w:tblStyleColBandSize w:val="1"/>
      <w:tblInd w:w="0" w:type="dxa"/>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shd w:val="clear" w:color="auto" w:fill="EDF6F9"/>
      <w:tblCellMar>
        <w:top w:w="0" w:type="dxa"/>
        <w:left w:w="108" w:type="dxa"/>
        <w:bottom w:w="0" w:type="dxa"/>
        <w:right w:w="108" w:type="dxa"/>
      </w:tblCellMar>
    </w:tblPr>
    <w:tcPr>
      <w:shd w:val="clear" w:color="auto" w:fill="EDF6F9"/>
    </w:tcPr>
    <w:tblStylePr w:type="firstRow">
      <w:rPr>
        <w:b/>
        <w:bCs/>
      </w:rPr>
      <w:tblPr/>
      <w:tcPr>
        <w:tcBorders>
          <w:top w:val="nil"/>
          <w:left w:val="nil"/>
          <w:bottom w:val="single" w:sz="24" w:space="0" w:color="F7964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276A7C"/>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pPr>
      <w:spacing w:after="0" w:line="240" w:lineRule="auto"/>
    </w:pPr>
    <w:rPr>
      <w:color w:val="000000"/>
    </w:rPr>
    <w:tblPr>
      <w:tblStyleRowBandSize w:val="1"/>
      <w:tblStyleColBandSize w:val="1"/>
      <w:tblInd w:w="0" w:type="dxa"/>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shd w:val="clear" w:color="auto" w:fill="FEF4EC"/>
      <w:tblCellMar>
        <w:top w:w="0" w:type="dxa"/>
        <w:left w:w="108" w:type="dxa"/>
        <w:bottom w:w="0" w:type="dxa"/>
        <w:right w:w="108" w:type="dxa"/>
      </w:tblCellMar>
    </w:tblPr>
    <w:tcPr>
      <w:shd w:val="clear" w:color="auto" w:fill="FEF4EC"/>
    </w:tcPr>
    <w:tblStylePr w:type="firstRow">
      <w:rPr>
        <w:b/>
        <w:bCs/>
      </w:rPr>
      <w:tblPr/>
      <w:tcPr>
        <w:tcBorders>
          <w:top w:val="nil"/>
          <w:left w:val="nil"/>
          <w:bottom w:val="single" w:sz="24" w:space="0" w:color="4BACC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B65608"/>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pPr>
      <w:spacing w:after="0" w:line="240" w:lineRule="auto"/>
    </w:pPr>
    <w:rPr>
      <w:color w:val="000000"/>
    </w:rPr>
    <w:tblPr>
      <w:tblStyleRowBandSize w:val="1"/>
      <w:tblStyleColBandSize w:val="1"/>
      <w:tblInd w:w="0" w:type="dxa"/>
      <w:shd w:val="clear" w:color="auto" w:fill="E6E6E6"/>
      <w:tblCellMar>
        <w:top w:w="0" w:type="dxa"/>
        <w:left w:w="108" w:type="dxa"/>
        <w:bottom w:w="0" w:type="dxa"/>
        <w:right w:w="108" w:type="dxa"/>
      </w:tblCellMar>
    </w:tblPr>
    <w:tcPr>
      <w:shd w:val="clear" w:color="auto" w:fill="E6E6E6"/>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pPr>
      <w:spacing w:after="0" w:line="240" w:lineRule="auto"/>
    </w:pPr>
    <w:rPr>
      <w:color w:val="000000"/>
    </w:rPr>
    <w:tblPr>
      <w:tblStyleRowBandSize w:val="1"/>
      <w:tblStyleColBandSize w:val="1"/>
      <w:tblInd w:w="0" w:type="dxa"/>
      <w:shd w:val="clear" w:color="auto" w:fill="EDF2F8"/>
      <w:tblCellMar>
        <w:top w:w="0" w:type="dxa"/>
        <w:left w:w="108" w:type="dxa"/>
        <w:bottom w:w="0" w:type="dxa"/>
        <w:right w:w="108" w:type="dxa"/>
      </w:tblCellMar>
    </w:tblPr>
    <w:tcPr>
      <w:shd w:val="clear" w:color="auto" w:fill="EDF2F8"/>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pPr>
      <w:spacing w:after="0" w:line="240" w:lineRule="auto"/>
    </w:pPr>
    <w:rPr>
      <w:color w:val="000000"/>
    </w:rPr>
    <w:tblPr>
      <w:tblStyleRowBandSize w:val="1"/>
      <w:tblStyleColBandSize w:val="1"/>
      <w:tblInd w:w="0" w:type="dxa"/>
      <w:shd w:val="clear" w:color="auto" w:fill="F8EDED"/>
      <w:tblCellMar>
        <w:top w:w="0" w:type="dxa"/>
        <w:left w:w="108" w:type="dxa"/>
        <w:bottom w:w="0" w:type="dxa"/>
        <w:right w:w="108" w:type="dxa"/>
      </w:tblCellMar>
    </w:tblPr>
    <w:tcPr>
      <w:shd w:val="clear" w:color="auto" w:fill="F8EDED"/>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pPr>
      <w:spacing w:after="0" w:line="240" w:lineRule="auto"/>
    </w:pPr>
    <w:rPr>
      <w:color w:val="000000"/>
    </w:rPr>
    <w:tblPr>
      <w:tblStyleRowBandSize w:val="1"/>
      <w:tblStyleColBandSize w:val="1"/>
      <w:tblInd w:w="0" w:type="dxa"/>
      <w:shd w:val="clear" w:color="auto" w:fill="F5F8EE"/>
      <w:tblCellMar>
        <w:top w:w="0" w:type="dxa"/>
        <w:left w:w="108" w:type="dxa"/>
        <w:bottom w:w="0" w:type="dxa"/>
        <w:right w:w="108" w:type="dxa"/>
      </w:tblCellMar>
    </w:tblPr>
    <w:tcPr>
      <w:shd w:val="clear" w:color="auto" w:fill="F5F8EE"/>
    </w:tcPr>
    <w:tblStylePr w:type="firstRow">
      <w:rPr>
        <w:b/>
        <w:bCs/>
        <w:color w:val="FFFFFF"/>
      </w:rPr>
      <w:tblPr/>
      <w:tcPr>
        <w:tcBorders>
          <w:bottom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pPr>
      <w:spacing w:after="0" w:line="240" w:lineRule="auto"/>
    </w:pPr>
    <w:rPr>
      <w:color w:val="000000"/>
    </w:rPr>
    <w:tblPr>
      <w:tblStyleRowBandSize w:val="1"/>
      <w:tblStyleColBandSize w:val="1"/>
      <w:tblInd w:w="0" w:type="dxa"/>
      <w:shd w:val="clear" w:color="auto" w:fill="F2EFF6"/>
      <w:tblCellMar>
        <w:top w:w="0" w:type="dxa"/>
        <w:left w:w="108" w:type="dxa"/>
        <w:bottom w:w="0" w:type="dxa"/>
        <w:right w:w="108" w:type="dxa"/>
      </w:tblCellMar>
    </w:tblPr>
    <w:tcPr>
      <w:shd w:val="clear" w:color="auto" w:fill="F2EFF6"/>
    </w:tcPr>
    <w:tblStylePr w:type="firstRow">
      <w:rPr>
        <w:b/>
        <w:bCs/>
        <w:color w:val="FFFFFF"/>
      </w:rPr>
      <w:tblPr/>
      <w:tcPr>
        <w:tcBorders>
          <w:bottom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pPr>
      <w:spacing w:after="0" w:line="240" w:lineRule="auto"/>
    </w:pPr>
    <w:rPr>
      <w:color w:val="000000"/>
    </w:rPr>
    <w:tblPr>
      <w:tblStyleRowBandSize w:val="1"/>
      <w:tblStyleColBandSize w:val="1"/>
      <w:tblInd w:w="0" w:type="dxa"/>
      <w:shd w:val="clear" w:color="auto" w:fill="EDF6F9"/>
      <w:tblCellMar>
        <w:top w:w="0" w:type="dxa"/>
        <w:left w:w="108" w:type="dxa"/>
        <w:bottom w:w="0" w:type="dxa"/>
        <w:right w:w="108" w:type="dxa"/>
      </w:tblCellMar>
    </w:tblPr>
    <w:tcPr>
      <w:shd w:val="clear" w:color="auto" w:fill="EDF6F9"/>
    </w:tcPr>
    <w:tblStylePr w:type="firstRow">
      <w:rPr>
        <w:b/>
        <w:bCs/>
        <w:color w:val="FFFFFF"/>
      </w:rPr>
      <w:tblPr/>
      <w:tcPr>
        <w:tcBorders>
          <w:bottom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pPr>
      <w:spacing w:after="0" w:line="240" w:lineRule="auto"/>
    </w:pPr>
    <w:rPr>
      <w:color w:val="000000"/>
    </w:rPr>
    <w:tblPr>
      <w:tblStyleRowBandSize w:val="1"/>
      <w:tblStyleColBandSize w:val="1"/>
      <w:tblInd w:w="0" w:type="dxa"/>
      <w:shd w:val="clear" w:color="auto" w:fill="FEF4EC"/>
      <w:tblCellMar>
        <w:top w:w="0" w:type="dxa"/>
        <w:left w:w="108" w:type="dxa"/>
        <w:bottom w:w="0" w:type="dxa"/>
        <w:right w:w="108" w:type="dxa"/>
      </w:tblCellMar>
    </w:tblPr>
    <w:tcPr>
      <w:shd w:val="clear" w:color="auto" w:fill="FEF4EC"/>
    </w:tcPr>
    <w:tblStylePr w:type="firstRow">
      <w:rPr>
        <w:b/>
        <w:bCs/>
        <w:color w:val="FFFFFF"/>
      </w:rPr>
      <w:tblPr/>
      <w:tcPr>
        <w:tcBorders>
          <w:bottom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pPr>
      <w:spacing w:after="0" w:line="240" w:lineRule="auto"/>
    </w:pPr>
    <w:rPr>
      <w:color w:val="000000"/>
    </w:rPr>
    <w:tblPr>
      <w:tblStyleRowBandSize w:val="1"/>
      <w:tblStyleColBandSize w:val="1"/>
      <w:tblInd w:w="0" w:type="dxa"/>
      <w:tblBorders>
        <w:insideH w:val="single" w:sz="4" w:space="0" w:color="FFFFFF"/>
      </w:tblBorders>
      <w:shd w:val="clear" w:color="auto" w:fill="CCCCCC"/>
      <w:tblCellMar>
        <w:top w:w="0" w:type="dxa"/>
        <w:left w:w="108" w:type="dxa"/>
        <w:bottom w:w="0" w:type="dxa"/>
        <w:right w:w="108" w:type="dxa"/>
      </w:tblCellMar>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pPr>
      <w:spacing w:after="0" w:line="240" w:lineRule="auto"/>
    </w:pPr>
    <w:rPr>
      <w:color w:val="000000"/>
    </w:rPr>
    <w:tblPr>
      <w:tblStyleRowBandSize w:val="1"/>
      <w:tblStyleColBandSize w:val="1"/>
      <w:tblInd w:w="0" w:type="dxa"/>
      <w:tblBorders>
        <w:insideH w:val="single" w:sz="4" w:space="0" w:color="FFFFFF"/>
      </w:tblBorders>
      <w:shd w:val="clear" w:color="auto" w:fill="DBE5F1"/>
      <w:tblCellMar>
        <w:top w:w="0" w:type="dxa"/>
        <w:left w:w="108" w:type="dxa"/>
        <w:bottom w:w="0" w:type="dxa"/>
        <w:right w:w="108" w:type="dxa"/>
      </w:tblCellMar>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pPr>
      <w:spacing w:after="0" w:line="240" w:lineRule="auto"/>
    </w:pPr>
    <w:rPr>
      <w:color w:val="000000"/>
    </w:rPr>
    <w:tblPr>
      <w:tblStyleRowBandSize w:val="1"/>
      <w:tblStyleColBandSize w:val="1"/>
      <w:tblInd w:w="0" w:type="dxa"/>
      <w:tblBorders>
        <w:insideH w:val="single" w:sz="4" w:space="0" w:color="FFFFFF"/>
      </w:tblBorders>
      <w:shd w:val="clear" w:color="auto" w:fill="F2DBDB"/>
      <w:tblCellMar>
        <w:top w:w="0" w:type="dxa"/>
        <w:left w:w="108" w:type="dxa"/>
        <w:bottom w:w="0" w:type="dxa"/>
        <w:right w:w="108" w:type="dxa"/>
      </w:tblCellMar>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pPr>
      <w:spacing w:after="0" w:line="240" w:lineRule="auto"/>
    </w:pPr>
    <w:rPr>
      <w:color w:val="000000"/>
    </w:rPr>
    <w:tblPr>
      <w:tblStyleRowBandSize w:val="1"/>
      <w:tblStyleColBandSize w:val="1"/>
      <w:tblInd w:w="0" w:type="dxa"/>
      <w:tblBorders>
        <w:insideH w:val="single" w:sz="4" w:space="0" w:color="FFFFFF"/>
      </w:tblBorders>
      <w:shd w:val="clear" w:color="auto" w:fill="EAF1DD"/>
      <w:tblCellMar>
        <w:top w:w="0" w:type="dxa"/>
        <w:left w:w="108" w:type="dxa"/>
        <w:bottom w:w="0" w:type="dxa"/>
        <w:right w:w="108" w:type="dxa"/>
      </w:tblCellMar>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pPr>
      <w:spacing w:after="0" w:line="240" w:lineRule="auto"/>
    </w:pPr>
    <w:rPr>
      <w:color w:val="000000"/>
    </w:rPr>
    <w:tblPr>
      <w:tblStyleRowBandSize w:val="1"/>
      <w:tblStyleColBandSize w:val="1"/>
      <w:tblInd w:w="0" w:type="dxa"/>
      <w:tblBorders>
        <w:insideH w:val="single" w:sz="4" w:space="0" w:color="FFFFFF"/>
      </w:tblBorders>
      <w:shd w:val="clear" w:color="auto" w:fill="E5DFEC"/>
      <w:tblCellMar>
        <w:top w:w="0" w:type="dxa"/>
        <w:left w:w="108" w:type="dxa"/>
        <w:bottom w:w="0" w:type="dxa"/>
        <w:right w:w="108" w:type="dxa"/>
      </w:tblCellMar>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pPr>
      <w:spacing w:after="0" w:line="240" w:lineRule="auto"/>
    </w:pPr>
    <w:rPr>
      <w:color w:val="000000"/>
    </w:rPr>
    <w:tblPr>
      <w:tblStyleRowBandSize w:val="1"/>
      <w:tblStyleColBandSize w:val="1"/>
      <w:tblInd w:w="0" w:type="dxa"/>
      <w:tblBorders>
        <w:insideH w:val="single" w:sz="4" w:space="0" w:color="FFFFFF"/>
      </w:tblBorders>
      <w:shd w:val="clear" w:color="auto" w:fill="DAEEF3"/>
      <w:tblCellMar>
        <w:top w:w="0" w:type="dxa"/>
        <w:left w:w="108" w:type="dxa"/>
        <w:bottom w:w="0" w:type="dxa"/>
        <w:right w:w="108" w:type="dxa"/>
      </w:tblCellMar>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pPr>
      <w:spacing w:after="0" w:line="240" w:lineRule="auto"/>
    </w:pPr>
    <w:rPr>
      <w:color w:val="000000"/>
    </w:rPr>
    <w:tblPr>
      <w:tblStyleRowBandSize w:val="1"/>
      <w:tblStyleColBandSize w:val="1"/>
      <w:tblInd w:w="0" w:type="dxa"/>
      <w:tblBorders>
        <w:insideH w:val="single" w:sz="4" w:space="0" w:color="FFFFFF"/>
      </w:tblBorders>
      <w:shd w:val="clear" w:color="auto" w:fill="FDE9D9"/>
      <w:tblCellMar>
        <w:top w:w="0" w:type="dxa"/>
        <w:left w:w="108" w:type="dxa"/>
        <w:bottom w:w="0" w:type="dxa"/>
        <w:right w:w="108" w:type="dxa"/>
      </w:tblCellMar>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character" w:customStyle="1" w:styleId="UnresolvedMention">
    <w:name w:val="Unresolved Mention"/>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services/information-advice/" TargetMode="External"/><Relationship Id="rId13" Type="http://schemas.openxmlformats.org/officeDocument/2006/relationships/hyperlink" Target="https://www.gov.uk/government/statistics/diabetes-profile-update-march-2025/diabetes-profile-statistical-commentary-march-2025" TargetMode="External"/><Relationship Id="rId18" Type="http://schemas.openxmlformats.org/officeDocument/2006/relationships/hyperlink" Target="https://www.bmj.com/content/337/bmj.a1931" TargetMode="External"/><Relationship Id="rId26" Type="http://schemas.openxmlformats.org/officeDocument/2006/relationships/hyperlink" Target="https://digital.nhs.uk/data-and-information/publications/statistical/adult-psychiatric-morbidity-survey/survey-of-mental-health-and-wellbeing-england-2023-24" TargetMode="External"/><Relationship Id="rId39" Type="http://schemas.openxmlformats.org/officeDocument/2006/relationships/hyperlink" Target="https://womensaid.org.uk/annual-audit-2025/" TargetMode="External"/><Relationship Id="rId3" Type="http://schemas.openxmlformats.org/officeDocument/2006/relationships/styles" Target="styles.xml"/><Relationship Id="rId21" Type="http://schemas.openxmlformats.org/officeDocument/2006/relationships/hyperlink" Target="https://www.nice.org.uk/guidance/ph38" TargetMode="External"/><Relationship Id="rId34" Type="http://schemas.openxmlformats.org/officeDocument/2006/relationships/hyperlink" Target="https://www.ons.gov.uk/peoplepopulationandcommunity/crimeandjustice/bulletins/domesticabuseinenglandandwalesoverview/november2025"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gov.uk/government/news/government-announces-womens-health-strategy-to-be-renewed" TargetMode="External"/><Relationship Id="rId17" Type="http://schemas.openxmlformats.org/officeDocument/2006/relationships/hyperlink" Target="https://www.endometriosis-uk.org/sites/default/files/2026-02/Endometriosis%20-%20The%20State%20of%20Endometriosis%20Care%20Report.pdf" TargetMode="External"/><Relationship Id="rId25" Type="http://schemas.openxmlformats.org/officeDocument/2006/relationships/hyperlink" Target="https://www.gov.uk/government/publications/diabetic-eye-screening-programme-standards/nhs-diabetic-eye-screening-pathway-standards-from-1st-october-2024-public-facing-guidance-information" TargetMode="External"/><Relationship Id="rId33" Type="http://schemas.openxmlformats.org/officeDocument/2006/relationships/hyperlink" Target="https://www.ons.gov.uk/employmentandlabourmarket/peopleinwork/earningsandworkinghours/bulletins/genderpaygapintheuk/2025" TargetMode="External"/><Relationship Id="rId38" Type="http://schemas.openxmlformats.org/officeDocument/2006/relationships/hyperlink" Target="https://www.towerhamletstogether.com/community-health-check-programme" TargetMode="External"/><Relationship Id="rId2" Type="http://schemas.openxmlformats.org/officeDocument/2006/relationships/numbering" Target="numbering.xml"/><Relationship Id="rId16" Type="http://schemas.openxmlformats.org/officeDocument/2006/relationships/hyperlink" Target="https://www.diabetes.org.uk/about-us/about-the-charity/our-strategy/statistics" TargetMode="External"/><Relationship Id="rId20" Type="http://schemas.openxmlformats.org/officeDocument/2006/relationships/hyperlink" Target="https://bjgp.org/content/62/603/e663" TargetMode="External"/><Relationship Id="rId29" Type="http://schemas.openxmlformats.org/officeDocument/2006/relationships/hyperlink" Target="https://digital.nhs.uk/data-and-information/publications/statistical/health-survey-for-england/2024/adults-overweight-and-obesity" TargetMode="External"/><Relationship Id="rId41" Type="http://schemas.openxmlformats.org/officeDocument/2006/relationships/hyperlink" Target="https://www.who.int/news-room/fact-sheets/detail/diabe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womens-health-hubs-information-and-guidance/womens-health-hubs-cost-benefit-analysis" TargetMode="External"/><Relationship Id="rId24" Type="http://schemas.openxmlformats.org/officeDocument/2006/relationships/hyperlink" Target="https://digital.nhs.uk/data-and-information/publications/statistical/health-survey-for-england/2022-part-2" TargetMode="External"/><Relationship Id="rId32" Type="http://schemas.openxmlformats.org/officeDocument/2006/relationships/hyperlink" Target="https://www.ons.gov.uk/peoplepopulationandcommunity/healthandsocialcare/socialcare/articles/unpaidcarebyagesexanddeprivationenglandandwales/census2021" TargetMode="External"/><Relationship Id="rId37" Type="http://schemas.openxmlformats.org/officeDocument/2006/relationships/hyperlink" Target="https://www.towerhamlets.gov.uk/lgnl/health__social_care/public_health/Healthy-communities.aspx" TargetMode="External"/><Relationship Id="rId40" Type="http://schemas.openxmlformats.org/officeDocument/2006/relationships/hyperlink" Target="https://womensaid.org.uk/what-we-do/research/about-womens-aid-research-and-data/" TargetMode="External"/><Relationship Id="rId5" Type="http://schemas.openxmlformats.org/officeDocument/2006/relationships/webSettings" Target="webSettings.xml"/><Relationship Id="rId15" Type="http://schemas.openxmlformats.org/officeDocument/2006/relationships/hyperlink" Target="https://www.gov.uk/government/publications/government-response-to-the-women-and-equalities-committee-report-on-womens-reproductive-health-conditions/government-response-to-the-women-and-equalities-committees-first-report-of-session-2024-to-2025-womens-reproductive-health-conditions" TargetMode="External"/><Relationship Id="rId23" Type="http://schemas.openxmlformats.org/officeDocument/2006/relationships/hyperlink" Target="https://digital.nhs.uk/data-and-information/publications/statistical/cervical-screening-annual/england-2023-24" TargetMode="External"/><Relationship Id="rId28" Type="http://schemas.openxmlformats.org/officeDocument/2006/relationships/hyperlink" Target="https://www.england.nhs.uk/2025/05/nhs-initiative-helps-thousands-more-tackle-their-diabetes-risk/" TargetMode="External"/><Relationship Id="rId36" Type="http://schemas.openxmlformats.org/officeDocument/2006/relationships/hyperlink" Target="https://www.towerhamlets.gov.uk/Documents/Public-Health/TowerHamletsPublicHealthReport2022.pdf" TargetMode="External"/><Relationship Id="rId10" Type="http://schemas.openxmlformats.org/officeDocument/2006/relationships/hyperlink" Target="https://www.gov.uk/government/publications/womens-health-strategy-for-england/womens-health-strategy-for-england" TargetMode="External"/><Relationship Id="rId19" Type="http://schemas.openxmlformats.org/officeDocument/2006/relationships/hyperlink" Target="https://bmjopen.bmj.com/content/2/5/e001477" TargetMode="External"/><Relationship Id="rId31" Type="http://schemas.openxmlformats.org/officeDocument/2006/relationships/hyperlink" Target="https://www.england.nhs.uk/long-read/performance-report-24-25/"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geuk.org.uk/latest-press/articles/age-uks-new-report-shows-you-are-not-alone-in-feeling-lonely/" TargetMode="External"/><Relationship Id="rId14" Type="http://schemas.openxmlformats.org/officeDocument/2006/relationships/hyperlink" Target="https://fingertips.phe.org.uk/profile/diabetes-ft" TargetMode="External"/><Relationship Id="rId22" Type="http://schemas.openxmlformats.org/officeDocument/2006/relationships/hyperlink" Target="https://media.nhsbsa.nhs.uk/press-releases/e29454d6-7346-4183-b9fe-57a31a04ce1e/nhs-diabetes-treatment-spending-reaches-1-92-billion-as-new-medications-become-available" TargetMode="External"/><Relationship Id="rId27" Type="http://schemas.openxmlformats.org/officeDocument/2006/relationships/hyperlink" Target="https://www.england.nhs.uk/diabetes/diabetes-prevention/" TargetMode="External"/><Relationship Id="rId30" Type="http://schemas.openxmlformats.org/officeDocument/2006/relationships/hyperlink" Target="https://digital.nhs.uk/data-and-information/publications/statistical/national-diabetes-audit/report-1-cp-and-tt-data-release-2024-25/nda-report-1-cp-and-tt-data-release-2024-25" TargetMode="External"/><Relationship Id="rId35" Type="http://schemas.openxmlformats.org/officeDocument/2006/relationships/hyperlink" Target="https://www.towerhamlets.gov.uk/Documents/Public-Health/JSNA/Type_2_diabetes.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2C25C3-17F5-49B2-9C57-2E5269DC4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Pages>
  <Words>5041</Words>
  <Characters>28735</Characters>
  <Application>Microsoft Office Word</Application>
  <DocSecurity>0</DocSecurity>
  <Lines>239</Lines>
  <Paragraphs>67</Paragraphs>
  <ScaleCrop>false</ScaleCrop>
  <Company/>
  <LinksUpToDate>false</LinksUpToDate>
  <CharactersWithSpaces>33709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DECENT</cp:lastModifiedBy>
  <cp:revision>7</cp:revision>
  <dcterms:created xsi:type="dcterms:W3CDTF">2026-03-19T15:32:00Z</dcterms:created>
  <dcterms:modified xsi:type="dcterms:W3CDTF">2026-03-21T22:55:00Z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628b3541b77248abb3266568cc04c30f</vt:lpwstr>
  </property>
</Properties>
</file>