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9749EC" w14:textId="77777777" w:rsidR="00147E4B" w:rsidRDefault="00147E4B" w:rsidP="00147E4B">
      <w:pPr>
        <w:jc w:val="center"/>
        <w:rPr>
          <w:rFonts w:ascii="Arial" w:hAnsi="Arial" w:cs="Arial"/>
          <w:b/>
          <w:bCs/>
          <w:lang w:val="en-GB"/>
        </w:rPr>
      </w:pPr>
    </w:p>
    <w:p w14:paraId="7C6826D3" w14:textId="3967F7B9" w:rsidR="00147E4B" w:rsidRPr="00147E4B" w:rsidRDefault="00147E4B" w:rsidP="00147E4B">
      <w:pPr>
        <w:jc w:val="center"/>
        <w:rPr>
          <w:rFonts w:ascii="Arial" w:hAnsi="Arial" w:cs="Arial"/>
          <w:b/>
          <w:bCs/>
          <w:sz w:val="28"/>
          <w:szCs w:val="28"/>
          <w:lang w:val="en-GB"/>
        </w:rPr>
      </w:pPr>
      <w:r w:rsidRPr="00147E4B">
        <w:rPr>
          <w:rFonts w:ascii="Arial" w:hAnsi="Arial" w:cs="Arial"/>
          <w:b/>
          <w:bCs/>
          <w:sz w:val="28"/>
          <w:szCs w:val="28"/>
          <w:lang w:val="en-GB"/>
        </w:rPr>
        <w:t>BA Leadership and Management</w:t>
      </w:r>
    </w:p>
    <w:p w14:paraId="42A67672" w14:textId="77777777" w:rsidR="00147E4B" w:rsidRPr="00147E4B" w:rsidRDefault="00147E4B" w:rsidP="00147E4B">
      <w:pPr>
        <w:jc w:val="center"/>
        <w:rPr>
          <w:rFonts w:ascii="Arial" w:hAnsi="Arial" w:cs="Arial"/>
          <w:b/>
          <w:bCs/>
          <w:sz w:val="28"/>
          <w:szCs w:val="28"/>
          <w:lang w:val="en-GB"/>
        </w:rPr>
      </w:pPr>
      <w:r w:rsidRPr="00147E4B">
        <w:rPr>
          <w:rFonts w:ascii="Arial" w:hAnsi="Arial" w:cs="Arial"/>
          <w:b/>
          <w:bCs/>
          <w:sz w:val="28"/>
          <w:szCs w:val="28"/>
          <w:lang w:val="en-GB"/>
        </w:rPr>
        <w:t>Coaching and Mentoring Skills for the Workplace</w:t>
      </w:r>
    </w:p>
    <w:p w14:paraId="3EF9E4C4" w14:textId="071ACEC1" w:rsidR="00147E4B" w:rsidRPr="00147E4B" w:rsidRDefault="00147E4B" w:rsidP="00147E4B">
      <w:pPr>
        <w:jc w:val="center"/>
        <w:rPr>
          <w:rFonts w:ascii="Arial" w:hAnsi="Arial" w:cs="Arial"/>
          <w:b/>
          <w:bCs/>
          <w:sz w:val="28"/>
          <w:szCs w:val="28"/>
          <w:lang w:val="en-GB"/>
        </w:rPr>
      </w:pPr>
      <w:r w:rsidRPr="00147E4B">
        <w:rPr>
          <w:rFonts w:ascii="Arial" w:hAnsi="Arial" w:cs="Arial"/>
          <w:b/>
          <w:bCs/>
          <w:sz w:val="28"/>
          <w:szCs w:val="28"/>
          <w:lang w:val="en-GB"/>
        </w:rPr>
        <w:t>BMSW6105</w:t>
      </w:r>
    </w:p>
    <w:p w14:paraId="494671F6" w14:textId="77777777" w:rsidR="00147E4B" w:rsidRPr="00147E4B" w:rsidRDefault="00147E4B" w:rsidP="00147E4B">
      <w:pPr>
        <w:jc w:val="center"/>
        <w:rPr>
          <w:rFonts w:ascii="Arial" w:hAnsi="Arial" w:cs="Arial"/>
          <w:b/>
          <w:bCs/>
          <w:sz w:val="28"/>
          <w:szCs w:val="28"/>
          <w:lang w:val="en-GB"/>
        </w:rPr>
      </w:pPr>
    </w:p>
    <w:p w14:paraId="3665F2CA" w14:textId="443CDDBA" w:rsidR="00147E4B" w:rsidRPr="00147E4B" w:rsidRDefault="00147E4B" w:rsidP="00147E4B">
      <w:pPr>
        <w:rPr>
          <w:rFonts w:ascii="Arial" w:hAnsi="Arial" w:cs="Arial"/>
          <w:b/>
          <w:bCs/>
          <w:sz w:val="28"/>
          <w:szCs w:val="28"/>
          <w:lang w:val="en-GB"/>
        </w:rPr>
      </w:pPr>
      <w:r w:rsidRPr="00147E4B">
        <w:rPr>
          <w:rFonts w:ascii="Arial" w:hAnsi="Arial" w:cs="Arial"/>
          <w:b/>
          <w:bCs/>
          <w:sz w:val="28"/>
          <w:szCs w:val="28"/>
          <w:lang w:val="en-GB"/>
        </w:rPr>
        <w:t xml:space="preserve">                                                                                                                       TASK 3</w:t>
      </w:r>
    </w:p>
    <w:p w14:paraId="6FB5119D" w14:textId="001FF7FE" w:rsidR="00147E4B" w:rsidRDefault="00147E4B" w:rsidP="00147E4B">
      <w:pPr>
        <w:jc w:val="center"/>
        <w:rPr>
          <w:rFonts w:ascii="Arial" w:hAnsi="Arial" w:cs="Arial"/>
          <w:b/>
          <w:bCs/>
          <w:sz w:val="28"/>
          <w:szCs w:val="28"/>
          <w:lang w:val="en-GB"/>
        </w:rPr>
      </w:pPr>
      <w:r w:rsidRPr="00147E4B">
        <w:rPr>
          <w:rFonts w:ascii="Arial" w:hAnsi="Arial" w:cs="Arial"/>
          <w:b/>
          <w:bCs/>
          <w:sz w:val="28"/>
          <w:szCs w:val="28"/>
          <w:lang w:val="en-GB"/>
        </w:rPr>
        <w:t>Reflective Report: Coaching and Mentoring Experience</w:t>
      </w:r>
    </w:p>
    <w:p w14:paraId="6B9AD8F1" w14:textId="5205EC5A" w:rsidR="00147E4B" w:rsidRDefault="0014724D" w:rsidP="00147E4B">
      <w:pPr>
        <w:jc w:val="center"/>
        <w:rPr>
          <w:rFonts w:ascii="Arial" w:hAnsi="Arial" w:cs="Arial"/>
          <w:b/>
          <w:bCs/>
          <w:sz w:val="28"/>
          <w:szCs w:val="28"/>
          <w:lang w:val="en-GB"/>
        </w:rPr>
      </w:pPr>
      <w:r w:rsidRPr="0014724D">
        <w:rPr>
          <w:rFonts w:ascii="Arial" w:hAnsi="Arial" w:cs="Arial"/>
          <w:b/>
          <w:bCs/>
          <w:sz w:val="28"/>
          <w:szCs w:val="28"/>
          <w:lang w:val="en-GB"/>
        </w:rPr>
        <w:t xml:space="preserve">Cosmin Daniel </w:t>
      </w:r>
      <w:proofErr w:type="spellStart"/>
      <w:r w:rsidRPr="0014724D">
        <w:rPr>
          <w:rFonts w:ascii="Arial" w:hAnsi="Arial" w:cs="Arial"/>
          <w:b/>
          <w:bCs/>
          <w:sz w:val="28"/>
          <w:szCs w:val="28"/>
          <w:lang w:val="en-GB"/>
        </w:rPr>
        <w:t>Jaleru</w:t>
      </w:r>
      <w:proofErr w:type="spellEnd"/>
    </w:p>
    <w:p w14:paraId="3A4436EA" w14:textId="77777777" w:rsidR="00147E4B" w:rsidRDefault="00147E4B" w:rsidP="00147E4B">
      <w:pPr>
        <w:jc w:val="center"/>
        <w:rPr>
          <w:rFonts w:ascii="Arial" w:hAnsi="Arial" w:cs="Arial"/>
          <w:b/>
          <w:bCs/>
          <w:sz w:val="28"/>
          <w:szCs w:val="28"/>
          <w:lang w:val="en-GB"/>
        </w:rPr>
      </w:pPr>
    </w:p>
    <w:p w14:paraId="7E9B148B" w14:textId="77777777" w:rsidR="00147E4B" w:rsidRDefault="00147E4B" w:rsidP="00147E4B">
      <w:pPr>
        <w:jc w:val="center"/>
        <w:rPr>
          <w:rFonts w:ascii="Arial" w:hAnsi="Arial" w:cs="Arial"/>
          <w:b/>
          <w:bCs/>
          <w:sz w:val="28"/>
          <w:szCs w:val="28"/>
          <w:lang w:val="en-GB"/>
        </w:rPr>
      </w:pPr>
    </w:p>
    <w:p w14:paraId="4BCF8F9A" w14:textId="6AD64FC0" w:rsidR="00147E4B" w:rsidRDefault="00147E4B" w:rsidP="00147E4B">
      <w:pPr>
        <w:rPr>
          <w:rFonts w:ascii="Arial" w:hAnsi="Arial" w:cs="Arial"/>
          <w:lang w:val="en-GB"/>
        </w:rPr>
      </w:pPr>
      <w:r w:rsidRPr="00147E4B">
        <w:rPr>
          <w:rFonts w:ascii="Arial" w:hAnsi="Arial" w:cs="Arial"/>
          <w:b/>
          <w:bCs/>
          <w:lang w:val="en-GB"/>
        </w:rPr>
        <w:t>Introduction</w:t>
      </w:r>
    </w:p>
    <w:p w14:paraId="2797DBFF" w14:textId="77777777" w:rsidR="00147E4B" w:rsidRPr="00147E4B" w:rsidRDefault="00147E4B" w:rsidP="00147E4B">
      <w:pPr>
        <w:rPr>
          <w:rFonts w:ascii="Arial" w:hAnsi="Arial" w:cs="Arial"/>
          <w:lang w:val="en-GB"/>
        </w:rPr>
      </w:pPr>
      <w:r w:rsidRPr="00147E4B">
        <w:rPr>
          <w:rFonts w:ascii="Arial" w:hAnsi="Arial" w:cs="Arial"/>
          <w:lang w:val="en-GB"/>
        </w:rPr>
        <w:t xml:space="preserve">This report aims to analyse and improve my professional practice in organisational contexts by presenting a critical viewpoint on my experience with coaching and mentoring during practical sessions. This will be achieved by means of insight into my experiences. The Reflective Cycle Gibbs (1988) developed will be used to help one reach the aim of introspection. The choice of this cycle was determined by the systematic approach to the analysis of personal experiences. This approach helps one to clearly and succinctly spot both opportunities for development and strengths. Whitmore (2017) defines coaching as an ordered discourse that helps people reach certain performance-related goals, therefore promoting both personal and professional growth by means of guided questions and reflection strategies. We call a talk coaching when it helps someone reach goals connected to specific performance. Conversely, a mentoring relationship is differentiated by a strategy focused on the development of the mentor-mentee connection over an extended period of time and aimed at the general professional growth attainment. According to Clutterbuck (2019), typically this is accomplished via sharing information, experiences, and particular directions. Mentoring emphasises development rather than performance, according to </w:t>
      </w:r>
      <w:proofErr w:type="spellStart"/>
      <w:r w:rsidRPr="00147E4B">
        <w:rPr>
          <w:rFonts w:ascii="Arial" w:hAnsi="Arial" w:cs="Arial"/>
          <w:lang w:val="en-GB"/>
        </w:rPr>
        <w:t>Parsloe</w:t>
      </w:r>
      <w:proofErr w:type="spellEnd"/>
      <w:r w:rsidRPr="00147E4B">
        <w:rPr>
          <w:rFonts w:ascii="Arial" w:hAnsi="Arial" w:cs="Arial"/>
          <w:lang w:val="en-GB"/>
        </w:rPr>
        <w:t xml:space="preserve"> and Leedham (2022), which is often the goal of coaching at this time. Through mentoring, a more experienced person guides and helps a colleague with less expertise. Good coaches, according to Rogers (2016), show traits including active listening, empathy, strong questioning, and a clear purpose in their approaches. Among these qualities are active listening. We will look at two important ideas Whitmore developed: the GROW model and the Johari Window.</w:t>
      </w:r>
    </w:p>
    <w:p w14:paraId="743F349C" w14:textId="77777777" w:rsidR="00147E4B" w:rsidRDefault="00147E4B" w:rsidP="00147E4B">
      <w:pPr>
        <w:rPr>
          <w:rFonts w:ascii="Arial" w:hAnsi="Arial" w:cs="Arial"/>
          <w:lang w:val="en-GB"/>
        </w:rPr>
      </w:pPr>
    </w:p>
    <w:p w14:paraId="7612BB01" w14:textId="77777777" w:rsidR="00147E4B" w:rsidRDefault="00147E4B" w:rsidP="00147E4B">
      <w:pPr>
        <w:rPr>
          <w:rFonts w:ascii="Arial" w:hAnsi="Arial" w:cs="Arial"/>
          <w:lang w:val="en-GB"/>
        </w:rPr>
      </w:pPr>
    </w:p>
    <w:p w14:paraId="6D435099" w14:textId="77777777" w:rsidR="00147E4B" w:rsidRDefault="00147E4B" w:rsidP="00147E4B">
      <w:pPr>
        <w:rPr>
          <w:rFonts w:ascii="Arial" w:hAnsi="Arial" w:cs="Arial"/>
          <w:lang w:val="en-GB"/>
        </w:rPr>
      </w:pPr>
    </w:p>
    <w:p w14:paraId="7A40D0A8" w14:textId="63268980" w:rsidR="0072252F" w:rsidRPr="0072252F" w:rsidRDefault="0072252F" w:rsidP="0072252F">
      <w:pPr>
        <w:rPr>
          <w:rFonts w:ascii="Arial" w:hAnsi="Arial" w:cs="Arial"/>
          <w:b/>
          <w:bCs/>
          <w:lang w:val="en-GB"/>
        </w:rPr>
      </w:pPr>
      <w:r w:rsidRPr="0072252F">
        <w:rPr>
          <w:rFonts w:ascii="Arial" w:hAnsi="Arial" w:cs="Arial"/>
          <w:lang w:val="en-GB"/>
        </w:rPr>
        <w:t>Critical Evaluation of Coaching and Mentoring in the Workplac</w:t>
      </w:r>
      <w:r w:rsidRPr="0072252F">
        <w:rPr>
          <w:rFonts w:ascii="Arial" w:hAnsi="Arial" w:cs="Arial"/>
          <w:lang w:val="en-GB"/>
        </w:rPr>
        <w:t>e</w:t>
      </w:r>
      <w:r w:rsidRPr="0072252F">
        <w:rPr>
          <w:rFonts w:ascii="Arial" w:hAnsi="Arial" w:cs="Arial"/>
          <w:lang w:val="en-GB"/>
        </w:rPr>
        <w:br/>
      </w:r>
      <w:r w:rsidRPr="0072252F">
        <w:rPr>
          <w:rFonts w:ascii="Arial" w:hAnsi="Arial" w:cs="Arial"/>
          <w:lang w:val="en-GB"/>
        </w:rPr>
        <w:br/>
        <w:t xml:space="preserve">The authors Connor and Pokora (2017) state that coaching and mentoring are considered to play significant roles in the workplace. This is as a result of the fact that they enhance the performance of employees, foster personal development, and support effective leadership. According to Whitmore (2017), the primary purpose of coaching is to give support to workers in the accomplishment of specified performance targets, the resolution of skill gaps, and the increase of motivation via the use of customised goal-setting and feedback methodologies. This is the core goal of coaching. In the realm of coaching, this is the most important goal. On the other side, mentoring is advantageous for long-term development, professional advancement, and the transfer of skills earned from working in an organisation. </w:t>
      </w:r>
    </w:p>
    <w:p w14:paraId="0F23A3B3" w14:textId="260DCB66" w:rsidR="0072252F" w:rsidRDefault="0072252F" w:rsidP="0072252F">
      <w:pPr>
        <w:rPr>
          <w:rFonts w:ascii="Arial" w:hAnsi="Arial" w:cs="Arial"/>
          <w:lang w:val="en-GB"/>
        </w:rPr>
      </w:pPr>
      <w:r w:rsidRPr="0072252F">
        <w:rPr>
          <w:rFonts w:ascii="Arial" w:hAnsi="Arial" w:cs="Arial"/>
          <w:lang w:val="en-GB"/>
        </w:rPr>
        <w:t xml:space="preserve">Other benefits include the transmission of knowledge. In addition, mentoring might result in professional gains for the one receiving it. According to Clutterbuck (2019), it frequently provides a significant contribution to the process of planning for the leadership transition that will take place in the future after it has already taken place. According to Grant (2017), firms that employ coaching tactics find gains in individual productivity, higher staff engagement, and enhanced problem-solving ability. This is the case the majority of the time. This benefit is typically obtained by businesses that make use of coaching strategies as a consequence of the efforts that they put out. The year 2022 marked the beginning of </w:t>
      </w:r>
      <w:proofErr w:type="spellStart"/>
      <w:r w:rsidRPr="0072252F">
        <w:rPr>
          <w:rFonts w:ascii="Arial" w:hAnsi="Arial" w:cs="Arial"/>
          <w:lang w:val="en-GB"/>
        </w:rPr>
        <w:t>Parsloe</w:t>
      </w:r>
      <w:proofErr w:type="spellEnd"/>
      <w:r w:rsidRPr="0072252F">
        <w:rPr>
          <w:rFonts w:ascii="Arial" w:hAnsi="Arial" w:cs="Arial"/>
          <w:lang w:val="en-GB"/>
        </w:rPr>
        <w:t xml:space="preserve"> and Leedham's relationship. </w:t>
      </w:r>
    </w:p>
    <w:p w14:paraId="7C30F5D6" w14:textId="3AB45DB3" w:rsidR="0072252F" w:rsidRPr="0072252F" w:rsidRDefault="0072252F" w:rsidP="0072252F">
      <w:pPr>
        <w:rPr>
          <w:rFonts w:ascii="Arial" w:hAnsi="Arial" w:cs="Arial"/>
          <w:lang w:val="en-GB"/>
        </w:rPr>
      </w:pPr>
      <w:r w:rsidRPr="0072252F">
        <w:rPr>
          <w:rFonts w:ascii="Arial" w:hAnsi="Arial" w:cs="Arial"/>
          <w:lang w:val="en-GB"/>
        </w:rPr>
        <w:t>There have been a number of studies that have demonstrated that mentoring has the potential to enhance the culture of an organisation, as well as the satisfaction of employees and the retention of staff positions. This aim may be accomplished through the cultivation of trustworthy connections and the facilitation of the exchange of information. These are the techniques by which this objective can be satisfied.</w:t>
      </w:r>
      <w:r w:rsidRPr="0072252F">
        <w:rPr>
          <w:rFonts w:ascii="Arial" w:hAnsi="Arial" w:cs="Arial"/>
          <w:lang w:val="en-GB"/>
        </w:rPr>
        <w:br/>
      </w:r>
      <w:r w:rsidRPr="0072252F">
        <w:rPr>
          <w:rFonts w:ascii="Arial" w:hAnsi="Arial" w:cs="Arial"/>
          <w:lang w:val="en-GB"/>
        </w:rPr>
        <w:br/>
        <w:t xml:space="preserve">According to Connor and Pokora (2017), mentoring is distinguished by interactions that are both comprehensive and informal, and that are established on mutual respect and trust. These interactions constitute the foundation of mentoring. The distinguishing feature between mentoring and other types of social connection is the interactions that take place. Coaching, on the other hand, is often characterised as the application of organised models in order to attain specified objectives. The objective of both kinds of activities is to enhance performance, which is a point of comparison that is comparable between the two kinds of activities by virtue of the fact that they are comparable to one another. According to Clutterbuck (2019), effective mentorship programs in the workplace often make use of both formal and informal processes. Formal procedures are more commonly used. Both the mentee and the mentor stand to gain from these programs since they facilitate the development of leadership skills and the creation of organisational coherence on both sides of the relationship structure. As a consequence, these programs are advantageous to both parties involved. </w:t>
      </w:r>
      <w:r w:rsidRPr="0072252F">
        <w:rPr>
          <w:rFonts w:ascii="Arial" w:hAnsi="Arial" w:cs="Arial"/>
          <w:lang w:val="en-GB"/>
        </w:rPr>
        <w:br/>
      </w:r>
      <w:r w:rsidRPr="0072252F">
        <w:rPr>
          <w:rFonts w:ascii="Arial" w:hAnsi="Arial" w:cs="Arial"/>
          <w:lang w:val="en-GB"/>
        </w:rPr>
        <w:br/>
      </w:r>
      <w:r w:rsidR="003702DD">
        <w:rPr>
          <w:rFonts w:ascii="Arial" w:hAnsi="Arial" w:cs="Arial"/>
          <w:noProof/>
          <w:lang w:val="en-GB"/>
        </w:rPr>
        <w:drawing>
          <wp:inline distT="0" distB="0" distL="0" distR="0" wp14:anchorId="347B7604" wp14:editId="7071438A">
            <wp:extent cx="12192000" cy="4162425"/>
            <wp:effectExtent l="0" t="0" r="0" b="9525"/>
            <wp:docPr id="1943586462" name="Immagine 1" descr="Immagine che contiene testo, Carattere, logo, Marchi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586462" name="Immagine 1" descr="Immagine che contiene testo, Carattere, logo, Marchio&#10;&#10;Il contenuto generato dall'IA potrebbe non essere corretto."/>
                    <pic:cNvPicPr/>
                  </pic:nvPicPr>
                  <pic:blipFill>
                    <a:blip r:embed="rId4">
                      <a:extLst>
                        <a:ext uri="{28A0092B-C50C-407E-A947-70E740481C1C}">
                          <a14:useLocalDpi xmlns:a14="http://schemas.microsoft.com/office/drawing/2010/main" val="0"/>
                        </a:ext>
                        <a:ext uri="{837473B0-CC2E-450A-ABE3-18F120FF3D39}">
                          <a1611:picAttrSrcUrl xmlns:a1611="http://schemas.microsoft.com/office/drawing/2016/11/main" r:id="rId5"/>
                        </a:ext>
                      </a:extLst>
                    </a:blip>
                    <a:stretch>
                      <a:fillRect/>
                    </a:stretch>
                  </pic:blipFill>
                  <pic:spPr>
                    <a:xfrm>
                      <a:off x="0" y="0"/>
                      <a:ext cx="12192000" cy="4162425"/>
                    </a:xfrm>
                    <a:prstGeom prst="rect">
                      <a:avLst/>
                    </a:prstGeom>
                  </pic:spPr>
                </pic:pic>
              </a:graphicData>
            </a:graphic>
          </wp:inline>
        </w:drawing>
      </w:r>
    </w:p>
    <w:p w14:paraId="75B3FCFD" w14:textId="77777777" w:rsidR="00147E4B" w:rsidRPr="00147E4B" w:rsidRDefault="00147E4B" w:rsidP="00147E4B">
      <w:pPr>
        <w:rPr>
          <w:rFonts w:ascii="Arial" w:hAnsi="Arial" w:cs="Arial"/>
          <w:lang w:val="en-GB"/>
        </w:rPr>
      </w:pPr>
    </w:p>
    <w:p w14:paraId="0F75CEB6" w14:textId="77777777" w:rsidR="0072252F" w:rsidRPr="0028676D" w:rsidRDefault="0072252F" w:rsidP="0072252F">
      <w:pPr>
        <w:rPr>
          <w:rFonts w:ascii="Arial" w:hAnsi="Arial" w:cs="Arial"/>
          <w:lang w:val="en-GB"/>
        </w:rPr>
      </w:pPr>
      <w:r w:rsidRPr="0072252F">
        <w:rPr>
          <w:rFonts w:ascii="Arial" w:hAnsi="Arial" w:cs="Arial"/>
          <w:lang w:val="en-GB"/>
        </w:rPr>
        <w:t>Critical Analysis of the GROW Model</w:t>
      </w:r>
    </w:p>
    <w:p w14:paraId="4D633049" w14:textId="77777777" w:rsidR="0028676D" w:rsidRDefault="0028676D" w:rsidP="0028676D">
      <w:pPr>
        <w:rPr>
          <w:rFonts w:ascii="Arial" w:hAnsi="Arial" w:cs="Arial"/>
          <w:lang w:val="en-GB"/>
        </w:rPr>
      </w:pPr>
      <w:r w:rsidRPr="0028676D">
        <w:rPr>
          <w:rFonts w:ascii="Arial" w:hAnsi="Arial" w:cs="Arial"/>
          <w:lang w:val="en-GB"/>
        </w:rPr>
        <w:br/>
        <w:t xml:space="preserve">When it comes to the management of coaching interactions, it is a typical practice to make considerable use of the GROW model, which was established by Whitmore (2017). This is a frequent practice. This is because the model is not only necessary but also effective when it is applied to the context of coaching interactions. This is the reason why this is the case. As was indicated before, the acronym in question is composed of the key components that, when combined, make the whole. </w:t>
      </w:r>
    </w:p>
    <w:p w14:paraId="515F16C5" w14:textId="77777777" w:rsidR="0028676D" w:rsidRDefault="0028676D" w:rsidP="0028676D">
      <w:pPr>
        <w:rPr>
          <w:rFonts w:ascii="Arial" w:hAnsi="Arial" w:cs="Arial"/>
          <w:lang w:val="en-GB"/>
        </w:rPr>
      </w:pPr>
      <w:r w:rsidRPr="0028676D">
        <w:rPr>
          <w:rFonts w:ascii="Arial" w:hAnsi="Arial" w:cs="Arial"/>
          <w:lang w:val="en-GB"/>
        </w:rPr>
        <w:t>The will, the possibilities, the reality, and the aim are the components that make up this situation. According to Whitmore (2017), the initial stages of this process include the establishment of objectives that are crystal clear, the acquisition of knowledge of the reality that already exists, the evaluation of multiple possible options for action, and the conclusion of the process with a commitment to take such action. It is imperative that each of these phases be completed in order to guarantee that the procedure will be effective. Rogers (2016) has claimed that this organised strategy is of great help for coaching sessions that are concentrated on performance difficulties. This is something that has been expressed by Rogers (2016). One of the reasons for this is that it places a high value on being transparent, taking responsibility, and being proactive when it comes to the process of finding solutions to problems.</w:t>
      </w:r>
      <w:r w:rsidRPr="0028676D">
        <w:rPr>
          <w:rFonts w:ascii="Arial" w:hAnsi="Arial" w:cs="Arial"/>
          <w:lang w:val="en-GB"/>
        </w:rPr>
        <w:br/>
      </w:r>
      <w:r w:rsidRPr="0028676D">
        <w:rPr>
          <w:rFonts w:ascii="Arial" w:hAnsi="Arial" w:cs="Arial"/>
          <w:lang w:val="en-GB"/>
        </w:rPr>
        <w:br/>
        <w:t xml:space="preserve">However, it is crucial to keep in mind that the GROW model does, in fact, have a few limits that need to be taken into consideration. This is something that must be kept into consideration. It is possible that the structured nature of this technique may make it more difficult to investigate the more fundamental emotional or motivational issues that have an effect on performance. This is something that Grant (2017) says. In addition, the fact that this strategy is organised lends credence to this assertion. As stated by Clutterbuck (2019), a significant number of persons who are opposed to it have the belief that it has the potential to simplify difficult circumstances to an excessive degree and to undervalue the relational dynamics that have an impact on the achievement of goals. As one of the reasons why they are against it, this is one of the reasons. </w:t>
      </w:r>
    </w:p>
    <w:p w14:paraId="251EF3CF" w14:textId="77777777" w:rsidR="0028676D" w:rsidRDefault="0028676D" w:rsidP="0028676D">
      <w:pPr>
        <w:rPr>
          <w:rFonts w:ascii="Arial" w:hAnsi="Arial" w:cs="Arial"/>
        </w:rPr>
      </w:pPr>
      <w:r w:rsidRPr="0028676D">
        <w:rPr>
          <w:rFonts w:ascii="Arial" w:hAnsi="Arial" w:cs="Arial"/>
          <w:lang w:val="en-GB"/>
        </w:rPr>
        <w:t xml:space="preserve">There are a substantial number of people that are opposed to it, as stated by this idea. It has been asserted by Whitmore (2017) that the GROW model is of considerable value in formal organisational contexts, such as situations that need project management or performance evaluations. This is due to the fact that the GROW model is designed to meet the requirements of predicaments of this nature. Nevertheless, this is in spite of the fact that the model does have a few shortcomings that need to be solved. Those shortcomings are needed to be rectified. The conditions that need the rapid resolution of problems, the formation of objectives that can be accomplished, and the acquisition of clarity in connection to short-term aims are the ones in which it is achieved with the greatest degree of success. In addition to this, it is among the most efficient tools that are now accessible to the whole human population. </w:t>
      </w:r>
      <w:r w:rsidRPr="0028676D">
        <w:rPr>
          <w:rFonts w:ascii="Arial" w:hAnsi="Arial" w:cs="Arial"/>
          <w:lang w:val="en-GB"/>
        </w:rPr>
        <w:br/>
      </w:r>
      <w:r w:rsidRPr="0028676D">
        <w:rPr>
          <w:rFonts w:ascii="Arial" w:hAnsi="Arial" w:cs="Arial"/>
          <w:lang w:val="en-GB"/>
        </w:rPr>
        <w:br/>
      </w:r>
      <w:r w:rsidRPr="0028676D">
        <w:rPr>
          <w:rFonts w:ascii="Arial" w:hAnsi="Arial" w:cs="Arial"/>
          <w:lang w:val="en-GB"/>
        </w:rPr>
        <w:br/>
      </w:r>
    </w:p>
    <w:p w14:paraId="2F359DB6" w14:textId="32F6120B" w:rsidR="0028676D" w:rsidRDefault="0028676D" w:rsidP="0028676D">
      <w:pPr>
        <w:rPr>
          <w:rFonts w:ascii="Arial" w:hAnsi="Arial" w:cs="Arial"/>
          <w:lang w:val="en-GB"/>
        </w:rPr>
      </w:pPr>
      <w:r w:rsidRPr="0028676D">
        <w:rPr>
          <w:rFonts w:ascii="Arial" w:hAnsi="Arial" w:cs="Arial"/>
          <w:lang w:val="en-GB"/>
        </w:rPr>
        <w:t>Reflection on Practical 1: Coaching and Goal Setting</w:t>
      </w:r>
    </w:p>
    <w:p w14:paraId="009E83EC" w14:textId="77777777" w:rsidR="00835191" w:rsidRDefault="00835191" w:rsidP="00835191">
      <w:pPr>
        <w:rPr>
          <w:rFonts w:ascii="Arial" w:hAnsi="Arial" w:cs="Arial"/>
          <w:lang w:val="en-GB"/>
        </w:rPr>
      </w:pPr>
      <w:r w:rsidRPr="00835191">
        <w:rPr>
          <w:rFonts w:ascii="Arial" w:hAnsi="Arial" w:cs="Arial"/>
          <w:lang w:val="en-GB"/>
        </w:rPr>
        <w:t xml:space="preserve">The goal of the coaching session was to improve my colleague's capacity to manage their time by employing the GROW model, and I had a crystal clear knowledge of the purpose from the very beginning of the session. In order to do this, I intended to provide them with guidance and help related to their endeavours. </w:t>
      </w:r>
    </w:p>
    <w:p w14:paraId="6081972A" w14:textId="77777777" w:rsidR="00835191" w:rsidRDefault="00835191" w:rsidP="00835191">
      <w:pPr>
        <w:rPr>
          <w:rFonts w:ascii="Arial" w:hAnsi="Arial" w:cs="Arial"/>
          <w:lang w:val="en-GB"/>
        </w:rPr>
      </w:pPr>
      <w:r w:rsidRPr="00835191">
        <w:rPr>
          <w:rFonts w:ascii="Arial" w:hAnsi="Arial" w:cs="Arial"/>
          <w:lang w:val="en-GB"/>
        </w:rPr>
        <w:t xml:space="preserve">This aim was realised by utilising Gibbs' (1988) Reflective Cycle as the approach that was utilised in order to accomplish it. This was the approach that was used; it was successful. A key achievement that we were able to achieve as a consequence of having a clear purpose in mind was the fact that we were able to guide our conversation in a way that was more helpful to both parties. This was a huge accomplishment that we were able to successfully achieve. </w:t>
      </w:r>
    </w:p>
    <w:p w14:paraId="671EC9D3" w14:textId="77777777" w:rsidR="00835191" w:rsidRDefault="00835191" w:rsidP="00835191">
      <w:pPr>
        <w:rPr>
          <w:rFonts w:ascii="Arial" w:hAnsi="Arial" w:cs="Arial"/>
          <w:lang w:val="en-GB"/>
        </w:rPr>
      </w:pPr>
      <w:r w:rsidRPr="00835191">
        <w:rPr>
          <w:rFonts w:ascii="Arial" w:hAnsi="Arial" w:cs="Arial"/>
          <w:lang w:val="en-GB"/>
        </w:rPr>
        <w:t xml:space="preserve">During the period in which we were experiencing reality, I made fantastic use of active listening and questioning, which eventually led to the revelation of unique hurdles that were inhibiting my fellow student from obtaining success in their job. After all was said and done, this identification was successful. As a consequence of the process of doing research on a broad variety of various possibilities, a number of solutions that are applicable to circumstances that take place in the real world were established. These solutions are applicable to situations that take place in the actual world. As part of the process of putting these principles into action, a number of different technological instruments, such as computerised scheduling tools and ways for prioritisation, were incorporated into the process. </w:t>
      </w:r>
      <w:r w:rsidRPr="00835191">
        <w:rPr>
          <w:rFonts w:ascii="Arial" w:hAnsi="Arial" w:cs="Arial"/>
          <w:lang w:val="en-GB"/>
        </w:rPr>
        <w:br/>
      </w:r>
      <w:r w:rsidRPr="00835191">
        <w:rPr>
          <w:rFonts w:ascii="Arial" w:hAnsi="Arial" w:cs="Arial"/>
          <w:lang w:val="en-GB"/>
        </w:rPr>
        <w:br/>
        <w:t>During the Will phase, on the other hand, I became aware of the fact that I had a tendency to prescribe solutions without any justification, rather than allowing my peer the option to choose their preferred method on their own initiative. This realisation occurred during the Will phase. At some point during the Will phase, this realisation took place. This realisation occurred at some point during the Will phase of the process. During the Will phase of the process, this realisation took place at some point in time.</w:t>
      </w:r>
    </w:p>
    <w:p w14:paraId="72BE01A8" w14:textId="77777777" w:rsidR="00835191" w:rsidRDefault="00835191" w:rsidP="00835191">
      <w:pPr>
        <w:rPr>
          <w:rFonts w:ascii="Arial" w:hAnsi="Arial" w:cs="Arial"/>
        </w:rPr>
      </w:pPr>
      <w:r w:rsidRPr="00835191">
        <w:rPr>
          <w:rFonts w:ascii="Arial" w:hAnsi="Arial" w:cs="Arial"/>
          <w:lang w:val="en-GB"/>
        </w:rPr>
        <w:t xml:space="preserve"> The results of this event brought to my attention the fact that I have a propensity to take control of the outcomes rather than establishing an environment that supports true empowerment. This was brought to my attention by the outcomes of this event. my was brought to my attention as a result of the ramifications of my decision, and I am thankful for it. The fact that this was truly taking place was brought to my knowledge after I had already given it a great deal of serious consideration and investigation. In the future, coaching will place a larger emphasis on the development of methodological approaches to questioning that are more effective. In order to further increase the amount of autonomy that is established in the persons who are being coached, this is done with the objective of further boosting overall autonomy. The execution of this strategy will result in an increase in the amount of autonomy that is produced, which will be an improvement above what was previously attained.</w:t>
      </w:r>
      <w:r w:rsidRPr="00835191">
        <w:rPr>
          <w:rFonts w:ascii="Arial" w:hAnsi="Arial" w:cs="Arial"/>
          <w:lang w:val="en-GB"/>
        </w:rPr>
        <w:br/>
      </w:r>
      <w:r w:rsidRPr="00835191">
        <w:rPr>
          <w:rFonts w:ascii="Arial" w:hAnsi="Arial" w:cs="Arial"/>
          <w:lang w:val="en-GB"/>
        </w:rPr>
        <w:br/>
      </w:r>
      <w:r w:rsidRPr="00835191">
        <w:rPr>
          <w:rFonts w:ascii="Arial" w:hAnsi="Arial" w:cs="Arial"/>
          <w:lang w:val="en-GB"/>
        </w:rPr>
        <w:br/>
      </w:r>
    </w:p>
    <w:p w14:paraId="70DBD554" w14:textId="45EB663D" w:rsidR="00835191" w:rsidRPr="00835191" w:rsidRDefault="00835191" w:rsidP="00835191">
      <w:pPr>
        <w:rPr>
          <w:rFonts w:ascii="Arial" w:hAnsi="Arial" w:cs="Arial"/>
          <w:lang w:val="en-GB"/>
        </w:rPr>
      </w:pPr>
      <w:r w:rsidRPr="00835191">
        <w:rPr>
          <w:rFonts w:ascii="Arial" w:hAnsi="Arial" w:cs="Arial"/>
          <w:lang w:val="en-GB"/>
        </w:rPr>
        <w:t>Reflection on Practical 2: Mentoring and Feedback</w:t>
      </w:r>
    </w:p>
    <w:p w14:paraId="24D5229B" w14:textId="77777777" w:rsidR="0042303E" w:rsidRDefault="0042303E" w:rsidP="0042303E">
      <w:pPr>
        <w:rPr>
          <w:rFonts w:ascii="Arial" w:hAnsi="Arial" w:cs="Arial"/>
          <w:lang w:val="en-GB"/>
        </w:rPr>
      </w:pPr>
      <w:r w:rsidRPr="0042303E">
        <w:rPr>
          <w:rFonts w:ascii="Arial" w:hAnsi="Arial" w:cs="Arial"/>
          <w:lang w:val="en-GB"/>
        </w:rPr>
        <w:t xml:space="preserve">The Johari Window was deployed to its utmost degree for the course of the mentorship session, which finally resulted in the giving of insightful feedback on both interpersonal communication and corporate communication. It was necessary to execute Gibbs' (1988) Reflective Cycle in a method that was distinct from the way it was first utilised in order to achieve this aim. This was a need. Through the utilisation of the Johari Window for the goal of analysis, I was able to successfully increase the level of self-awareness that this particular individual possessed. This objective was fulfilled by providing a contribution to the discovery of blind spots in the communication style of my mentee. </w:t>
      </w:r>
    </w:p>
    <w:p w14:paraId="6FEED1A8" w14:textId="77777777" w:rsidR="0042303E" w:rsidRDefault="0042303E" w:rsidP="0042303E">
      <w:pPr>
        <w:rPr>
          <w:rFonts w:ascii="Arial" w:hAnsi="Arial" w:cs="Arial"/>
          <w:lang w:val="en-GB"/>
        </w:rPr>
      </w:pPr>
      <w:r w:rsidRPr="0042303E">
        <w:rPr>
          <w:rFonts w:ascii="Arial" w:hAnsi="Arial" w:cs="Arial"/>
          <w:lang w:val="en-GB"/>
        </w:rPr>
        <w:t xml:space="preserve">This was the medium through which this objective was attained. I not only have the capability to create an atmosphere that is encouraging and receptive to feedback, but I also have the capacity to do so. A supportive and open environment is something that I am capable of achieving. I am able to say that this is one of the abilities that I have acquired during the course of my life. </w:t>
      </w:r>
      <w:r w:rsidRPr="0042303E">
        <w:rPr>
          <w:rFonts w:ascii="Arial" w:hAnsi="Arial" w:cs="Arial"/>
          <w:lang w:val="en-GB"/>
        </w:rPr>
        <w:br/>
      </w:r>
      <w:r w:rsidRPr="0042303E">
        <w:rPr>
          <w:rFonts w:ascii="Arial" w:hAnsi="Arial" w:cs="Arial"/>
          <w:lang w:val="en-GB"/>
        </w:rPr>
        <w:br/>
        <w:t>In contrast, I found that it was challenging to deliver criticism that was not just clear but also helpful in a manner that was simply understood. This was something that I saw. From my own personal experience, I can say that this was a challenging endeavour. Additionally, since I was concerned about whether or not I would make other people feel uncomfortable, I ran the potential of misrepresenting the gravity of the thoughts that I was wanting to depict while I was trying to convey them. An area of personal development that places a focus on assertiveness and clarity in the delivery of communication is identified when seen through the lens of reflection. In light of the fact that this is the situation, this is the reason.</w:t>
      </w:r>
    </w:p>
    <w:p w14:paraId="0432B190" w14:textId="05D547D3" w:rsidR="003702DD" w:rsidRDefault="0042303E" w:rsidP="0042303E">
      <w:pPr>
        <w:rPr>
          <w:rFonts w:ascii="Arial" w:hAnsi="Arial" w:cs="Arial"/>
          <w:lang w:val="en-GB"/>
        </w:rPr>
      </w:pPr>
      <w:r w:rsidRPr="0042303E">
        <w:rPr>
          <w:rFonts w:ascii="Arial" w:hAnsi="Arial" w:cs="Arial"/>
          <w:lang w:val="en-GB"/>
        </w:rPr>
        <w:t xml:space="preserve"> As a result of this, it would appear that there is room for improvement in this specific field. The aim that I have created for myself as a goal that I have set for myself is to be able to boost future practice by aiding mentees in strengthening their professional abilities to a higher degree. This is the goal that I have set for myself. I am the one who intends to accomplish this goal. Consequently, as a result of this, I will be better able to sympathise with them and communicate in a manner that is not just understandable but also helpful to them. You can count on me to be able to find a happy medium between the two.</w:t>
      </w:r>
      <w:r w:rsidRPr="0042303E">
        <w:rPr>
          <w:rFonts w:ascii="Arial" w:hAnsi="Arial" w:cs="Arial"/>
          <w:lang w:val="en-GB"/>
        </w:rPr>
        <w:br/>
      </w:r>
    </w:p>
    <w:p w14:paraId="2B40444A" w14:textId="77777777" w:rsidR="003702DD" w:rsidRDefault="003702DD" w:rsidP="0042303E">
      <w:pPr>
        <w:rPr>
          <w:rFonts w:ascii="Arial" w:hAnsi="Arial" w:cs="Arial"/>
          <w:lang w:val="en-GB"/>
        </w:rPr>
      </w:pPr>
    </w:p>
    <w:p w14:paraId="3E8B470D" w14:textId="77777777" w:rsidR="003702DD" w:rsidRDefault="003702DD" w:rsidP="0042303E">
      <w:pPr>
        <w:rPr>
          <w:rFonts w:ascii="Arial" w:hAnsi="Arial" w:cs="Arial"/>
          <w:lang w:val="en-GB"/>
        </w:rPr>
      </w:pPr>
      <w:r>
        <w:rPr>
          <w:rFonts w:ascii="Arial" w:hAnsi="Arial" w:cs="Arial"/>
          <w:lang w:val="en-GB"/>
        </w:rPr>
        <w:t>Conclusion</w:t>
      </w:r>
      <w:r w:rsidR="0042303E" w:rsidRPr="0042303E">
        <w:rPr>
          <w:rFonts w:ascii="Arial" w:hAnsi="Arial" w:cs="Arial"/>
          <w:lang w:val="en-GB"/>
        </w:rPr>
        <w:br/>
      </w:r>
      <w:r w:rsidRPr="003702DD">
        <w:rPr>
          <w:rFonts w:ascii="Arial" w:hAnsi="Arial" w:cs="Arial"/>
          <w:lang w:val="en-GB"/>
        </w:rPr>
        <w:t>In this reflective report, coaching and mentoring within organisational contexts were subjected to a critical evaluation, the success of Whitmore's GROW model was emphasised, and personal coaching and mentoring experiences were remarked upon.  One of the most important realisations was the necessity of providing feedback that is both balanced and constructive, as well as the recognition of the significance of empowering individuals rather than dictating answers.  My future professional activity will be greatly informed by this reflective approach, which is backed by relevant research. It will enhance the efficacy of my coaching and mentoring by encouraging deeper relational skills and more successful goal-oriented interactions in organisational contexts.</w:t>
      </w:r>
      <w:r w:rsidR="0042303E" w:rsidRPr="0042303E">
        <w:rPr>
          <w:rFonts w:ascii="Arial" w:hAnsi="Arial" w:cs="Arial"/>
          <w:lang w:val="en-GB"/>
        </w:rPr>
        <w:br/>
      </w:r>
      <w:r w:rsidR="0042303E" w:rsidRPr="0042303E">
        <w:rPr>
          <w:rFonts w:ascii="Arial" w:hAnsi="Arial" w:cs="Arial"/>
          <w:lang w:val="en-GB"/>
        </w:rPr>
        <w:br/>
      </w:r>
      <w:r w:rsidR="0042303E" w:rsidRPr="0042303E">
        <w:rPr>
          <w:rFonts w:ascii="Arial" w:hAnsi="Arial" w:cs="Arial"/>
          <w:lang w:val="en-GB"/>
        </w:rPr>
        <w:br/>
      </w:r>
      <w:r w:rsidR="0042303E" w:rsidRPr="0042303E">
        <w:rPr>
          <w:rFonts w:ascii="Arial" w:hAnsi="Arial" w:cs="Arial"/>
          <w:lang w:val="en-GB"/>
        </w:rPr>
        <w:br/>
      </w:r>
    </w:p>
    <w:p w14:paraId="06C48131" w14:textId="77777777" w:rsidR="003702DD" w:rsidRDefault="003702DD" w:rsidP="0042303E">
      <w:pPr>
        <w:rPr>
          <w:rFonts w:ascii="Arial" w:hAnsi="Arial" w:cs="Arial"/>
          <w:lang w:val="en-GB"/>
        </w:rPr>
      </w:pPr>
    </w:p>
    <w:p w14:paraId="6D8910A0" w14:textId="31C7F93E" w:rsidR="003702DD" w:rsidRPr="003702DD" w:rsidRDefault="003702DD" w:rsidP="0042303E">
      <w:pPr>
        <w:rPr>
          <w:rFonts w:ascii="Arial" w:hAnsi="Arial" w:cs="Arial"/>
          <w:b/>
          <w:bCs/>
          <w:lang w:val="en-GB"/>
        </w:rPr>
      </w:pPr>
      <w:r w:rsidRPr="003702DD">
        <w:rPr>
          <w:rFonts w:ascii="Arial" w:hAnsi="Arial" w:cs="Arial"/>
          <w:b/>
          <w:bCs/>
          <w:lang w:val="en-GB"/>
        </w:rPr>
        <w:t xml:space="preserve">References </w:t>
      </w:r>
    </w:p>
    <w:p w14:paraId="5D003098" w14:textId="77777777" w:rsidR="003702DD" w:rsidRPr="003702DD" w:rsidRDefault="003702DD" w:rsidP="003702DD">
      <w:pPr>
        <w:rPr>
          <w:rFonts w:ascii="Arial" w:hAnsi="Arial" w:cs="Arial"/>
          <w:b/>
          <w:bCs/>
          <w:i/>
          <w:iCs/>
          <w:lang w:val="en-GB"/>
        </w:rPr>
      </w:pPr>
      <w:r w:rsidRPr="003702DD">
        <w:rPr>
          <w:rFonts w:ascii="Arial" w:hAnsi="Arial" w:cs="Arial"/>
          <w:b/>
          <w:bCs/>
          <w:i/>
          <w:iCs/>
          <w:lang w:val="en-GB"/>
        </w:rPr>
        <w:t xml:space="preserve">Clutterbuck, D. (2019). Everyone Needs a Mentor. 5th </w:t>
      </w:r>
      <w:proofErr w:type="spellStart"/>
      <w:r w:rsidRPr="003702DD">
        <w:rPr>
          <w:rFonts w:ascii="Arial" w:hAnsi="Arial" w:cs="Arial"/>
          <w:b/>
          <w:bCs/>
          <w:i/>
          <w:iCs/>
          <w:lang w:val="en-GB"/>
        </w:rPr>
        <w:t>edn</w:t>
      </w:r>
      <w:proofErr w:type="spellEnd"/>
      <w:r w:rsidRPr="003702DD">
        <w:rPr>
          <w:rFonts w:ascii="Arial" w:hAnsi="Arial" w:cs="Arial"/>
          <w:b/>
          <w:bCs/>
          <w:i/>
          <w:iCs/>
          <w:lang w:val="en-GB"/>
        </w:rPr>
        <w:t>. Chartered Institute of Personnel and Development.</w:t>
      </w:r>
    </w:p>
    <w:p w14:paraId="3A3CD575" w14:textId="77777777" w:rsidR="003702DD" w:rsidRPr="003702DD" w:rsidRDefault="003702DD" w:rsidP="003702DD">
      <w:pPr>
        <w:rPr>
          <w:rFonts w:ascii="Arial" w:hAnsi="Arial" w:cs="Arial"/>
          <w:b/>
          <w:bCs/>
          <w:i/>
          <w:iCs/>
          <w:lang w:val="en-GB"/>
        </w:rPr>
      </w:pPr>
      <w:r w:rsidRPr="003702DD">
        <w:rPr>
          <w:rFonts w:ascii="Arial" w:hAnsi="Arial" w:cs="Arial"/>
          <w:b/>
          <w:bCs/>
          <w:i/>
          <w:iCs/>
          <w:lang w:val="en-GB"/>
        </w:rPr>
        <w:t xml:space="preserve">Connor, M. and Pokora, J. (2017). Coaching and Mentoring at Work: Developing Effective Practice. 3rd </w:t>
      </w:r>
      <w:proofErr w:type="spellStart"/>
      <w:r w:rsidRPr="003702DD">
        <w:rPr>
          <w:rFonts w:ascii="Arial" w:hAnsi="Arial" w:cs="Arial"/>
          <w:b/>
          <w:bCs/>
          <w:i/>
          <w:iCs/>
          <w:lang w:val="en-GB"/>
        </w:rPr>
        <w:t>edn</w:t>
      </w:r>
      <w:proofErr w:type="spellEnd"/>
      <w:r w:rsidRPr="003702DD">
        <w:rPr>
          <w:rFonts w:ascii="Arial" w:hAnsi="Arial" w:cs="Arial"/>
          <w:b/>
          <w:bCs/>
          <w:i/>
          <w:iCs/>
          <w:lang w:val="en-GB"/>
        </w:rPr>
        <w:t>. McGraw-Hill Education.</w:t>
      </w:r>
    </w:p>
    <w:p w14:paraId="0483265A" w14:textId="77777777" w:rsidR="003702DD" w:rsidRPr="003702DD" w:rsidRDefault="003702DD" w:rsidP="003702DD">
      <w:pPr>
        <w:rPr>
          <w:rFonts w:ascii="Arial" w:hAnsi="Arial" w:cs="Arial"/>
          <w:b/>
          <w:bCs/>
          <w:i/>
          <w:iCs/>
          <w:lang w:val="en-GB"/>
        </w:rPr>
      </w:pPr>
      <w:r w:rsidRPr="003702DD">
        <w:rPr>
          <w:rFonts w:ascii="Arial" w:hAnsi="Arial" w:cs="Arial"/>
          <w:b/>
          <w:bCs/>
          <w:i/>
          <w:iCs/>
          <w:lang w:val="en-GB"/>
        </w:rPr>
        <w:t>Gibbs, G. (1988). Learning by Doing: A Guide to Teaching and Learning Methods. Oxford Polytechnic.</w:t>
      </w:r>
    </w:p>
    <w:p w14:paraId="10E596D4" w14:textId="77777777" w:rsidR="003702DD" w:rsidRPr="003702DD" w:rsidRDefault="003702DD" w:rsidP="003702DD">
      <w:pPr>
        <w:rPr>
          <w:rFonts w:ascii="Arial" w:hAnsi="Arial" w:cs="Arial"/>
          <w:b/>
          <w:bCs/>
          <w:i/>
          <w:iCs/>
          <w:lang w:val="en-GB"/>
        </w:rPr>
      </w:pPr>
      <w:r w:rsidRPr="003702DD">
        <w:rPr>
          <w:rFonts w:ascii="Arial" w:hAnsi="Arial" w:cs="Arial"/>
          <w:b/>
          <w:bCs/>
          <w:i/>
          <w:iCs/>
          <w:lang w:val="en-GB"/>
        </w:rPr>
        <w:t>Grant, A. M. (2017). ‘The third “generation” of workplace coaching: creating a culture of quality conversations’, Coaching: An International Journal of Theory, Research and Practice, 10(1), pp. 37–53.</w:t>
      </w:r>
    </w:p>
    <w:p w14:paraId="442EB964" w14:textId="77777777" w:rsidR="003702DD" w:rsidRPr="003702DD" w:rsidRDefault="003702DD" w:rsidP="003702DD">
      <w:pPr>
        <w:rPr>
          <w:rFonts w:ascii="Arial" w:hAnsi="Arial" w:cs="Arial"/>
          <w:b/>
          <w:bCs/>
          <w:i/>
          <w:iCs/>
          <w:lang w:val="en-GB"/>
        </w:rPr>
      </w:pPr>
      <w:proofErr w:type="spellStart"/>
      <w:r w:rsidRPr="003702DD">
        <w:rPr>
          <w:rFonts w:ascii="Arial" w:hAnsi="Arial" w:cs="Arial"/>
          <w:b/>
          <w:bCs/>
          <w:i/>
          <w:iCs/>
          <w:lang w:val="en-GB"/>
        </w:rPr>
        <w:t>Parsloe</w:t>
      </w:r>
      <w:proofErr w:type="spellEnd"/>
      <w:r w:rsidRPr="003702DD">
        <w:rPr>
          <w:rFonts w:ascii="Arial" w:hAnsi="Arial" w:cs="Arial"/>
          <w:b/>
          <w:bCs/>
          <w:i/>
          <w:iCs/>
          <w:lang w:val="en-GB"/>
        </w:rPr>
        <w:t xml:space="preserve">, E. and Leedham, M. (2022). Coaching and Mentoring: Practical Techniques for Developing Learning and Performance. 4th </w:t>
      </w:r>
      <w:proofErr w:type="spellStart"/>
      <w:r w:rsidRPr="003702DD">
        <w:rPr>
          <w:rFonts w:ascii="Arial" w:hAnsi="Arial" w:cs="Arial"/>
          <w:b/>
          <w:bCs/>
          <w:i/>
          <w:iCs/>
          <w:lang w:val="en-GB"/>
        </w:rPr>
        <w:t>edn</w:t>
      </w:r>
      <w:proofErr w:type="spellEnd"/>
      <w:r w:rsidRPr="003702DD">
        <w:rPr>
          <w:rFonts w:ascii="Arial" w:hAnsi="Arial" w:cs="Arial"/>
          <w:b/>
          <w:bCs/>
          <w:i/>
          <w:iCs/>
          <w:lang w:val="en-GB"/>
        </w:rPr>
        <w:t>. Kogan Page Publishers.</w:t>
      </w:r>
    </w:p>
    <w:p w14:paraId="2443C1C7" w14:textId="77777777" w:rsidR="003702DD" w:rsidRPr="003702DD" w:rsidRDefault="003702DD" w:rsidP="003702DD">
      <w:pPr>
        <w:rPr>
          <w:rFonts w:ascii="Arial" w:hAnsi="Arial" w:cs="Arial"/>
          <w:b/>
          <w:bCs/>
          <w:i/>
          <w:iCs/>
          <w:lang w:val="en-GB"/>
        </w:rPr>
      </w:pPr>
      <w:r w:rsidRPr="003702DD">
        <w:rPr>
          <w:rFonts w:ascii="Arial" w:hAnsi="Arial" w:cs="Arial"/>
          <w:b/>
          <w:bCs/>
          <w:i/>
          <w:iCs/>
          <w:lang w:val="en-GB"/>
        </w:rPr>
        <w:t xml:space="preserve">Rogers, J. (2016). Coaching Skills: A Handbook. 4th </w:t>
      </w:r>
      <w:proofErr w:type="spellStart"/>
      <w:r w:rsidRPr="003702DD">
        <w:rPr>
          <w:rFonts w:ascii="Arial" w:hAnsi="Arial" w:cs="Arial"/>
          <w:b/>
          <w:bCs/>
          <w:i/>
          <w:iCs/>
          <w:lang w:val="en-GB"/>
        </w:rPr>
        <w:t>edn</w:t>
      </w:r>
      <w:proofErr w:type="spellEnd"/>
      <w:r w:rsidRPr="003702DD">
        <w:rPr>
          <w:rFonts w:ascii="Arial" w:hAnsi="Arial" w:cs="Arial"/>
          <w:b/>
          <w:bCs/>
          <w:i/>
          <w:iCs/>
          <w:lang w:val="en-GB"/>
        </w:rPr>
        <w:t>. Open University Press.</w:t>
      </w:r>
    </w:p>
    <w:p w14:paraId="4A404C40" w14:textId="77777777" w:rsidR="003702DD" w:rsidRPr="003702DD" w:rsidRDefault="003702DD" w:rsidP="003702DD">
      <w:pPr>
        <w:rPr>
          <w:rFonts w:ascii="Arial" w:hAnsi="Arial" w:cs="Arial"/>
          <w:b/>
          <w:bCs/>
          <w:i/>
          <w:iCs/>
          <w:lang w:val="en-GB"/>
        </w:rPr>
      </w:pPr>
      <w:r w:rsidRPr="003702DD">
        <w:rPr>
          <w:rFonts w:ascii="Arial" w:hAnsi="Arial" w:cs="Arial"/>
          <w:b/>
          <w:bCs/>
          <w:i/>
          <w:iCs/>
          <w:lang w:val="en-GB"/>
        </w:rPr>
        <w:t xml:space="preserve">Whitmore, J. (2017). Coaching for Performance: The Principles and Practice of Coaching and Leadership. 5th </w:t>
      </w:r>
      <w:proofErr w:type="spellStart"/>
      <w:r w:rsidRPr="003702DD">
        <w:rPr>
          <w:rFonts w:ascii="Arial" w:hAnsi="Arial" w:cs="Arial"/>
          <w:b/>
          <w:bCs/>
          <w:i/>
          <w:iCs/>
          <w:lang w:val="en-GB"/>
        </w:rPr>
        <w:t>edn</w:t>
      </w:r>
      <w:proofErr w:type="spellEnd"/>
      <w:r w:rsidRPr="003702DD">
        <w:rPr>
          <w:rFonts w:ascii="Arial" w:hAnsi="Arial" w:cs="Arial"/>
          <w:b/>
          <w:bCs/>
          <w:i/>
          <w:iCs/>
          <w:lang w:val="en-GB"/>
        </w:rPr>
        <w:t>. Nicholas Brealey Publishing.</w:t>
      </w:r>
    </w:p>
    <w:p w14:paraId="77773767" w14:textId="411BEB70" w:rsidR="0042303E" w:rsidRPr="0042303E" w:rsidRDefault="003702DD" w:rsidP="003702DD">
      <w:pPr>
        <w:rPr>
          <w:rFonts w:ascii="Arial" w:hAnsi="Arial" w:cs="Arial"/>
          <w:b/>
          <w:bCs/>
          <w:i/>
          <w:iCs/>
          <w:lang w:val="en-GB"/>
        </w:rPr>
      </w:pPr>
      <w:r w:rsidRPr="003702DD">
        <w:rPr>
          <w:rFonts w:ascii="Arial" w:hAnsi="Arial" w:cs="Arial"/>
          <w:b/>
          <w:bCs/>
          <w:i/>
          <w:iCs/>
          <w:lang w:val="en-GB"/>
        </w:rPr>
        <w:t xml:space="preserve">Passmore, J. (ed.) (2021). Excellence in Coaching: The Industry Guide. 4th </w:t>
      </w:r>
      <w:proofErr w:type="spellStart"/>
      <w:r w:rsidRPr="003702DD">
        <w:rPr>
          <w:rFonts w:ascii="Arial" w:hAnsi="Arial" w:cs="Arial"/>
          <w:b/>
          <w:bCs/>
          <w:i/>
          <w:iCs/>
          <w:lang w:val="en-GB"/>
        </w:rPr>
        <w:t>edn</w:t>
      </w:r>
      <w:proofErr w:type="spellEnd"/>
      <w:r w:rsidRPr="003702DD">
        <w:rPr>
          <w:rFonts w:ascii="Arial" w:hAnsi="Arial" w:cs="Arial"/>
          <w:b/>
          <w:bCs/>
          <w:i/>
          <w:iCs/>
          <w:lang w:val="en-GB"/>
        </w:rPr>
        <w:t>. Kogan Page Publishers.</w:t>
      </w:r>
      <w:r w:rsidR="0042303E" w:rsidRPr="0042303E">
        <w:rPr>
          <w:rFonts w:ascii="Arial" w:hAnsi="Arial" w:cs="Arial"/>
          <w:b/>
          <w:bCs/>
          <w:i/>
          <w:iCs/>
          <w:lang w:val="en-GB"/>
        </w:rPr>
        <w:br/>
      </w:r>
      <w:r w:rsidR="0042303E" w:rsidRPr="0042303E">
        <w:rPr>
          <w:rFonts w:ascii="Arial" w:hAnsi="Arial" w:cs="Arial"/>
          <w:b/>
          <w:bCs/>
          <w:i/>
          <w:iCs/>
          <w:lang w:val="en-GB"/>
        </w:rPr>
        <w:br/>
      </w:r>
    </w:p>
    <w:p w14:paraId="2216208C" w14:textId="77777777" w:rsidR="00835191" w:rsidRPr="00835191" w:rsidRDefault="00835191" w:rsidP="00835191">
      <w:pPr>
        <w:rPr>
          <w:rFonts w:ascii="Arial" w:hAnsi="Arial" w:cs="Arial"/>
          <w:b/>
          <w:bCs/>
          <w:lang w:val="en-GB"/>
        </w:rPr>
      </w:pPr>
    </w:p>
    <w:p w14:paraId="096C05C6" w14:textId="3C93F95E" w:rsidR="00835191" w:rsidRPr="00835191" w:rsidRDefault="00835191" w:rsidP="00835191">
      <w:pPr>
        <w:rPr>
          <w:rFonts w:ascii="Arial" w:hAnsi="Arial" w:cs="Arial"/>
          <w:lang w:val="en-GB"/>
        </w:rPr>
      </w:pPr>
      <w:r w:rsidRPr="00835191">
        <w:rPr>
          <w:rFonts w:ascii="Arial" w:hAnsi="Arial" w:cs="Arial"/>
          <w:lang w:val="en-GB"/>
        </w:rPr>
        <w:br/>
      </w:r>
      <w:r w:rsidRPr="00835191">
        <w:rPr>
          <w:rFonts w:ascii="Arial" w:hAnsi="Arial" w:cs="Arial"/>
          <w:lang w:val="en-GB"/>
        </w:rPr>
        <w:br/>
      </w:r>
      <w:r w:rsidRPr="00835191">
        <w:rPr>
          <w:rFonts w:ascii="Arial" w:hAnsi="Arial" w:cs="Arial"/>
          <w:lang w:val="en-GB"/>
        </w:rPr>
        <w:br/>
      </w:r>
      <w:r w:rsidRPr="00835191">
        <w:rPr>
          <w:rFonts w:ascii="Arial" w:hAnsi="Arial" w:cs="Arial"/>
          <w:lang w:val="en-GB"/>
        </w:rPr>
        <w:br/>
      </w:r>
      <w:r w:rsidRPr="00835191">
        <w:rPr>
          <w:rFonts w:ascii="Arial" w:hAnsi="Arial" w:cs="Arial"/>
          <w:lang w:val="en-GB"/>
        </w:rPr>
        <w:br/>
      </w:r>
      <w:r w:rsidRPr="00835191">
        <w:rPr>
          <w:rFonts w:ascii="Arial" w:hAnsi="Arial" w:cs="Arial"/>
          <w:lang w:val="en-GB"/>
        </w:rPr>
        <w:br/>
      </w:r>
    </w:p>
    <w:p w14:paraId="4542A80B" w14:textId="77777777" w:rsidR="0028676D" w:rsidRPr="0028676D" w:rsidRDefault="0028676D" w:rsidP="0028676D">
      <w:pPr>
        <w:rPr>
          <w:rFonts w:ascii="Arial" w:hAnsi="Arial" w:cs="Arial"/>
          <w:lang w:val="en-GB"/>
        </w:rPr>
      </w:pPr>
    </w:p>
    <w:p w14:paraId="2F16070F" w14:textId="77777777" w:rsidR="0028676D" w:rsidRPr="0028676D" w:rsidRDefault="0028676D" w:rsidP="0028676D">
      <w:pPr>
        <w:rPr>
          <w:rFonts w:ascii="Arial" w:hAnsi="Arial" w:cs="Arial"/>
          <w:lang w:val="en-GB"/>
        </w:rPr>
      </w:pPr>
    </w:p>
    <w:p w14:paraId="1B42A211" w14:textId="36F02583" w:rsidR="0028676D" w:rsidRPr="0028676D" w:rsidRDefault="0028676D" w:rsidP="0028676D">
      <w:pPr>
        <w:rPr>
          <w:rFonts w:ascii="Arial" w:hAnsi="Arial" w:cs="Arial"/>
          <w:lang w:val="en-GB"/>
        </w:rPr>
      </w:pPr>
    </w:p>
    <w:p w14:paraId="3335699C" w14:textId="77777777" w:rsidR="0072252F" w:rsidRPr="0072252F" w:rsidRDefault="0072252F" w:rsidP="0072252F">
      <w:pPr>
        <w:rPr>
          <w:rFonts w:ascii="Arial" w:hAnsi="Arial" w:cs="Arial"/>
          <w:b/>
          <w:bCs/>
          <w:lang w:val="en-GB"/>
        </w:rPr>
      </w:pPr>
    </w:p>
    <w:p w14:paraId="5B7101B2" w14:textId="77777777" w:rsidR="00383102" w:rsidRPr="00147E4B" w:rsidRDefault="00383102">
      <w:pPr>
        <w:rPr>
          <w:rFonts w:ascii="Arial" w:hAnsi="Arial" w:cs="Arial"/>
          <w:lang w:val="en-GB"/>
        </w:rPr>
      </w:pPr>
    </w:p>
    <w:sectPr w:rsidR="00383102" w:rsidRPr="00147E4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0"/>
  <w:proofState w:spelling="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E4B"/>
    <w:rsid w:val="0014724D"/>
    <w:rsid w:val="00147E4B"/>
    <w:rsid w:val="0028676D"/>
    <w:rsid w:val="003702DD"/>
    <w:rsid w:val="00383102"/>
    <w:rsid w:val="0042303E"/>
    <w:rsid w:val="0072252F"/>
    <w:rsid w:val="00835191"/>
    <w:rsid w:val="00E9634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490A9"/>
  <w15:chartTrackingRefBased/>
  <w15:docId w15:val="{ADD6A0F6-266A-4287-A0A8-E90436729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147E4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147E4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147E4B"/>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147E4B"/>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147E4B"/>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147E4B"/>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147E4B"/>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147E4B"/>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147E4B"/>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147E4B"/>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147E4B"/>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147E4B"/>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147E4B"/>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147E4B"/>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147E4B"/>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147E4B"/>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147E4B"/>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147E4B"/>
    <w:rPr>
      <w:rFonts w:eastAsiaTheme="majorEastAsia" w:cstheme="majorBidi"/>
      <w:color w:val="272727" w:themeColor="text1" w:themeTint="D8"/>
    </w:rPr>
  </w:style>
  <w:style w:type="paragraph" w:styleId="Titolo">
    <w:name w:val="Title"/>
    <w:basedOn w:val="Normale"/>
    <w:next w:val="Normale"/>
    <w:link w:val="TitoloCarattere"/>
    <w:uiPriority w:val="10"/>
    <w:qFormat/>
    <w:rsid w:val="00147E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147E4B"/>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147E4B"/>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147E4B"/>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147E4B"/>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147E4B"/>
    <w:rPr>
      <w:i/>
      <w:iCs/>
      <w:color w:val="404040" w:themeColor="text1" w:themeTint="BF"/>
    </w:rPr>
  </w:style>
  <w:style w:type="paragraph" w:styleId="Paragrafoelenco">
    <w:name w:val="List Paragraph"/>
    <w:basedOn w:val="Normale"/>
    <w:uiPriority w:val="34"/>
    <w:qFormat/>
    <w:rsid w:val="00147E4B"/>
    <w:pPr>
      <w:ind w:left="720"/>
      <w:contextualSpacing/>
    </w:pPr>
  </w:style>
  <w:style w:type="character" w:styleId="Enfasiintensa">
    <w:name w:val="Intense Emphasis"/>
    <w:basedOn w:val="Carpredefinitoparagrafo"/>
    <w:uiPriority w:val="21"/>
    <w:qFormat/>
    <w:rsid w:val="00147E4B"/>
    <w:rPr>
      <w:i/>
      <w:iCs/>
      <w:color w:val="2F5496" w:themeColor="accent1" w:themeShade="BF"/>
    </w:rPr>
  </w:style>
  <w:style w:type="paragraph" w:styleId="Citazioneintensa">
    <w:name w:val="Intense Quote"/>
    <w:basedOn w:val="Normale"/>
    <w:next w:val="Normale"/>
    <w:link w:val="CitazioneintensaCarattere"/>
    <w:uiPriority w:val="30"/>
    <w:qFormat/>
    <w:rsid w:val="00147E4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147E4B"/>
    <w:rPr>
      <w:i/>
      <w:iCs/>
      <w:color w:val="2F5496" w:themeColor="accent1" w:themeShade="BF"/>
    </w:rPr>
  </w:style>
  <w:style w:type="character" w:styleId="Riferimentointenso">
    <w:name w:val="Intense Reference"/>
    <w:basedOn w:val="Carpredefinitoparagrafo"/>
    <w:uiPriority w:val="32"/>
    <w:qFormat/>
    <w:rsid w:val="00147E4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904610">
      <w:bodyDiv w:val="1"/>
      <w:marLeft w:val="0"/>
      <w:marRight w:val="0"/>
      <w:marTop w:val="0"/>
      <w:marBottom w:val="0"/>
      <w:divBdr>
        <w:top w:val="none" w:sz="0" w:space="0" w:color="auto"/>
        <w:left w:val="none" w:sz="0" w:space="0" w:color="auto"/>
        <w:bottom w:val="none" w:sz="0" w:space="0" w:color="auto"/>
        <w:right w:val="none" w:sz="0" w:space="0" w:color="auto"/>
      </w:divBdr>
    </w:div>
    <w:div w:id="357968116">
      <w:bodyDiv w:val="1"/>
      <w:marLeft w:val="0"/>
      <w:marRight w:val="0"/>
      <w:marTop w:val="0"/>
      <w:marBottom w:val="0"/>
      <w:divBdr>
        <w:top w:val="none" w:sz="0" w:space="0" w:color="auto"/>
        <w:left w:val="none" w:sz="0" w:space="0" w:color="auto"/>
        <w:bottom w:val="none" w:sz="0" w:space="0" w:color="auto"/>
        <w:right w:val="none" w:sz="0" w:space="0" w:color="auto"/>
      </w:divBdr>
    </w:div>
    <w:div w:id="481703536">
      <w:bodyDiv w:val="1"/>
      <w:marLeft w:val="0"/>
      <w:marRight w:val="0"/>
      <w:marTop w:val="0"/>
      <w:marBottom w:val="0"/>
      <w:divBdr>
        <w:top w:val="none" w:sz="0" w:space="0" w:color="auto"/>
        <w:left w:val="none" w:sz="0" w:space="0" w:color="auto"/>
        <w:bottom w:val="none" w:sz="0" w:space="0" w:color="auto"/>
        <w:right w:val="none" w:sz="0" w:space="0" w:color="auto"/>
      </w:divBdr>
    </w:div>
    <w:div w:id="537206918">
      <w:bodyDiv w:val="1"/>
      <w:marLeft w:val="0"/>
      <w:marRight w:val="0"/>
      <w:marTop w:val="0"/>
      <w:marBottom w:val="0"/>
      <w:divBdr>
        <w:top w:val="none" w:sz="0" w:space="0" w:color="auto"/>
        <w:left w:val="none" w:sz="0" w:space="0" w:color="auto"/>
        <w:bottom w:val="none" w:sz="0" w:space="0" w:color="auto"/>
        <w:right w:val="none" w:sz="0" w:space="0" w:color="auto"/>
      </w:divBdr>
    </w:div>
    <w:div w:id="567036228">
      <w:bodyDiv w:val="1"/>
      <w:marLeft w:val="0"/>
      <w:marRight w:val="0"/>
      <w:marTop w:val="0"/>
      <w:marBottom w:val="0"/>
      <w:divBdr>
        <w:top w:val="none" w:sz="0" w:space="0" w:color="auto"/>
        <w:left w:val="none" w:sz="0" w:space="0" w:color="auto"/>
        <w:bottom w:val="none" w:sz="0" w:space="0" w:color="auto"/>
        <w:right w:val="none" w:sz="0" w:space="0" w:color="auto"/>
      </w:divBdr>
    </w:div>
    <w:div w:id="875237799">
      <w:bodyDiv w:val="1"/>
      <w:marLeft w:val="0"/>
      <w:marRight w:val="0"/>
      <w:marTop w:val="0"/>
      <w:marBottom w:val="0"/>
      <w:divBdr>
        <w:top w:val="none" w:sz="0" w:space="0" w:color="auto"/>
        <w:left w:val="none" w:sz="0" w:space="0" w:color="auto"/>
        <w:bottom w:val="none" w:sz="0" w:space="0" w:color="auto"/>
        <w:right w:val="none" w:sz="0" w:space="0" w:color="auto"/>
      </w:divBdr>
    </w:div>
    <w:div w:id="921136700">
      <w:bodyDiv w:val="1"/>
      <w:marLeft w:val="0"/>
      <w:marRight w:val="0"/>
      <w:marTop w:val="0"/>
      <w:marBottom w:val="0"/>
      <w:divBdr>
        <w:top w:val="none" w:sz="0" w:space="0" w:color="auto"/>
        <w:left w:val="none" w:sz="0" w:space="0" w:color="auto"/>
        <w:bottom w:val="none" w:sz="0" w:space="0" w:color="auto"/>
        <w:right w:val="none" w:sz="0" w:space="0" w:color="auto"/>
      </w:divBdr>
    </w:div>
    <w:div w:id="1441683531">
      <w:bodyDiv w:val="1"/>
      <w:marLeft w:val="0"/>
      <w:marRight w:val="0"/>
      <w:marTop w:val="0"/>
      <w:marBottom w:val="0"/>
      <w:divBdr>
        <w:top w:val="none" w:sz="0" w:space="0" w:color="auto"/>
        <w:left w:val="none" w:sz="0" w:space="0" w:color="auto"/>
        <w:bottom w:val="none" w:sz="0" w:space="0" w:color="auto"/>
        <w:right w:val="none" w:sz="0" w:space="0" w:color="auto"/>
      </w:divBdr>
    </w:div>
    <w:div w:id="1953517666">
      <w:bodyDiv w:val="1"/>
      <w:marLeft w:val="0"/>
      <w:marRight w:val="0"/>
      <w:marTop w:val="0"/>
      <w:marBottom w:val="0"/>
      <w:divBdr>
        <w:top w:val="none" w:sz="0" w:space="0" w:color="auto"/>
        <w:left w:val="none" w:sz="0" w:space="0" w:color="auto"/>
        <w:bottom w:val="none" w:sz="0" w:space="0" w:color="auto"/>
        <w:right w:val="none" w:sz="0" w:space="0" w:color="auto"/>
      </w:divBdr>
    </w:div>
    <w:div w:id="1963148466">
      <w:bodyDiv w:val="1"/>
      <w:marLeft w:val="0"/>
      <w:marRight w:val="0"/>
      <w:marTop w:val="0"/>
      <w:marBottom w:val="0"/>
      <w:divBdr>
        <w:top w:val="none" w:sz="0" w:space="0" w:color="auto"/>
        <w:left w:val="none" w:sz="0" w:space="0" w:color="auto"/>
        <w:bottom w:val="none" w:sz="0" w:space="0" w:color="auto"/>
        <w:right w:val="none" w:sz="0" w:space="0" w:color="auto"/>
      </w:divBdr>
    </w:div>
    <w:div w:id="2077556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linkedin.com/pulse/how-grow-model-empowers-leaders-achieving-business-red-chakravorty" TargetMode="External"/><Relationship Id="rId4"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2397</Words>
  <Characters>13665</Characters>
  <Application>Microsoft Office Word</Application>
  <DocSecurity>0</DocSecurity>
  <Lines>113</Lines>
  <Paragraphs>32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RAMONA Vasiliu</dc:creator>
  <cp:keywords/>
  <dc:description/>
  <cp:lastModifiedBy>GEORGIANA RAMONA Vasiliu</cp:lastModifiedBy>
  <cp:revision>1</cp:revision>
  <dcterms:created xsi:type="dcterms:W3CDTF">2025-03-07T10:34:00Z</dcterms:created>
  <dcterms:modified xsi:type="dcterms:W3CDTF">2025-03-07T11:46:00Z</dcterms:modified>
</cp:coreProperties>
</file>