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69ADB420"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ED8AD2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E6271">
              <w:rPr>
                <w:rFonts w:ascii="Times New Roman" w:hAnsi="Times New Roman" w:cs="Times New Roman"/>
                <w:b/>
                <w:color w:val="auto"/>
                <w:sz w:val="48"/>
              </w:rPr>
              <w:t>Rhian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48ECCE72" w14:textId="77777777" w:rsidR="003E6726"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3A6EAAC7" w14:textId="20827C71" w:rsidR="009C337F" w:rsidRDefault="003E672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rhianroberts2@ynysmon.llyw.cymru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76ACE2D" w14:textId="4905E0DB" w:rsidR="003E6726" w:rsidRPr="005D3F07" w:rsidRDefault="003E6726" w:rsidP="005D3F07">
            <w:pPr>
              <w:overflowPunct/>
              <w:autoSpaceDE/>
              <w:autoSpaceDN/>
              <w:adjustRightInd/>
              <w:ind w:right="-957"/>
              <w:textAlignment w:val="auto"/>
              <w:rPr>
                <w:rFonts w:ascii="Times New Roman" w:hAnsi="Times New Roman" w:cs="Times New Roman"/>
                <w:b/>
                <w:color w:val="auto"/>
                <w:sz w:val="48"/>
              </w:rPr>
            </w:pPr>
            <w:r w:rsidRPr="003E6726">
              <w:rPr>
                <w:rFonts w:ascii="Times New Roman" w:hAnsi="Times New Roman" w:cs="Times New Roman"/>
                <w:b/>
                <w:color w:val="auto"/>
                <w:sz w:val="48"/>
              </w:rPr>
              <w:t>2421852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0859E45F" w14:textId="77777777" w:rsidR="00FA0078" w:rsidRDefault="00FA0078" w:rsidP="00FF7EBB">
            <w:pPr>
              <w:jc w:val="both"/>
              <w:rPr>
                <w:i/>
                <w:sz w:val="24"/>
                <w:szCs w:val="24"/>
              </w:rPr>
            </w:pPr>
          </w:p>
          <w:p w14:paraId="4836C5DC" w14:textId="77777777" w:rsidR="0010129E" w:rsidRPr="00562BB8" w:rsidRDefault="0010129E" w:rsidP="003E6726">
            <w:pPr>
              <w:jc w:val="both"/>
              <w:rPr>
                <w:sz w:val="24"/>
                <w:szCs w:val="24"/>
              </w:rPr>
            </w:pPr>
          </w:p>
          <w:p w14:paraId="3E0BF04A" w14:textId="77777777" w:rsidR="009F56A5" w:rsidRPr="009F56A5" w:rsidRDefault="009F56A5" w:rsidP="009F56A5">
            <w:pPr>
              <w:jc w:val="both"/>
              <w:rPr>
                <w:sz w:val="24"/>
                <w:szCs w:val="24"/>
              </w:rPr>
            </w:pPr>
            <w:r w:rsidRPr="009F56A5">
              <w:rPr>
                <w:i/>
                <w:iCs/>
                <w:sz w:val="24"/>
                <w:szCs w:val="24"/>
              </w:rPr>
              <w:t>In this assignment, I will critically reflect on a safeguarding concern raised in relation to a 16</w:t>
            </w:r>
            <w:r w:rsidRPr="009F56A5">
              <w:rPr>
                <w:sz w:val="24"/>
                <w:szCs w:val="24"/>
              </w:rPr>
              <w:noBreakHyphen/>
            </w:r>
            <w:r w:rsidRPr="009F56A5">
              <w:rPr>
                <w:i/>
                <w:iCs/>
                <w:sz w:val="24"/>
                <w:szCs w:val="24"/>
              </w:rPr>
              <w:t>year</w:t>
            </w:r>
            <w:r w:rsidRPr="009F56A5">
              <w:rPr>
                <w:sz w:val="24"/>
                <w:szCs w:val="24"/>
              </w:rPr>
              <w:noBreakHyphen/>
            </w:r>
            <w:r w:rsidRPr="009F56A5">
              <w:rPr>
                <w:i/>
                <w:iCs/>
                <w:sz w:val="24"/>
                <w:szCs w:val="24"/>
              </w:rPr>
              <w:t>old boy I was supporting under a care and support plan. The concerns centred on self</w:t>
            </w:r>
            <w:r w:rsidRPr="009F56A5">
              <w:rPr>
                <w:sz w:val="24"/>
                <w:szCs w:val="24"/>
              </w:rPr>
              <w:noBreakHyphen/>
            </w:r>
            <w:r w:rsidRPr="009F56A5">
              <w:rPr>
                <w:i/>
                <w:iCs/>
                <w:sz w:val="24"/>
                <w:szCs w:val="24"/>
              </w:rPr>
              <w:t>neglect linked to his substance misuse and limited self</w:t>
            </w:r>
            <w:r w:rsidRPr="009F56A5">
              <w:rPr>
                <w:sz w:val="24"/>
                <w:szCs w:val="24"/>
              </w:rPr>
              <w:noBreakHyphen/>
            </w:r>
            <w:r w:rsidRPr="009F56A5">
              <w:rPr>
                <w:i/>
                <w:iCs/>
                <w:sz w:val="24"/>
                <w:szCs w:val="24"/>
              </w:rPr>
              <w:t>care skills. Throughout this assignment I will refer to this child as ‘1’ for confidentiality purposes. </w:t>
            </w:r>
            <w:r w:rsidRPr="009F56A5">
              <w:rPr>
                <w:sz w:val="24"/>
                <w:szCs w:val="24"/>
              </w:rPr>
              <w:t> </w:t>
            </w:r>
          </w:p>
          <w:p w14:paraId="6B0E2703"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18FBA005" w14:textId="77777777" w:rsidR="009F56A5" w:rsidRPr="009F56A5" w:rsidRDefault="009F56A5" w:rsidP="009F56A5">
            <w:pPr>
              <w:jc w:val="both"/>
              <w:rPr>
                <w:sz w:val="24"/>
                <w:szCs w:val="24"/>
              </w:rPr>
            </w:pPr>
            <w:r w:rsidRPr="009F56A5">
              <w:rPr>
                <w:i/>
                <w:iCs/>
                <w:sz w:val="24"/>
                <w:szCs w:val="24"/>
              </w:rPr>
              <w:t>1 is a 16-year-old male, who lives in supported accommodation, where he holds his own tenancy. The reason for 1 needing supported accommodation was due to his disruptive relationship with his mother, where he would become controlling and demonstrate domestic abusive behaviour towards her. </w:t>
            </w:r>
            <w:r w:rsidRPr="009F56A5">
              <w:rPr>
                <w:sz w:val="24"/>
                <w:szCs w:val="24"/>
              </w:rPr>
              <w:t> </w:t>
            </w:r>
          </w:p>
          <w:p w14:paraId="08369219"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308F77FD" w14:textId="77777777" w:rsidR="009F56A5" w:rsidRPr="009F56A5" w:rsidRDefault="009F56A5" w:rsidP="009F56A5">
            <w:pPr>
              <w:jc w:val="both"/>
              <w:rPr>
                <w:sz w:val="24"/>
                <w:szCs w:val="24"/>
              </w:rPr>
            </w:pPr>
            <w:r w:rsidRPr="009F56A5">
              <w:rPr>
                <w:i/>
                <w:iCs/>
                <w:sz w:val="24"/>
                <w:szCs w:val="24"/>
              </w:rPr>
              <w:t>1 has experienced 7 of the 10 adverse childhood experiences (ACE’s) including physical abuse, sexual abuse, emotional neglect, household member with mental illness, household substance misuse, domestic violence towards a parent and parental separation. Research consistently shows that exposure to multiple ACEs significantly increases the likelihood of behavioural and relational difficulties (Bellis et al., 2020). Safeguarding young people in Wales requires practitioners to navigate a complex landscape of legislation, policy, theory, and multi</w:t>
            </w:r>
            <w:r w:rsidRPr="009F56A5">
              <w:rPr>
                <w:sz w:val="24"/>
                <w:szCs w:val="24"/>
              </w:rPr>
              <w:noBreakHyphen/>
            </w:r>
            <w:r w:rsidRPr="009F56A5">
              <w:rPr>
                <w:i/>
                <w:iCs/>
                <w:sz w:val="24"/>
                <w:szCs w:val="24"/>
              </w:rPr>
              <w:t>agency collaboration.  </w:t>
            </w:r>
            <w:r w:rsidRPr="009F56A5">
              <w:rPr>
                <w:sz w:val="24"/>
                <w:szCs w:val="24"/>
              </w:rPr>
              <w:t> </w:t>
            </w:r>
          </w:p>
          <w:p w14:paraId="0AFAF383"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585CB0D2" w14:textId="77777777" w:rsidR="009F56A5" w:rsidRPr="009F56A5" w:rsidRDefault="009F56A5" w:rsidP="009F56A5">
            <w:pPr>
              <w:jc w:val="both"/>
              <w:rPr>
                <w:sz w:val="24"/>
                <w:szCs w:val="24"/>
              </w:rPr>
            </w:pPr>
            <w:r w:rsidRPr="009F56A5">
              <w:rPr>
                <w:i/>
                <w:iCs/>
                <w:sz w:val="24"/>
                <w:szCs w:val="24"/>
              </w:rPr>
              <w:t>Experiences in early childhood have a profound influence on long</w:t>
            </w:r>
            <w:r w:rsidRPr="009F56A5">
              <w:rPr>
                <w:sz w:val="24"/>
                <w:szCs w:val="24"/>
              </w:rPr>
              <w:noBreakHyphen/>
            </w:r>
            <w:r w:rsidRPr="009F56A5">
              <w:rPr>
                <w:i/>
                <w:iCs/>
                <w:sz w:val="24"/>
                <w:szCs w:val="24"/>
              </w:rPr>
              <w:t xml:space="preserve">term health, development, and future life chances. Early interactions shape how the brain develops, forming the foundations for behaviour, learning, and overall wellbeing (Shonkoff, 2016). When children </w:t>
            </w:r>
            <w:r w:rsidRPr="009F56A5">
              <w:rPr>
                <w:i/>
                <w:iCs/>
                <w:sz w:val="24"/>
                <w:szCs w:val="24"/>
              </w:rPr>
              <w:lastRenderedPageBreak/>
              <w:t>grow up in environments affected by parental substance misuse, abuse, or neglect, their developmental progress can be significantly disrupted. Although some challenges are a normal part of childhood, persistent or repeated adversity can trigger a toxic stress response, which hinders healthy brain development and increases the likelihood of lifelong physical and mental health difficulties, cognitive impairments, and harmful coping behaviours (Shonkoff, 2016). Within this context, professional involvement focuses on protecting the young person from further harm and supporting parents to understand the impact of neglect on development, with the aim of improving the home environment.  </w:t>
            </w:r>
            <w:r w:rsidRPr="009F56A5">
              <w:rPr>
                <w:sz w:val="24"/>
                <w:szCs w:val="24"/>
              </w:rPr>
              <w:t> </w:t>
            </w:r>
          </w:p>
          <w:p w14:paraId="76F84605"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2DA336F0" w14:textId="77777777" w:rsidR="009F56A5" w:rsidRPr="009F56A5" w:rsidRDefault="009F56A5" w:rsidP="009F56A5">
            <w:pPr>
              <w:jc w:val="both"/>
              <w:rPr>
                <w:sz w:val="24"/>
                <w:szCs w:val="24"/>
              </w:rPr>
            </w:pPr>
            <w:r w:rsidRPr="009F56A5">
              <w:rPr>
                <w:i/>
                <w:iCs/>
                <w:sz w:val="24"/>
                <w:szCs w:val="24"/>
              </w:rPr>
              <w:t>Safeguarding older adolescents presents additional complexity, as they navigate the transition to adulthood while also experiencing vulnerability, trauma, and risk</w:t>
            </w:r>
            <w:r w:rsidRPr="009F56A5">
              <w:rPr>
                <w:sz w:val="24"/>
                <w:szCs w:val="24"/>
              </w:rPr>
              <w:noBreakHyphen/>
            </w:r>
            <w:r w:rsidRPr="009F56A5">
              <w:rPr>
                <w:i/>
                <w:iCs/>
                <w:sz w:val="24"/>
                <w:szCs w:val="24"/>
              </w:rPr>
              <w:t>taking behaviours. The Social Services and Well</w:t>
            </w:r>
            <w:r w:rsidRPr="009F56A5">
              <w:rPr>
                <w:sz w:val="24"/>
                <w:szCs w:val="24"/>
              </w:rPr>
              <w:noBreakHyphen/>
            </w:r>
            <w:r w:rsidRPr="009F56A5">
              <w:rPr>
                <w:i/>
                <w:iCs/>
                <w:sz w:val="24"/>
                <w:szCs w:val="24"/>
              </w:rPr>
              <w:t>being (Wales) Act 2014 (SSWBA) provides the statutory framework for safeguarding practice in Wales, emphasising wellbeing, early intervention, co</w:t>
            </w:r>
            <w:r w:rsidRPr="009F56A5">
              <w:rPr>
                <w:sz w:val="24"/>
                <w:szCs w:val="24"/>
              </w:rPr>
              <w:noBreakHyphen/>
            </w:r>
            <w:r w:rsidRPr="009F56A5">
              <w:rPr>
                <w:i/>
                <w:iCs/>
                <w:sz w:val="24"/>
                <w:szCs w:val="24"/>
              </w:rPr>
              <w:t>production, and the centrality of the young person’s voice. These duties are enacted through the Wales Safeguarding Procedures (2019), which guide practitioners in responding to concerns in a proportionate and collaborative way.  </w:t>
            </w:r>
            <w:r w:rsidRPr="009F56A5">
              <w:rPr>
                <w:sz w:val="24"/>
                <w:szCs w:val="24"/>
              </w:rPr>
              <w:t> </w:t>
            </w:r>
          </w:p>
          <w:p w14:paraId="697F583F"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55695887" w14:textId="77777777" w:rsidR="009F56A5" w:rsidRPr="009F56A5" w:rsidRDefault="009F56A5" w:rsidP="009F56A5">
            <w:pPr>
              <w:jc w:val="both"/>
              <w:rPr>
                <w:sz w:val="24"/>
                <w:szCs w:val="24"/>
              </w:rPr>
            </w:pPr>
            <w:r w:rsidRPr="009F56A5">
              <w:rPr>
                <w:i/>
                <w:iCs/>
                <w:sz w:val="24"/>
                <w:szCs w:val="24"/>
              </w:rPr>
              <w:t>This essay will analyse the assessment I undertook with 1, exploring how Welsh safeguarding legislation, policy frameworks, and professional judgement informed decision</w:t>
            </w:r>
            <w:r w:rsidRPr="009F56A5">
              <w:rPr>
                <w:sz w:val="24"/>
                <w:szCs w:val="24"/>
              </w:rPr>
              <w:noBreakHyphen/>
            </w:r>
            <w:r w:rsidRPr="009F56A5">
              <w:rPr>
                <w:i/>
                <w:iCs/>
                <w:sz w:val="24"/>
                <w:szCs w:val="24"/>
              </w:rPr>
              <w:t>making. It will examine the incorporation of social work theory, trauma</w:t>
            </w:r>
            <w:r w:rsidRPr="009F56A5">
              <w:rPr>
                <w:sz w:val="24"/>
                <w:szCs w:val="24"/>
              </w:rPr>
              <w:noBreakHyphen/>
            </w:r>
            <w:r w:rsidRPr="009F56A5">
              <w:rPr>
                <w:i/>
                <w:iCs/>
                <w:sz w:val="24"/>
                <w:szCs w:val="24"/>
              </w:rPr>
              <w:t>informed practice, and multi</w:t>
            </w:r>
            <w:r w:rsidRPr="009F56A5">
              <w:rPr>
                <w:sz w:val="24"/>
                <w:szCs w:val="24"/>
              </w:rPr>
              <w:noBreakHyphen/>
            </w:r>
            <w:r w:rsidRPr="009F56A5">
              <w:rPr>
                <w:i/>
                <w:iCs/>
                <w:sz w:val="24"/>
                <w:szCs w:val="24"/>
              </w:rPr>
              <w:t>agency collaboration. The Experience–Reflection–Action model (ERA) will be used to critically reflect on the role, reasoning, and learning. The discussion will also highlight the distinct dimensions of working in Wales, including rights</w:t>
            </w:r>
            <w:r w:rsidRPr="009F56A5">
              <w:rPr>
                <w:sz w:val="24"/>
                <w:szCs w:val="24"/>
              </w:rPr>
              <w:noBreakHyphen/>
            </w:r>
            <w:r w:rsidRPr="009F56A5">
              <w:rPr>
                <w:i/>
                <w:iCs/>
                <w:sz w:val="24"/>
                <w:szCs w:val="24"/>
              </w:rPr>
              <w:t>based practice, the influence of devolved legislation, and the Welsh Government’s commitment to ACE</w:t>
            </w:r>
            <w:r w:rsidRPr="009F56A5">
              <w:rPr>
                <w:sz w:val="24"/>
                <w:szCs w:val="24"/>
              </w:rPr>
              <w:noBreakHyphen/>
            </w:r>
            <w:r w:rsidRPr="009F56A5">
              <w:rPr>
                <w:i/>
                <w:iCs/>
                <w:sz w:val="24"/>
                <w:szCs w:val="24"/>
              </w:rPr>
              <w:t>aware and preventative approaches.  </w:t>
            </w:r>
            <w:r w:rsidRPr="009F56A5">
              <w:rPr>
                <w:sz w:val="24"/>
                <w:szCs w:val="24"/>
              </w:rPr>
              <w:t> </w:t>
            </w:r>
          </w:p>
          <w:p w14:paraId="4576259C" w14:textId="77777777" w:rsidR="009F56A5" w:rsidRPr="009F56A5" w:rsidRDefault="009F56A5" w:rsidP="009F56A5">
            <w:pPr>
              <w:jc w:val="both"/>
              <w:rPr>
                <w:sz w:val="24"/>
                <w:szCs w:val="24"/>
              </w:rPr>
            </w:pPr>
            <w:r w:rsidRPr="009F56A5">
              <w:rPr>
                <w:i/>
                <w:iCs/>
                <w:sz w:val="24"/>
                <w:szCs w:val="24"/>
              </w:rPr>
              <w:t>The SSWBA (Wales) 2014 is the cornerstone of safeguarding legislation in Wales, providing the statutory basis for assessing, supporting, and protecting children and adults at risk. The Act places strong emphasis on wellbeing, prevention, early intervention, and ensuring that individuals retain voice and control in decisions affecting them.  </w:t>
            </w:r>
            <w:r w:rsidRPr="009F56A5">
              <w:rPr>
                <w:sz w:val="24"/>
                <w:szCs w:val="24"/>
              </w:rPr>
              <w:t> </w:t>
            </w:r>
          </w:p>
          <w:p w14:paraId="608DA118"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346A043D" w14:textId="77777777" w:rsidR="009F56A5" w:rsidRPr="009F56A5" w:rsidRDefault="009F56A5" w:rsidP="009F56A5">
            <w:pPr>
              <w:jc w:val="both"/>
              <w:rPr>
                <w:sz w:val="24"/>
                <w:szCs w:val="24"/>
              </w:rPr>
            </w:pPr>
            <w:r w:rsidRPr="009F56A5">
              <w:rPr>
                <w:i/>
                <w:iCs/>
                <w:sz w:val="24"/>
                <w:szCs w:val="24"/>
              </w:rPr>
              <w:t>Stage 1 of the ERA model, experience.   </w:t>
            </w:r>
            <w:r w:rsidRPr="009F56A5">
              <w:rPr>
                <w:sz w:val="24"/>
                <w:szCs w:val="24"/>
              </w:rPr>
              <w:t> </w:t>
            </w:r>
          </w:p>
          <w:p w14:paraId="62316EED" w14:textId="77777777" w:rsidR="009F56A5" w:rsidRPr="009F56A5" w:rsidRDefault="009F56A5" w:rsidP="009F56A5">
            <w:pPr>
              <w:jc w:val="both"/>
              <w:rPr>
                <w:sz w:val="24"/>
                <w:szCs w:val="24"/>
              </w:rPr>
            </w:pPr>
            <w:r w:rsidRPr="009F56A5">
              <w:rPr>
                <w:i/>
                <w:iCs/>
                <w:sz w:val="24"/>
                <w:szCs w:val="24"/>
              </w:rPr>
              <w:t>In my role as a social worker within the 14+ team, I was allocated a 16</w:t>
            </w:r>
            <w:r w:rsidRPr="009F56A5">
              <w:rPr>
                <w:sz w:val="24"/>
                <w:szCs w:val="24"/>
              </w:rPr>
              <w:noBreakHyphen/>
            </w:r>
            <w:r w:rsidRPr="009F56A5">
              <w:rPr>
                <w:i/>
                <w:iCs/>
                <w:sz w:val="24"/>
                <w:szCs w:val="24"/>
              </w:rPr>
              <w:t>year</w:t>
            </w:r>
            <w:r w:rsidRPr="009F56A5">
              <w:rPr>
                <w:sz w:val="24"/>
                <w:szCs w:val="24"/>
              </w:rPr>
              <w:noBreakHyphen/>
            </w:r>
            <w:r w:rsidRPr="009F56A5">
              <w:rPr>
                <w:i/>
                <w:iCs/>
                <w:sz w:val="24"/>
                <w:szCs w:val="24"/>
              </w:rPr>
              <w:t>old young person who was already receiving support from the local authority under Part 4 of the SSWBA 2014. Safeguarding concerns escalated quickly after I observed significant changes in his behaviour, presentation, and daily functioning. These changes emerged shortly after he returned to live with his mother, having chosen to leave local authority care, where he had previously been accommodated under Section 76 of the SSWBA (Wales) 2014.  </w:t>
            </w:r>
            <w:r w:rsidRPr="009F56A5">
              <w:rPr>
                <w:sz w:val="24"/>
                <w:szCs w:val="24"/>
              </w:rPr>
              <w:t> </w:t>
            </w:r>
          </w:p>
          <w:p w14:paraId="1D7960FA"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548A195B" w14:textId="77777777" w:rsidR="009F56A5" w:rsidRPr="009F56A5" w:rsidRDefault="009F56A5" w:rsidP="009F56A5">
            <w:pPr>
              <w:jc w:val="both"/>
              <w:rPr>
                <w:sz w:val="24"/>
                <w:szCs w:val="24"/>
              </w:rPr>
            </w:pPr>
            <w:r w:rsidRPr="009F56A5">
              <w:rPr>
                <w:i/>
                <w:iCs/>
                <w:sz w:val="24"/>
                <w:szCs w:val="24"/>
              </w:rPr>
              <w:t>The first indication that his circumstances had deteriorated was the re</w:t>
            </w:r>
            <w:r w:rsidRPr="009F56A5">
              <w:rPr>
                <w:sz w:val="24"/>
                <w:szCs w:val="24"/>
              </w:rPr>
              <w:noBreakHyphen/>
            </w:r>
            <w:r w:rsidRPr="009F56A5">
              <w:rPr>
                <w:i/>
                <w:iCs/>
                <w:sz w:val="24"/>
                <w:szCs w:val="24"/>
              </w:rPr>
              <w:t>emergence of incidents involving controlling and aggressive behaviour towards his mother, which resulted in police intervention. On this occasion, both he and his mother were under the influence of substances. 1 became frustrated with his mother, leading to a physical altercation and his mother contacting the police. This incident marked a turning point in the case, highlighting the risk he posed to his mother but also the level of emotional instability and unmet need he was experiencing. His mother reported that his behaviour had become increasingly unpredictable, volatile, and difficult to manage, and she expressed fear for her own safety.  </w:t>
            </w:r>
            <w:r w:rsidRPr="009F56A5">
              <w:rPr>
                <w:sz w:val="24"/>
                <w:szCs w:val="24"/>
              </w:rPr>
              <w:t> </w:t>
            </w:r>
          </w:p>
          <w:p w14:paraId="50FB9D49" w14:textId="77777777" w:rsidR="009F56A5" w:rsidRPr="009F56A5" w:rsidRDefault="009F56A5" w:rsidP="009F56A5">
            <w:pPr>
              <w:jc w:val="both"/>
              <w:rPr>
                <w:sz w:val="24"/>
                <w:szCs w:val="24"/>
              </w:rPr>
            </w:pPr>
            <w:r w:rsidRPr="009F56A5">
              <w:rPr>
                <w:i/>
                <w:iCs/>
                <w:sz w:val="24"/>
                <w:szCs w:val="24"/>
              </w:rPr>
              <w:lastRenderedPageBreak/>
              <w:t>  </w:t>
            </w:r>
            <w:r w:rsidRPr="009F56A5">
              <w:rPr>
                <w:sz w:val="24"/>
                <w:szCs w:val="24"/>
              </w:rPr>
              <w:t> </w:t>
            </w:r>
          </w:p>
          <w:p w14:paraId="5FCDE291" w14:textId="77777777" w:rsidR="009F56A5" w:rsidRPr="009F56A5" w:rsidRDefault="009F56A5" w:rsidP="009F56A5">
            <w:pPr>
              <w:jc w:val="both"/>
              <w:rPr>
                <w:sz w:val="24"/>
                <w:szCs w:val="24"/>
              </w:rPr>
            </w:pPr>
            <w:r w:rsidRPr="009F56A5">
              <w:rPr>
                <w:i/>
                <w:iCs/>
                <w:sz w:val="24"/>
                <w:szCs w:val="24"/>
              </w:rPr>
              <w:t>Given that this was the third police</w:t>
            </w:r>
            <w:r w:rsidRPr="009F56A5">
              <w:rPr>
                <w:sz w:val="24"/>
                <w:szCs w:val="24"/>
              </w:rPr>
              <w:noBreakHyphen/>
            </w:r>
            <w:r w:rsidRPr="009F56A5">
              <w:rPr>
                <w:i/>
                <w:iCs/>
                <w:sz w:val="24"/>
                <w:szCs w:val="24"/>
              </w:rPr>
              <w:t>attended incident within the home, safeguarding procedures required that a strategy meeting be convened under Section 47 of the Children Act 1989. The multi</w:t>
            </w:r>
            <w:r w:rsidRPr="009F56A5">
              <w:rPr>
                <w:sz w:val="24"/>
                <w:szCs w:val="24"/>
              </w:rPr>
              <w:noBreakHyphen/>
            </w:r>
            <w:r w:rsidRPr="009F56A5">
              <w:rPr>
                <w:i/>
                <w:iCs/>
                <w:sz w:val="24"/>
                <w:szCs w:val="24"/>
              </w:rPr>
              <w:t>agency discussion concluded that the young person should be offered alternative accommodation, and that his mother should be provided with support from an Independent Domestic Violence Advisor (IDVA).  </w:t>
            </w:r>
            <w:r w:rsidRPr="009F56A5">
              <w:rPr>
                <w:sz w:val="24"/>
                <w:szCs w:val="24"/>
              </w:rPr>
              <w:t> </w:t>
            </w:r>
          </w:p>
          <w:p w14:paraId="7879C7D6"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72F463E9" w14:textId="77777777" w:rsidR="009F56A5" w:rsidRPr="009F56A5" w:rsidRDefault="009F56A5" w:rsidP="009F56A5">
            <w:pPr>
              <w:jc w:val="both"/>
              <w:rPr>
                <w:sz w:val="24"/>
                <w:szCs w:val="24"/>
              </w:rPr>
            </w:pPr>
            <w:r w:rsidRPr="009F56A5">
              <w:rPr>
                <w:i/>
                <w:iCs/>
                <w:sz w:val="24"/>
                <w:szCs w:val="24"/>
              </w:rPr>
              <w:t>Alongside the behavioural concerns, I became aware of severe and escalating substance misuse. Through home visits, conversations with the young person, and information shared by his mother, I learned that he was using ketamine, Subutex, cannabis, and various pills daily. He was honest that he would use any available substances to him. His substance misuse was not recreational or experimental; it had become chaotic, and harmful. He disclosed that he used substances to feel happy and feel good which suggested underlying emotional distress and trauma. His mother reported that he would often leave the house late at night and return intoxicated. The frequency and severity of his substance use placed him at significant risk of physical harm, exploitation, and further deterioration in his mental health.  </w:t>
            </w:r>
            <w:r w:rsidRPr="009F56A5">
              <w:rPr>
                <w:sz w:val="24"/>
                <w:szCs w:val="24"/>
              </w:rPr>
              <w:t> </w:t>
            </w:r>
          </w:p>
          <w:p w14:paraId="24A9D590"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2272A8CA" w14:textId="77777777" w:rsidR="009F56A5" w:rsidRPr="009F56A5" w:rsidRDefault="009F56A5" w:rsidP="009F56A5">
            <w:pPr>
              <w:jc w:val="both"/>
              <w:rPr>
                <w:sz w:val="24"/>
                <w:szCs w:val="24"/>
              </w:rPr>
            </w:pPr>
            <w:r w:rsidRPr="009F56A5">
              <w:rPr>
                <w:i/>
                <w:iCs/>
                <w:sz w:val="24"/>
                <w:szCs w:val="24"/>
              </w:rPr>
              <w:t>This became worrying as we were aware of instances where 1 had previously been exploited and groomed online and is known to be vulnerable. At this stage, he was still living with his mother, but the home environment had become unsafe and unsustainable. His mother felt unable to manage his behaviour, and the relationship between them had broken down. Following the police intervention, and after discussions with housing services, he was supported to move into supported accommodation. This transition was intended to provide stability and reduce conflict within the family home, but it also introduced new safeguarding risks. Supported accommodation can be high</w:t>
            </w:r>
            <w:r w:rsidRPr="009F56A5">
              <w:rPr>
                <w:sz w:val="24"/>
                <w:szCs w:val="24"/>
              </w:rPr>
              <w:noBreakHyphen/>
            </w:r>
            <w:r w:rsidRPr="009F56A5">
              <w:rPr>
                <w:i/>
                <w:iCs/>
                <w:sz w:val="24"/>
                <w:szCs w:val="24"/>
              </w:rPr>
              <w:t>risk environments for vulnerable young people, particularly those who misuse substances. During my visits to the accommodation, I observed that his living space was often in a poor state, with unwashed clothes, and food waste scattered around. He appeared dishevelled, fatigued, and malnourished. These observations indicated clear signs of self</w:t>
            </w:r>
            <w:r w:rsidRPr="009F56A5">
              <w:rPr>
                <w:sz w:val="24"/>
                <w:szCs w:val="24"/>
              </w:rPr>
              <w:noBreakHyphen/>
            </w:r>
            <w:r w:rsidRPr="009F56A5">
              <w:rPr>
                <w:i/>
                <w:iCs/>
                <w:sz w:val="24"/>
                <w:szCs w:val="24"/>
              </w:rPr>
              <w:t>neglect.  </w:t>
            </w:r>
            <w:r w:rsidRPr="009F56A5">
              <w:rPr>
                <w:sz w:val="24"/>
                <w:szCs w:val="24"/>
              </w:rPr>
              <w:t> </w:t>
            </w:r>
          </w:p>
          <w:p w14:paraId="23C21F0F"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692E3579" w14:textId="77777777" w:rsidR="009F56A5" w:rsidRPr="009F56A5" w:rsidRDefault="009F56A5" w:rsidP="009F56A5">
            <w:pPr>
              <w:jc w:val="both"/>
              <w:rPr>
                <w:sz w:val="24"/>
                <w:szCs w:val="24"/>
              </w:rPr>
            </w:pPr>
            <w:r w:rsidRPr="009F56A5">
              <w:rPr>
                <w:i/>
                <w:iCs/>
                <w:sz w:val="24"/>
                <w:szCs w:val="24"/>
              </w:rPr>
              <w:t>Under the SSWBA (Wales) 2014 I had a statutory duty to assess his needs for care and support under Section 21. The Wales Safeguarding Procedures (2019) recognise self</w:t>
            </w:r>
            <w:r w:rsidRPr="009F56A5">
              <w:rPr>
                <w:sz w:val="24"/>
                <w:szCs w:val="24"/>
              </w:rPr>
              <w:noBreakHyphen/>
            </w:r>
            <w:r w:rsidRPr="009F56A5">
              <w:rPr>
                <w:i/>
                <w:iCs/>
                <w:sz w:val="24"/>
                <w:szCs w:val="24"/>
              </w:rPr>
              <w:t>neglect as a safeguarding concern, and his presentation clearly met this threshold. In response to the safeguarding concerns, I initiated a Part 3 Care and Support Assessment, using the National Assessment and Eligibility Tool (Wales) to structure my analysis across key domains including health, emotional well</w:t>
            </w:r>
            <w:r w:rsidRPr="009F56A5">
              <w:rPr>
                <w:sz w:val="24"/>
                <w:szCs w:val="24"/>
              </w:rPr>
              <w:noBreakHyphen/>
            </w:r>
            <w:r w:rsidRPr="009F56A5">
              <w:rPr>
                <w:i/>
                <w:iCs/>
                <w:sz w:val="24"/>
                <w:szCs w:val="24"/>
              </w:rPr>
              <w:t>being, daily living skills, relationships, and safety  </w:t>
            </w:r>
            <w:r w:rsidRPr="009F56A5">
              <w:rPr>
                <w:sz w:val="24"/>
                <w:szCs w:val="24"/>
              </w:rPr>
              <w:t> </w:t>
            </w:r>
          </w:p>
          <w:p w14:paraId="2CC6578C"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5019619C" w14:textId="77777777" w:rsidR="009F56A5" w:rsidRPr="009F56A5" w:rsidRDefault="009F56A5" w:rsidP="009F56A5">
            <w:pPr>
              <w:jc w:val="both"/>
              <w:rPr>
                <w:sz w:val="24"/>
                <w:szCs w:val="24"/>
              </w:rPr>
            </w:pPr>
            <w:r w:rsidRPr="009F56A5">
              <w:rPr>
                <w:i/>
                <w:iCs/>
                <w:sz w:val="24"/>
                <w:szCs w:val="24"/>
              </w:rPr>
              <w:t xml:space="preserve">During the assessment, I carried out multiple home visits to both his mother’s home and the supported accommodation. These visits allowed me to observe his environment, build rapport, and gather information directly from 1. He was often difficult to engage, and his level of insight into his situation fluctuated depending on his substance use. At times, he minimised the risks he was facing, insisting that he was “fine” and that he could manage independently. At other times, he expressed feelings of hopelessness, anxiety, and frustration. His emotional presentation suggested that he was struggling with underlying mental health issues. </w:t>
            </w:r>
            <w:r w:rsidRPr="009F56A5">
              <w:rPr>
                <w:i/>
                <w:iCs/>
                <w:sz w:val="24"/>
                <w:szCs w:val="24"/>
              </w:rPr>
              <w:lastRenderedPageBreak/>
              <w:t>I therefore made a referral to the children and adolescence mental health service (CAMHS) to explore this further.  </w:t>
            </w:r>
            <w:r w:rsidRPr="009F56A5">
              <w:rPr>
                <w:sz w:val="24"/>
                <w:szCs w:val="24"/>
              </w:rPr>
              <w:t> </w:t>
            </w:r>
          </w:p>
          <w:p w14:paraId="78C29002" w14:textId="77777777" w:rsidR="009F56A5" w:rsidRPr="009F56A5" w:rsidRDefault="009F56A5" w:rsidP="009F56A5">
            <w:pPr>
              <w:jc w:val="both"/>
              <w:rPr>
                <w:sz w:val="24"/>
                <w:szCs w:val="24"/>
              </w:rPr>
            </w:pPr>
            <w:r w:rsidRPr="009F56A5">
              <w:rPr>
                <w:i/>
                <w:iCs/>
                <w:sz w:val="24"/>
                <w:szCs w:val="24"/>
              </w:rPr>
              <w:t>I also engaged in safety planning with him, focusing on harm reduction strategies, safe substance </w:t>
            </w:r>
            <w:proofErr w:type="gramStart"/>
            <w:r w:rsidRPr="009F56A5">
              <w:rPr>
                <w:i/>
                <w:iCs/>
                <w:sz w:val="24"/>
                <w:szCs w:val="24"/>
              </w:rPr>
              <w:t>use</w:t>
            </w:r>
            <w:proofErr w:type="gramEnd"/>
            <w:r w:rsidRPr="009F56A5">
              <w:rPr>
                <w:i/>
                <w:iCs/>
                <w:sz w:val="24"/>
                <w:szCs w:val="24"/>
              </w:rPr>
              <w:t> practices, and identifying trusted adults he could contact in a crisis. However, his engagement with safety planning was inconsistent. He would agree to strategies during meetings but struggle to implement. This raised concerns about his capacity to make safe decisions, particularly when under the influence of substances.   </w:t>
            </w:r>
            <w:r w:rsidRPr="009F56A5">
              <w:rPr>
                <w:sz w:val="24"/>
                <w:szCs w:val="24"/>
              </w:rPr>
              <w:t> </w:t>
            </w:r>
          </w:p>
          <w:p w14:paraId="5B1BA3F9"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4E6E5C0D" w14:textId="77777777" w:rsidR="009F56A5" w:rsidRPr="009F56A5" w:rsidRDefault="009F56A5" w:rsidP="009F56A5">
            <w:pPr>
              <w:jc w:val="both"/>
              <w:rPr>
                <w:sz w:val="24"/>
                <w:szCs w:val="24"/>
              </w:rPr>
            </w:pPr>
            <w:r w:rsidRPr="009F56A5">
              <w:rPr>
                <w:i/>
                <w:iCs/>
                <w:sz w:val="24"/>
                <w:szCs w:val="24"/>
              </w:rPr>
              <w:t>Although the Mental Capacity Act 2005 applies to young people aged 16 and over, assessing capacity in the context of substance misuse is complex. His ability to understand, retain, and weigh information varied significantly depending on his level of intoxication. This made it difficult to distinguish between safeguarding concerns and issues of capacity, and I sought supervision to support my decision</w:t>
            </w:r>
            <w:r w:rsidRPr="009F56A5">
              <w:rPr>
                <w:sz w:val="24"/>
                <w:szCs w:val="24"/>
              </w:rPr>
              <w:noBreakHyphen/>
            </w:r>
            <w:r w:rsidRPr="009F56A5">
              <w:rPr>
                <w:i/>
                <w:iCs/>
                <w:sz w:val="24"/>
                <w:szCs w:val="24"/>
              </w:rPr>
              <w:t>making.  </w:t>
            </w:r>
            <w:r w:rsidRPr="009F56A5">
              <w:rPr>
                <w:sz w:val="24"/>
                <w:szCs w:val="24"/>
              </w:rPr>
              <w:t> </w:t>
            </w:r>
          </w:p>
          <w:p w14:paraId="7ACE3B55"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54C71933" w14:textId="77777777" w:rsidR="009F56A5" w:rsidRPr="009F56A5" w:rsidRDefault="009F56A5" w:rsidP="009F56A5">
            <w:pPr>
              <w:jc w:val="both"/>
              <w:rPr>
                <w:sz w:val="24"/>
                <w:szCs w:val="24"/>
              </w:rPr>
            </w:pPr>
            <w:r w:rsidRPr="009F56A5">
              <w:rPr>
                <w:i/>
                <w:iCs/>
                <w:sz w:val="24"/>
                <w:szCs w:val="24"/>
              </w:rPr>
              <w:t>Throughout the assessment process, I worked closely with other agencies, including CAMHS, the police, housing services, and substance misuse services. Multi</w:t>
            </w:r>
            <w:r w:rsidRPr="009F56A5">
              <w:rPr>
                <w:sz w:val="24"/>
                <w:szCs w:val="24"/>
              </w:rPr>
              <w:noBreakHyphen/>
            </w:r>
            <w:r w:rsidRPr="009F56A5">
              <w:rPr>
                <w:i/>
                <w:iCs/>
                <w:sz w:val="24"/>
                <w:szCs w:val="24"/>
              </w:rPr>
              <w:t>agency working is a core requirement under the Wales Safeguarding Procedures (2019), and information sharing was essential for building a full picture of the risks he faced. The police provided details of previous incidents at the family home, including reports of aggression and intoxication. Housing staff shared concerns about his living conditions and the influence of peers within the accommodation. Substance misuse services attempted to engage in harm reduction work, but his attendance was sporadic.  </w:t>
            </w:r>
            <w:r w:rsidRPr="009F56A5">
              <w:rPr>
                <w:sz w:val="24"/>
                <w:szCs w:val="24"/>
              </w:rPr>
              <w:t> </w:t>
            </w:r>
          </w:p>
          <w:p w14:paraId="751E93F6"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311F4DC9" w14:textId="77777777" w:rsidR="009F56A5" w:rsidRPr="009F56A5" w:rsidRDefault="009F56A5" w:rsidP="009F56A5">
            <w:pPr>
              <w:jc w:val="both"/>
              <w:rPr>
                <w:sz w:val="24"/>
                <w:szCs w:val="24"/>
              </w:rPr>
            </w:pPr>
            <w:r w:rsidRPr="009F56A5">
              <w:rPr>
                <w:i/>
                <w:iCs/>
                <w:sz w:val="24"/>
                <w:szCs w:val="24"/>
              </w:rPr>
              <w:t>As the assessment progressed, it became clear that his needs were escalating and that the existing care and support plan was no longer sufficient to safeguard him. His substance misuse was worsening, his self</w:t>
            </w:r>
            <w:r w:rsidRPr="009F56A5">
              <w:rPr>
                <w:sz w:val="24"/>
                <w:szCs w:val="24"/>
              </w:rPr>
              <w:noBreakHyphen/>
            </w:r>
            <w:r w:rsidRPr="009F56A5">
              <w:rPr>
                <w:i/>
                <w:iCs/>
                <w:sz w:val="24"/>
                <w:szCs w:val="24"/>
              </w:rPr>
              <w:t>neglect was becoming more severe, and his emotional well</w:t>
            </w:r>
            <w:r w:rsidRPr="009F56A5">
              <w:rPr>
                <w:sz w:val="24"/>
                <w:szCs w:val="24"/>
              </w:rPr>
              <w:noBreakHyphen/>
            </w:r>
            <w:r w:rsidRPr="009F56A5">
              <w:rPr>
                <w:i/>
                <w:iCs/>
                <w:sz w:val="24"/>
                <w:szCs w:val="24"/>
              </w:rPr>
              <w:t>being was deteriorating. He was increasingly isolated and disengaged from education. To further aids my assessment, I completed a child exploitation tool, which indicated he was at moderate risk of exploitation. Based on the evidence gathered, I concluded that he met the threshold for a Child Protection Conference to be convened under the Wales Safeguarding Procedures. This decision was not taken lightly, as child protection processes can be intrusive and distressing for young people. However, given the level of risk, it was necessary to ensure a coordinated, multi</w:t>
            </w:r>
            <w:r w:rsidRPr="009F56A5">
              <w:rPr>
                <w:sz w:val="24"/>
                <w:szCs w:val="24"/>
              </w:rPr>
              <w:noBreakHyphen/>
            </w:r>
            <w:r w:rsidRPr="009F56A5">
              <w:rPr>
                <w:i/>
                <w:iCs/>
                <w:sz w:val="24"/>
                <w:szCs w:val="24"/>
              </w:rPr>
              <w:t>agency response.  </w:t>
            </w:r>
            <w:r w:rsidRPr="009F56A5">
              <w:rPr>
                <w:sz w:val="24"/>
                <w:szCs w:val="24"/>
              </w:rPr>
              <w:t> </w:t>
            </w:r>
          </w:p>
          <w:p w14:paraId="18F7F6F5"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7BC9CDCC" w14:textId="77777777" w:rsidR="009F56A5" w:rsidRPr="009F56A5" w:rsidRDefault="009F56A5" w:rsidP="009F56A5">
            <w:pPr>
              <w:jc w:val="both"/>
              <w:rPr>
                <w:sz w:val="24"/>
                <w:szCs w:val="24"/>
              </w:rPr>
            </w:pPr>
            <w:r w:rsidRPr="009F56A5">
              <w:rPr>
                <w:i/>
                <w:iCs/>
                <w:sz w:val="24"/>
                <w:szCs w:val="24"/>
              </w:rPr>
              <w:t>The Child Protection Conference brought together professionals from across agencies to share information, assess risk, and develop a protection plan. The conference highlighted the complexity of his situation, particularly the difficulty in distinguishing between safeguarding concerns and issues of capacity. Some professionals felt that his behaviour was a result of poor decision</w:t>
            </w:r>
            <w:r w:rsidRPr="009F56A5">
              <w:rPr>
                <w:sz w:val="24"/>
                <w:szCs w:val="24"/>
              </w:rPr>
              <w:noBreakHyphen/>
            </w:r>
            <w:r w:rsidRPr="009F56A5">
              <w:rPr>
                <w:i/>
                <w:iCs/>
                <w:sz w:val="24"/>
                <w:szCs w:val="24"/>
              </w:rPr>
              <w:t>making and non</w:t>
            </w:r>
            <w:r w:rsidRPr="009F56A5">
              <w:rPr>
                <w:sz w:val="24"/>
                <w:szCs w:val="24"/>
              </w:rPr>
              <w:noBreakHyphen/>
            </w:r>
            <w:r w:rsidRPr="009F56A5">
              <w:rPr>
                <w:i/>
                <w:iCs/>
                <w:sz w:val="24"/>
                <w:szCs w:val="24"/>
              </w:rPr>
              <w:t>engagement, while others emphasised the impact of trauma, substance misuse, and emotional distress on his ability to care for himself. Ultimately, the conference concluded that he was at significant risk of harm and required a Child Protection Plan.  </w:t>
            </w:r>
            <w:r w:rsidRPr="009F56A5">
              <w:rPr>
                <w:sz w:val="24"/>
                <w:szCs w:val="24"/>
              </w:rPr>
              <w:t> </w:t>
            </w:r>
          </w:p>
          <w:p w14:paraId="07E8FF2D"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109222C3" w14:textId="77777777" w:rsidR="009F56A5" w:rsidRPr="009F56A5" w:rsidRDefault="009F56A5" w:rsidP="009F56A5">
            <w:pPr>
              <w:jc w:val="both"/>
              <w:rPr>
                <w:sz w:val="24"/>
                <w:szCs w:val="24"/>
              </w:rPr>
            </w:pPr>
            <w:r w:rsidRPr="009F56A5">
              <w:rPr>
                <w:i/>
                <w:iCs/>
                <w:sz w:val="24"/>
                <w:szCs w:val="24"/>
              </w:rPr>
              <w:t>Stage 2 – Reflection   </w:t>
            </w:r>
            <w:r w:rsidRPr="009F56A5">
              <w:rPr>
                <w:sz w:val="24"/>
                <w:szCs w:val="24"/>
              </w:rPr>
              <w:t> </w:t>
            </w:r>
          </w:p>
          <w:p w14:paraId="514C5C45"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797C9D34" w14:textId="77777777" w:rsidR="009F56A5" w:rsidRPr="009F56A5" w:rsidRDefault="009F56A5" w:rsidP="009F56A5">
            <w:pPr>
              <w:jc w:val="both"/>
              <w:rPr>
                <w:sz w:val="24"/>
                <w:szCs w:val="24"/>
              </w:rPr>
            </w:pPr>
            <w:r w:rsidRPr="009F56A5">
              <w:rPr>
                <w:i/>
                <w:iCs/>
                <w:sz w:val="24"/>
                <w:szCs w:val="24"/>
              </w:rPr>
              <w:lastRenderedPageBreak/>
              <w:t>Reflecting on this safeguarding case has allowed me to critically examine my practice, my decision</w:t>
            </w:r>
            <w:r w:rsidRPr="009F56A5">
              <w:rPr>
                <w:sz w:val="24"/>
                <w:szCs w:val="24"/>
              </w:rPr>
              <w:noBreakHyphen/>
            </w:r>
            <w:r w:rsidRPr="009F56A5">
              <w:rPr>
                <w:i/>
                <w:iCs/>
                <w:sz w:val="24"/>
                <w:szCs w:val="24"/>
              </w:rPr>
              <w:t>making, and the emotional and ethical complexities involved in working with a 16</w:t>
            </w:r>
            <w:r w:rsidRPr="009F56A5">
              <w:rPr>
                <w:sz w:val="24"/>
                <w:szCs w:val="24"/>
              </w:rPr>
              <w:noBreakHyphen/>
            </w:r>
            <w:r w:rsidRPr="009F56A5">
              <w:rPr>
                <w:i/>
                <w:iCs/>
                <w:sz w:val="24"/>
                <w:szCs w:val="24"/>
              </w:rPr>
              <w:t>year</w:t>
            </w:r>
            <w:r w:rsidRPr="009F56A5">
              <w:rPr>
                <w:sz w:val="24"/>
                <w:szCs w:val="24"/>
              </w:rPr>
              <w:noBreakHyphen/>
            </w:r>
            <w:r w:rsidRPr="009F56A5">
              <w:rPr>
                <w:i/>
                <w:iCs/>
                <w:sz w:val="24"/>
                <w:szCs w:val="24"/>
              </w:rPr>
              <w:t>old experiencing severe self</w:t>
            </w:r>
            <w:r w:rsidRPr="009F56A5">
              <w:rPr>
                <w:sz w:val="24"/>
                <w:szCs w:val="24"/>
              </w:rPr>
              <w:noBreakHyphen/>
            </w:r>
            <w:r w:rsidRPr="009F56A5">
              <w:rPr>
                <w:i/>
                <w:iCs/>
                <w:sz w:val="24"/>
                <w:szCs w:val="24"/>
              </w:rPr>
              <w:t>neglect, substance misuse, and deteriorating mental health. Using the ERA model, this stage focuses on analysing what happened, why it happened, what influenced my actions, and what I learned about myself as a practitioner. This reflection draws on legislation, theory, and professional frameworks that underpin safeguarding practice in Wales.  </w:t>
            </w:r>
            <w:r w:rsidRPr="009F56A5">
              <w:rPr>
                <w:sz w:val="24"/>
                <w:szCs w:val="24"/>
              </w:rPr>
              <w:t> </w:t>
            </w:r>
          </w:p>
          <w:p w14:paraId="3CA7C170"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0AB4AEBF" w14:textId="77777777" w:rsidR="009F56A5" w:rsidRPr="009F56A5" w:rsidRDefault="009F56A5" w:rsidP="009F56A5">
            <w:pPr>
              <w:jc w:val="both"/>
              <w:rPr>
                <w:sz w:val="24"/>
                <w:szCs w:val="24"/>
              </w:rPr>
            </w:pPr>
            <w:r w:rsidRPr="009F56A5">
              <w:rPr>
                <w:i/>
                <w:iCs/>
                <w:sz w:val="24"/>
                <w:szCs w:val="24"/>
              </w:rPr>
              <w:t>One of the first areas I have reflected on is how I recognised the situation as a safeguarding concern. Initially, the case presented as a behavioural issue — controlling behaviour towards his mother, police involvement, and conflict within the home. However, as I gathered more information, it became clear that these behaviours were symptoms of deeper unmet needs, having insecure attachment with his mother, due to the loss of his father to cancer at a young age and abruptly returning to his mother’s care. His daily use of ketamine, Subutex, cannabis, and pills suggested that he was using substances to cope with emotional distress. Trauma</w:t>
            </w:r>
            <w:r w:rsidRPr="009F56A5">
              <w:rPr>
                <w:sz w:val="24"/>
                <w:szCs w:val="24"/>
              </w:rPr>
              <w:noBreakHyphen/>
            </w:r>
            <w:r w:rsidRPr="009F56A5">
              <w:rPr>
                <w:i/>
                <w:iCs/>
                <w:sz w:val="24"/>
                <w:szCs w:val="24"/>
              </w:rPr>
              <w:t>informed practice emphasises that behaviour is communication, and that young people often express pain through risk</w:t>
            </w:r>
            <w:r w:rsidRPr="009F56A5">
              <w:rPr>
                <w:sz w:val="24"/>
                <w:szCs w:val="24"/>
              </w:rPr>
              <w:noBreakHyphen/>
            </w:r>
            <w:r w:rsidRPr="009F56A5">
              <w:rPr>
                <w:i/>
                <w:iCs/>
                <w:sz w:val="24"/>
                <w:szCs w:val="24"/>
              </w:rPr>
              <w:t>taking, aggression, or withdrawal, Perry &amp; Szalavitz (2017).   </w:t>
            </w:r>
            <w:r w:rsidRPr="009F56A5">
              <w:rPr>
                <w:sz w:val="24"/>
                <w:szCs w:val="24"/>
              </w:rPr>
              <w:t> </w:t>
            </w:r>
          </w:p>
          <w:p w14:paraId="50A08CAF"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3A41F15D" w14:textId="77777777" w:rsidR="009F56A5" w:rsidRPr="009F56A5" w:rsidRDefault="009F56A5" w:rsidP="009F56A5">
            <w:pPr>
              <w:jc w:val="both"/>
              <w:rPr>
                <w:sz w:val="24"/>
                <w:szCs w:val="24"/>
              </w:rPr>
            </w:pPr>
            <w:r w:rsidRPr="009F56A5">
              <w:rPr>
                <w:i/>
                <w:iCs/>
                <w:sz w:val="24"/>
                <w:szCs w:val="24"/>
              </w:rPr>
              <w:t>Looking back, I can see that I needed to shift my perspective from viewing his behaviour as “challenging” to understanding it as a response to trauma, instability, and emotional overwhelm. This aligns with the principles of the SSWBA (Wales) 2014, which emphasises well</w:t>
            </w:r>
            <w:r w:rsidRPr="009F56A5">
              <w:rPr>
                <w:sz w:val="24"/>
                <w:szCs w:val="24"/>
              </w:rPr>
              <w:noBreakHyphen/>
            </w:r>
            <w:r w:rsidRPr="009F56A5">
              <w:rPr>
                <w:i/>
                <w:iCs/>
                <w:sz w:val="24"/>
                <w:szCs w:val="24"/>
              </w:rPr>
              <w:t>being, prevention, and understanding the individual within their context. It also reflects the Wales Safeguarding Procedures (2019), which recognise self</w:t>
            </w:r>
            <w:r w:rsidRPr="009F56A5">
              <w:rPr>
                <w:sz w:val="24"/>
                <w:szCs w:val="24"/>
              </w:rPr>
              <w:noBreakHyphen/>
            </w:r>
            <w:r w:rsidRPr="009F56A5">
              <w:rPr>
                <w:i/>
                <w:iCs/>
                <w:sz w:val="24"/>
                <w:szCs w:val="24"/>
              </w:rPr>
              <w:t>neglect and substance misuse as safeguarding concerns requiring a coordinated response.  </w:t>
            </w:r>
            <w:r w:rsidRPr="009F56A5">
              <w:rPr>
                <w:sz w:val="24"/>
                <w:szCs w:val="24"/>
              </w:rPr>
              <w:t> </w:t>
            </w:r>
          </w:p>
          <w:p w14:paraId="0ED543D2" w14:textId="77777777" w:rsidR="009F56A5" w:rsidRPr="009F56A5" w:rsidRDefault="009F56A5" w:rsidP="009F56A5">
            <w:pPr>
              <w:jc w:val="both"/>
              <w:rPr>
                <w:sz w:val="24"/>
                <w:szCs w:val="24"/>
              </w:rPr>
            </w:pPr>
            <w:r w:rsidRPr="009F56A5">
              <w:rPr>
                <w:i/>
                <w:iCs/>
                <w:sz w:val="24"/>
                <w:szCs w:val="24"/>
              </w:rPr>
              <w:t>Attachment theory also helped me to understand 1’s presentation more critically. His early bereavement, disrupted family relationships, and insecure relationship with his mother may have affected his ability to trust adults, regulate emotions, and accept support. From this perspective, his aggression, withdrawal, substance misuse, and inconsistent engagement were not simply behavioural choices, but possible responses to disrupted attachment, loss, and unmet emotional needs. This supported me to remain curious about the meaning behind his behaviour and to recognise the importance of relationship-based practice, consistency, and emotional containment when trying to engage him in safeguarding planning.  </w:t>
            </w:r>
            <w:r w:rsidRPr="009F56A5">
              <w:rPr>
                <w:sz w:val="24"/>
                <w:szCs w:val="24"/>
              </w:rPr>
              <w:t> </w:t>
            </w:r>
          </w:p>
          <w:p w14:paraId="26978A42" w14:textId="77777777" w:rsidR="009F56A5" w:rsidRPr="009F56A5" w:rsidRDefault="009F56A5" w:rsidP="009F56A5">
            <w:pPr>
              <w:jc w:val="both"/>
              <w:rPr>
                <w:sz w:val="24"/>
                <w:szCs w:val="24"/>
              </w:rPr>
            </w:pPr>
            <w:r w:rsidRPr="009F56A5">
              <w:rPr>
                <w:i/>
                <w:iCs/>
                <w:sz w:val="24"/>
                <w:szCs w:val="24"/>
              </w:rPr>
              <w:t>Bronfenbrenner’s ecological systems theory was also relevant because the risks in this case were not located only within 1 as an individual. His behaviour was shaped by interacting systems around him, including his family relationships, supported accommodation, peer influences, substance misuse networks, education, CAMHS, housing, police involvement, and the wider Welsh safeguarding context. Using an ecological lens helped me to recognise that safeguarding could not be achieved through individual work alone. It required coordinated multi-agency intervention and an understanding of how environmental factors, service responses, community resources, and legislation influenced his risk and resilience.  </w:t>
            </w:r>
            <w:r w:rsidRPr="009F56A5">
              <w:rPr>
                <w:sz w:val="24"/>
                <w:szCs w:val="24"/>
              </w:rPr>
              <w:t> </w:t>
            </w:r>
          </w:p>
          <w:p w14:paraId="1E9FDDF2" w14:textId="77777777" w:rsidR="009F56A5" w:rsidRPr="009F56A5" w:rsidRDefault="009F56A5" w:rsidP="009F56A5">
            <w:pPr>
              <w:jc w:val="both"/>
              <w:rPr>
                <w:i/>
                <w:iCs/>
                <w:sz w:val="24"/>
                <w:szCs w:val="24"/>
              </w:rPr>
            </w:pPr>
          </w:p>
          <w:p w14:paraId="761249D4" w14:textId="77777777" w:rsidR="009F56A5" w:rsidRPr="009F56A5" w:rsidRDefault="009F56A5" w:rsidP="009F56A5">
            <w:pPr>
              <w:jc w:val="both"/>
              <w:rPr>
                <w:sz w:val="24"/>
                <w:szCs w:val="24"/>
              </w:rPr>
            </w:pPr>
            <w:r w:rsidRPr="009F56A5">
              <w:rPr>
                <w:i/>
                <w:iCs/>
                <w:sz w:val="24"/>
                <w:szCs w:val="24"/>
              </w:rPr>
              <w:t xml:space="preserve">One of the most challenging aspects of this case was balancing 1’s autonomy with my duty to safeguard him. At 16, he had increasing rights to make decisions about his life, and the UNCRC (Wales) and the SSWBA (Wales) 2014 emphasise the importance of voice and </w:t>
            </w:r>
            <w:r w:rsidRPr="009F56A5">
              <w:rPr>
                <w:i/>
                <w:iCs/>
                <w:sz w:val="24"/>
                <w:szCs w:val="24"/>
              </w:rPr>
              <w:lastRenderedPageBreak/>
              <w:t>control. However, his capacity to make safe decisions was compromised by his substance misuse, emotional instability, and chaotic lifestyle.  </w:t>
            </w:r>
            <w:r w:rsidRPr="009F56A5">
              <w:rPr>
                <w:sz w:val="24"/>
                <w:szCs w:val="24"/>
              </w:rPr>
              <w:t> </w:t>
            </w:r>
          </w:p>
          <w:p w14:paraId="36A73DB5"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48F70D9D" w14:textId="77777777" w:rsidR="009F56A5" w:rsidRPr="009F56A5" w:rsidRDefault="009F56A5" w:rsidP="009F56A5">
            <w:pPr>
              <w:jc w:val="both"/>
              <w:rPr>
                <w:i/>
                <w:iCs/>
                <w:sz w:val="24"/>
                <w:szCs w:val="24"/>
              </w:rPr>
            </w:pPr>
            <w:r w:rsidRPr="009F56A5">
              <w:rPr>
                <w:i/>
                <w:iCs/>
                <w:sz w:val="24"/>
                <w:szCs w:val="24"/>
              </w:rPr>
              <w:t>The Mental Capacity Act 2005 provided a useful framework for assessing decision-making capacity. Supervision and legal consultation supported me in balancing autonomy with safeguarding responsibilities where substance misuse affected his ability to understand and weigh information.</w:t>
            </w:r>
          </w:p>
          <w:p w14:paraId="48D2171A"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3ECD1CD5" w14:textId="77777777" w:rsidR="009F56A5" w:rsidRPr="009F56A5" w:rsidRDefault="009F56A5" w:rsidP="009F56A5">
            <w:pPr>
              <w:jc w:val="both"/>
              <w:rPr>
                <w:sz w:val="24"/>
                <w:szCs w:val="24"/>
              </w:rPr>
            </w:pPr>
            <w:r w:rsidRPr="009F56A5">
              <w:rPr>
                <w:i/>
                <w:iCs/>
                <w:sz w:val="24"/>
                <w:szCs w:val="24"/>
              </w:rPr>
              <w:t>This created an ethical dilemma: respecting his rights while recognising that his choices were placing him at significant risk. I often felt conflicted, particularly when he expressed frustration at professional involvement. I questioned whether I was being overly paternalistic or whether I was failing to intervene strongly enough. This tension is well</w:t>
            </w:r>
            <w:r w:rsidRPr="009F56A5">
              <w:rPr>
                <w:sz w:val="24"/>
                <w:szCs w:val="24"/>
              </w:rPr>
              <w:noBreakHyphen/>
            </w:r>
            <w:r w:rsidRPr="009F56A5">
              <w:rPr>
                <w:i/>
                <w:iCs/>
                <w:sz w:val="24"/>
                <w:szCs w:val="24"/>
              </w:rPr>
              <w:t>recognised in safeguarding practice, where practitioners frequently experience uncertainty when balancing protection and autonomy, especially when working with adolescents who sit at the intersection of childhood vulnerability and emerging adulthood. Research highlights that such professional dilemmas are common when assessing and responding to risk, as practitioners must navigate complex and sometimes conflicting information when making safeguarding decisions (Sidebotham &amp; Heron, 2006).  </w:t>
            </w:r>
            <w:r w:rsidRPr="009F56A5">
              <w:rPr>
                <w:sz w:val="24"/>
                <w:szCs w:val="24"/>
              </w:rPr>
              <w:t> </w:t>
            </w:r>
          </w:p>
          <w:p w14:paraId="5DD7EFCB"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40172579" w14:textId="77777777" w:rsidR="009F56A5" w:rsidRPr="009F56A5" w:rsidRDefault="009F56A5" w:rsidP="009F56A5">
            <w:pPr>
              <w:jc w:val="both"/>
              <w:rPr>
                <w:i/>
                <w:iCs/>
                <w:sz w:val="24"/>
                <w:szCs w:val="24"/>
              </w:rPr>
            </w:pPr>
            <w:r w:rsidRPr="009F56A5">
              <w:rPr>
                <w:i/>
                <w:iCs/>
                <w:sz w:val="24"/>
                <w:szCs w:val="24"/>
              </w:rPr>
              <w:t xml:space="preserve">Reflecting on this case, I recognise the importance of maintaining professional boundaries whilst working empathetically with vulnerable adolescents experiencing significant risk. Effective supervision was essential in helping me process professional uncertainty, challenge my assumptions and maintain a balanced approach to safeguarding intervention (Ruch, 2005). A further area of learning related to multi-agency working, particularly my experience of collaborating with CAMHS. Although concerns existed regarding emotional distress, trauma and deteriorating mental health, his presentation was largely viewed through the lens of substance misuse. This highlighted the importance of professional advocacy and persistence in ensuring that young people's needs are considered holistically in line with the Social Services and Well-being (Wales) Act 2014. </w:t>
            </w:r>
          </w:p>
          <w:p w14:paraId="53056DEB" w14:textId="77777777" w:rsidR="009F56A5" w:rsidRPr="009F56A5" w:rsidRDefault="009F56A5" w:rsidP="009F56A5">
            <w:pPr>
              <w:jc w:val="both"/>
              <w:rPr>
                <w:sz w:val="24"/>
                <w:szCs w:val="24"/>
              </w:rPr>
            </w:pPr>
          </w:p>
          <w:p w14:paraId="1256BDD8" w14:textId="77777777" w:rsidR="009F56A5" w:rsidRPr="009F56A5" w:rsidRDefault="009F56A5" w:rsidP="009F56A5">
            <w:pPr>
              <w:jc w:val="both"/>
              <w:rPr>
                <w:sz w:val="24"/>
                <w:szCs w:val="24"/>
              </w:rPr>
            </w:pPr>
            <w:r w:rsidRPr="009F56A5">
              <w:rPr>
                <w:sz w:val="24"/>
                <w:szCs w:val="24"/>
              </w:rPr>
              <w:t> </w:t>
            </w:r>
          </w:p>
          <w:p w14:paraId="24BDC968" w14:textId="77777777" w:rsidR="009F56A5" w:rsidRPr="009F56A5" w:rsidRDefault="009F56A5" w:rsidP="009F56A5">
            <w:pPr>
              <w:jc w:val="both"/>
              <w:rPr>
                <w:sz w:val="24"/>
                <w:szCs w:val="24"/>
              </w:rPr>
            </w:pPr>
            <w:r w:rsidRPr="009F56A5">
              <w:rPr>
                <w:i/>
                <w:iCs/>
                <w:sz w:val="24"/>
                <w:szCs w:val="24"/>
              </w:rPr>
              <w:t>Reflecting on this, I recognise that I also needed to maintain clear professional boundaries. His chaotic lifestyle and emotional instability sometimes created a strong instinct to become overly involved or protective, which is a recognised challenge within relationship</w:t>
            </w:r>
            <w:r w:rsidRPr="009F56A5">
              <w:rPr>
                <w:sz w:val="24"/>
                <w:szCs w:val="24"/>
              </w:rPr>
              <w:noBreakHyphen/>
            </w:r>
            <w:r w:rsidRPr="009F56A5">
              <w:rPr>
                <w:i/>
                <w:iCs/>
                <w:sz w:val="24"/>
                <w:szCs w:val="24"/>
              </w:rPr>
              <w:t>based practice. As Ruch (2005) argues, the emotional intensity of direct work with young people can blur professional boundaries if practitioners are not continually reflective about their role. Maintaining these boundaries is crucial not only for my own wellbeing but also for supporting the young person to develop independence, resilience, and a sense of agency.  </w:t>
            </w:r>
            <w:r w:rsidRPr="009F56A5">
              <w:rPr>
                <w:sz w:val="24"/>
                <w:szCs w:val="24"/>
              </w:rPr>
              <w:t> </w:t>
            </w:r>
          </w:p>
          <w:p w14:paraId="1FE46EA1"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1974D3C8" w14:textId="77777777" w:rsidR="009F56A5" w:rsidRPr="009F56A5" w:rsidRDefault="009F56A5" w:rsidP="009F56A5">
            <w:pPr>
              <w:jc w:val="both"/>
              <w:rPr>
                <w:sz w:val="24"/>
                <w:szCs w:val="24"/>
              </w:rPr>
            </w:pPr>
            <w:r w:rsidRPr="009F56A5">
              <w:rPr>
                <w:i/>
                <w:iCs/>
                <w:sz w:val="24"/>
                <w:szCs w:val="24"/>
              </w:rPr>
              <w:t xml:space="preserve">Another significant area of reflection relates to the challenges I experienced when attempting to collaborate with CAMHS. Although I referred the young person due to clear indicators of emotional distress, trauma, and deteriorating mental health, CAMHS primarily viewed his presentation through the lens of substance misuse rather than mental health need. Their position was that his substance use made it difficult to assess his mental </w:t>
            </w:r>
            <w:r w:rsidRPr="009F56A5">
              <w:rPr>
                <w:i/>
                <w:iCs/>
                <w:sz w:val="24"/>
                <w:szCs w:val="24"/>
              </w:rPr>
              <w:lastRenderedPageBreak/>
              <w:t>state, and as a result, they did not offer therapeutic intervention. This created a gap in support at a time when his emotional well</w:t>
            </w:r>
            <w:r w:rsidRPr="009F56A5">
              <w:rPr>
                <w:sz w:val="24"/>
                <w:szCs w:val="24"/>
              </w:rPr>
              <w:noBreakHyphen/>
            </w:r>
            <w:r w:rsidRPr="009F56A5">
              <w:rPr>
                <w:i/>
                <w:iCs/>
                <w:sz w:val="24"/>
                <w:szCs w:val="24"/>
              </w:rPr>
              <w:t>being was clearly deteriorating.  </w:t>
            </w:r>
            <w:r w:rsidRPr="009F56A5">
              <w:rPr>
                <w:sz w:val="24"/>
                <w:szCs w:val="24"/>
              </w:rPr>
              <w:t> </w:t>
            </w:r>
          </w:p>
          <w:p w14:paraId="31ED6976"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7BF3AA7B" w14:textId="77777777" w:rsidR="009F56A5" w:rsidRPr="009F56A5" w:rsidRDefault="009F56A5" w:rsidP="009F56A5">
            <w:pPr>
              <w:jc w:val="both"/>
              <w:rPr>
                <w:sz w:val="24"/>
                <w:szCs w:val="24"/>
              </w:rPr>
            </w:pPr>
            <w:r w:rsidRPr="009F56A5">
              <w:rPr>
                <w:i/>
                <w:iCs/>
                <w:sz w:val="24"/>
                <w:szCs w:val="24"/>
              </w:rPr>
              <w:t>Reflecting on this, I recognise how difficult it was to advocate for his mental health needs when CAMHS did not acknowledge them as separate from his substance misuse. This created a professional tension, as the SSWBA (Wales) 2014 requires a holistic assessment of well</w:t>
            </w:r>
            <w:r w:rsidRPr="009F56A5">
              <w:rPr>
                <w:sz w:val="24"/>
                <w:szCs w:val="24"/>
              </w:rPr>
              <w:noBreakHyphen/>
            </w:r>
            <w:r w:rsidRPr="009F56A5">
              <w:rPr>
                <w:i/>
                <w:iCs/>
                <w:sz w:val="24"/>
                <w:szCs w:val="24"/>
              </w:rPr>
              <w:t>being, including emotional and psychological needs. Yet the response from CAMHS felt narrow and exclusionary. Their stance also conflicted with trauma</w:t>
            </w:r>
            <w:r w:rsidRPr="009F56A5">
              <w:rPr>
                <w:sz w:val="24"/>
                <w:szCs w:val="24"/>
              </w:rPr>
              <w:noBreakHyphen/>
            </w:r>
            <w:r w:rsidRPr="009F56A5">
              <w:rPr>
                <w:i/>
                <w:iCs/>
                <w:sz w:val="24"/>
                <w:szCs w:val="24"/>
              </w:rPr>
              <w:t>informed principles, which emphasise that substance misuse is often a coping mechanism for underlying emotional pain. By focusing solely on his substance use, CAMHS overlooked the trauma, instability, and emotional dysregulation driving his behaviour.  </w:t>
            </w:r>
            <w:r w:rsidRPr="009F56A5">
              <w:rPr>
                <w:sz w:val="24"/>
                <w:szCs w:val="24"/>
              </w:rPr>
              <w:t> </w:t>
            </w:r>
          </w:p>
          <w:p w14:paraId="4DE02FFC"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2C9DC7C4" w14:textId="77777777" w:rsidR="009F56A5" w:rsidRPr="009F56A5" w:rsidRDefault="009F56A5" w:rsidP="009F56A5">
            <w:pPr>
              <w:jc w:val="both"/>
              <w:rPr>
                <w:sz w:val="24"/>
                <w:szCs w:val="24"/>
              </w:rPr>
            </w:pPr>
            <w:r w:rsidRPr="009F56A5">
              <w:rPr>
                <w:i/>
                <w:iCs/>
                <w:sz w:val="24"/>
                <w:szCs w:val="24"/>
              </w:rPr>
              <w:t>This lack of mental</w:t>
            </w:r>
            <w:r w:rsidRPr="009F56A5">
              <w:rPr>
                <w:sz w:val="24"/>
                <w:szCs w:val="24"/>
              </w:rPr>
              <w:noBreakHyphen/>
            </w:r>
            <w:r w:rsidRPr="009F56A5">
              <w:rPr>
                <w:i/>
                <w:iCs/>
                <w:sz w:val="24"/>
                <w:szCs w:val="24"/>
              </w:rPr>
              <w:t>health recognition made multi</w:t>
            </w:r>
            <w:r w:rsidRPr="009F56A5">
              <w:rPr>
                <w:sz w:val="24"/>
                <w:szCs w:val="24"/>
              </w:rPr>
              <w:noBreakHyphen/>
            </w:r>
            <w:r w:rsidRPr="009F56A5">
              <w:rPr>
                <w:i/>
                <w:iCs/>
                <w:sz w:val="24"/>
                <w:szCs w:val="24"/>
              </w:rPr>
              <w:t>agency collaboration more difficult. It also placed additional pressure on me as the lead professional, as I felt responsible for addressing needs that should have been shared across agencies. I found myself questioning whether I had advocated strongly enough, whether I could have escalated concerns sooner, or whether I should have challenged CAMHS more assertively. The experience highlighted the systemic barriers young people face when their mental health needs are overshadowed by substance misuse, and it reinforced the importance of professional curiosity and persistence in safeguarding practice.  </w:t>
            </w:r>
            <w:r w:rsidRPr="009F56A5">
              <w:rPr>
                <w:sz w:val="24"/>
                <w:szCs w:val="24"/>
              </w:rPr>
              <w:t> </w:t>
            </w:r>
          </w:p>
          <w:p w14:paraId="3C056F4A"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378B2F7E" w14:textId="77777777" w:rsidR="009F56A5" w:rsidRPr="009F56A5" w:rsidRDefault="009F56A5" w:rsidP="009F56A5">
            <w:pPr>
              <w:jc w:val="both"/>
              <w:rPr>
                <w:sz w:val="24"/>
                <w:szCs w:val="24"/>
              </w:rPr>
            </w:pPr>
            <w:r w:rsidRPr="009F56A5">
              <w:rPr>
                <w:i/>
                <w:iCs/>
                <w:sz w:val="24"/>
                <w:szCs w:val="24"/>
              </w:rPr>
              <w:t>Reflecting on this, I recognise that multi</w:t>
            </w:r>
            <w:r w:rsidRPr="009F56A5">
              <w:rPr>
                <w:sz w:val="24"/>
                <w:szCs w:val="24"/>
              </w:rPr>
              <w:noBreakHyphen/>
            </w:r>
            <w:r w:rsidRPr="009F56A5">
              <w:rPr>
                <w:i/>
                <w:iCs/>
                <w:sz w:val="24"/>
                <w:szCs w:val="24"/>
              </w:rPr>
              <w:t>agency working is essential but not always effective. Agencies often worked in independently, and communication was sometimes reactive rather than proactive. I also noticed that different professionals had different interpretations of risk. Some viewed his behaviour as deliberate non</w:t>
            </w:r>
            <w:r w:rsidRPr="009F56A5">
              <w:rPr>
                <w:sz w:val="24"/>
                <w:szCs w:val="24"/>
              </w:rPr>
              <w:noBreakHyphen/>
            </w:r>
            <w:r w:rsidRPr="009F56A5">
              <w:rPr>
                <w:i/>
                <w:iCs/>
                <w:sz w:val="24"/>
                <w:szCs w:val="24"/>
              </w:rPr>
              <w:t>compliance, while others saw it as a symptom of trauma and emotional distress. This lack of shared understanding made it difficult to develop a cohesive plan.  </w:t>
            </w:r>
            <w:r w:rsidRPr="009F56A5">
              <w:rPr>
                <w:sz w:val="24"/>
                <w:szCs w:val="24"/>
              </w:rPr>
              <w:t> </w:t>
            </w:r>
          </w:p>
          <w:p w14:paraId="71A9C4CB"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18EF9FA7" w14:textId="77777777" w:rsidR="009F56A5" w:rsidRPr="009F56A5" w:rsidRDefault="009F56A5" w:rsidP="009F56A5">
            <w:pPr>
              <w:jc w:val="both"/>
              <w:rPr>
                <w:sz w:val="24"/>
                <w:szCs w:val="24"/>
              </w:rPr>
            </w:pPr>
            <w:r w:rsidRPr="009F56A5">
              <w:rPr>
                <w:i/>
                <w:iCs/>
                <w:sz w:val="24"/>
                <w:szCs w:val="24"/>
              </w:rPr>
              <w:t>The Child Protection Conference helped bring agencies together, but I reflect that earlier multi</w:t>
            </w:r>
            <w:r w:rsidRPr="009F56A5">
              <w:rPr>
                <w:sz w:val="24"/>
                <w:szCs w:val="24"/>
              </w:rPr>
              <w:noBreakHyphen/>
            </w:r>
            <w:r w:rsidRPr="009F56A5">
              <w:rPr>
                <w:i/>
                <w:iCs/>
                <w:sz w:val="24"/>
                <w:szCs w:val="24"/>
              </w:rPr>
              <w:t>agency meetings may have prevented escalation. I also recognise that I could have been more assertive in coordinating communication and ensuring that all agencies understood the safeguarding concerns.  </w:t>
            </w:r>
            <w:r w:rsidRPr="009F56A5">
              <w:rPr>
                <w:sz w:val="24"/>
                <w:szCs w:val="24"/>
              </w:rPr>
              <w:t> </w:t>
            </w:r>
          </w:p>
          <w:p w14:paraId="3BCC7F8B"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2F45C1FA" w14:textId="77777777" w:rsidR="009F56A5" w:rsidRPr="009F56A5" w:rsidRDefault="009F56A5" w:rsidP="009F56A5">
            <w:pPr>
              <w:jc w:val="both"/>
              <w:rPr>
                <w:sz w:val="24"/>
                <w:szCs w:val="24"/>
              </w:rPr>
            </w:pPr>
            <w:r w:rsidRPr="009F56A5">
              <w:rPr>
                <w:i/>
                <w:iCs/>
                <w:sz w:val="24"/>
                <w:szCs w:val="24"/>
              </w:rPr>
              <w:t>Self</w:t>
            </w:r>
            <w:r w:rsidRPr="009F56A5">
              <w:rPr>
                <w:sz w:val="24"/>
                <w:szCs w:val="24"/>
              </w:rPr>
              <w:noBreakHyphen/>
            </w:r>
            <w:r w:rsidRPr="009F56A5">
              <w:rPr>
                <w:i/>
                <w:iCs/>
                <w:sz w:val="24"/>
                <w:szCs w:val="24"/>
              </w:rPr>
              <w:t>neglect is often associated with adults, but this case highlighted how it can manifest in adolescents. His poor hygiene, malnutrition, unsafe living environment, and inability to manage daily tasks were clear indicators of self</w:t>
            </w:r>
            <w:r w:rsidRPr="009F56A5">
              <w:rPr>
                <w:sz w:val="24"/>
                <w:szCs w:val="24"/>
              </w:rPr>
              <w:noBreakHyphen/>
            </w:r>
            <w:r w:rsidRPr="009F56A5">
              <w:rPr>
                <w:i/>
                <w:iCs/>
                <w:sz w:val="24"/>
                <w:szCs w:val="24"/>
              </w:rPr>
              <w:t>neglect. Reflecting on this, I realise that I initially underestimated the severity of his self</w:t>
            </w:r>
            <w:r w:rsidRPr="009F56A5">
              <w:rPr>
                <w:sz w:val="24"/>
                <w:szCs w:val="24"/>
              </w:rPr>
              <w:noBreakHyphen/>
            </w:r>
            <w:r w:rsidRPr="009F56A5">
              <w:rPr>
                <w:i/>
                <w:iCs/>
                <w:sz w:val="24"/>
                <w:szCs w:val="24"/>
              </w:rPr>
              <w:t>neglect because I associated it more with older adults.  </w:t>
            </w:r>
            <w:r w:rsidRPr="009F56A5">
              <w:rPr>
                <w:sz w:val="24"/>
                <w:szCs w:val="24"/>
              </w:rPr>
              <w:t> </w:t>
            </w:r>
          </w:p>
          <w:p w14:paraId="222F5C6E"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0DF99BD1" w14:textId="77777777" w:rsidR="009F56A5" w:rsidRPr="009F56A5" w:rsidRDefault="009F56A5" w:rsidP="009F56A5">
            <w:pPr>
              <w:jc w:val="both"/>
              <w:rPr>
                <w:sz w:val="24"/>
                <w:szCs w:val="24"/>
              </w:rPr>
            </w:pPr>
            <w:r w:rsidRPr="009F56A5">
              <w:rPr>
                <w:i/>
                <w:iCs/>
                <w:sz w:val="24"/>
                <w:szCs w:val="24"/>
              </w:rPr>
              <w:t>The Wales Safeguarding Procedures (2019) explicitly recognise self</w:t>
            </w:r>
            <w:r w:rsidRPr="009F56A5">
              <w:rPr>
                <w:sz w:val="24"/>
                <w:szCs w:val="24"/>
              </w:rPr>
              <w:noBreakHyphen/>
            </w:r>
            <w:r w:rsidRPr="009F56A5">
              <w:rPr>
                <w:i/>
                <w:iCs/>
                <w:sz w:val="24"/>
                <w:szCs w:val="24"/>
              </w:rPr>
              <w:t>neglect as a safeguarding concern, and I now understand the importance of applying this framework to adolescents. His self</w:t>
            </w:r>
            <w:r w:rsidRPr="009F56A5">
              <w:rPr>
                <w:sz w:val="24"/>
                <w:szCs w:val="24"/>
              </w:rPr>
              <w:noBreakHyphen/>
            </w:r>
            <w:r w:rsidRPr="009F56A5">
              <w:rPr>
                <w:i/>
                <w:iCs/>
                <w:sz w:val="24"/>
                <w:szCs w:val="24"/>
              </w:rPr>
              <w:t>neglect was not a lifestyle choice; it was a sign of emotional distress, substance dependence, and impaired functioning. Recognising this earlier may have prompted a more urgent safeguarding response.  </w:t>
            </w:r>
            <w:r w:rsidRPr="009F56A5">
              <w:rPr>
                <w:sz w:val="24"/>
                <w:szCs w:val="24"/>
              </w:rPr>
              <w:t> </w:t>
            </w:r>
          </w:p>
          <w:p w14:paraId="3BDB48B7"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66815943" w14:textId="77777777" w:rsidR="009F56A5" w:rsidRPr="009F56A5" w:rsidRDefault="009F56A5" w:rsidP="009F56A5">
            <w:pPr>
              <w:jc w:val="both"/>
              <w:rPr>
                <w:sz w:val="24"/>
                <w:szCs w:val="24"/>
              </w:rPr>
            </w:pPr>
            <w:r w:rsidRPr="009F56A5">
              <w:rPr>
                <w:i/>
                <w:iCs/>
                <w:sz w:val="24"/>
                <w:szCs w:val="24"/>
              </w:rPr>
              <w:lastRenderedPageBreak/>
              <w:t>Reflecting on the legislative framework, I can see how it directly shaped my practice and guided my decision</w:t>
            </w:r>
            <w:r w:rsidRPr="009F56A5">
              <w:rPr>
                <w:sz w:val="24"/>
                <w:szCs w:val="24"/>
              </w:rPr>
              <w:noBreakHyphen/>
            </w:r>
            <w:r w:rsidRPr="009F56A5">
              <w:rPr>
                <w:i/>
                <w:iCs/>
                <w:sz w:val="24"/>
                <w:szCs w:val="24"/>
              </w:rPr>
              <w:t>making. The SSWBA (Wales) Act 2014 required me to assess his needs holistically and promote his overall well</w:t>
            </w:r>
            <w:r w:rsidRPr="009F56A5">
              <w:rPr>
                <w:sz w:val="24"/>
                <w:szCs w:val="24"/>
              </w:rPr>
              <w:noBreakHyphen/>
            </w:r>
            <w:r w:rsidRPr="009F56A5">
              <w:rPr>
                <w:i/>
                <w:iCs/>
                <w:sz w:val="24"/>
                <w:szCs w:val="24"/>
              </w:rPr>
              <w:t>being, while the Children Act 1989 provided the foundation for child protection processes. In parallel, the Mental Capacity Act 2005 was an important consideration, as it applies to young people aged 16–17 and required me to presume his capacity and assess it on a decision</w:t>
            </w:r>
            <w:r w:rsidRPr="009F56A5">
              <w:rPr>
                <w:sz w:val="24"/>
                <w:szCs w:val="24"/>
              </w:rPr>
              <w:noBreakHyphen/>
            </w:r>
            <w:r w:rsidRPr="009F56A5">
              <w:rPr>
                <w:i/>
                <w:iCs/>
                <w:sz w:val="24"/>
                <w:szCs w:val="24"/>
              </w:rPr>
              <w:t>specific basis. This meant balancing his right to make autonomous choices with my safeguarding responsibilities when his behaviour suggested he may not fully understand or weigh up the risks associated with self</w:t>
            </w:r>
            <w:r w:rsidRPr="009F56A5">
              <w:rPr>
                <w:sz w:val="24"/>
                <w:szCs w:val="24"/>
              </w:rPr>
              <w:noBreakHyphen/>
            </w:r>
            <w:r w:rsidRPr="009F56A5">
              <w:rPr>
                <w:i/>
                <w:iCs/>
                <w:sz w:val="24"/>
                <w:szCs w:val="24"/>
              </w:rPr>
              <w:t>neglect and substance misuse. The Housing (Wales) Act 2014 influenced decisions around the suitability and stability of his accommodation, while the UN Convention on the Rights of the Child emphasised his right to be heard and actively involved in decisions affecting him. The Human Rights Act 1998 required me to balance his individual rights with the need to protect him from harm. Reflecting on this, I recognise that although legislation provided a strong and necessary framework, applying it effectively in practice required professional judgement, emotional intelligence, and critical thinking.  </w:t>
            </w:r>
            <w:r w:rsidRPr="009F56A5">
              <w:rPr>
                <w:sz w:val="24"/>
                <w:szCs w:val="24"/>
              </w:rPr>
              <w:t> </w:t>
            </w:r>
          </w:p>
          <w:p w14:paraId="0B4A55CE"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3DCA79FB"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1BB66A3A" w14:textId="77777777" w:rsidR="009F56A5" w:rsidRPr="009F56A5" w:rsidRDefault="009F56A5" w:rsidP="009F56A5">
            <w:pPr>
              <w:jc w:val="both"/>
              <w:rPr>
                <w:sz w:val="24"/>
                <w:szCs w:val="24"/>
              </w:rPr>
            </w:pPr>
            <w:r w:rsidRPr="009F56A5">
              <w:rPr>
                <w:i/>
                <w:iCs/>
                <w:sz w:val="24"/>
                <w:szCs w:val="24"/>
              </w:rPr>
              <w:t>Stage 3 – Action   </w:t>
            </w:r>
            <w:r w:rsidRPr="009F56A5">
              <w:rPr>
                <w:sz w:val="24"/>
                <w:szCs w:val="24"/>
              </w:rPr>
              <w:t> </w:t>
            </w:r>
          </w:p>
          <w:p w14:paraId="4015F6F5"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25AFDE36" w14:textId="77777777" w:rsidR="009F56A5" w:rsidRPr="009F56A5" w:rsidRDefault="009F56A5" w:rsidP="009F56A5">
            <w:pPr>
              <w:jc w:val="both"/>
              <w:rPr>
                <w:sz w:val="24"/>
                <w:szCs w:val="24"/>
              </w:rPr>
            </w:pPr>
            <w:r w:rsidRPr="009F56A5">
              <w:rPr>
                <w:i/>
                <w:iCs/>
                <w:sz w:val="24"/>
                <w:szCs w:val="24"/>
              </w:rPr>
              <w:t>Reflecting on this case has clarified several areas where I want to strengthen my safeguarding practice, particularly in relation to assessment, multi</w:t>
            </w:r>
            <w:r w:rsidRPr="009F56A5">
              <w:rPr>
                <w:sz w:val="24"/>
                <w:szCs w:val="24"/>
              </w:rPr>
              <w:noBreakHyphen/>
            </w:r>
            <w:r w:rsidRPr="009F56A5">
              <w:rPr>
                <w:i/>
                <w:iCs/>
                <w:sz w:val="24"/>
                <w:szCs w:val="24"/>
              </w:rPr>
              <w:t>agency collaboration, and my role within the Child Protection Conference process. The complexity of working with a 16</w:t>
            </w:r>
            <w:r w:rsidRPr="009F56A5">
              <w:rPr>
                <w:sz w:val="24"/>
                <w:szCs w:val="24"/>
              </w:rPr>
              <w:noBreakHyphen/>
            </w:r>
            <w:r w:rsidRPr="009F56A5">
              <w:rPr>
                <w:i/>
                <w:iCs/>
                <w:sz w:val="24"/>
                <w:szCs w:val="24"/>
              </w:rPr>
              <w:t>year</w:t>
            </w:r>
            <w:r w:rsidRPr="009F56A5">
              <w:rPr>
                <w:sz w:val="24"/>
                <w:szCs w:val="24"/>
              </w:rPr>
              <w:noBreakHyphen/>
            </w:r>
            <w:r w:rsidRPr="009F56A5">
              <w:rPr>
                <w:i/>
                <w:iCs/>
                <w:sz w:val="24"/>
                <w:szCs w:val="24"/>
              </w:rPr>
              <w:t>old experiencing severe substance misuse, self</w:t>
            </w:r>
            <w:r w:rsidRPr="009F56A5">
              <w:rPr>
                <w:sz w:val="24"/>
                <w:szCs w:val="24"/>
              </w:rPr>
              <w:noBreakHyphen/>
            </w:r>
            <w:r w:rsidRPr="009F56A5">
              <w:rPr>
                <w:i/>
                <w:iCs/>
                <w:sz w:val="24"/>
                <w:szCs w:val="24"/>
              </w:rPr>
              <w:t>neglect, emotional distress, and fluctuating capacity highlighted the need for more confident application of legislation, clearer analytical reasoning, and stronger advocacy within multi</w:t>
            </w:r>
            <w:r w:rsidRPr="009F56A5">
              <w:rPr>
                <w:sz w:val="24"/>
                <w:szCs w:val="24"/>
              </w:rPr>
              <w:noBreakHyphen/>
            </w:r>
            <w:r w:rsidRPr="009F56A5">
              <w:rPr>
                <w:i/>
                <w:iCs/>
                <w:sz w:val="24"/>
                <w:szCs w:val="24"/>
              </w:rPr>
              <w:t>agency forums. This final stage of the ERA model outlines the actions I intend to take to improve my future practice, building directly on the challenges and learning identified in the earlier stages.  </w:t>
            </w:r>
            <w:r w:rsidRPr="009F56A5">
              <w:rPr>
                <w:sz w:val="24"/>
                <w:szCs w:val="24"/>
              </w:rPr>
              <w:t> </w:t>
            </w:r>
          </w:p>
          <w:p w14:paraId="66EC82D9"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1A64B8BE" w14:textId="77777777" w:rsidR="009F56A5" w:rsidRPr="009F56A5" w:rsidRDefault="009F56A5" w:rsidP="009F56A5">
            <w:pPr>
              <w:jc w:val="both"/>
              <w:rPr>
                <w:sz w:val="24"/>
                <w:szCs w:val="24"/>
              </w:rPr>
            </w:pPr>
            <w:r w:rsidRPr="009F56A5">
              <w:rPr>
                <w:i/>
                <w:iCs/>
                <w:sz w:val="24"/>
                <w:szCs w:val="24"/>
              </w:rPr>
              <w:t>One of the most significant areas for development is strengthening my confidence in applying safeguarding legislation in real time. In Stage 2, I reflected on moments where I hesitated when interpreting thresholds, particularly around when escalating concerns should trigger a Child Protection Conference. The SSWBA (Wales) 2014 provides the statutory basis for assessing need, promoting well</w:t>
            </w:r>
            <w:r w:rsidRPr="009F56A5">
              <w:rPr>
                <w:sz w:val="24"/>
                <w:szCs w:val="24"/>
              </w:rPr>
              <w:noBreakHyphen/>
            </w:r>
            <w:r w:rsidRPr="009F56A5">
              <w:rPr>
                <w:i/>
                <w:iCs/>
                <w:sz w:val="24"/>
                <w:szCs w:val="24"/>
              </w:rPr>
              <w:t>being, and identifying children at risk under Section 130, yet I did not always draw on it as assertively as I could have. The experience of preparing for the conference reinforced the importance of grounding my decisions firmly in legislation. In future, I want to use Section 21 more confidently to evidence risk and to rely on the Wales Safeguarding Procedures (2019) earlier to justify multi</w:t>
            </w:r>
            <w:r w:rsidRPr="009F56A5">
              <w:rPr>
                <w:sz w:val="24"/>
                <w:szCs w:val="24"/>
              </w:rPr>
              <w:noBreakHyphen/>
            </w:r>
            <w:r w:rsidRPr="009F56A5">
              <w:rPr>
                <w:i/>
                <w:iCs/>
                <w:sz w:val="24"/>
                <w:szCs w:val="24"/>
              </w:rPr>
              <w:t>agency meetings and conference referrals. I also intend to apply the Mental Capacity Act 2005 more explicitly when assessing fluctuating capacity in 16–17</w:t>
            </w:r>
            <w:r w:rsidRPr="009F56A5">
              <w:rPr>
                <w:sz w:val="24"/>
                <w:szCs w:val="24"/>
              </w:rPr>
              <w:noBreakHyphen/>
            </w:r>
            <w:r w:rsidRPr="009F56A5">
              <w:rPr>
                <w:i/>
                <w:iCs/>
                <w:sz w:val="24"/>
                <w:szCs w:val="24"/>
              </w:rPr>
              <w:t>year</w:t>
            </w:r>
            <w:r w:rsidRPr="009F56A5">
              <w:rPr>
                <w:sz w:val="24"/>
                <w:szCs w:val="24"/>
              </w:rPr>
              <w:noBreakHyphen/>
            </w:r>
            <w:r w:rsidRPr="009F56A5">
              <w:rPr>
                <w:i/>
                <w:iCs/>
                <w:sz w:val="24"/>
                <w:szCs w:val="24"/>
              </w:rPr>
              <w:t>olds, particularly when substance misuse affects their ability to understand and weigh information.  </w:t>
            </w:r>
            <w:r w:rsidRPr="009F56A5">
              <w:rPr>
                <w:sz w:val="24"/>
                <w:szCs w:val="24"/>
              </w:rPr>
              <w:t> </w:t>
            </w:r>
          </w:p>
          <w:p w14:paraId="251018CF"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7594711F" w14:textId="77777777" w:rsidR="009F56A5" w:rsidRPr="009F56A5" w:rsidRDefault="009F56A5" w:rsidP="009F56A5">
            <w:pPr>
              <w:jc w:val="both"/>
              <w:rPr>
                <w:sz w:val="24"/>
                <w:szCs w:val="24"/>
              </w:rPr>
            </w:pPr>
            <w:r w:rsidRPr="009F56A5">
              <w:rPr>
                <w:i/>
                <w:iCs/>
                <w:sz w:val="24"/>
                <w:szCs w:val="24"/>
              </w:rPr>
              <w:t xml:space="preserve">The Child Protection Conference itself was a central learning point in my practice and directly connected to the dilemmas I explored in Stage 2. The purpose of the conference, as set out in the Wales Safeguarding Procedures, is to bring together all relevant agencies to share information, analyse risk collectively, and determine whether the child is suffering or likely to suffer significant harm. In this case, the conference was convened because my </w:t>
            </w:r>
            <w:r w:rsidRPr="009F56A5">
              <w:rPr>
                <w:i/>
                <w:iCs/>
                <w:sz w:val="24"/>
                <w:szCs w:val="24"/>
              </w:rPr>
              <w:lastRenderedPageBreak/>
              <w:t>assessment identified escalating risks relating to self</w:t>
            </w:r>
            <w:r w:rsidRPr="009F56A5">
              <w:rPr>
                <w:sz w:val="24"/>
                <w:szCs w:val="24"/>
              </w:rPr>
              <w:noBreakHyphen/>
            </w:r>
            <w:r w:rsidRPr="009F56A5">
              <w:rPr>
                <w:i/>
                <w:iCs/>
                <w:sz w:val="24"/>
                <w:szCs w:val="24"/>
              </w:rPr>
              <w:t>neglect, substance misuse, emotional harm, and concerns about fluctuating capacity. Preparing for the conference required me to synthesise information from home visits, police reports, housing staff, and my own observations. I wrote a detailed report outlining the pattern of risk and the limitations of previous interventions. During the conference, I presented this information clearly and advocated strongly for a trauma</w:t>
            </w:r>
            <w:r w:rsidRPr="009F56A5">
              <w:rPr>
                <w:sz w:val="24"/>
                <w:szCs w:val="24"/>
              </w:rPr>
              <w:noBreakHyphen/>
            </w:r>
            <w:r w:rsidRPr="009F56A5">
              <w:rPr>
                <w:i/>
                <w:iCs/>
                <w:sz w:val="24"/>
                <w:szCs w:val="24"/>
              </w:rPr>
              <w:t>informed interpretation of his behaviour, challenging narratives that framed his actions as deliberate non</w:t>
            </w:r>
            <w:r w:rsidRPr="009F56A5">
              <w:rPr>
                <w:sz w:val="24"/>
                <w:szCs w:val="24"/>
              </w:rPr>
              <w:noBreakHyphen/>
            </w:r>
            <w:r w:rsidRPr="009F56A5">
              <w:rPr>
                <w:i/>
                <w:iCs/>
                <w:sz w:val="24"/>
                <w:szCs w:val="24"/>
              </w:rPr>
              <w:t>compliance. This was a direct response to the frustrations I reflected on in Stage 2, particularly regarding CAMHS’ narrow focus on substance misuse. The conference concluded that he met the threshold for a Child Protection Plan, and I supported this decision based on the evidence I had presented.  </w:t>
            </w:r>
            <w:r w:rsidRPr="009F56A5">
              <w:rPr>
                <w:sz w:val="24"/>
                <w:szCs w:val="24"/>
              </w:rPr>
              <w:t> </w:t>
            </w:r>
          </w:p>
          <w:p w14:paraId="5AC4ADBE"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464A390D" w14:textId="77777777" w:rsidR="009F56A5" w:rsidRPr="009F56A5" w:rsidRDefault="009F56A5" w:rsidP="009F56A5">
            <w:pPr>
              <w:jc w:val="both"/>
              <w:rPr>
                <w:sz w:val="24"/>
                <w:szCs w:val="24"/>
              </w:rPr>
            </w:pPr>
            <w:r w:rsidRPr="009F56A5">
              <w:rPr>
                <w:i/>
                <w:iCs/>
                <w:sz w:val="24"/>
                <w:szCs w:val="24"/>
              </w:rPr>
              <w:t>The purpose of the Child Protection Plan is to coordinate multi</w:t>
            </w:r>
            <w:r w:rsidRPr="009F56A5">
              <w:rPr>
                <w:sz w:val="24"/>
                <w:szCs w:val="24"/>
              </w:rPr>
              <w:noBreakHyphen/>
            </w:r>
            <w:r w:rsidRPr="009F56A5">
              <w:rPr>
                <w:i/>
                <w:iCs/>
                <w:sz w:val="24"/>
                <w:szCs w:val="24"/>
              </w:rPr>
              <w:t>agency actions to reduce risk, promote stability, and ensure consistent monitoring. After the conference, I took responsibility for implementing the plan in practice. This involved arranging core group meetings, maintaining regular contact with the young person, monitoring whether agencies were fulfilling their responsibilities, and adapting the plan as risks changed. Reflecting on this experience, I recognise that my role in the conference was not only to present information but to use professional judgement, legislative knowledge, and analytical skills to influence the outcome and ensure that the plan was meaningful, realistic, and centred on the young person’s safety and well</w:t>
            </w:r>
            <w:r w:rsidRPr="009F56A5">
              <w:rPr>
                <w:sz w:val="24"/>
                <w:szCs w:val="24"/>
              </w:rPr>
              <w:noBreakHyphen/>
            </w:r>
            <w:r w:rsidRPr="009F56A5">
              <w:rPr>
                <w:i/>
                <w:iCs/>
                <w:sz w:val="24"/>
                <w:szCs w:val="24"/>
              </w:rPr>
              <w:t>being.  </w:t>
            </w:r>
            <w:r w:rsidRPr="009F56A5">
              <w:rPr>
                <w:sz w:val="24"/>
                <w:szCs w:val="24"/>
              </w:rPr>
              <w:t> </w:t>
            </w:r>
          </w:p>
          <w:p w14:paraId="287B7833"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23BEF327" w14:textId="77777777" w:rsidR="009F56A5" w:rsidRPr="009F56A5" w:rsidRDefault="009F56A5" w:rsidP="009F56A5">
            <w:pPr>
              <w:jc w:val="both"/>
              <w:rPr>
                <w:sz w:val="24"/>
                <w:szCs w:val="24"/>
              </w:rPr>
            </w:pPr>
            <w:r w:rsidRPr="009F56A5">
              <w:rPr>
                <w:i/>
                <w:iCs/>
                <w:sz w:val="24"/>
                <w:szCs w:val="24"/>
              </w:rPr>
              <w:t>This case also highlighted the importance of understanding the interface between safeguarding in Wales and wider UK and international frameworks. Wales operates under devolved legislation, with the SSWBA (Wales) 2014 replacing the Children Act 1989 as the primary safeguarding statute. However, the Children Act 1989 still underpins child protection processes across the UK, and the threshold for significant harm remains consistent. Understanding this interface is essential when young people move across borders or when agencies based in England are involved. Additionally, although the UK has left the EU, safeguarding practice in Wales continues to be influenced by European frameworks such as the European Convention on Human Rights (ECHR), incorporated through the Human Rights Act 1998. Internationally, Wales is unique in embedding the United Nations Convention on the Rights of the Child (UNCRC) into domestic policy, strengthening the emphasis on participation, protection, and well</w:t>
            </w:r>
            <w:r w:rsidRPr="009F56A5">
              <w:rPr>
                <w:sz w:val="24"/>
                <w:szCs w:val="24"/>
              </w:rPr>
              <w:noBreakHyphen/>
            </w:r>
            <w:r w:rsidRPr="009F56A5">
              <w:rPr>
                <w:i/>
                <w:iCs/>
                <w:sz w:val="24"/>
                <w:szCs w:val="24"/>
              </w:rPr>
              <w:t>being. In future practice, I want to be more explicit in recognising how these overlapping frameworks shape safeguarding duties and children’s rights, particularly when preparing for conferences or multi</w:t>
            </w:r>
            <w:r w:rsidRPr="009F56A5">
              <w:rPr>
                <w:sz w:val="24"/>
                <w:szCs w:val="24"/>
              </w:rPr>
              <w:noBreakHyphen/>
            </w:r>
            <w:r w:rsidRPr="009F56A5">
              <w:rPr>
                <w:i/>
                <w:iCs/>
                <w:sz w:val="24"/>
                <w:szCs w:val="24"/>
              </w:rPr>
              <w:t>agency meetings.  </w:t>
            </w:r>
            <w:r w:rsidRPr="009F56A5">
              <w:rPr>
                <w:sz w:val="24"/>
                <w:szCs w:val="24"/>
              </w:rPr>
              <w:t> </w:t>
            </w:r>
          </w:p>
          <w:p w14:paraId="6F82E29A"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0B3C1A12" w14:textId="77777777" w:rsidR="009F56A5" w:rsidRPr="009F56A5" w:rsidRDefault="009F56A5" w:rsidP="009F56A5">
            <w:pPr>
              <w:jc w:val="both"/>
              <w:rPr>
                <w:sz w:val="24"/>
                <w:szCs w:val="24"/>
              </w:rPr>
            </w:pPr>
            <w:r w:rsidRPr="009F56A5">
              <w:rPr>
                <w:i/>
                <w:iCs/>
                <w:sz w:val="24"/>
                <w:szCs w:val="24"/>
              </w:rPr>
              <w:t>The case also reinforced the importance of integrating analysis into assessment. In Stage 2, I reflected on moments where I struggled to synthesise information confidently. In future, I want to ensure that my assessments explicitly demonstrate how I have weighed evidence, considered patterns of behaviour, and applied professional judgement. Drawing on social work theories such as systems theory, attachment theory, and the ecological model will strengthen the analytical depth of my assessments and support more robust decision</w:t>
            </w:r>
            <w:r w:rsidRPr="009F56A5">
              <w:rPr>
                <w:sz w:val="24"/>
                <w:szCs w:val="24"/>
              </w:rPr>
              <w:noBreakHyphen/>
            </w:r>
            <w:r w:rsidRPr="009F56A5">
              <w:rPr>
                <w:i/>
                <w:iCs/>
                <w:sz w:val="24"/>
                <w:szCs w:val="24"/>
              </w:rPr>
              <w:t>making, particularly when presenting evidence at Child Protection Conferences.  </w:t>
            </w:r>
            <w:r w:rsidRPr="009F56A5">
              <w:rPr>
                <w:sz w:val="24"/>
                <w:szCs w:val="24"/>
              </w:rPr>
              <w:t> </w:t>
            </w:r>
          </w:p>
          <w:p w14:paraId="1BC0DC37" w14:textId="77777777" w:rsidR="009F56A5" w:rsidRPr="009F56A5" w:rsidRDefault="009F56A5" w:rsidP="009F56A5">
            <w:pPr>
              <w:jc w:val="both"/>
              <w:rPr>
                <w:sz w:val="24"/>
                <w:szCs w:val="24"/>
              </w:rPr>
            </w:pPr>
            <w:r w:rsidRPr="009F56A5">
              <w:rPr>
                <w:i/>
                <w:iCs/>
                <w:sz w:val="24"/>
                <w:szCs w:val="24"/>
              </w:rPr>
              <w:t>  </w:t>
            </w:r>
            <w:r w:rsidRPr="009F56A5">
              <w:rPr>
                <w:sz w:val="24"/>
                <w:szCs w:val="24"/>
              </w:rPr>
              <w:t> </w:t>
            </w:r>
          </w:p>
          <w:p w14:paraId="50CCDBE2" w14:textId="77777777" w:rsidR="009F56A5" w:rsidRPr="009F56A5" w:rsidRDefault="009F56A5" w:rsidP="009F56A5">
            <w:pPr>
              <w:jc w:val="both"/>
              <w:rPr>
                <w:sz w:val="24"/>
                <w:szCs w:val="24"/>
              </w:rPr>
            </w:pPr>
            <w:r w:rsidRPr="009F56A5">
              <w:rPr>
                <w:i/>
                <w:iCs/>
                <w:sz w:val="24"/>
                <w:szCs w:val="24"/>
              </w:rPr>
              <w:t xml:space="preserve">A further action for my practice is to strengthen how I apply the Welsh context within assessment and safeguarding planning. In this case, I recognise that I did not reflect fully </w:t>
            </w:r>
            <w:r w:rsidRPr="009F56A5">
              <w:rPr>
                <w:i/>
                <w:iCs/>
                <w:sz w:val="24"/>
                <w:szCs w:val="24"/>
              </w:rPr>
              <w:lastRenderedPageBreak/>
              <w:t>enough on language need, cultural identity, and the principles of the Active Offer. Working in Wales requires more than applying safeguarding law; it requires practice that is culturally sensitive, bilingual where needed, and responsive to the lived experience of families within Welsh communities. The Welsh Government’s More Than Just Words framework emphasises that language is not an optional extra in health and social care, but an important part of safe, person-centred and rights-based practice. The Active Offer means that Welsh language services should be offered without the individual having to ask for them, and this is particularly important when people are vulnerable, distressed, or involved in complex safeguarding processes.  </w:t>
            </w:r>
            <w:r w:rsidRPr="009F56A5">
              <w:rPr>
                <w:sz w:val="24"/>
                <w:szCs w:val="24"/>
              </w:rPr>
              <w:t> </w:t>
            </w:r>
          </w:p>
          <w:p w14:paraId="5E1C45E4" w14:textId="77777777" w:rsidR="009F56A5" w:rsidRPr="009F56A5" w:rsidRDefault="009F56A5" w:rsidP="009F56A5">
            <w:pPr>
              <w:jc w:val="both"/>
              <w:rPr>
                <w:sz w:val="24"/>
                <w:szCs w:val="24"/>
              </w:rPr>
            </w:pPr>
            <w:r w:rsidRPr="009F56A5">
              <w:rPr>
                <w:i/>
                <w:iCs/>
                <w:sz w:val="24"/>
                <w:szCs w:val="24"/>
              </w:rPr>
              <w:t>On reflection, I should have been more explicit in exploring whether 1 and his family wished to communicate in Welsh or English, and whether receiving support in Welsh would have helped them to feel safer, better understood, and more able to participate. This was relevant because safeguarding discussions can involve complex emotions, legal terminology, and difficult decisions. If a family member feels more confident in Welsh, failing to make an Active Offer could affect their ability to express worries, understand risk, and engage meaningfully in the assessment or Child Protection Conference process. In future, I will ensure that language preference is not treated as a routine question, but as a practice consideration linked to dignity, participation, voice and control under the Social Services and Well-being (Wales) Act 2014.  </w:t>
            </w:r>
            <w:r w:rsidRPr="009F56A5">
              <w:rPr>
                <w:sz w:val="24"/>
                <w:szCs w:val="24"/>
              </w:rPr>
              <w:t> </w:t>
            </w:r>
          </w:p>
          <w:p w14:paraId="7DB21F08" w14:textId="77777777" w:rsidR="009F56A5" w:rsidRPr="009F56A5" w:rsidRDefault="009F56A5" w:rsidP="009F56A5">
            <w:pPr>
              <w:jc w:val="both"/>
              <w:rPr>
                <w:sz w:val="24"/>
                <w:szCs w:val="24"/>
              </w:rPr>
            </w:pPr>
            <w:r w:rsidRPr="009F56A5">
              <w:rPr>
                <w:i/>
                <w:iCs/>
                <w:sz w:val="24"/>
                <w:szCs w:val="24"/>
              </w:rPr>
              <w:t>This case also highlighted the wider Welsh context of geography and community. Practice on Anglesey can involve rurality, transport barriers, limited specialist services, and close community networks where confidentiality and stigma may be felt more strongly. For a young person living in supported accommodation and experiencing substance misuse, these factors can affect access to CAMHS, substance misuse support, education, and informal family or community support. Welsh culture, local identity, and connection to community institutions can also be protective factors, but only if practitioners actively consider them within assessment and planning. In future assessments, I will give greater attention to how place, language, culture, family networks and community resources influence risk, resilience and engagement.  </w:t>
            </w:r>
            <w:r w:rsidRPr="009F56A5">
              <w:rPr>
                <w:sz w:val="24"/>
                <w:szCs w:val="24"/>
              </w:rPr>
              <w:t> </w:t>
            </w:r>
          </w:p>
          <w:p w14:paraId="355D62A1" w14:textId="77777777" w:rsidR="009F56A5" w:rsidRPr="009F56A5" w:rsidRDefault="009F56A5" w:rsidP="009F56A5">
            <w:pPr>
              <w:jc w:val="both"/>
              <w:rPr>
                <w:sz w:val="24"/>
                <w:szCs w:val="24"/>
              </w:rPr>
            </w:pPr>
            <w:r w:rsidRPr="009F56A5">
              <w:rPr>
                <w:i/>
                <w:iCs/>
                <w:sz w:val="24"/>
                <w:szCs w:val="24"/>
              </w:rPr>
              <w:t>The Welsh Language (Wales) Measure 2011 and the Welsh Language Standards place duties on public bodies to treat Welsh no less favourably than English. This links directly to social work values because equitable access to services includes access through a person’s preferred language. In safeguarding work, this can influence how assessments are completed, how reports are shared, how conferences are conducted, and whether advocacy or interpreters are required. My learning from this case is that the Welsh language and cultural context should be evidenced throughout the assessment, not added retrospectively. In future, I will record how the Active Offer has been made, what language choices were offered, whether Welsh-medium support was required, and how these considerations shaped the care and support or protection plan.  </w:t>
            </w:r>
            <w:r w:rsidRPr="009F56A5">
              <w:rPr>
                <w:sz w:val="24"/>
                <w:szCs w:val="24"/>
              </w:rPr>
              <w:t> </w:t>
            </w:r>
          </w:p>
          <w:p w14:paraId="5A9D838B" w14:textId="77777777" w:rsidR="009F56A5" w:rsidRPr="009F56A5" w:rsidRDefault="009F56A5" w:rsidP="009F56A5">
            <w:pPr>
              <w:jc w:val="both"/>
              <w:rPr>
                <w:i/>
                <w:iCs/>
                <w:sz w:val="24"/>
                <w:szCs w:val="24"/>
              </w:rPr>
            </w:pPr>
          </w:p>
          <w:p w14:paraId="67CC4928" w14:textId="77777777" w:rsidR="009F56A5" w:rsidRPr="009F56A5" w:rsidRDefault="009F56A5" w:rsidP="009F56A5">
            <w:pPr>
              <w:jc w:val="both"/>
              <w:rPr>
                <w:i/>
                <w:iCs/>
                <w:sz w:val="24"/>
                <w:szCs w:val="24"/>
              </w:rPr>
            </w:pPr>
            <w:r w:rsidRPr="009F56A5">
              <w:rPr>
                <w:i/>
                <w:iCs/>
                <w:sz w:val="24"/>
                <w:szCs w:val="24"/>
              </w:rPr>
              <w:t>Finally, this case highlighted the importance of supervision. In future, I will use supervision proactively to challenge assumptions, maintain professional boundaries and support reflective practice. Safeguarding adolescents with complex needs requires persistence, curiosity, and resilience, and I want to ensure that my practice continues to develop in a way that is reflective, legally sound, and centred on the young person’s well</w:t>
            </w:r>
            <w:r w:rsidRPr="009F56A5">
              <w:rPr>
                <w:sz w:val="24"/>
                <w:szCs w:val="24"/>
              </w:rPr>
              <w:noBreakHyphen/>
            </w:r>
            <w:r w:rsidRPr="009F56A5">
              <w:rPr>
                <w:i/>
                <w:iCs/>
                <w:sz w:val="24"/>
                <w:szCs w:val="24"/>
              </w:rPr>
              <w:t>being.</w:t>
            </w:r>
            <w:r w:rsidRPr="009F56A5">
              <w:rPr>
                <w:sz w:val="24"/>
                <w:szCs w:val="24"/>
              </w:rPr>
              <w:t> </w:t>
            </w:r>
          </w:p>
          <w:p w14:paraId="4BFF7AF7" w14:textId="77777777" w:rsidR="00141088" w:rsidRPr="00141088" w:rsidRDefault="00141088" w:rsidP="00141088">
            <w:pPr>
              <w:jc w:val="both"/>
              <w:rPr>
                <w:i/>
                <w:sz w:val="24"/>
                <w:szCs w:val="24"/>
              </w:rPr>
            </w:pPr>
            <w:r w:rsidRPr="00141088">
              <w:rPr>
                <w:i/>
                <w:sz w:val="24"/>
                <w:szCs w:val="24"/>
              </w:rPr>
              <w:t> </w:t>
            </w:r>
          </w:p>
          <w:p w14:paraId="231D387D" w14:textId="3F2BC4E7" w:rsidR="00141088" w:rsidRDefault="00141088" w:rsidP="00141088">
            <w:pPr>
              <w:jc w:val="both"/>
              <w:rPr>
                <w:i/>
                <w:iCs/>
                <w:sz w:val="24"/>
                <w:szCs w:val="24"/>
              </w:rPr>
            </w:pPr>
            <w:r w:rsidRPr="00141088">
              <w:rPr>
                <w:i/>
                <w:iCs/>
                <w:sz w:val="24"/>
                <w:szCs w:val="24"/>
              </w:rPr>
              <w:lastRenderedPageBreak/>
              <w:t xml:space="preserve">Word count – </w:t>
            </w:r>
            <w:r w:rsidR="009F56A5">
              <w:rPr>
                <w:i/>
                <w:iCs/>
                <w:sz w:val="24"/>
                <w:szCs w:val="24"/>
              </w:rPr>
              <w:t>4397</w:t>
            </w:r>
          </w:p>
          <w:p w14:paraId="2C510115" w14:textId="77777777" w:rsidR="009F56A5" w:rsidRPr="00141088" w:rsidRDefault="009F56A5" w:rsidP="00141088">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39707" w14:textId="77777777" w:rsidR="00CF1D05" w:rsidRDefault="00CF1D05">
      <w:r>
        <w:separator/>
      </w:r>
    </w:p>
  </w:endnote>
  <w:endnote w:type="continuationSeparator" w:id="0">
    <w:p w14:paraId="3FBCBD5E" w14:textId="77777777" w:rsidR="00CF1D05" w:rsidRDefault="00CF1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C86E3" w14:textId="77777777" w:rsidR="00CF1D05" w:rsidRDefault="00CF1D05">
      <w:r>
        <w:separator/>
      </w:r>
    </w:p>
  </w:footnote>
  <w:footnote w:type="continuationSeparator" w:id="0">
    <w:p w14:paraId="70496362" w14:textId="77777777" w:rsidR="00CF1D05" w:rsidRDefault="00CF1D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AA"/>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4A52"/>
    <w:rsid w:val="0006581A"/>
    <w:rsid w:val="00074461"/>
    <w:rsid w:val="000766EC"/>
    <w:rsid w:val="00080E58"/>
    <w:rsid w:val="00083D99"/>
    <w:rsid w:val="00084AD3"/>
    <w:rsid w:val="00084DA6"/>
    <w:rsid w:val="00085699"/>
    <w:rsid w:val="00090160"/>
    <w:rsid w:val="00091F52"/>
    <w:rsid w:val="00092970"/>
    <w:rsid w:val="00093720"/>
    <w:rsid w:val="000938E6"/>
    <w:rsid w:val="00093B3C"/>
    <w:rsid w:val="0009488C"/>
    <w:rsid w:val="00095C1B"/>
    <w:rsid w:val="00096DEA"/>
    <w:rsid w:val="000A1D23"/>
    <w:rsid w:val="000A3401"/>
    <w:rsid w:val="000A4240"/>
    <w:rsid w:val="000A469A"/>
    <w:rsid w:val="000A584A"/>
    <w:rsid w:val="000A6458"/>
    <w:rsid w:val="000C378F"/>
    <w:rsid w:val="000C6892"/>
    <w:rsid w:val="000C6FFE"/>
    <w:rsid w:val="000D0BB6"/>
    <w:rsid w:val="000D2ED2"/>
    <w:rsid w:val="000D6099"/>
    <w:rsid w:val="000D6653"/>
    <w:rsid w:val="000E0D51"/>
    <w:rsid w:val="000E1795"/>
    <w:rsid w:val="000E26B0"/>
    <w:rsid w:val="000E37C2"/>
    <w:rsid w:val="000E38C3"/>
    <w:rsid w:val="000E3BCC"/>
    <w:rsid w:val="000E6E5A"/>
    <w:rsid w:val="000F1599"/>
    <w:rsid w:val="000F1769"/>
    <w:rsid w:val="000F1A97"/>
    <w:rsid w:val="000F42AE"/>
    <w:rsid w:val="000F6196"/>
    <w:rsid w:val="000F6BC3"/>
    <w:rsid w:val="0010129E"/>
    <w:rsid w:val="0010312C"/>
    <w:rsid w:val="00105026"/>
    <w:rsid w:val="0010662B"/>
    <w:rsid w:val="00106DC7"/>
    <w:rsid w:val="00112391"/>
    <w:rsid w:val="00114F52"/>
    <w:rsid w:val="0011622D"/>
    <w:rsid w:val="00130119"/>
    <w:rsid w:val="00132383"/>
    <w:rsid w:val="00132812"/>
    <w:rsid w:val="001347F8"/>
    <w:rsid w:val="001359EE"/>
    <w:rsid w:val="00137BB5"/>
    <w:rsid w:val="00137E05"/>
    <w:rsid w:val="00141088"/>
    <w:rsid w:val="001447F6"/>
    <w:rsid w:val="00147DE3"/>
    <w:rsid w:val="00150794"/>
    <w:rsid w:val="00151DA6"/>
    <w:rsid w:val="001608C4"/>
    <w:rsid w:val="00164832"/>
    <w:rsid w:val="00171418"/>
    <w:rsid w:val="001772BF"/>
    <w:rsid w:val="001772DE"/>
    <w:rsid w:val="001920BF"/>
    <w:rsid w:val="0019496C"/>
    <w:rsid w:val="00195293"/>
    <w:rsid w:val="001961CF"/>
    <w:rsid w:val="001A59BB"/>
    <w:rsid w:val="001A607E"/>
    <w:rsid w:val="001A6A51"/>
    <w:rsid w:val="001A79C4"/>
    <w:rsid w:val="001B331A"/>
    <w:rsid w:val="001C0237"/>
    <w:rsid w:val="001C0E74"/>
    <w:rsid w:val="001C3E71"/>
    <w:rsid w:val="001C4DB8"/>
    <w:rsid w:val="001C50B8"/>
    <w:rsid w:val="001D1A57"/>
    <w:rsid w:val="001D229F"/>
    <w:rsid w:val="001D55FB"/>
    <w:rsid w:val="001E2EB6"/>
    <w:rsid w:val="001F4552"/>
    <w:rsid w:val="002019EB"/>
    <w:rsid w:val="00204B58"/>
    <w:rsid w:val="00205051"/>
    <w:rsid w:val="00211F65"/>
    <w:rsid w:val="002132B2"/>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DFC"/>
    <w:rsid w:val="002C4233"/>
    <w:rsid w:val="002C496D"/>
    <w:rsid w:val="002D05EB"/>
    <w:rsid w:val="002D11A8"/>
    <w:rsid w:val="002D2F29"/>
    <w:rsid w:val="002D46C0"/>
    <w:rsid w:val="002D5A92"/>
    <w:rsid w:val="002D65D2"/>
    <w:rsid w:val="002D6B31"/>
    <w:rsid w:val="002E0539"/>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152"/>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165"/>
    <w:rsid w:val="00393600"/>
    <w:rsid w:val="00395444"/>
    <w:rsid w:val="0039762B"/>
    <w:rsid w:val="003A0C37"/>
    <w:rsid w:val="003A1B6B"/>
    <w:rsid w:val="003A46C0"/>
    <w:rsid w:val="003A600E"/>
    <w:rsid w:val="003A6513"/>
    <w:rsid w:val="003B16C7"/>
    <w:rsid w:val="003B2558"/>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726"/>
    <w:rsid w:val="003F0D3E"/>
    <w:rsid w:val="003F1233"/>
    <w:rsid w:val="003F67A4"/>
    <w:rsid w:val="003F70A0"/>
    <w:rsid w:val="00400786"/>
    <w:rsid w:val="00401FDA"/>
    <w:rsid w:val="004046F0"/>
    <w:rsid w:val="0040668F"/>
    <w:rsid w:val="00411EF7"/>
    <w:rsid w:val="00412677"/>
    <w:rsid w:val="00425160"/>
    <w:rsid w:val="0042595C"/>
    <w:rsid w:val="00430DE3"/>
    <w:rsid w:val="0043128A"/>
    <w:rsid w:val="00431618"/>
    <w:rsid w:val="00432CF1"/>
    <w:rsid w:val="004348AE"/>
    <w:rsid w:val="004376C0"/>
    <w:rsid w:val="0044223A"/>
    <w:rsid w:val="00445007"/>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5573"/>
    <w:rsid w:val="004911B4"/>
    <w:rsid w:val="0049196A"/>
    <w:rsid w:val="004923DA"/>
    <w:rsid w:val="00492EEB"/>
    <w:rsid w:val="00493434"/>
    <w:rsid w:val="004968E2"/>
    <w:rsid w:val="004A2A49"/>
    <w:rsid w:val="004A3A44"/>
    <w:rsid w:val="004A5A64"/>
    <w:rsid w:val="004B5553"/>
    <w:rsid w:val="004B600B"/>
    <w:rsid w:val="004B6822"/>
    <w:rsid w:val="004B69F6"/>
    <w:rsid w:val="004C2D3A"/>
    <w:rsid w:val="004D03C4"/>
    <w:rsid w:val="004D0BF1"/>
    <w:rsid w:val="004D0F4E"/>
    <w:rsid w:val="004D3278"/>
    <w:rsid w:val="004D35A4"/>
    <w:rsid w:val="004D445F"/>
    <w:rsid w:val="004E087B"/>
    <w:rsid w:val="004E3B5A"/>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78E"/>
    <w:rsid w:val="00521123"/>
    <w:rsid w:val="00521221"/>
    <w:rsid w:val="0052250B"/>
    <w:rsid w:val="005305C6"/>
    <w:rsid w:val="00540EEC"/>
    <w:rsid w:val="005414F4"/>
    <w:rsid w:val="005433B0"/>
    <w:rsid w:val="00543E97"/>
    <w:rsid w:val="00546187"/>
    <w:rsid w:val="00547B11"/>
    <w:rsid w:val="0055208B"/>
    <w:rsid w:val="00557D77"/>
    <w:rsid w:val="00562BB8"/>
    <w:rsid w:val="00562EAA"/>
    <w:rsid w:val="00563B58"/>
    <w:rsid w:val="005640C4"/>
    <w:rsid w:val="0056684C"/>
    <w:rsid w:val="00574A0C"/>
    <w:rsid w:val="0057780F"/>
    <w:rsid w:val="00581E0A"/>
    <w:rsid w:val="00586D89"/>
    <w:rsid w:val="005877C8"/>
    <w:rsid w:val="00587923"/>
    <w:rsid w:val="00594F9F"/>
    <w:rsid w:val="005A1B4C"/>
    <w:rsid w:val="005A545C"/>
    <w:rsid w:val="005A7B4D"/>
    <w:rsid w:val="005B271A"/>
    <w:rsid w:val="005B3A2D"/>
    <w:rsid w:val="005C1567"/>
    <w:rsid w:val="005C28D3"/>
    <w:rsid w:val="005C6CE5"/>
    <w:rsid w:val="005C7E1C"/>
    <w:rsid w:val="005D1674"/>
    <w:rsid w:val="005D3F07"/>
    <w:rsid w:val="005D4A1E"/>
    <w:rsid w:val="005D4F72"/>
    <w:rsid w:val="005D5FD0"/>
    <w:rsid w:val="005E13EA"/>
    <w:rsid w:val="005E17F1"/>
    <w:rsid w:val="005E41C9"/>
    <w:rsid w:val="005E7C82"/>
    <w:rsid w:val="005F64AA"/>
    <w:rsid w:val="005F7851"/>
    <w:rsid w:val="00606E27"/>
    <w:rsid w:val="006108C9"/>
    <w:rsid w:val="006144EA"/>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57C7"/>
    <w:rsid w:val="006669F3"/>
    <w:rsid w:val="006712A7"/>
    <w:rsid w:val="00672CED"/>
    <w:rsid w:val="00674FC2"/>
    <w:rsid w:val="00675FBE"/>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5F7"/>
    <w:rsid w:val="006C2EB5"/>
    <w:rsid w:val="006D18A3"/>
    <w:rsid w:val="006D5970"/>
    <w:rsid w:val="006E481E"/>
    <w:rsid w:val="006E795F"/>
    <w:rsid w:val="006F0862"/>
    <w:rsid w:val="006F1438"/>
    <w:rsid w:val="006F2A9E"/>
    <w:rsid w:val="006F4861"/>
    <w:rsid w:val="006F5ED3"/>
    <w:rsid w:val="00700249"/>
    <w:rsid w:val="007069CD"/>
    <w:rsid w:val="00706BB5"/>
    <w:rsid w:val="0070700D"/>
    <w:rsid w:val="0071231A"/>
    <w:rsid w:val="00712E90"/>
    <w:rsid w:val="00713B7E"/>
    <w:rsid w:val="0072678F"/>
    <w:rsid w:val="007276E5"/>
    <w:rsid w:val="00727C4C"/>
    <w:rsid w:val="00734809"/>
    <w:rsid w:val="0073626B"/>
    <w:rsid w:val="0073714E"/>
    <w:rsid w:val="007374EF"/>
    <w:rsid w:val="007406E1"/>
    <w:rsid w:val="00743E40"/>
    <w:rsid w:val="00745016"/>
    <w:rsid w:val="0074707B"/>
    <w:rsid w:val="0075031F"/>
    <w:rsid w:val="00751263"/>
    <w:rsid w:val="007544FC"/>
    <w:rsid w:val="00754C8B"/>
    <w:rsid w:val="00755427"/>
    <w:rsid w:val="00756548"/>
    <w:rsid w:val="0075670B"/>
    <w:rsid w:val="0075673A"/>
    <w:rsid w:val="0075704F"/>
    <w:rsid w:val="00757CCF"/>
    <w:rsid w:val="00763B2D"/>
    <w:rsid w:val="00764C84"/>
    <w:rsid w:val="007710AD"/>
    <w:rsid w:val="00772924"/>
    <w:rsid w:val="0078112D"/>
    <w:rsid w:val="007872F2"/>
    <w:rsid w:val="007873F9"/>
    <w:rsid w:val="007908E0"/>
    <w:rsid w:val="00793EB3"/>
    <w:rsid w:val="00794205"/>
    <w:rsid w:val="0079422A"/>
    <w:rsid w:val="007A1F6A"/>
    <w:rsid w:val="007A46D6"/>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42FB"/>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3D54"/>
    <w:rsid w:val="00865B58"/>
    <w:rsid w:val="00866B50"/>
    <w:rsid w:val="00867A63"/>
    <w:rsid w:val="008708F1"/>
    <w:rsid w:val="00871960"/>
    <w:rsid w:val="0087369F"/>
    <w:rsid w:val="00880539"/>
    <w:rsid w:val="008859E8"/>
    <w:rsid w:val="0088737B"/>
    <w:rsid w:val="00890621"/>
    <w:rsid w:val="00891078"/>
    <w:rsid w:val="00891527"/>
    <w:rsid w:val="00892716"/>
    <w:rsid w:val="00893067"/>
    <w:rsid w:val="008933DE"/>
    <w:rsid w:val="00895FCE"/>
    <w:rsid w:val="00897F3E"/>
    <w:rsid w:val="008A21B4"/>
    <w:rsid w:val="008B07DE"/>
    <w:rsid w:val="008B1309"/>
    <w:rsid w:val="008B28E7"/>
    <w:rsid w:val="008B67F6"/>
    <w:rsid w:val="008C14C7"/>
    <w:rsid w:val="008C28DF"/>
    <w:rsid w:val="008C2FFB"/>
    <w:rsid w:val="008C3218"/>
    <w:rsid w:val="008C633F"/>
    <w:rsid w:val="008C6EEA"/>
    <w:rsid w:val="008C7770"/>
    <w:rsid w:val="008C79C7"/>
    <w:rsid w:val="008D03B0"/>
    <w:rsid w:val="008D1CE9"/>
    <w:rsid w:val="008D2150"/>
    <w:rsid w:val="008D5813"/>
    <w:rsid w:val="008D5999"/>
    <w:rsid w:val="008D634E"/>
    <w:rsid w:val="008D642C"/>
    <w:rsid w:val="008D778A"/>
    <w:rsid w:val="008D78C9"/>
    <w:rsid w:val="008E3195"/>
    <w:rsid w:val="008E5A35"/>
    <w:rsid w:val="008E5F09"/>
    <w:rsid w:val="008F127E"/>
    <w:rsid w:val="008F32D9"/>
    <w:rsid w:val="00902A65"/>
    <w:rsid w:val="00903932"/>
    <w:rsid w:val="009079BD"/>
    <w:rsid w:val="00912BD9"/>
    <w:rsid w:val="00916FB2"/>
    <w:rsid w:val="00920E5B"/>
    <w:rsid w:val="00926436"/>
    <w:rsid w:val="00926C53"/>
    <w:rsid w:val="0093018C"/>
    <w:rsid w:val="00935D3B"/>
    <w:rsid w:val="0094495F"/>
    <w:rsid w:val="009544C0"/>
    <w:rsid w:val="00954FA4"/>
    <w:rsid w:val="00956AE9"/>
    <w:rsid w:val="00961AE8"/>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2741"/>
    <w:rsid w:val="009F3AEC"/>
    <w:rsid w:val="009F56A5"/>
    <w:rsid w:val="009F6801"/>
    <w:rsid w:val="009F7841"/>
    <w:rsid w:val="00A00081"/>
    <w:rsid w:val="00A05935"/>
    <w:rsid w:val="00A06422"/>
    <w:rsid w:val="00A10D56"/>
    <w:rsid w:val="00A12AAE"/>
    <w:rsid w:val="00A12F22"/>
    <w:rsid w:val="00A16DD1"/>
    <w:rsid w:val="00A22441"/>
    <w:rsid w:val="00A23F3B"/>
    <w:rsid w:val="00A24406"/>
    <w:rsid w:val="00A25F64"/>
    <w:rsid w:val="00A275F6"/>
    <w:rsid w:val="00A303B9"/>
    <w:rsid w:val="00A31421"/>
    <w:rsid w:val="00A355FE"/>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2C18"/>
    <w:rsid w:val="00A85039"/>
    <w:rsid w:val="00A906AA"/>
    <w:rsid w:val="00A94C5E"/>
    <w:rsid w:val="00AA252C"/>
    <w:rsid w:val="00AA666E"/>
    <w:rsid w:val="00AA7960"/>
    <w:rsid w:val="00AB5518"/>
    <w:rsid w:val="00AB6207"/>
    <w:rsid w:val="00AC06B6"/>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1A04"/>
    <w:rsid w:val="00B12295"/>
    <w:rsid w:val="00B137BE"/>
    <w:rsid w:val="00B15998"/>
    <w:rsid w:val="00B17FA0"/>
    <w:rsid w:val="00B2292C"/>
    <w:rsid w:val="00B22C3C"/>
    <w:rsid w:val="00B24344"/>
    <w:rsid w:val="00B26769"/>
    <w:rsid w:val="00B2754B"/>
    <w:rsid w:val="00B31C91"/>
    <w:rsid w:val="00B3747F"/>
    <w:rsid w:val="00B42E76"/>
    <w:rsid w:val="00B43194"/>
    <w:rsid w:val="00B432F5"/>
    <w:rsid w:val="00B436BF"/>
    <w:rsid w:val="00B47734"/>
    <w:rsid w:val="00B50FBA"/>
    <w:rsid w:val="00B51400"/>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38"/>
    <w:rsid w:val="00BB5EAA"/>
    <w:rsid w:val="00BB5F11"/>
    <w:rsid w:val="00BB6638"/>
    <w:rsid w:val="00BB7FD2"/>
    <w:rsid w:val="00BC04FA"/>
    <w:rsid w:val="00BC1C22"/>
    <w:rsid w:val="00BC460B"/>
    <w:rsid w:val="00BC4ED3"/>
    <w:rsid w:val="00BC5725"/>
    <w:rsid w:val="00BD30B1"/>
    <w:rsid w:val="00BE0F7B"/>
    <w:rsid w:val="00BE10C2"/>
    <w:rsid w:val="00BE73DB"/>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49C"/>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1D05"/>
    <w:rsid w:val="00CF2F8A"/>
    <w:rsid w:val="00CF3DB3"/>
    <w:rsid w:val="00D0274B"/>
    <w:rsid w:val="00D0503D"/>
    <w:rsid w:val="00D052BC"/>
    <w:rsid w:val="00D07026"/>
    <w:rsid w:val="00D11E66"/>
    <w:rsid w:val="00D146AE"/>
    <w:rsid w:val="00D217CD"/>
    <w:rsid w:val="00D2239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1CA1"/>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304E"/>
    <w:rsid w:val="00E35112"/>
    <w:rsid w:val="00E35BEC"/>
    <w:rsid w:val="00E41A6A"/>
    <w:rsid w:val="00E50821"/>
    <w:rsid w:val="00E51F91"/>
    <w:rsid w:val="00E5498A"/>
    <w:rsid w:val="00E559CE"/>
    <w:rsid w:val="00E60F42"/>
    <w:rsid w:val="00E6746C"/>
    <w:rsid w:val="00E7086E"/>
    <w:rsid w:val="00E71248"/>
    <w:rsid w:val="00E731E4"/>
    <w:rsid w:val="00E73C41"/>
    <w:rsid w:val="00E75911"/>
    <w:rsid w:val="00E7598F"/>
    <w:rsid w:val="00E76F60"/>
    <w:rsid w:val="00E812B5"/>
    <w:rsid w:val="00E820E2"/>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36BD"/>
    <w:rsid w:val="00ED5D03"/>
    <w:rsid w:val="00EE01ED"/>
    <w:rsid w:val="00EE1AC1"/>
    <w:rsid w:val="00EE39D6"/>
    <w:rsid w:val="00EE52AD"/>
    <w:rsid w:val="00EE5BC3"/>
    <w:rsid w:val="00EE6FAB"/>
    <w:rsid w:val="00EF2AEC"/>
    <w:rsid w:val="00EF328C"/>
    <w:rsid w:val="00EF68BB"/>
    <w:rsid w:val="00F01F92"/>
    <w:rsid w:val="00F030D4"/>
    <w:rsid w:val="00F04053"/>
    <w:rsid w:val="00F06573"/>
    <w:rsid w:val="00F10A08"/>
    <w:rsid w:val="00F129BB"/>
    <w:rsid w:val="00F15354"/>
    <w:rsid w:val="00F22AC5"/>
    <w:rsid w:val="00F254D1"/>
    <w:rsid w:val="00F31C38"/>
    <w:rsid w:val="00F32B82"/>
    <w:rsid w:val="00F34C86"/>
    <w:rsid w:val="00F4043E"/>
    <w:rsid w:val="00F41795"/>
    <w:rsid w:val="00F41BBC"/>
    <w:rsid w:val="00F444F0"/>
    <w:rsid w:val="00F446FF"/>
    <w:rsid w:val="00F45521"/>
    <w:rsid w:val="00F50847"/>
    <w:rsid w:val="00F5399A"/>
    <w:rsid w:val="00F53F27"/>
    <w:rsid w:val="00F546D1"/>
    <w:rsid w:val="00F60281"/>
    <w:rsid w:val="00F66272"/>
    <w:rsid w:val="00F709C0"/>
    <w:rsid w:val="00F81FEC"/>
    <w:rsid w:val="00F927A1"/>
    <w:rsid w:val="00F92E4D"/>
    <w:rsid w:val="00F95D08"/>
    <w:rsid w:val="00FA007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C75A4"/>
    <w:rsid w:val="00FD271B"/>
    <w:rsid w:val="00FD3D7C"/>
    <w:rsid w:val="00FD4F8F"/>
    <w:rsid w:val="00FE0C16"/>
    <w:rsid w:val="00FE14B1"/>
    <w:rsid w:val="00FE4D97"/>
    <w:rsid w:val="00FE5F90"/>
    <w:rsid w:val="00FE6271"/>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4610</Words>
  <Characters>29368</Characters>
  <Application>Microsoft Office Word</Application>
  <DocSecurity>0</DocSecurity>
  <Lines>481</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Roberts</cp:lastModifiedBy>
  <cp:revision>10</cp:revision>
  <cp:lastPrinted>2020-02-11T19:20:00Z</cp:lastPrinted>
  <dcterms:created xsi:type="dcterms:W3CDTF">2026-07-15T09:20:00Z</dcterms:created>
  <dcterms:modified xsi:type="dcterms:W3CDTF">2026-07-15T10:08:00Z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