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9DE" w:rsidRDefault="002549DE" w:rsidP="002549DE">
      <w:pPr>
        <w:spacing w:line="360" w:lineRule="auto"/>
        <w:jc w:val="both"/>
        <w:rPr>
          <w:rFonts w:ascii="Times New Roman" w:hAnsi="Times New Roman" w:cs="Times New Roman"/>
          <w:b/>
          <w:sz w:val="48"/>
          <w:szCs w:val="48"/>
          <w:lang w:val="en-US"/>
        </w:rPr>
      </w:pPr>
    </w:p>
    <w:p w:rsidR="002549DE" w:rsidRDefault="002549DE" w:rsidP="002549DE">
      <w:pPr>
        <w:spacing w:line="360" w:lineRule="auto"/>
        <w:jc w:val="both"/>
        <w:rPr>
          <w:rFonts w:ascii="Times New Roman" w:hAnsi="Times New Roman" w:cs="Times New Roman"/>
          <w:b/>
          <w:sz w:val="48"/>
          <w:szCs w:val="48"/>
          <w:lang w:val="en-US"/>
        </w:rPr>
      </w:pPr>
    </w:p>
    <w:p w:rsidR="00F15440" w:rsidRPr="00F5408C" w:rsidRDefault="00F15440" w:rsidP="00F5408C">
      <w:pPr>
        <w:spacing w:after="0" w:line="240" w:lineRule="auto"/>
        <w:jc w:val="center"/>
        <w:rPr>
          <w:rFonts w:ascii="Times New Roman" w:eastAsia="Times New Roman" w:hAnsi="Times New Roman" w:cs="Times New Roman"/>
          <w:b/>
          <w:color w:val="222222"/>
          <w:sz w:val="44"/>
          <w:szCs w:val="44"/>
          <w:shd w:val="clear" w:color="auto" w:fill="FFFFFF"/>
          <w:lang w:val="en-US" w:eastAsia="ru-RU"/>
        </w:rPr>
      </w:pPr>
      <w:r w:rsidRPr="00F5408C">
        <w:rPr>
          <w:rFonts w:ascii="Times New Roman" w:eastAsia="Times New Roman" w:hAnsi="Times New Roman" w:cs="Times New Roman"/>
          <w:b/>
          <w:color w:val="222222"/>
          <w:sz w:val="44"/>
          <w:szCs w:val="44"/>
          <w:shd w:val="clear" w:color="auto" w:fill="FFFFFF"/>
          <w:lang w:val="en-US" w:eastAsia="ru-RU"/>
        </w:rPr>
        <w:t>Assessment 1</w:t>
      </w:r>
    </w:p>
    <w:p w:rsidR="00F5408C" w:rsidRPr="00F5408C" w:rsidRDefault="00F5408C" w:rsidP="00F5408C">
      <w:pPr>
        <w:spacing w:after="0" w:line="240" w:lineRule="auto"/>
        <w:jc w:val="center"/>
        <w:rPr>
          <w:rFonts w:ascii="Times New Roman" w:eastAsia="Times New Roman" w:hAnsi="Times New Roman" w:cs="Times New Roman"/>
          <w:b/>
          <w:sz w:val="24"/>
          <w:szCs w:val="24"/>
          <w:lang w:val="en-US" w:eastAsia="ru-RU"/>
        </w:rPr>
      </w:pPr>
    </w:p>
    <w:p w:rsidR="00F15440" w:rsidRPr="00F5408C" w:rsidRDefault="00F15440" w:rsidP="00F5408C">
      <w:pPr>
        <w:shd w:val="clear" w:color="auto" w:fill="FFFFFF"/>
        <w:spacing w:after="0" w:line="240" w:lineRule="auto"/>
        <w:jc w:val="center"/>
        <w:rPr>
          <w:rFonts w:ascii="Times New Roman" w:eastAsia="Times New Roman" w:hAnsi="Times New Roman" w:cs="Times New Roman"/>
          <w:b/>
          <w:color w:val="222222"/>
          <w:sz w:val="52"/>
          <w:szCs w:val="52"/>
          <w:lang w:val="en-US" w:eastAsia="ru-RU"/>
        </w:rPr>
      </w:pPr>
      <w:r w:rsidRPr="00F5408C">
        <w:rPr>
          <w:rFonts w:ascii="Times New Roman" w:eastAsia="Times New Roman" w:hAnsi="Times New Roman" w:cs="Times New Roman"/>
          <w:b/>
          <w:color w:val="222222"/>
          <w:sz w:val="52"/>
          <w:szCs w:val="52"/>
          <w:lang w:val="en-US" w:eastAsia="ru-RU"/>
        </w:rPr>
        <w:t>International Business Communications</w:t>
      </w: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F5408C" w:rsidRPr="00F5408C" w:rsidRDefault="00F15440"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r w:rsidRPr="00F5408C">
        <w:rPr>
          <w:rFonts w:ascii="Times New Roman" w:eastAsia="Times New Roman" w:hAnsi="Times New Roman" w:cs="Times New Roman"/>
          <w:b/>
          <w:color w:val="222222"/>
          <w:sz w:val="24"/>
          <w:szCs w:val="24"/>
          <w:lang w:val="en-US" w:eastAsia="ru-RU"/>
        </w:rPr>
        <w:t>Student name: Mihail Cristian</w:t>
      </w:r>
    </w:p>
    <w:p w:rsidR="00F15440" w:rsidRPr="00F5408C" w:rsidRDefault="00F15440"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r w:rsidRPr="00F5408C">
        <w:rPr>
          <w:rFonts w:ascii="Times New Roman" w:eastAsia="Times New Roman" w:hAnsi="Times New Roman" w:cs="Times New Roman"/>
          <w:b/>
          <w:color w:val="222222"/>
          <w:sz w:val="24"/>
          <w:szCs w:val="24"/>
          <w:lang w:val="en-US" w:eastAsia="ru-RU"/>
        </w:rPr>
        <w:t> </w:t>
      </w:r>
    </w:p>
    <w:p w:rsidR="00F15440" w:rsidRPr="00F5408C" w:rsidRDefault="00F15440"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r w:rsidRPr="00F5408C">
        <w:rPr>
          <w:rFonts w:ascii="Times New Roman" w:eastAsia="Times New Roman" w:hAnsi="Times New Roman" w:cs="Times New Roman"/>
          <w:b/>
          <w:color w:val="222222"/>
          <w:sz w:val="24"/>
          <w:szCs w:val="24"/>
          <w:lang w:val="en-US" w:eastAsia="ru-RU"/>
        </w:rPr>
        <w:t>Student ID: 2112321</w:t>
      </w:r>
    </w:p>
    <w:p w:rsidR="00F5408C" w:rsidRPr="00F5408C" w:rsidRDefault="00F5408C"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p>
    <w:p w:rsidR="00F5408C" w:rsidRPr="00F5408C" w:rsidRDefault="00F5408C"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r w:rsidRPr="00F5408C">
        <w:rPr>
          <w:rFonts w:ascii="Times New Roman" w:eastAsia="Times New Roman" w:hAnsi="Times New Roman" w:cs="Times New Roman"/>
          <w:b/>
          <w:color w:val="222222"/>
          <w:sz w:val="24"/>
          <w:szCs w:val="24"/>
          <w:lang w:val="en-US" w:eastAsia="ru-RU"/>
        </w:rPr>
        <w:t xml:space="preserve">Assignment Title: </w:t>
      </w:r>
      <w:r w:rsidRPr="00F5408C">
        <w:rPr>
          <w:rFonts w:ascii="Times New Roman" w:hAnsi="Times New Roman" w:cs="Times New Roman"/>
          <w:b/>
          <w:sz w:val="24"/>
          <w:szCs w:val="24"/>
          <w:lang w:val="en-US"/>
        </w:rPr>
        <w:t>A Report on Expansion Strategy For Tesco</w:t>
      </w:r>
    </w:p>
    <w:p w:rsidR="00F5408C" w:rsidRPr="00F5408C" w:rsidRDefault="00F5408C"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p>
    <w:p w:rsidR="00F15440" w:rsidRPr="00F5408C" w:rsidRDefault="00F15440"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r w:rsidRPr="00F5408C">
        <w:rPr>
          <w:rFonts w:ascii="Times New Roman" w:eastAsia="Times New Roman" w:hAnsi="Times New Roman" w:cs="Times New Roman"/>
          <w:b/>
          <w:color w:val="222222"/>
          <w:sz w:val="24"/>
          <w:szCs w:val="24"/>
          <w:lang w:val="en-US" w:eastAsia="ru-RU"/>
        </w:rPr>
        <w:t>Module: International Business Communications </w:t>
      </w:r>
    </w:p>
    <w:p w:rsidR="00F5408C" w:rsidRPr="00F5408C" w:rsidRDefault="00F5408C"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p>
    <w:p w:rsidR="00F15440" w:rsidRPr="00F5408C" w:rsidRDefault="00F15440" w:rsidP="00F15440">
      <w:pPr>
        <w:shd w:val="clear" w:color="auto" w:fill="FFFFFF"/>
        <w:spacing w:after="0" w:line="240" w:lineRule="auto"/>
        <w:rPr>
          <w:rFonts w:ascii="Times New Roman" w:eastAsia="Times New Roman" w:hAnsi="Times New Roman" w:cs="Times New Roman"/>
          <w:b/>
          <w:color w:val="222222"/>
          <w:sz w:val="24"/>
          <w:szCs w:val="24"/>
          <w:lang w:val="en-US" w:eastAsia="ru-RU"/>
        </w:rPr>
      </w:pPr>
      <w:r w:rsidRPr="00F5408C">
        <w:rPr>
          <w:rFonts w:ascii="Times New Roman" w:eastAsia="Times New Roman" w:hAnsi="Times New Roman" w:cs="Times New Roman"/>
          <w:b/>
          <w:color w:val="222222"/>
          <w:sz w:val="24"/>
          <w:szCs w:val="24"/>
          <w:lang w:val="en-US" w:eastAsia="ru-RU"/>
        </w:rPr>
        <w:t>Module code: LCBB6001</w:t>
      </w:r>
    </w:p>
    <w:p w:rsidR="00F5408C" w:rsidRPr="00F5408C" w:rsidRDefault="00F5408C" w:rsidP="00F15440">
      <w:pPr>
        <w:shd w:val="clear" w:color="auto" w:fill="FFFFFF"/>
        <w:spacing w:after="0" w:line="240" w:lineRule="auto"/>
        <w:rPr>
          <w:rFonts w:ascii="Arial" w:eastAsia="Times New Roman" w:hAnsi="Arial" w:cs="Arial"/>
          <w:color w:val="222222"/>
          <w:sz w:val="24"/>
          <w:szCs w:val="24"/>
          <w:lang w:val="en-US" w:eastAsia="ru-RU"/>
        </w:rPr>
      </w:pPr>
    </w:p>
    <w:p w:rsidR="00B75C1C" w:rsidRPr="00F5408C" w:rsidRDefault="00B75C1C" w:rsidP="002549DE">
      <w:pPr>
        <w:spacing w:line="360" w:lineRule="auto"/>
        <w:jc w:val="both"/>
        <w:rPr>
          <w:rFonts w:ascii="Times New Roman" w:hAnsi="Times New Roman" w:cs="Times New Roman"/>
          <w:b/>
          <w:sz w:val="24"/>
          <w:szCs w:val="24"/>
          <w:lang w:val="en-US"/>
        </w:rPr>
      </w:pPr>
      <w:r w:rsidRPr="00F5408C">
        <w:rPr>
          <w:rFonts w:ascii="Times New Roman" w:hAnsi="Times New Roman" w:cs="Times New Roman"/>
          <w:b/>
          <w:sz w:val="24"/>
          <w:szCs w:val="24"/>
          <w:lang w:val="en-US"/>
        </w:rPr>
        <w:br w:type="page"/>
      </w:r>
    </w:p>
    <w:sdt>
      <w:sdtPr>
        <w:rPr>
          <w:rFonts w:asciiTheme="minorHAnsi" w:eastAsiaTheme="minorHAnsi" w:hAnsiTheme="minorHAnsi" w:cstheme="minorBidi"/>
          <w:color w:val="auto"/>
          <w:sz w:val="22"/>
          <w:szCs w:val="22"/>
          <w:lang w:val="en-IN"/>
        </w:rPr>
        <w:id w:val="-1882862925"/>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lang w:val="en-US"/>
        </w:rPr>
      </w:sdtEndPr>
      <w:sdtContent>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Contents</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Introduction</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3</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Main Body</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4</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Evaluation of the nations</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4</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Social context and profile</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5</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Language</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5</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Possible risks</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6</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Workforce diversity</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6</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Workforce Diversity</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7</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Hofstede’s cultural dimension theory</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8</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Impact on Tesco’s Expansion</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9</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Communication barriers</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9</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Strategies to remove communication barriers</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10</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Recommendation for expansion</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11</w:t>
          </w:r>
        </w:p>
        <w:p w:rsidR="00E51354" w:rsidRPr="00E51354" w:rsidRDefault="00E51354" w:rsidP="00E51354">
          <w:pPr>
            <w:pStyle w:val="ab"/>
            <w:rPr>
              <w:rFonts w:ascii="Times New Roman" w:eastAsiaTheme="minorHAnsi" w:hAnsi="Times New Roman" w:cs="Times New Roman"/>
              <w:b/>
              <w:color w:val="auto"/>
              <w:sz w:val="24"/>
              <w:szCs w:val="24"/>
              <w:lang w:val="en-IN"/>
            </w:rPr>
          </w:pPr>
          <w:r w:rsidRPr="00E51354">
            <w:rPr>
              <w:rFonts w:ascii="Times New Roman" w:eastAsiaTheme="minorHAnsi" w:hAnsi="Times New Roman" w:cs="Times New Roman"/>
              <w:b/>
              <w:color w:val="auto"/>
              <w:sz w:val="24"/>
              <w:szCs w:val="24"/>
              <w:lang w:val="en-IN"/>
            </w:rPr>
            <w:t>Conclusion</w:t>
          </w:r>
          <w:r>
            <w:rPr>
              <w:rFonts w:ascii="Times New Roman" w:eastAsiaTheme="minorHAnsi" w:hAnsi="Times New Roman" w:cs="Times New Roman"/>
              <w:b/>
              <w:color w:val="auto"/>
              <w:sz w:val="24"/>
              <w:szCs w:val="24"/>
              <w:lang w:val="en-IN"/>
            </w:rPr>
            <w:t xml:space="preserve"> ………………………………………………………………………………..</w:t>
          </w:r>
          <w:r w:rsidRPr="00E51354">
            <w:rPr>
              <w:rFonts w:ascii="Times New Roman" w:eastAsiaTheme="minorHAnsi" w:hAnsi="Times New Roman" w:cs="Times New Roman"/>
              <w:b/>
              <w:color w:val="auto"/>
              <w:sz w:val="24"/>
              <w:szCs w:val="24"/>
              <w:lang w:val="en-IN"/>
            </w:rPr>
            <w:tab/>
            <w:t>13</w:t>
          </w:r>
        </w:p>
        <w:p w:rsidR="00E51354" w:rsidRPr="00E51354" w:rsidRDefault="00E51354" w:rsidP="00E51354">
          <w:pPr>
            <w:pStyle w:val="ab"/>
            <w:rPr>
              <w:rFonts w:ascii="Times New Roman" w:hAnsi="Times New Roman" w:cs="Times New Roman"/>
              <w:b/>
              <w:sz w:val="24"/>
              <w:szCs w:val="24"/>
            </w:rPr>
          </w:pPr>
          <w:r w:rsidRPr="00E51354">
            <w:rPr>
              <w:rFonts w:ascii="Times New Roman" w:eastAsiaTheme="minorHAnsi" w:hAnsi="Times New Roman" w:cs="Times New Roman"/>
              <w:b/>
              <w:color w:val="auto"/>
              <w:sz w:val="24"/>
              <w:szCs w:val="24"/>
              <w:lang w:val="en-IN"/>
            </w:rPr>
            <w:t>References</w:t>
          </w:r>
          <w:r>
            <w:rPr>
              <w:rFonts w:ascii="Times New Roman" w:eastAsiaTheme="minorHAnsi" w:hAnsi="Times New Roman" w:cs="Times New Roman"/>
              <w:b/>
              <w:color w:val="auto"/>
              <w:sz w:val="24"/>
              <w:szCs w:val="24"/>
              <w:lang w:val="en-IN"/>
            </w:rPr>
            <w:t xml:space="preserve"> ………………………………………………………………………………..</w:t>
          </w:r>
          <w:bookmarkStart w:id="0" w:name="_GoBack"/>
          <w:bookmarkEnd w:id="0"/>
          <w:r w:rsidRPr="00E51354">
            <w:rPr>
              <w:rFonts w:ascii="Times New Roman" w:eastAsiaTheme="minorHAnsi" w:hAnsi="Times New Roman" w:cs="Times New Roman"/>
              <w:b/>
              <w:color w:val="auto"/>
              <w:sz w:val="24"/>
              <w:szCs w:val="24"/>
              <w:lang w:val="en-IN"/>
            </w:rPr>
            <w:tab/>
            <w:t>14</w:t>
          </w:r>
        </w:p>
        <w:p w:rsidR="002549DE" w:rsidRDefault="00E51354" w:rsidP="00F5408C">
          <w:pPr>
            <w:pStyle w:val="ab"/>
          </w:pPr>
        </w:p>
      </w:sdtContent>
    </w:sdt>
    <w:p w:rsidR="002549DE" w:rsidRDefault="002549DE">
      <w:pPr>
        <w:rPr>
          <w:rFonts w:ascii="Times New Roman" w:eastAsiaTheme="majorEastAsia" w:hAnsi="Times New Roman" w:cs="Times New Roman"/>
          <w:b/>
          <w:sz w:val="24"/>
          <w:szCs w:val="24"/>
          <w:lang w:val="en-US"/>
        </w:rPr>
      </w:pPr>
      <w:r>
        <w:rPr>
          <w:rFonts w:cs="Times New Roman"/>
          <w:sz w:val="24"/>
          <w:szCs w:val="24"/>
          <w:lang w:val="en-US"/>
        </w:rPr>
        <w:br w:type="page"/>
      </w:r>
    </w:p>
    <w:p w:rsidR="002B00CC" w:rsidRPr="002549DE" w:rsidRDefault="00B75C1C" w:rsidP="002549DE">
      <w:pPr>
        <w:pStyle w:val="1"/>
        <w:spacing w:line="360" w:lineRule="auto"/>
        <w:jc w:val="both"/>
        <w:rPr>
          <w:rFonts w:cs="Times New Roman"/>
          <w:sz w:val="24"/>
          <w:szCs w:val="24"/>
          <w:lang w:val="en-US"/>
        </w:rPr>
      </w:pPr>
      <w:bookmarkStart w:id="1" w:name="_Toc149511035"/>
      <w:r w:rsidRPr="002549DE">
        <w:rPr>
          <w:rFonts w:cs="Times New Roman"/>
          <w:sz w:val="24"/>
          <w:szCs w:val="24"/>
          <w:lang w:val="en-US"/>
        </w:rPr>
        <w:lastRenderedPageBreak/>
        <w:t>Introduction</w:t>
      </w:r>
      <w:bookmarkEnd w:id="1"/>
      <w:r w:rsidRPr="002549DE">
        <w:rPr>
          <w:rFonts w:cs="Times New Roman"/>
          <w:sz w:val="24"/>
          <w:szCs w:val="24"/>
          <w:lang w:val="en-US"/>
        </w:rPr>
        <w:t xml:space="preserve"> </w:t>
      </w:r>
    </w:p>
    <w:p w:rsidR="00FF63E3" w:rsidRPr="002549DE" w:rsidRDefault="00FF63E3" w:rsidP="002549DE">
      <w:pPr>
        <w:spacing w:line="360" w:lineRule="auto"/>
        <w:jc w:val="both"/>
        <w:rPr>
          <w:rFonts w:ascii="Times New Roman" w:hAnsi="Times New Roman" w:cs="Times New Roman"/>
          <w:sz w:val="24"/>
          <w:szCs w:val="24"/>
          <w:lang w:val="en-US"/>
        </w:rPr>
      </w:pPr>
    </w:p>
    <w:p w:rsidR="00035198" w:rsidRPr="002549DE" w:rsidRDefault="009D5634"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The ability to communicate effectively is the bedrock of productive corporate relationships in the shifting world of international trade. Considering the framework of British corporate communications, a distinct mix of customs, practicality, and cultural heterogeneity assumes a critical role in influencing associations both </w:t>
      </w:r>
      <w:r w:rsidR="00D13C25" w:rsidRPr="002549DE">
        <w:rPr>
          <w:rFonts w:ascii="Times New Roman" w:hAnsi="Times New Roman" w:cs="Times New Roman"/>
          <w:sz w:val="24"/>
          <w:szCs w:val="24"/>
          <w:lang w:val="en-US"/>
        </w:rPr>
        <w:t>from</w:t>
      </w:r>
      <w:r w:rsidRPr="002549DE">
        <w:rPr>
          <w:rFonts w:ascii="Times New Roman" w:hAnsi="Times New Roman" w:cs="Times New Roman"/>
          <w:sz w:val="24"/>
          <w:szCs w:val="24"/>
          <w:lang w:val="en-US"/>
        </w:rPr>
        <w:t xml:space="preserve"> national and global standpoints. While acknowledging its intricate mix of communities and notions, Britain produces a welcoming space that allows for open discussion and collaborative comprehension. This sophisticated attitude regarding communication spans a range of formats, from professionally composed correspondence to adaptable digital mediums, illustrating the malleability and forward-thinking built into the British corporate mindset.</w:t>
      </w:r>
    </w:p>
    <w:p w:rsidR="009D5634" w:rsidRPr="002549DE" w:rsidRDefault="009D5634"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With total sales of £54.8bn and adjusted diluted EPS of 21.86p in 2022, Tesco is a leading MNC in the retail sector headquartered in the UK and </w:t>
      </w:r>
      <w:r w:rsidR="00FF63E3" w:rsidRPr="002549DE">
        <w:rPr>
          <w:rFonts w:ascii="Times New Roman" w:hAnsi="Times New Roman" w:cs="Times New Roman"/>
          <w:sz w:val="24"/>
          <w:szCs w:val="24"/>
          <w:lang w:val="en-US"/>
        </w:rPr>
        <w:t>has</w:t>
      </w:r>
      <w:r w:rsidRPr="002549DE">
        <w:rPr>
          <w:rFonts w:ascii="Times New Roman" w:hAnsi="Times New Roman" w:cs="Times New Roman"/>
          <w:sz w:val="24"/>
          <w:szCs w:val="24"/>
          <w:lang w:val="en-US"/>
        </w:rPr>
        <w:t xml:space="preserve"> </w:t>
      </w:r>
      <w:r w:rsidR="00FF63E3" w:rsidRPr="002549DE">
        <w:rPr>
          <w:rFonts w:ascii="Times New Roman" w:hAnsi="Times New Roman" w:cs="Times New Roman"/>
          <w:sz w:val="24"/>
          <w:szCs w:val="24"/>
          <w:lang w:val="en-US"/>
        </w:rPr>
        <w:t xml:space="preserve">a </w:t>
      </w:r>
      <w:r w:rsidRPr="002549DE">
        <w:rPr>
          <w:rFonts w:ascii="Times New Roman" w:hAnsi="Times New Roman" w:cs="Times New Roman"/>
          <w:sz w:val="24"/>
          <w:szCs w:val="24"/>
          <w:lang w:val="en-US"/>
        </w:rPr>
        <w:t xml:space="preserve">significant international presence across countries like Hungary, Slovakia and </w:t>
      </w:r>
      <w:r w:rsidR="00FF63E3" w:rsidRPr="002549DE">
        <w:rPr>
          <w:rFonts w:ascii="Times New Roman" w:hAnsi="Times New Roman" w:cs="Times New Roman"/>
          <w:sz w:val="24"/>
          <w:szCs w:val="24"/>
          <w:lang w:val="en-US"/>
        </w:rPr>
        <w:t xml:space="preserve">the </w:t>
      </w:r>
      <w:r w:rsidRPr="002549DE">
        <w:rPr>
          <w:rFonts w:ascii="Times New Roman" w:hAnsi="Times New Roman" w:cs="Times New Roman"/>
          <w:sz w:val="24"/>
          <w:szCs w:val="24"/>
          <w:lang w:val="en-US"/>
        </w:rPr>
        <w:t xml:space="preserve">Czech Republic. The secret sauce of its success lies in its commitment </w:t>
      </w:r>
      <w:r w:rsidR="00FF63E3" w:rsidRPr="002549DE">
        <w:rPr>
          <w:rFonts w:ascii="Times New Roman" w:hAnsi="Times New Roman" w:cs="Times New Roman"/>
          <w:sz w:val="24"/>
          <w:szCs w:val="24"/>
          <w:lang w:val="en-US"/>
        </w:rPr>
        <w:t>to</w:t>
      </w:r>
      <w:r w:rsidRPr="002549DE">
        <w:rPr>
          <w:rFonts w:ascii="Times New Roman" w:hAnsi="Times New Roman" w:cs="Times New Roman"/>
          <w:sz w:val="24"/>
          <w:szCs w:val="24"/>
          <w:lang w:val="en-US"/>
        </w:rPr>
        <w:t xml:space="preserve"> catering high-quality products, customer engagement strategies and bringing in innovation. </w:t>
      </w:r>
      <w:r w:rsidR="00401603" w:rsidRPr="002549DE">
        <w:rPr>
          <w:rFonts w:ascii="Times New Roman" w:hAnsi="Times New Roman" w:cs="Times New Roman"/>
          <w:sz w:val="24"/>
          <w:szCs w:val="24"/>
          <w:lang w:val="en-US"/>
        </w:rPr>
        <w:t xml:space="preserve">It has a diverse product line ranging from groceries and clothing to banking services, fortifying itself against </w:t>
      </w:r>
      <w:r w:rsidR="00FF63E3" w:rsidRPr="002549DE">
        <w:rPr>
          <w:rFonts w:ascii="Times New Roman" w:hAnsi="Times New Roman" w:cs="Times New Roman"/>
          <w:sz w:val="24"/>
          <w:szCs w:val="24"/>
          <w:lang w:val="en-US"/>
        </w:rPr>
        <w:t xml:space="preserve">a </w:t>
      </w:r>
      <w:r w:rsidR="00401603" w:rsidRPr="002549DE">
        <w:rPr>
          <w:rFonts w:ascii="Times New Roman" w:hAnsi="Times New Roman" w:cs="Times New Roman"/>
          <w:sz w:val="24"/>
          <w:szCs w:val="24"/>
          <w:lang w:val="en-US"/>
        </w:rPr>
        <w:t xml:space="preserve">dynamic business environment. The essay aims to research possible expansion avenues for the organization by comparing and contrasting cultural factors with a focus on communication mechanisms. </w:t>
      </w:r>
    </w:p>
    <w:p w:rsidR="000F5FFF" w:rsidRPr="002549DE" w:rsidRDefault="00FF63E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br w:type="page"/>
      </w:r>
    </w:p>
    <w:p w:rsidR="00FF63E3" w:rsidRPr="002549DE" w:rsidRDefault="00FF63E3" w:rsidP="002549DE">
      <w:pPr>
        <w:pStyle w:val="1"/>
        <w:spacing w:line="360" w:lineRule="auto"/>
        <w:jc w:val="both"/>
        <w:rPr>
          <w:rFonts w:cs="Times New Roman"/>
          <w:sz w:val="24"/>
          <w:szCs w:val="24"/>
          <w:lang w:val="en-US"/>
        </w:rPr>
      </w:pPr>
      <w:bookmarkStart w:id="2" w:name="_Toc149511036"/>
      <w:r w:rsidRPr="002549DE">
        <w:rPr>
          <w:rFonts w:cs="Times New Roman"/>
          <w:sz w:val="24"/>
          <w:szCs w:val="24"/>
          <w:lang w:val="en-US"/>
        </w:rPr>
        <w:lastRenderedPageBreak/>
        <w:t>Main Body</w:t>
      </w:r>
      <w:bookmarkEnd w:id="2"/>
    </w:p>
    <w:p w:rsidR="00FF63E3" w:rsidRPr="002549DE" w:rsidRDefault="00FF63E3" w:rsidP="002549DE">
      <w:pPr>
        <w:spacing w:line="360" w:lineRule="auto"/>
        <w:jc w:val="both"/>
        <w:rPr>
          <w:rFonts w:ascii="Times New Roman" w:hAnsi="Times New Roman" w:cs="Times New Roman"/>
          <w:sz w:val="24"/>
          <w:szCs w:val="24"/>
          <w:lang w:val="en-US"/>
        </w:rPr>
      </w:pPr>
    </w:p>
    <w:p w:rsidR="000F5FFF" w:rsidRPr="002549DE" w:rsidRDefault="000F5FFF" w:rsidP="002549DE">
      <w:pPr>
        <w:pStyle w:val="2"/>
        <w:rPr>
          <w:lang w:val="en-US"/>
        </w:rPr>
      </w:pPr>
      <w:bookmarkStart w:id="3" w:name="_Toc149511037"/>
      <w:r w:rsidRPr="002549DE">
        <w:rPr>
          <w:lang w:val="en-US"/>
        </w:rPr>
        <w:t>Evaluati</w:t>
      </w:r>
      <w:r w:rsidR="00401603" w:rsidRPr="002549DE">
        <w:rPr>
          <w:lang w:val="en-US"/>
        </w:rPr>
        <w:t>on of the nations</w:t>
      </w:r>
      <w:bookmarkEnd w:id="3"/>
    </w:p>
    <w:p w:rsidR="001B4BA1" w:rsidRPr="002549DE" w:rsidRDefault="001B4BA1"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noProof/>
          <w:sz w:val="24"/>
          <w:szCs w:val="24"/>
          <w:lang w:val="ru-RU" w:eastAsia="ru-RU"/>
        </w:rPr>
        <w:drawing>
          <wp:inline distT="0" distB="0" distL="0" distR="0" wp14:anchorId="0FE6BF40" wp14:editId="2243B7D8">
            <wp:extent cx="2757170" cy="2553287"/>
            <wp:effectExtent l="0" t="0" r="2413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F63E3" w:rsidRPr="002549DE" w:rsidRDefault="00FF63E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Figure 1. Overview of the Greek retail industry</w:t>
      </w:r>
    </w:p>
    <w:p w:rsidR="006E5B4A" w:rsidRPr="002549DE" w:rsidRDefault="0040160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Tesco can benefit from exploring new markets like Greece and Austria. Both nations have </w:t>
      </w:r>
      <w:r w:rsidR="006E5B4A" w:rsidRPr="002549DE">
        <w:rPr>
          <w:rFonts w:ascii="Times New Roman" w:hAnsi="Times New Roman" w:cs="Times New Roman"/>
          <w:sz w:val="24"/>
          <w:szCs w:val="24"/>
          <w:lang w:val="en-US"/>
        </w:rPr>
        <w:t xml:space="preserve">well-developed retail </w:t>
      </w:r>
      <w:r w:rsidR="00FF63E3" w:rsidRPr="002549DE">
        <w:rPr>
          <w:rFonts w:ascii="Times New Roman" w:hAnsi="Times New Roman" w:cs="Times New Roman"/>
          <w:sz w:val="24"/>
          <w:szCs w:val="24"/>
          <w:lang w:val="en-US"/>
        </w:rPr>
        <w:t>markets</w:t>
      </w:r>
      <w:r w:rsidR="006E5B4A" w:rsidRPr="002549DE">
        <w:rPr>
          <w:rFonts w:ascii="Times New Roman" w:hAnsi="Times New Roman" w:cs="Times New Roman"/>
          <w:sz w:val="24"/>
          <w:szCs w:val="24"/>
          <w:lang w:val="en-US"/>
        </w:rPr>
        <w:t xml:space="preserve"> offering new business opportunities for a retail giant like Tesco. Greece with a domestic population of more than 10 million people and further appealing millions of tourists every year, has the </w:t>
      </w:r>
      <w:r w:rsidR="00A60133" w:rsidRPr="002549DE">
        <w:rPr>
          <w:rFonts w:ascii="Times New Roman" w:hAnsi="Times New Roman" w:cs="Times New Roman"/>
          <w:sz w:val="24"/>
          <w:szCs w:val="24"/>
          <w:lang w:val="en-US"/>
        </w:rPr>
        <w:t xml:space="preserve">necessary retail consumer base </w:t>
      </w:r>
      <w:r w:rsidR="00A60133" w:rsidRPr="002549DE">
        <w:rPr>
          <w:rFonts w:ascii="Times New Roman" w:hAnsi="Times New Roman" w:cs="Times New Roman"/>
          <w:color w:val="222222"/>
          <w:sz w:val="24"/>
          <w:szCs w:val="24"/>
          <w:shd w:val="clear" w:color="auto" w:fill="FFFFFF"/>
        </w:rPr>
        <w:t xml:space="preserve">(Charalambakis and Garrett, 2019). </w:t>
      </w:r>
      <w:r w:rsidR="006E5B4A" w:rsidRPr="002549DE">
        <w:rPr>
          <w:rFonts w:ascii="Times New Roman" w:hAnsi="Times New Roman" w:cs="Times New Roman"/>
          <w:sz w:val="24"/>
          <w:szCs w:val="24"/>
          <w:lang w:val="en-US"/>
        </w:rPr>
        <w:t xml:space="preserve">The Greek economy is on the mend from economic trials and </w:t>
      </w:r>
      <w:r w:rsidR="00EE5F70" w:rsidRPr="002549DE">
        <w:rPr>
          <w:rFonts w:ascii="Times New Roman" w:hAnsi="Times New Roman" w:cs="Times New Roman"/>
          <w:sz w:val="24"/>
          <w:szCs w:val="24"/>
          <w:lang w:val="en-US"/>
        </w:rPr>
        <w:t xml:space="preserve">thus </w:t>
      </w:r>
      <w:r w:rsidR="00FF63E3" w:rsidRPr="002549DE">
        <w:rPr>
          <w:rFonts w:ascii="Times New Roman" w:hAnsi="Times New Roman" w:cs="Times New Roman"/>
          <w:sz w:val="24"/>
          <w:szCs w:val="24"/>
          <w:lang w:val="en-US"/>
        </w:rPr>
        <w:t>presents</w:t>
      </w:r>
      <w:r w:rsidR="00EE5F70" w:rsidRPr="002549DE">
        <w:rPr>
          <w:rFonts w:ascii="Times New Roman" w:hAnsi="Times New Roman" w:cs="Times New Roman"/>
          <w:sz w:val="24"/>
          <w:szCs w:val="24"/>
          <w:lang w:val="en-US"/>
        </w:rPr>
        <w:t xml:space="preserve"> opportunities for global retail businesses and Tesco can have the </w:t>
      </w:r>
      <w:r w:rsidR="008563F3" w:rsidRPr="002549DE">
        <w:rPr>
          <w:rFonts w:ascii="Times New Roman" w:hAnsi="Times New Roman" w:cs="Times New Roman"/>
          <w:sz w:val="24"/>
          <w:szCs w:val="24"/>
          <w:lang w:val="en-US"/>
        </w:rPr>
        <w:t>first-mover</w:t>
      </w:r>
      <w:r w:rsidR="00EE5F70" w:rsidRPr="002549DE">
        <w:rPr>
          <w:rFonts w:ascii="Times New Roman" w:hAnsi="Times New Roman" w:cs="Times New Roman"/>
          <w:sz w:val="24"/>
          <w:szCs w:val="24"/>
          <w:lang w:val="en-US"/>
        </w:rPr>
        <w:t xml:space="preserve"> advantage in capturing the current market. </w:t>
      </w:r>
    </w:p>
    <w:p w:rsidR="001B4BA1" w:rsidRPr="002549DE" w:rsidRDefault="001B4BA1"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noProof/>
          <w:sz w:val="24"/>
          <w:szCs w:val="24"/>
          <w:lang w:val="ru-RU" w:eastAsia="ru-RU"/>
        </w:rPr>
        <w:drawing>
          <wp:inline distT="0" distB="0" distL="0" distR="0" wp14:anchorId="1AF098C9" wp14:editId="1B221D28">
            <wp:extent cx="2355850" cy="2419643"/>
            <wp:effectExtent l="0" t="0" r="63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F63E3" w:rsidRPr="002549DE" w:rsidRDefault="00FF63E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Figure 2. Overview of the Austrian retail industry</w:t>
      </w:r>
    </w:p>
    <w:p w:rsidR="00EE5F70" w:rsidRPr="002549DE" w:rsidRDefault="00EE5F70"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Austria one of the richest European </w:t>
      </w:r>
      <w:r w:rsidR="00FF63E3" w:rsidRPr="002549DE">
        <w:rPr>
          <w:rFonts w:ascii="Times New Roman" w:hAnsi="Times New Roman" w:cs="Times New Roman"/>
          <w:sz w:val="24"/>
          <w:szCs w:val="24"/>
          <w:lang w:val="en-US"/>
        </w:rPr>
        <w:t>countries</w:t>
      </w:r>
      <w:r w:rsidRPr="002549DE">
        <w:rPr>
          <w:rFonts w:ascii="Times New Roman" w:hAnsi="Times New Roman" w:cs="Times New Roman"/>
          <w:sz w:val="24"/>
          <w:szCs w:val="24"/>
          <w:lang w:val="en-US"/>
        </w:rPr>
        <w:t xml:space="preserve"> demonstrates the high purchasing power of its inhabitants ready to spend their </w:t>
      </w:r>
      <w:r w:rsidR="00A60133" w:rsidRPr="002549DE">
        <w:rPr>
          <w:rFonts w:ascii="Times New Roman" w:hAnsi="Times New Roman" w:cs="Times New Roman"/>
          <w:sz w:val="24"/>
          <w:szCs w:val="24"/>
          <w:lang w:val="en-US"/>
        </w:rPr>
        <w:t xml:space="preserve">money on high-quality products </w:t>
      </w:r>
      <w:r w:rsidR="00A60133" w:rsidRPr="002549DE">
        <w:rPr>
          <w:rFonts w:ascii="Times New Roman" w:hAnsi="Times New Roman" w:cs="Times New Roman"/>
          <w:color w:val="222222"/>
          <w:sz w:val="24"/>
          <w:szCs w:val="24"/>
          <w:shd w:val="clear" w:color="auto" w:fill="FFFFFF"/>
        </w:rPr>
        <w:t xml:space="preserve">(Mayr et al., 2021). </w:t>
      </w:r>
      <w:r w:rsidRPr="002549DE">
        <w:rPr>
          <w:rFonts w:ascii="Times New Roman" w:hAnsi="Times New Roman" w:cs="Times New Roman"/>
          <w:sz w:val="24"/>
          <w:szCs w:val="24"/>
          <w:lang w:val="en-US"/>
        </w:rPr>
        <w:t xml:space="preserve">This sort of consumer inclination aligns with the core values of Tesco including </w:t>
      </w:r>
      <w:r w:rsidR="00FF63E3" w:rsidRPr="002549DE">
        <w:rPr>
          <w:rFonts w:ascii="Times New Roman" w:hAnsi="Times New Roman" w:cs="Times New Roman"/>
          <w:sz w:val="24"/>
          <w:szCs w:val="24"/>
          <w:lang w:val="en-US"/>
        </w:rPr>
        <w:t xml:space="preserve">a </w:t>
      </w:r>
      <w:r w:rsidRPr="002549DE">
        <w:rPr>
          <w:rFonts w:ascii="Times New Roman" w:hAnsi="Times New Roman" w:cs="Times New Roman"/>
          <w:sz w:val="24"/>
          <w:szCs w:val="24"/>
          <w:lang w:val="en-US"/>
        </w:rPr>
        <w:t xml:space="preserve">focus on product quality and exceptional customer experience. Being part of the central European nation, it also provides easy access for further potential expansion. </w:t>
      </w:r>
    </w:p>
    <w:p w:rsidR="001B4BA1" w:rsidRPr="002549DE" w:rsidRDefault="001B4BA1"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noProof/>
          <w:sz w:val="24"/>
          <w:szCs w:val="24"/>
          <w:lang w:val="ru-RU" w:eastAsia="ru-RU"/>
        </w:rPr>
        <w:drawing>
          <wp:inline distT="0" distB="0" distL="0" distR="0" wp14:anchorId="06C53B9C" wp14:editId="578C8C5D">
            <wp:extent cx="3077430" cy="1920240"/>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9239" cy="1933848"/>
                    </a:xfrm>
                    <a:prstGeom prst="rect">
                      <a:avLst/>
                    </a:prstGeom>
                  </pic:spPr>
                </pic:pic>
              </a:graphicData>
            </a:graphic>
          </wp:inline>
        </w:drawing>
      </w:r>
    </w:p>
    <w:p w:rsidR="006E5B4A" w:rsidRPr="002549DE" w:rsidRDefault="00B75C1C"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Figure 3. Sales volume of retail trade in Greece</w:t>
      </w:r>
    </w:p>
    <w:p w:rsidR="00B75C1C" w:rsidRPr="002549DE" w:rsidRDefault="00B75C1C"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Source: (Statista, 2023)</w:t>
      </w:r>
    </w:p>
    <w:p w:rsidR="006E5B4A" w:rsidRPr="002549DE" w:rsidRDefault="001B4BA1" w:rsidP="002549DE">
      <w:pPr>
        <w:pStyle w:val="2"/>
        <w:rPr>
          <w:lang w:val="en-US"/>
        </w:rPr>
      </w:pPr>
      <w:bookmarkStart w:id="4" w:name="_Toc149511038"/>
      <w:r w:rsidRPr="002549DE">
        <w:rPr>
          <w:lang w:val="en-US"/>
        </w:rPr>
        <w:t>Social context and profile</w:t>
      </w:r>
      <w:bookmarkEnd w:id="4"/>
    </w:p>
    <w:p w:rsidR="00FF63E3" w:rsidRPr="002549DE" w:rsidRDefault="00FF63E3" w:rsidP="002549DE">
      <w:pPr>
        <w:spacing w:line="360" w:lineRule="auto"/>
        <w:jc w:val="both"/>
        <w:rPr>
          <w:rFonts w:ascii="Times New Roman" w:hAnsi="Times New Roman" w:cs="Times New Roman"/>
          <w:sz w:val="24"/>
          <w:szCs w:val="24"/>
          <w:lang w:val="en-US"/>
        </w:rPr>
      </w:pPr>
    </w:p>
    <w:p w:rsidR="0081797A" w:rsidRPr="002549DE" w:rsidRDefault="00527A77"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Greece is well-known for its glorious cultural heritage that has shaped societal values and consumer inclinations. The social life of Greeks revolves around family and social networks as the</w:t>
      </w:r>
      <w:r w:rsidR="00A60133" w:rsidRPr="002549DE">
        <w:rPr>
          <w:rFonts w:ascii="Times New Roman" w:hAnsi="Times New Roman" w:cs="Times New Roman"/>
          <w:sz w:val="24"/>
          <w:szCs w:val="24"/>
          <w:lang w:val="en-US"/>
        </w:rPr>
        <w:t xml:space="preserve">y prefer a leisurely lifestyle </w:t>
      </w:r>
      <w:r w:rsidR="00A60133" w:rsidRPr="002549DE">
        <w:rPr>
          <w:rFonts w:ascii="Times New Roman" w:hAnsi="Times New Roman" w:cs="Times New Roman"/>
          <w:color w:val="222222"/>
          <w:sz w:val="24"/>
          <w:szCs w:val="24"/>
          <w:shd w:val="clear" w:color="auto" w:fill="FFFFFF"/>
        </w:rPr>
        <w:t xml:space="preserve">(Charalambakis and Garrett, 2019). </w:t>
      </w:r>
      <w:r w:rsidRPr="002549DE">
        <w:rPr>
          <w:rFonts w:ascii="Times New Roman" w:hAnsi="Times New Roman" w:cs="Times New Roman"/>
          <w:sz w:val="24"/>
          <w:szCs w:val="24"/>
          <w:lang w:val="en-US"/>
        </w:rPr>
        <w:t xml:space="preserve">The country has an extensive education and healthcare system that </w:t>
      </w:r>
      <w:r w:rsidR="00FF63E3" w:rsidRPr="002549DE">
        <w:rPr>
          <w:rFonts w:ascii="Times New Roman" w:hAnsi="Times New Roman" w:cs="Times New Roman"/>
          <w:sz w:val="24"/>
          <w:szCs w:val="24"/>
          <w:lang w:val="en-US"/>
        </w:rPr>
        <w:t>is reflected</w:t>
      </w:r>
      <w:r w:rsidRPr="002549DE">
        <w:rPr>
          <w:rFonts w:ascii="Times New Roman" w:hAnsi="Times New Roman" w:cs="Times New Roman"/>
          <w:sz w:val="24"/>
          <w:szCs w:val="24"/>
          <w:lang w:val="en-US"/>
        </w:rPr>
        <w:t xml:space="preserve"> </w:t>
      </w:r>
      <w:r w:rsidR="00FF63E3" w:rsidRPr="002549DE">
        <w:rPr>
          <w:rFonts w:ascii="Times New Roman" w:hAnsi="Times New Roman" w:cs="Times New Roman"/>
          <w:sz w:val="24"/>
          <w:szCs w:val="24"/>
          <w:lang w:val="en-US"/>
        </w:rPr>
        <w:t>in</w:t>
      </w:r>
      <w:r w:rsidRPr="002549DE">
        <w:rPr>
          <w:rFonts w:ascii="Times New Roman" w:hAnsi="Times New Roman" w:cs="Times New Roman"/>
          <w:sz w:val="24"/>
          <w:szCs w:val="24"/>
          <w:lang w:val="en-US"/>
        </w:rPr>
        <w:t xml:space="preserve"> their buying decisions. Austria on the other hand is known for its stability and order. The </w:t>
      </w:r>
      <w:r w:rsidR="00FF63E3" w:rsidRPr="002549DE">
        <w:rPr>
          <w:rFonts w:ascii="Times New Roman" w:hAnsi="Times New Roman" w:cs="Times New Roman"/>
          <w:sz w:val="24"/>
          <w:szCs w:val="24"/>
          <w:lang w:val="en-US"/>
        </w:rPr>
        <w:t>nation</w:t>
      </w:r>
      <w:r w:rsidRPr="002549DE">
        <w:rPr>
          <w:rFonts w:ascii="Times New Roman" w:hAnsi="Times New Roman" w:cs="Times New Roman"/>
          <w:sz w:val="24"/>
          <w:szCs w:val="24"/>
          <w:lang w:val="en-US"/>
        </w:rPr>
        <w:t xml:space="preserve"> is comparatively rich and thus there is </w:t>
      </w:r>
      <w:r w:rsidR="00FF63E3" w:rsidRPr="002549DE">
        <w:rPr>
          <w:rFonts w:ascii="Times New Roman" w:hAnsi="Times New Roman" w:cs="Times New Roman"/>
          <w:sz w:val="24"/>
          <w:szCs w:val="24"/>
          <w:lang w:val="en-US"/>
        </w:rPr>
        <w:t xml:space="preserve">a </w:t>
      </w:r>
      <w:r w:rsidRPr="002549DE">
        <w:rPr>
          <w:rFonts w:ascii="Times New Roman" w:hAnsi="Times New Roman" w:cs="Times New Roman"/>
          <w:sz w:val="24"/>
          <w:szCs w:val="24"/>
          <w:lang w:val="en-US"/>
        </w:rPr>
        <w:t>high standard of living. While Greece has a balanced demographic distribution, Austr</w:t>
      </w:r>
      <w:r w:rsidR="0081797A" w:rsidRPr="002549DE">
        <w:rPr>
          <w:rFonts w:ascii="Times New Roman" w:hAnsi="Times New Roman" w:cs="Times New Roman"/>
          <w:sz w:val="24"/>
          <w:szCs w:val="24"/>
          <w:lang w:val="en-US"/>
        </w:rPr>
        <w:t xml:space="preserve">ia is witnessing a rise in </w:t>
      </w:r>
      <w:r w:rsidR="00FF63E3" w:rsidRPr="002549DE">
        <w:rPr>
          <w:rFonts w:ascii="Times New Roman" w:hAnsi="Times New Roman" w:cs="Times New Roman"/>
          <w:sz w:val="24"/>
          <w:szCs w:val="24"/>
          <w:lang w:val="en-US"/>
        </w:rPr>
        <w:t xml:space="preserve">the </w:t>
      </w:r>
      <w:r w:rsidR="0081797A" w:rsidRPr="002549DE">
        <w:rPr>
          <w:rFonts w:ascii="Times New Roman" w:hAnsi="Times New Roman" w:cs="Times New Roman"/>
          <w:sz w:val="24"/>
          <w:szCs w:val="24"/>
          <w:lang w:val="en-US"/>
        </w:rPr>
        <w:t xml:space="preserve">share of elderly people. Tesco can offer </w:t>
      </w:r>
      <w:r w:rsidR="00FF63E3" w:rsidRPr="002549DE">
        <w:rPr>
          <w:rFonts w:ascii="Times New Roman" w:hAnsi="Times New Roman" w:cs="Times New Roman"/>
          <w:sz w:val="24"/>
          <w:szCs w:val="24"/>
          <w:lang w:val="en-US"/>
        </w:rPr>
        <w:t>family-focused</w:t>
      </w:r>
      <w:r w:rsidR="0081797A" w:rsidRPr="002549DE">
        <w:rPr>
          <w:rFonts w:ascii="Times New Roman" w:hAnsi="Times New Roman" w:cs="Times New Roman"/>
          <w:sz w:val="24"/>
          <w:szCs w:val="24"/>
          <w:lang w:val="en-US"/>
        </w:rPr>
        <w:t xml:space="preserve"> in-store experiences, flexible working hours for employees, and proactive strategies for community engagement in Greece. </w:t>
      </w:r>
      <w:r w:rsidR="00FF63E3" w:rsidRPr="002549DE">
        <w:rPr>
          <w:rFonts w:ascii="Times New Roman" w:hAnsi="Times New Roman" w:cs="Times New Roman"/>
          <w:sz w:val="24"/>
          <w:szCs w:val="24"/>
          <w:lang w:val="en-US"/>
        </w:rPr>
        <w:t>It</w:t>
      </w:r>
      <w:r w:rsidR="0081797A" w:rsidRPr="002549DE">
        <w:rPr>
          <w:rFonts w:ascii="Times New Roman" w:hAnsi="Times New Roman" w:cs="Times New Roman"/>
          <w:sz w:val="24"/>
          <w:szCs w:val="24"/>
          <w:lang w:val="en-US"/>
        </w:rPr>
        <w:t xml:space="preserve"> should focus on offering quality and reliable products and altering its diverse product line as per the needs of </w:t>
      </w:r>
      <w:r w:rsidR="00FF63E3" w:rsidRPr="002549DE">
        <w:rPr>
          <w:rFonts w:ascii="Times New Roman" w:hAnsi="Times New Roman" w:cs="Times New Roman"/>
          <w:sz w:val="24"/>
          <w:szCs w:val="24"/>
          <w:lang w:val="en-US"/>
        </w:rPr>
        <w:t>the ageing</w:t>
      </w:r>
      <w:r w:rsidR="0081797A" w:rsidRPr="002549DE">
        <w:rPr>
          <w:rFonts w:ascii="Times New Roman" w:hAnsi="Times New Roman" w:cs="Times New Roman"/>
          <w:sz w:val="24"/>
          <w:szCs w:val="24"/>
          <w:lang w:val="en-US"/>
        </w:rPr>
        <w:t xml:space="preserve"> populace in Austria.</w:t>
      </w:r>
    </w:p>
    <w:p w:rsidR="001B4BA1" w:rsidRPr="002549DE" w:rsidRDefault="001B4BA1" w:rsidP="002549DE">
      <w:pPr>
        <w:pStyle w:val="3"/>
        <w:rPr>
          <w:lang w:val="en-US"/>
        </w:rPr>
      </w:pPr>
      <w:bookmarkStart w:id="5" w:name="_Toc149511039"/>
      <w:r w:rsidRPr="002549DE">
        <w:rPr>
          <w:lang w:val="en-US"/>
        </w:rPr>
        <w:t>Language</w:t>
      </w:r>
      <w:bookmarkEnd w:id="5"/>
    </w:p>
    <w:p w:rsidR="002549DE" w:rsidRDefault="002549DE" w:rsidP="002549DE">
      <w:pPr>
        <w:spacing w:line="360" w:lineRule="auto"/>
        <w:jc w:val="both"/>
        <w:rPr>
          <w:rFonts w:ascii="Times New Roman" w:hAnsi="Times New Roman" w:cs="Times New Roman"/>
          <w:sz w:val="24"/>
          <w:szCs w:val="24"/>
          <w:lang w:val="en-US"/>
        </w:rPr>
      </w:pPr>
    </w:p>
    <w:p w:rsidR="00071288" w:rsidRPr="002549DE" w:rsidRDefault="00071288"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The official language of Greece and Austria is Greek and German respectively.</w:t>
      </w:r>
      <w:r w:rsidR="00CF6EF5" w:rsidRPr="002549DE">
        <w:rPr>
          <w:rFonts w:ascii="Times New Roman" w:hAnsi="Times New Roman" w:cs="Times New Roman"/>
          <w:sz w:val="24"/>
          <w:szCs w:val="24"/>
          <w:lang w:val="en-US"/>
        </w:rPr>
        <w:t xml:space="preserve"> </w:t>
      </w:r>
      <w:r w:rsidR="00D13C25" w:rsidRPr="002549DE">
        <w:rPr>
          <w:rFonts w:ascii="Times New Roman" w:hAnsi="Times New Roman" w:cs="Times New Roman"/>
          <w:sz w:val="24"/>
          <w:szCs w:val="24"/>
          <w:lang w:val="en-US"/>
        </w:rPr>
        <w:t xml:space="preserve">Although the English language is taken seriously in educational institutions </w:t>
      </w:r>
      <w:r w:rsidR="00CF6EF5" w:rsidRPr="002549DE">
        <w:rPr>
          <w:rFonts w:ascii="Times New Roman" w:hAnsi="Times New Roman" w:cs="Times New Roman"/>
          <w:sz w:val="24"/>
          <w:szCs w:val="24"/>
          <w:lang w:val="en-US"/>
        </w:rPr>
        <w:t xml:space="preserve">in both countries </w:t>
      </w:r>
      <w:r w:rsidR="00D13C25" w:rsidRPr="002549DE">
        <w:rPr>
          <w:rFonts w:ascii="Times New Roman" w:hAnsi="Times New Roman" w:cs="Times New Roman"/>
          <w:sz w:val="24"/>
          <w:szCs w:val="24"/>
          <w:lang w:val="en-US"/>
        </w:rPr>
        <w:t xml:space="preserve">and generally observed, particularly </w:t>
      </w:r>
      <w:r w:rsidR="00FF63E3" w:rsidRPr="002549DE">
        <w:rPr>
          <w:rFonts w:ascii="Times New Roman" w:hAnsi="Times New Roman" w:cs="Times New Roman"/>
          <w:sz w:val="24"/>
          <w:szCs w:val="24"/>
          <w:lang w:val="en-US"/>
        </w:rPr>
        <w:t>among</w:t>
      </w:r>
      <w:r w:rsidR="00D13C25" w:rsidRPr="002549DE">
        <w:rPr>
          <w:rFonts w:ascii="Times New Roman" w:hAnsi="Times New Roman" w:cs="Times New Roman"/>
          <w:sz w:val="24"/>
          <w:szCs w:val="24"/>
          <w:lang w:val="en-US"/>
        </w:rPr>
        <w:t xml:space="preserve"> younger generations and residents of major cities, skill </w:t>
      </w:r>
      <w:r w:rsidR="00CF6EF5" w:rsidRPr="002549DE">
        <w:rPr>
          <w:rFonts w:ascii="Times New Roman" w:hAnsi="Times New Roman" w:cs="Times New Roman"/>
          <w:sz w:val="24"/>
          <w:szCs w:val="24"/>
          <w:lang w:val="en-US"/>
        </w:rPr>
        <w:t>thresholds </w:t>
      </w:r>
      <w:r w:rsidR="00FF63E3" w:rsidRPr="002549DE">
        <w:rPr>
          <w:rFonts w:ascii="Times New Roman" w:hAnsi="Times New Roman" w:cs="Times New Roman"/>
          <w:sz w:val="24"/>
          <w:szCs w:val="24"/>
          <w:lang w:val="en-US"/>
        </w:rPr>
        <w:t>vary</w:t>
      </w:r>
      <w:r w:rsidR="00CF6EF5" w:rsidRPr="002549DE">
        <w:rPr>
          <w:rFonts w:ascii="Times New Roman" w:hAnsi="Times New Roman" w:cs="Times New Roman"/>
          <w:sz w:val="24"/>
          <w:szCs w:val="24"/>
          <w:lang w:val="en-US"/>
        </w:rPr>
        <w:t xml:space="preserve"> </w:t>
      </w:r>
      <w:r w:rsidR="008563F3" w:rsidRPr="002549DE">
        <w:rPr>
          <w:rFonts w:ascii="Times New Roman" w:hAnsi="Times New Roman" w:cs="Times New Roman"/>
          <w:sz w:val="24"/>
          <w:szCs w:val="24"/>
          <w:lang w:val="en-US"/>
        </w:rPr>
        <w:t>based on</w:t>
      </w:r>
      <w:r w:rsidR="00CF6EF5" w:rsidRPr="002549DE">
        <w:rPr>
          <w:rFonts w:ascii="Times New Roman" w:hAnsi="Times New Roman" w:cs="Times New Roman"/>
          <w:sz w:val="24"/>
          <w:szCs w:val="24"/>
          <w:lang w:val="en-US"/>
        </w:rPr>
        <w:t xml:space="preserve"> exposure, education level and region. </w:t>
      </w:r>
      <w:r w:rsidR="00D13C25" w:rsidRPr="002549DE">
        <w:rPr>
          <w:rFonts w:ascii="Times New Roman" w:hAnsi="Times New Roman" w:cs="Times New Roman"/>
          <w:sz w:val="24"/>
          <w:szCs w:val="24"/>
          <w:lang w:val="en-US"/>
        </w:rPr>
        <w:t>Regardless of their grasp of English, the Greek populace </w:t>
      </w:r>
      <w:r w:rsidR="00FF63E3" w:rsidRPr="002549DE">
        <w:rPr>
          <w:rFonts w:ascii="Times New Roman" w:hAnsi="Times New Roman" w:cs="Times New Roman"/>
          <w:sz w:val="24"/>
          <w:szCs w:val="24"/>
          <w:lang w:val="en-US"/>
        </w:rPr>
        <w:t>prefers</w:t>
      </w:r>
      <w:r w:rsidR="00D13C25" w:rsidRPr="002549DE">
        <w:rPr>
          <w:rFonts w:ascii="Times New Roman" w:hAnsi="Times New Roman" w:cs="Times New Roman"/>
          <w:sz w:val="24"/>
          <w:szCs w:val="24"/>
          <w:lang w:val="en-US"/>
        </w:rPr>
        <w:t xml:space="preserve"> organizations which put attempt to connect with them in Greek</w:t>
      </w:r>
      <w:r w:rsidR="00CF6EF5" w:rsidRPr="002549DE">
        <w:rPr>
          <w:rFonts w:ascii="Times New Roman" w:hAnsi="Times New Roman" w:cs="Times New Roman"/>
          <w:sz w:val="24"/>
          <w:szCs w:val="24"/>
          <w:lang w:val="en-US"/>
        </w:rPr>
        <w:t xml:space="preserve"> only, fostering a feeling</w:t>
      </w:r>
      <w:r w:rsidR="00D13C25" w:rsidRPr="002549DE">
        <w:rPr>
          <w:rFonts w:ascii="Times New Roman" w:hAnsi="Times New Roman" w:cs="Times New Roman"/>
          <w:sz w:val="24"/>
          <w:szCs w:val="24"/>
          <w:lang w:val="en-US"/>
        </w:rPr>
        <w:t xml:space="preserve"> of belonging and re</w:t>
      </w:r>
      <w:r w:rsidR="00A60133" w:rsidRPr="002549DE">
        <w:rPr>
          <w:rFonts w:ascii="Times New Roman" w:hAnsi="Times New Roman" w:cs="Times New Roman"/>
          <w:sz w:val="24"/>
          <w:szCs w:val="24"/>
          <w:lang w:val="en-US"/>
        </w:rPr>
        <w:t xml:space="preserve">liability among local consumers </w:t>
      </w:r>
      <w:r w:rsidR="00A60133" w:rsidRPr="002549DE">
        <w:rPr>
          <w:rFonts w:ascii="Times New Roman" w:hAnsi="Times New Roman" w:cs="Times New Roman"/>
          <w:color w:val="222222"/>
          <w:sz w:val="24"/>
          <w:szCs w:val="24"/>
          <w:shd w:val="clear" w:color="auto" w:fill="FFFFFF"/>
        </w:rPr>
        <w:t>(Giannoulakis and Sakellaris, 2023).</w:t>
      </w:r>
      <w:r w:rsidR="00D13C25" w:rsidRPr="002549DE">
        <w:rPr>
          <w:rFonts w:ascii="Times New Roman" w:hAnsi="Times New Roman" w:cs="Times New Roman"/>
          <w:sz w:val="24"/>
          <w:szCs w:val="24"/>
          <w:lang w:val="en-US"/>
        </w:rPr>
        <w:t xml:space="preserve"> Tesco must continue to devote funds </w:t>
      </w:r>
      <w:r w:rsidR="00FF63E3" w:rsidRPr="002549DE">
        <w:rPr>
          <w:rFonts w:ascii="Times New Roman" w:hAnsi="Times New Roman" w:cs="Times New Roman"/>
          <w:sz w:val="24"/>
          <w:szCs w:val="24"/>
          <w:lang w:val="en-US"/>
        </w:rPr>
        <w:t>to</w:t>
      </w:r>
      <w:r w:rsidR="00D13C25" w:rsidRPr="002549DE">
        <w:rPr>
          <w:rFonts w:ascii="Times New Roman" w:hAnsi="Times New Roman" w:cs="Times New Roman"/>
          <w:sz w:val="24"/>
          <w:szCs w:val="24"/>
          <w:lang w:val="en-US"/>
        </w:rPr>
        <w:t xml:space="preserve"> specific promotional efforts in the nation. Marketing pieces and ad c</w:t>
      </w:r>
      <w:r w:rsidR="00CF6EF5" w:rsidRPr="002549DE">
        <w:rPr>
          <w:rFonts w:ascii="Times New Roman" w:hAnsi="Times New Roman" w:cs="Times New Roman"/>
          <w:sz w:val="24"/>
          <w:szCs w:val="24"/>
          <w:lang w:val="en-US"/>
        </w:rPr>
        <w:t xml:space="preserve">ampaigns ought to be translated </w:t>
      </w:r>
      <w:r w:rsidR="00FF63E3" w:rsidRPr="002549DE">
        <w:rPr>
          <w:rFonts w:ascii="Times New Roman" w:hAnsi="Times New Roman" w:cs="Times New Roman"/>
          <w:sz w:val="24"/>
          <w:szCs w:val="24"/>
          <w:lang w:val="en-US"/>
        </w:rPr>
        <w:t>into</w:t>
      </w:r>
      <w:r w:rsidR="00CF6EF5" w:rsidRPr="002549DE">
        <w:rPr>
          <w:rFonts w:ascii="Times New Roman" w:hAnsi="Times New Roman" w:cs="Times New Roman"/>
          <w:sz w:val="24"/>
          <w:szCs w:val="24"/>
          <w:lang w:val="en-US"/>
        </w:rPr>
        <w:t xml:space="preserve"> the native language to be able to </w:t>
      </w:r>
      <w:r w:rsidR="00FF63E3" w:rsidRPr="002549DE">
        <w:rPr>
          <w:rFonts w:ascii="Times New Roman" w:hAnsi="Times New Roman" w:cs="Times New Roman"/>
          <w:sz w:val="24"/>
          <w:szCs w:val="24"/>
          <w:lang w:val="en-US"/>
        </w:rPr>
        <w:t xml:space="preserve">be </w:t>
      </w:r>
      <w:r w:rsidR="00CF6EF5" w:rsidRPr="002549DE">
        <w:rPr>
          <w:rFonts w:ascii="Times New Roman" w:hAnsi="Times New Roman" w:cs="Times New Roman"/>
          <w:sz w:val="24"/>
          <w:szCs w:val="24"/>
          <w:lang w:val="en-US"/>
        </w:rPr>
        <w:t>understood by the masses.</w:t>
      </w:r>
      <w:r w:rsidR="008563F3" w:rsidRPr="002549DE">
        <w:rPr>
          <w:rFonts w:ascii="Times New Roman" w:hAnsi="Times New Roman" w:cs="Times New Roman"/>
          <w:sz w:val="24"/>
          <w:szCs w:val="24"/>
          <w:lang w:val="en-US"/>
        </w:rPr>
        <w:t xml:space="preserve"> Hiring </w:t>
      </w:r>
      <w:r w:rsidR="00D13C25" w:rsidRPr="002549DE">
        <w:rPr>
          <w:rFonts w:ascii="Times New Roman" w:hAnsi="Times New Roman" w:cs="Times New Roman"/>
          <w:sz w:val="24"/>
          <w:szCs w:val="24"/>
          <w:lang w:val="en-US"/>
        </w:rPr>
        <w:t>bilingual</w:t>
      </w:r>
      <w:r w:rsidR="008563F3" w:rsidRPr="002549DE">
        <w:rPr>
          <w:rFonts w:ascii="Times New Roman" w:hAnsi="Times New Roman" w:cs="Times New Roman"/>
          <w:sz w:val="24"/>
          <w:szCs w:val="24"/>
          <w:lang w:val="en-US"/>
        </w:rPr>
        <w:t xml:space="preserve"> staff</w:t>
      </w:r>
      <w:r w:rsidR="00D13C25" w:rsidRPr="002549DE">
        <w:rPr>
          <w:rFonts w:ascii="Times New Roman" w:hAnsi="Times New Roman" w:cs="Times New Roman"/>
          <w:sz w:val="24"/>
          <w:szCs w:val="24"/>
          <w:lang w:val="en-US"/>
        </w:rPr>
        <w:t xml:space="preserve"> with knowledge of Greek as well as English shall be critical for providing superior client assistance, especially in dealing with queries and complaints. Recognizing and valuing regional linguistic inclinations is critical for successful interaction and creating rapport with clients across both countries.</w:t>
      </w:r>
      <w:r w:rsidR="00F92D68" w:rsidRPr="002549DE">
        <w:rPr>
          <w:rFonts w:ascii="Times New Roman" w:hAnsi="Times New Roman" w:cs="Times New Roman"/>
          <w:sz w:val="24"/>
          <w:szCs w:val="24"/>
          <w:lang w:val="en-US"/>
        </w:rPr>
        <w:t xml:space="preserve"> To maintain a productive relationship, Tesco might </w:t>
      </w:r>
      <w:r w:rsidR="008563F3" w:rsidRPr="002549DE">
        <w:rPr>
          <w:rFonts w:ascii="Times New Roman" w:hAnsi="Times New Roman" w:cs="Times New Roman"/>
          <w:sz w:val="24"/>
          <w:szCs w:val="24"/>
          <w:lang w:val="en-US"/>
        </w:rPr>
        <w:t>be required</w:t>
      </w:r>
      <w:r w:rsidR="00F92D68" w:rsidRPr="002549DE">
        <w:rPr>
          <w:rFonts w:ascii="Times New Roman" w:hAnsi="Times New Roman" w:cs="Times New Roman"/>
          <w:sz w:val="24"/>
          <w:szCs w:val="24"/>
          <w:lang w:val="en-US"/>
        </w:rPr>
        <w:t xml:space="preserve"> to impart linguistic education to employees, particularly employees with client-facing positions. Following regional linguistic usage rules, including displaying </w:t>
      </w:r>
      <w:r w:rsidR="008563F3" w:rsidRPr="002549DE">
        <w:rPr>
          <w:rFonts w:ascii="Times New Roman" w:hAnsi="Times New Roman" w:cs="Times New Roman"/>
          <w:sz w:val="24"/>
          <w:szCs w:val="24"/>
          <w:lang w:val="en-US"/>
        </w:rPr>
        <w:t>labelling</w:t>
      </w:r>
      <w:r w:rsidR="00F92D68" w:rsidRPr="002549DE">
        <w:rPr>
          <w:rFonts w:ascii="Times New Roman" w:hAnsi="Times New Roman" w:cs="Times New Roman"/>
          <w:sz w:val="24"/>
          <w:szCs w:val="24"/>
          <w:lang w:val="en-US"/>
        </w:rPr>
        <w:t xml:space="preserve"> and signs in the primary tongue, is crit</w:t>
      </w:r>
      <w:r w:rsidR="00CF6EF5" w:rsidRPr="002549DE">
        <w:rPr>
          <w:rFonts w:ascii="Times New Roman" w:hAnsi="Times New Roman" w:cs="Times New Roman"/>
          <w:sz w:val="24"/>
          <w:szCs w:val="24"/>
          <w:lang w:val="en-US"/>
        </w:rPr>
        <w:t>ical for complying with the local rules and regulations.</w:t>
      </w:r>
    </w:p>
    <w:p w:rsidR="001B4BA1" w:rsidRPr="002549DE" w:rsidRDefault="001B4BA1" w:rsidP="002549DE">
      <w:pPr>
        <w:pStyle w:val="3"/>
        <w:rPr>
          <w:lang w:val="en-US"/>
        </w:rPr>
      </w:pPr>
      <w:bookmarkStart w:id="6" w:name="_Toc149511040"/>
      <w:r w:rsidRPr="002549DE">
        <w:rPr>
          <w:lang w:val="en-US"/>
        </w:rPr>
        <w:t>Possible risks</w:t>
      </w:r>
      <w:bookmarkEnd w:id="6"/>
    </w:p>
    <w:p w:rsidR="008563F3" w:rsidRPr="002549DE" w:rsidRDefault="008563F3" w:rsidP="002549DE">
      <w:pPr>
        <w:spacing w:line="360" w:lineRule="auto"/>
        <w:jc w:val="both"/>
        <w:rPr>
          <w:rFonts w:ascii="Times New Roman" w:hAnsi="Times New Roman" w:cs="Times New Roman"/>
          <w:sz w:val="24"/>
          <w:szCs w:val="24"/>
          <w:lang w:val="en-US"/>
        </w:rPr>
      </w:pPr>
    </w:p>
    <w:p w:rsidR="00F92D68" w:rsidRPr="002549DE" w:rsidRDefault="00F92D68"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In the past few years, Greece </w:t>
      </w:r>
      <w:r w:rsidR="00CF6EF5" w:rsidRPr="002549DE">
        <w:rPr>
          <w:rFonts w:ascii="Times New Roman" w:hAnsi="Times New Roman" w:cs="Times New Roman"/>
          <w:sz w:val="24"/>
          <w:szCs w:val="24"/>
          <w:lang w:val="en-US"/>
        </w:rPr>
        <w:t xml:space="preserve">has </w:t>
      </w:r>
      <w:r w:rsidRPr="002549DE">
        <w:rPr>
          <w:rFonts w:ascii="Times New Roman" w:hAnsi="Times New Roman" w:cs="Times New Roman"/>
          <w:sz w:val="24"/>
          <w:szCs w:val="24"/>
          <w:lang w:val="en-US"/>
        </w:rPr>
        <w:t>struggled with economic distress. Increased joblessness and unpredictable buyer behaviour may hav</w:t>
      </w:r>
      <w:r w:rsidR="00CF6EF5" w:rsidRPr="002549DE">
        <w:rPr>
          <w:rFonts w:ascii="Times New Roman" w:hAnsi="Times New Roman" w:cs="Times New Roman"/>
          <w:sz w:val="24"/>
          <w:szCs w:val="24"/>
          <w:lang w:val="en-US"/>
        </w:rPr>
        <w:t>e a negative influence on the organization’s</w:t>
      </w:r>
      <w:r w:rsidRPr="002549DE">
        <w:rPr>
          <w:rFonts w:ascii="Times New Roman" w:hAnsi="Times New Roman" w:cs="Times New Roman"/>
          <w:sz w:val="24"/>
          <w:szCs w:val="24"/>
          <w:lang w:val="en-US"/>
        </w:rPr>
        <w:t xml:space="preserve"> revenue and earn</w:t>
      </w:r>
      <w:r w:rsidR="00A60133" w:rsidRPr="002549DE">
        <w:rPr>
          <w:rFonts w:ascii="Times New Roman" w:hAnsi="Times New Roman" w:cs="Times New Roman"/>
          <w:sz w:val="24"/>
          <w:szCs w:val="24"/>
          <w:lang w:val="en-US"/>
        </w:rPr>
        <w:t xml:space="preserve">ings </w:t>
      </w:r>
      <w:r w:rsidR="00A60133" w:rsidRPr="002549DE">
        <w:rPr>
          <w:rFonts w:ascii="Times New Roman" w:hAnsi="Times New Roman" w:cs="Times New Roman"/>
          <w:color w:val="222222"/>
          <w:sz w:val="24"/>
          <w:szCs w:val="24"/>
          <w:shd w:val="clear" w:color="auto" w:fill="FFFFFF"/>
        </w:rPr>
        <w:t>(Giannoulakis and Sakellaris, 2023).</w:t>
      </w:r>
      <w:r w:rsidRPr="002549DE">
        <w:rPr>
          <w:rFonts w:ascii="Times New Roman" w:hAnsi="Times New Roman" w:cs="Times New Roman"/>
          <w:sz w:val="24"/>
          <w:szCs w:val="24"/>
          <w:lang w:val="en-US"/>
        </w:rPr>
        <w:t xml:space="preserve"> Austria is well-known for its costly living standards along with expensive operational expenditures</w:t>
      </w:r>
      <w:r w:rsidR="00CF6EF5" w:rsidRPr="002549DE">
        <w:rPr>
          <w:rFonts w:ascii="Times New Roman" w:hAnsi="Times New Roman" w:cs="Times New Roman"/>
          <w:sz w:val="24"/>
          <w:szCs w:val="24"/>
          <w:lang w:val="en-US"/>
        </w:rPr>
        <w:t xml:space="preserve"> for businesses. Thus, the supermarket chain might have to lower its profit</w:t>
      </w:r>
      <w:r w:rsidRPr="002549DE">
        <w:rPr>
          <w:rFonts w:ascii="Times New Roman" w:hAnsi="Times New Roman" w:cs="Times New Roman"/>
          <w:sz w:val="24"/>
          <w:szCs w:val="24"/>
          <w:lang w:val="en-US"/>
        </w:rPr>
        <w:t xml:space="preserve"> margins</w:t>
      </w:r>
      <w:r w:rsidR="00CF6EF5" w:rsidRPr="002549DE">
        <w:rPr>
          <w:rFonts w:ascii="Times New Roman" w:hAnsi="Times New Roman" w:cs="Times New Roman"/>
          <w:sz w:val="24"/>
          <w:szCs w:val="24"/>
          <w:lang w:val="en-US"/>
        </w:rPr>
        <w:t>,</w:t>
      </w:r>
      <w:r w:rsidRPr="002549DE">
        <w:rPr>
          <w:rFonts w:ascii="Times New Roman" w:hAnsi="Times New Roman" w:cs="Times New Roman"/>
          <w:sz w:val="24"/>
          <w:szCs w:val="24"/>
          <w:lang w:val="en-US"/>
        </w:rPr>
        <w:t xml:space="preserve"> </w:t>
      </w:r>
      <w:r w:rsidR="00CF6EF5" w:rsidRPr="002549DE">
        <w:rPr>
          <w:rFonts w:ascii="Times New Roman" w:hAnsi="Times New Roman" w:cs="Times New Roman"/>
          <w:sz w:val="24"/>
          <w:szCs w:val="24"/>
          <w:lang w:val="en-US"/>
        </w:rPr>
        <w:t xml:space="preserve">if there is even a slight inefficiency in managing costs. </w:t>
      </w:r>
      <w:r w:rsidRPr="002549DE">
        <w:rPr>
          <w:rFonts w:ascii="Times New Roman" w:hAnsi="Times New Roman" w:cs="Times New Roman"/>
          <w:sz w:val="24"/>
          <w:szCs w:val="24"/>
          <w:lang w:val="en-US"/>
        </w:rPr>
        <w:t>Economic downturns and political turmoil can shake optimism among consumers, indirectly impacting their buying habits and overall demand. </w:t>
      </w:r>
    </w:p>
    <w:p w:rsidR="00F45444" w:rsidRPr="002549DE" w:rsidRDefault="00F45444"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Both the proposed nations maintain strict regulatory standards. </w:t>
      </w:r>
      <w:r w:rsidR="008563F3" w:rsidRPr="002549DE">
        <w:rPr>
          <w:rFonts w:ascii="Times New Roman" w:hAnsi="Times New Roman" w:cs="Times New Roman"/>
          <w:sz w:val="24"/>
          <w:szCs w:val="24"/>
          <w:lang w:val="en-US"/>
        </w:rPr>
        <w:t>To</w:t>
      </w:r>
      <w:r w:rsidRPr="002549DE">
        <w:rPr>
          <w:rFonts w:ascii="Times New Roman" w:hAnsi="Times New Roman" w:cs="Times New Roman"/>
          <w:sz w:val="24"/>
          <w:szCs w:val="24"/>
          <w:lang w:val="en-US"/>
        </w:rPr>
        <w:t xml:space="preserve"> manoeuvre such scenarios, Tesco needs to invest in extensive legal and regulatory sc</w:t>
      </w:r>
      <w:r w:rsidR="00CF6EF5" w:rsidRPr="002549DE">
        <w:rPr>
          <w:rFonts w:ascii="Times New Roman" w:hAnsi="Times New Roman" w:cs="Times New Roman"/>
          <w:sz w:val="24"/>
          <w:szCs w:val="24"/>
          <w:lang w:val="en-US"/>
        </w:rPr>
        <w:t>rutiny otherwise it could lead to legal penalties.</w:t>
      </w:r>
      <w:r w:rsidRPr="002549DE">
        <w:rPr>
          <w:rFonts w:ascii="Times New Roman" w:hAnsi="Times New Roman" w:cs="Times New Roman"/>
          <w:sz w:val="24"/>
          <w:szCs w:val="24"/>
          <w:lang w:val="en-US"/>
        </w:rPr>
        <w:t xml:space="preserve"> In addition to that identifying and agreeing with native buyer tastes and </w:t>
      </w:r>
      <w:r w:rsidR="008563F3" w:rsidRPr="002549DE">
        <w:rPr>
          <w:rFonts w:ascii="Times New Roman" w:hAnsi="Times New Roman" w:cs="Times New Roman"/>
          <w:sz w:val="24"/>
          <w:szCs w:val="24"/>
          <w:lang w:val="en-US"/>
        </w:rPr>
        <w:t>attitudes</w:t>
      </w:r>
      <w:r w:rsidRPr="002549DE">
        <w:rPr>
          <w:rFonts w:ascii="Times New Roman" w:hAnsi="Times New Roman" w:cs="Times New Roman"/>
          <w:sz w:val="24"/>
          <w:szCs w:val="24"/>
          <w:lang w:val="en-US"/>
        </w:rPr>
        <w:t xml:space="preserve"> is crucial to ensuring consumer contentment</w:t>
      </w:r>
      <w:r w:rsidR="00CF6EF5" w:rsidRPr="002549DE">
        <w:rPr>
          <w:rFonts w:ascii="Times New Roman" w:hAnsi="Times New Roman" w:cs="Times New Roman"/>
          <w:sz w:val="24"/>
          <w:szCs w:val="24"/>
          <w:lang w:val="en-US"/>
        </w:rPr>
        <w:t xml:space="preserve">, </w:t>
      </w:r>
      <w:r w:rsidR="008563F3" w:rsidRPr="002549DE">
        <w:rPr>
          <w:rFonts w:ascii="Times New Roman" w:hAnsi="Times New Roman" w:cs="Times New Roman"/>
          <w:sz w:val="24"/>
          <w:szCs w:val="24"/>
          <w:lang w:val="en-US"/>
        </w:rPr>
        <w:t xml:space="preserve">and </w:t>
      </w:r>
      <w:r w:rsidR="00CF6EF5" w:rsidRPr="002549DE">
        <w:rPr>
          <w:rFonts w:ascii="Times New Roman" w:hAnsi="Times New Roman" w:cs="Times New Roman"/>
          <w:sz w:val="24"/>
          <w:szCs w:val="24"/>
          <w:lang w:val="en-US"/>
        </w:rPr>
        <w:t>continuous demand ultimately leading to consumer</w:t>
      </w:r>
      <w:r w:rsidRPr="002549DE">
        <w:rPr>
          <w:rFonts w:ascii="Times New Roman" w:hAnsi="Times New Roman" w:cs="Times New Roman"/>
          <w:sz w:val="24"/>
          <w:szCs w:val="24"/>
          <w:lang w:val="en-US"/>
        </w:rPr>
        <w:t xml:space="preserve"> allegiance. Both countries have the presence of robust retail landscape and to stand out amidst this competition and acquire a larger share of the market, Tesco must develop an aggressive competitive stance. Though Austria has a more evolved retail marketplace, Greece can pr</w:t>
      </w:r>
      <w:r w:rsidR="00CF6EF5" w:rsidRPr="002549DE">
        <w:rPr>
          <w:rFonts w:ascii="Times New Roman" w:hAnsi="Times New Roman" w:cs="Times New Roman"/>
          <w:sz w:val="24"/>
          <w:szCs w:val="24"/>
          <w:lang w:val="en-US"/>
        </w:rPr>
        <w:t>ovide a higher growth potential if the ri</w:t>
      </w:r>
      <w:r w:rsidR="00BA37EF" w:rsidRPr="002549DE">
        <w:rPr>
          <w:rFonts w:ascii="Times New Roman" w:hAnsi="Times New Roman" w:cs="Times New Roman"/>
          <w:sz w:val="24"/>
          <w:szCs w:val="24"/>
          <w:lang w:val="en-US"/>
        </w:rPr>
        <w:t>sks are mitigated.</w:t>
      </w:r>
    </w:p>
    <w:p w:rsidR="001B4BA1" w:rsidRPr="002549DE" w:rsidRDefault="001B4BA1" w:rsidP="002549DE">
      <w:pPr>
        <w:pStyle w:val="3"/>
        <w:rPr>
          <w:lang w:val="en-US"/>
        </w:rPr>
      </w:pPr>
      <w:bookmarkStart w:id="7" w:name="_Toc149511041"/>
      <w:r w:rsidRPr="002549DE">
        <w:rPr>
          <w:lang w:val="en-US"/>
        </w:rPr>
        <w:t>Workforce diversity</w:t>
      </w:r>
      <w:bookmarkEnd w:id="7"/>
    </w:p>
    <w:p w:rsidR="008563F3" w:rsidRPr="002549DE" w:rsidRDefault="008563F3" w:rsidP="002549DE">
      <w:pPr>
        <w:spacing w:line="360" w:lineRule="auto"/>
        <w:jc w:val="both"/>
        <w:rPr>
          <w:rFonts w:ascii="Times New Roman" w:hAnsi="Times New Roman" w:cs="Times New Roman"/>
          <w:sz w:val="24"/>
          <w:szCs w:val="24"/>
          <w:lang w:val="en-US"/>
        </w:rPr>
      </w:pPr>
    </w:p>
    <w:tbl>
      <w:tblPr>
        <w:tblStyle w:val="11"/>
        <w:tblW w:w="0" w:type="auto"/>
        <w:tblLook w:val="04A0" w:firstRow="1" w:lastRow="0" w:firstColumn="1" w:lastColumn="0" w:noHBand="0" w:noVBand="1"/>
      </w:tblPr>
      <w:tblGrid>
        <w:gridCol w:w="3005"/>
        <w:gridCol w:w="3005"/>
        <w:gridCol w:w="3006"/>
      </w:tblGrid>
      <w:tr w:rsidR="008B7238" w:rsidRPr="002549DE" w:rsidTr="008563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EAADB" w:themeFill="accent5" w:themeFillTint="99"/>
          </w:tcPr>
          <w:p w:rsidR="008B7238" w:rsidRPr="002549DE" w:rsidRDefault="0074593A"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Basis</w:t>
            </w:r>
          </w:p>
        </w:tc>
        <w:tc>
          <w:tcPr>
            <w:tcW w:w="3005" w:type="dxa"/>
            <w:shd w:val="clear" w:color="auto" w:fill="8EAADB" w:themeFill="accent5" w:themeFillTint="99"/>
          </w:tcPr>
          <w:p w:rsidR="008B7238" w:rsidRPr="002549DE" w:rsidRDefault="0074593A" w:rsidP="002549D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Greece</w:t>
            </w:r>
          </w:p>
        </w:tc>
        <w:tc>
          <w:tcPr>
            <w:tcW w:w="3006" w:type="dxa"/>
            <w:shd w:val="clear" w:color="auto" w:fill="8EAADB" w:themeFill="accent5" w:themeFillTint="99"/>
          </w:tcPr>
          <w:p w:rsidR="008B7238" w:rsidRPr="002549DE" w:rsidRDefault="0074593A" w:rsidP="002549D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Austria</w:t>
            </w:r>
          </w:p>
        </w:tc>
      </w:tr>
      <w:tr w:rsidR="008B7238" w:rsidRPr="002549DE" w:rsidTr="00856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EAADB" w:themeFill="accent5" w:themeFillTint="99"/>
          </w:tcPr>
          <w:p w:rsidR="008B7238" w:rsidRPr="002549DE" w:rsidRDefault="0074593A"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Unemployment rates</w:t>
            </w:r>
          </w:p>
        </w:tc>
        <w:tc>
          <w:tcPr>
            <w:tcW w:w="3005" w:type="dxa"/>
            <w:shd w:val="clear" w:color="auto" w:fill="D9E2F3" w:themeFill="accent5" w:themeFillTint="33"/>
          </w:tcPr>
          <w:p w:rsidR="008B7238" w:rsidRPr="002549DE" w:rsidRDefault="0074593A"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c>
          <w:tcPr>
            <w:tcW w:w="3006" w:type="dxa"/>
            <w:shd w:val="clear" w:color="auto" w:fill="D9E2F3" w:themeFill="accent5" w:themeFillTint="33"/>
          </w:tcPr>
          <w:p w:rsidR="008B7238" w:rsidRPr="002549DE" w:rsidRDefault="0074593A"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Low</w:t>
            </w:r>
          </w:p>
        </w:tc>
      </w:tr>
      <w:tr w:rsidR="008B7238" w:rsidRPr="002549DE" w:rsidTr="008563F3">
        <w:tc>
          <w:tcPr>
            <w:cnfStyle w:val="001000000000" w:firstRow="0" w:lastRow="0" w:firstColumn="1" w:lastColumn="0" w:oddVBand="0" w:evenVBand="0" w:oddHBand="0" w:evenHBand="0" w:firstRowFirstColumn="0" w:firstRowLastColumn="0" w:lastRowFirstColumn="0" w:lastRowLastColumn="0"/>
            <w:tcW w:w="3005" w:type="dxa"/>
            <w:shd w:val="clear" w:color="auto" w:fill="8EAADB" w:themeFill="accent5" w:themeFillTint="99"/>
          </w:tcPr>
          <w:p w:rsidR="008B7238" w:rsidRPr="002549DE" w:rsidRDefault="0074593A"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Availability of skilled employees</w:t>
            </w:r>
          </w:p>
        </w:tc>
        <w:tc>
          <w:tcPr>
            <w:tcW w:w="3005" w:type="dxa"/>
            <w:shd w:val="clear" w:color="auto" w:fill="D9E2F3" w:themeFill="accent5" w:themeFillTint="33"/>
          </w:tcPr>
          <w:p w:rsidR="008B7238" w:rsidRPr="002549DE" w:rsidRDefault="0074593A"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Low</w:t>
            </w:r>
          </w:p>
        </w:tc>
        <w:tc>
          <w:tcPr>
            <w:tcW w:w="3006" w:type="dxa"/>
            <w:shd w:val="clear" w:color="auto" w:fill="D9E2F3" w:themeFill="accent5" w:themeFillTint="33"/>
          </w:tcPr>
          <w:p w:rsidR="008B7238" w:rsidRPr="002549DE" w:rsidRDefault="0074593A"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r>
      <w:tr w:rsidR="008B7238" w:rsidRPr="002549DE" w:rsidTr="00856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EAADB" w:themeFill="accent5" w:themeFillTint="99"/>
          </w:tcPr>
          <w:p w:rsidR="008B7238" w:rsidRPr="002549DE" w:rsidRDefault="0074593A"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Wage rate</w:t>
            </w:r>
          </w:p>
        </w:tc>
        <w:tc>
          <w:tcPr>
            <w:tcW w:w="3005" w:type="dxa"/>
            <w:shd w:val="clear" w:color="auto" w:fill="D9E2F3" w:themeFill="accent5" w:themeFillTint="33"/>
          </w:tcPr>
          <w:p w:rsidR="008B7238" w:rsidRPr="002549DE" w:rsidRDefault="0074593A"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Low</w:t>
            </w:r>
          </w:p>
        </w:tc>
        <w:tc>
          <w:tcPr>
            <w:tcW w:w="3006" w:type="dxa"/>
            <w:shd w:val="clear" w:color="auto" w:fill="D9E2F3" w:themeFill="accent5" w:themeFillTint="33"/>
          </w:tcPr>
          <w:p w:rsidR="008B7238" w:rsidRPr="002549DE" w:rsidRDefault="0074593A"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r>
      <w:tr w:rsidR="008B7238" w:rsidRPr="002549DE" w:rsidTr="008563F3">
        <w:tc>
          <w:tcPr>
            <w:cnfStyle w:val="001000000000" w:firstRow="0" w:lastRow="0" w:firstColumn="1" w:lastColumn="0" w:oddVBand="0" w:evenVBand="0" w:oddHBand="0" w:evenHBand="0" w:firstRowFirstColumn="0" w:firstRowLastColumn="0" w:lastRowFirstColumn="0" w:lastRowLastColumn="0"/>
            <w:tcW w:w="3005" w:type="dxa"/>
            <w:shd w:val="clear" w:color="auto" w:fill="8EAADB" w:themeFill="accent5" w:themeFillTint="99"/>
          </w:tcPr>
          <w:p w:rsidR="008B7238" w:rsidRPr="002549DE" w:rsidRDefault="0074593A"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Labor Regulations</w:t>
            </w:r>
          </w:p>
        </w:tc>
        <w:tc>
          <w:tcPr>
            <w:tcW w:w="3005" w:type="dxa"/>
            <w:shd w:val="clear" w:color="auto" w:fill="D9E2F3" w:themeFill="accent5" w:themeFillTint="33"/>
          </w:tcPr>
          <w:p w:rsidR="008B7238" w:rsidRPr="002549DE" w:rsidRDefault="0074593A"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c>
          <w:tcPr>
            <w:tcW w:w="3006" w:type="dxa"/>
            <w:shd w:val="clear" w:color="auto" w:fill="D9E2F3" w:themeFill="accent5" w:themeFillTint="33"/>
          </w:tcPr>
          <w:p w:rsidR="008B7238" w:rsidRPr="002549DE" w:rsidRDefault="0074593A"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r>
      <w:tr w:rsidR="008B7238" w:rsidRPr="002549DE" w:rsidTr="00856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8EAADB" w:themeFill="accent5" w:themeFillTint="99"/>
          </w:tcPr>
          <w:p w:rsidR="008B7238" w:rsidRPr="002549DE" w:rsidRDefault="0074593A"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Union Activity</w:t>
            </w:r>
          </w:p>
        </w:tc>
        <w:tc>
          <w:tcPr>
            <w:tcW w:w="3005" w:type="dxa"/>
            <w:shd w:val="clear" w:color="auto" w:fill="D9E2F3" w:themeFill="accent5" w:themeFillTint="33"/>
          </w:tcPr>
          <w:p w:rsidR="008B7238" w:rsidRPr="002549DE" w:rsidRDefault="0074593A"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c>
          <w:tcPr>
            <w:tcW w:w="3006" w:type="dxa"/>
            <w:shd w:val="clear" w:color="auto" w:fill="D9E2F3" w:themeFill="accent5" w:themeFillTint="33"/>
          </w:tcPr>
          <w:p w:rsidR="008B7238" w:rsidRPr="002549DE" w:rsidRDefault="0074593A"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r>
    </w:tbl>
    <w:p w:rsidR="008563F3" w:rsidRPr="002549DE" w:rsidRDefault="008563F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Table 1. Features of Greek and Austrian workforces</w:t>
      </w:r>
    </w:p>
    <w:p w:rsidR="00BA37EF" w:rsidRPr="002549DE" w:rsidRDefault="00F45444"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sz w:val="24"/>
          <w:szCs w:val="24"/>
          <w:lang w:val="en-US"/>
        </w:rPr>
        <w:t>Greece encountered greater level</w:t>
      </w:r>
      <w:r w:rsidR="00BA37EF" w:rsidRPr="002549DE">
        <w:rPr>
          <w:rFonts w:ascii="Times New Roman" w:hAnsi="Times New Roman" w:cs="Times New Roman"/>
          <w:sz w:val="24"/>
          <w:szCs w:val="24"/>
          <w:lang w:val="en-US"/>
        </w:rPr>
        <w:t xml:space="preserve">s of unemployment than Austria. </w:t>
      </w:r>
      <w:r w:rsidRPr="002549DE">
        <w:rPr>
          <w:rFonts w:ascii="Times New Roman" w:hAnsi="Times New Roman" w:cs="Times New Roman"/>
          <w:sz w:val="24"/>
          <w:szCs w:val="24"/>
          <w:lang w:val="en-US"/>
        </w:rPr>
        <w:t xml:space="preserve">That may end up in Tesco having a wider supply of employees to choose from in Greece. The Austrian dedication </w:t>
      </w:r>
      <w:r w:rsidR="008563F3" w:rsidRPr="002549DE">
        <w:rPr>
          <w:rFonts w:ascii="Times New Roman" w:hAnsi="Times New Roman" w:cs="Times New Roman"/>
          <w:sz w:val="24"/>
          <w:szCs w:val="24"/>
          <w:lang w:val="en-US"/>
        </w:rPr>
        <w:t>to</w:t>
      </w:r>
      <w:r w:rsidRPr="002549DE">
        <w:rPr>
          <w:rFonts w:ascii="Times New Roman" w:hAnsi="Times New Roman" w:cs="Times New Roman"/>
          <w:sz w:val="24"/>
          <w:szCs w:val="24"/>
          <w:lang w:val="en-US"/>
        </w:rPr>
        <w:t xml:space="preserve"> academics, vocational education and professional development produces a competent population, that might provide Tesco </w:t>
      </w:r>
      <w:r w:rsidR="008563F3" w:rsidRPr="002549DE">
        <w:rPr>
          <w:rFonts w:ascii="Times New Roman" w:hAnsi="Times New Roman" w:cs="Times New Roman"/>
          <w:sz w:val="24"/>
          <w:szCs w:val="24"/>
          <w:lang w:val="en-US"/>
        </w:rPr>
        <w:t xml:space="preserve">with </w:t>
      </w:r>
      <w:r w:rsidRPr="002549DE">
        <w:rPr>
          <w:rFonts w:ascii="Times New Roman" w:hAnsi="Times New Roman" w:cs="Times New Roman"/>
          <w:sz w:val="24"/>
          <w:szCs w:val="24"/>
          <w:lang w:val="en-US"/>
        </w:rPr>
        <w:t xml:space="preserve">a significantly more productive and competent workforce. </w:t>
      </w:r>
      <w:r w:rsidR="00CF6EF5" w:rsidRPr="002549DE">
        <w:rPr>
          <w:rFonts w:ascii="Times New Roman" w:hAnsi="Times New Roman" w:cs="Times New Roman"/>
          <w:sz w:val="24"/>
          <w:szCs w:val="24"/>
          <w:lang w:val="en-US"/>
        </w:rPr>
        <w:t xml:space="preserve">In case Tesco decides to expand to Greece, it has to pay lower salaries but more training, and vice versa if it opts for the Austrian market. </w:t>
      </w:r>
      <w:r w:rsidRPr="002549DE">
        <w:rPr>
          <w:rFonts w:ascii="Times New Roman" w:hAnsi="Times New Roman" w:cs="Times New Roman"/>
          <w:sz w:val="24"/>
          <w:szCs w:val="24"/>
          <w:lang w:val="en-US"/>
        </w:rPr>
        <w:t xml:space="preserve">In broad terms, wage rates in Austrian markets </w:t>
      </w:r>
      <w:r w:rsidR="008563F3" w:rsidRPr="002549DE">
        <w:rPr>
          <w:rFonts w:ascii="Times New Roman" w:hAnsi="Times New Roman" w:cs="Times New Roman"/>
          <w:sz w:val="24"/>
          <w:szCs w:val="24"/>
          <w:lang w:val="en-US"/>
        </w:rPr>
        <w:t>are</w:t>
      </w:r>
      <w:r w:rsidRPr="002549DE">
        <w:rPr>
          <w:rFonts w:ascii="Times New Roman" w:hAnsi="Times New Roman" w:cs="Times New Roman"/>
          <w:sz w:val="24"/>
          <w:szCs w:val="24"/>
          <w:lang w:val="en-US"/>
        </w:rPr>
        <w:t xml:space="preserve"> significantly higher, leading to </w:t>
      </w:r>
      <w:r w:rsidR="008563F3" w:rsidRPr="002549DE">
        <w:rPr>
          <w:rFonts w:ascii="Times New Roman" w:hAnsi="Times New Roman" w:cs="Times New Roman"/>
          <w:sz w:val="24"/>
          <w:szCs w:val="24"/>
          <w:lang w:val="en-US"/>
        </w:rPr>
        <w:t xml:space="preserve">a </w:t>
      </w:r>
      <w:r w:rsidRPr="002549DE">
        <w:rPr>
          <w:rFonts w:ascii="Times New Roman" w:hAnsi="Times New Roman" w:cs="Times New Roman"/>
          <w:sz w:val="24"/>
          <w:szCs w:val="24"/>
          <w:lang w:val="en-US"/>
        </w:rPr>
        <w:t>more expensive living standard however it can also translate to higher ope</w:t>
      </w:r>
      <w:r w:rsidR="00CF6EF5" w:rsidRPr="002549DE">
        <w:rPr>
          <w:rFonts w:ascii="Times New Roman" w:hAnsi="Times New Roman" w:cs="Times New Roman"/>
          <w:sz w:val="24"/>
          <w:szCs w:val="24"/>
          <w:lang w:val="en-US"/>
        </w:rPr>
        <w:t>rational expenses for Tesco </w:t>
      </w:r>
      <w:r w:rsidR="00A60133" w:rsidRPr="002549DE">
        <w:rPr>
          <w:rFonts w:ascii="Times New Roman" w:hAnsi="Times New Roman" w:cs="Times New Roman"/>
          <w:sz w:val="24"/>
          <w:szCs w:val="24"/>
          <w:lang w:val="en-US"/>
        </w:rPr>
        <w:t xml:space="preserve">in comparison with Greece </w:t>
      </w:r>
      <w:r w:rsidR="00A60133" w:rsidRPr="002549DE">
        <w:rPr>
          <w:rFonts w:ascii="Times New Roman" w:hAnsi="Times New Roman" w:cs="Times New Roman"/>
          <w:color w:val="222222"/>
          <w:sz w:val="24"/>
          <w:szCs w:val="24"/>
          <w:shd w:val="clear" w:color="auto" w:fill="FFFFFF"/>
        </w:rPr>
        <w:t>(Mayr et al., 2021).</w:t>
      </w:r>
      <w:r w:rsidRPr="002549DE">
        <w:rPr>
          <w:rFonts w:ascii="Times New Roman" w:hAnsi="Times New Roman" w:cs="Times New Roman"/>
          <w:sz w:val="24"/>
          <w:szCs w:val="24"/>
          <w:lang w:val="en-US"/>
        </w:rPr>
        <w:t xml:space="preserve"> Each nation has clearly specified labour standards</w:t>
      </w:r>
      <w:r w:rsidR="00CF6EF5" w:rsidRPr="002549DE">
        <w:rPr>
          <w:rFonts w:ascii="Times New Roman" w:hAnsi="Times New Roman" w:cs="Times New Roman"/>
          <w:sz w:val="24"/>
          <w:szCs w:val="24"/>
          <w:lang w:val="en-US"/>
        </w:rPr>
        <w:t xml:space="preserve">, and rules guiding employment, </w:t>
      </w:r>
      <w:r w:rsidRPr="002549DE">
        <w:rPr>
          <w:rFonts w:ascii="Times New Roman" w:hAnsi="Times New Roman" w:cs="Times New Roman"/>
          <w:sz w:val="24"/>
          <w:szCs w:val="24"/>
          <w:lang w:val="en-US"/>
        </w:rPr>
        <w:t xml:space="preserve">that offer employees with stability and security, but the retailer shall be able to navigate the distinct needs in both regions. In addition to government interference, the </w:t>
      </w:r>
      <w:r w:rsidR="008563F3" w:rsidRPr="002549DE">
        <w:rPr>
          <w:rFonts w:ascii="Times New Roman" w:hAnsi="Times New Roman" w:cs="Times New Roman"/>
          <w:sz w:val="24"/>
          <w:szCs w:val="24"/>
          <w:lang w:val="en-US"/>
        </w:rPr>
        <w:t>labour</w:t>
      </w:r>
      <w:r w:rsidRPr="002549DE">
        <w:rPr>
          <w:rFonts w:ascii="Times New Roman" w:hAnsi="Times New Roman" w:cs="Times New Roman"/>
          <w:sz w:val="24"/>
          <w:szCs w:val="24"/>
          <w:lang w:val="en-US"/>
        </w:rPr>
        <w:t xml:space="preserve"> unions also </w:t>
      </w:r>
      <w:r w:rsidR="00CF6EF5" w:rsidRPr="002549DE">
        <w:rPr>
          <w:rFonts w:ascii="Times New Roman" w:hAnsi="Times New Roman" w:cs="Times New Roman"/>
          <w:sz w:val="24"/>
          <w:szCs w:val="24"/>
          <w:lang w:val="en-US"/>
        </w:rPr>
        <w:t>play</w:t>
      </w:r>
      <w:r w:rsidRPr="002549DE">
        <w:rPr>
          <w:rFonts w:ascii="Times New Roman" w:hAnsi="Times New Roman" w:cs="Times New Roman"/>
          <w:sz w:val="24"/>
          <w:szCs w:val="24"/>
          <w:lang w:val="en-US"/>
        </w:rPr>
        <w:t xml:space="preserve"> a critical role in Greece and Austrian markets.</w:t>
      </w:r>
      <w:r w:rsidR="00D33250" w:rsidRPr="002549DE">
        <w:rPr>
          <w:rFonts w:ascii="Times New Roman" w:hAnsi="Times New Roman" w:cs="Times New Roman"/>
          <w:sz w:val="24"/>
          <w:szCs w:val="24"/>
          <w:lang w:val="en-US"/>
        </w:rPr>
        <w:t xml:space="preserve"> Whilst they might assi</w:t>
      </w:r>
      <w:r w:rsidR="00CF6EF5" w:rsidRPr="002549DE">
        <w:rPr>
          <w:rFonts w:ascii="Times New Roman" w:hAnsi="Times New Roman" w:cs="Times New Roman"/>
          <w:sz w:val="24"/>
          <w:szCs w:val="24"/>
          <w:lang w:val="en-US"/>
        </w:rPr>
        <w:t xml:space="preserve">st </w:t>
      </w:r>
      <w:r w:rsidR="008563F3" w:rsidRPr="002549DE">
        <w:rPr>
          <w:rFonts w:ascii="Times New Roman" w:hAnsi="Times New Roman" w:cs="Times New Roman"/>
          <w:sz w:val="24"/>
          <w:szCs w:val="24"/>
          <w:lang w:val="en-US"/>
        </w:rPr>
        <w:t>in keeping</w:t>
      </w:r>
      <w:r w:rsidR="00CF6EF5" w:rsidRPr="002549DE">
        <w:rPr>
          <w:rFonts w:ascii="Times New Roman" w:hAnsi="Times New Roman" w:cs="Times New Roman"/>
          <w:sz w:val="24"/>
          <w:szCs w:val="24"/>
          <w:lang w:val="en-US"/>
        </w:rPr>
        <w:t xml:space="preserve"> the workplace uniform</w:t>
      </w:r>
      <w:r w:rsidR="00D33250" w:rsidRPr="002549DE">
        <w:rPr>
          <w:rFonts w:ascii="Times New Roman" w:hAnsi="Times New Roman" w:cs="Times New Roman"/>
          <w:sz w:val="24"/>
          <w:szCs w:val="24"/>
          <w:lang w:val="en-US"/>
        </w:rPr>
        <w:t>, Unions additionally participate i</w:t>
      </w:r>
      <w:r w:rsidR="00CF6EF5" w:rsidRPr="002549DE">
        <w:rPr>
          <w:rFonts w:ascii="Times New Roman" w:hAnsi="Times New Roman" w:cs="Times New Roman"/>
          <w:sz w:val="24"/>
          <w:szCs w:val="24"/>
          <w:lang w:val="en-US"/>
        </w:rPr>
        <w:t>n negotiations or disagreements having both pros and cons for Tesco.</w:t>
      </w:r>
      <w:r w:rsidR="00D33250" w:rsidRPr="002549DE">
        <w:rPr>
          <w:rFonts w:ascii="Times New Roman" w:hAnsi="Times New Roman" w:cs="Times New Roman"/>
          <w:sz w:val="24"/>
          <w:szCs w:val="24"/>
          <w:lang w:val="en-US"/>
        </w:rPr>
        <w:t xml:space="preserve"> Austria's concentration on trained employees and a thriving employment sector could yield operational efficiencies. On the other </w:t>
      </w:r>
      <w:r w:rsidR="008563F3" w:rsidRPr="002549DE">
        <w:rPr>
          <w:rFonts w:ascii="Times New Roman" w:hAnsi="Times New Roman" w:cs="Times New Roman"/>
          <w:sz w:val="24"/>
          <w:szCs w:val="24"/>
          <w:lang w:val="en-US"/>
        </w:rPr>
        <w:t>hand,</w:t>
      </w:r>
      <w:r w:rsidR="00D33250" w:rsidRPr="002549DE">
        <w:rPr>
          <w:rFonts w:ascii="Times New Roman" w:hAnsi="Times New Roman" w:cs="Times New Roman"/>
          <w:sz w:val="24"/>
          <w:szCs w:val="24"/>
          <w:lang w:val="en-US"/>
        </w:rPr>
        <w:t xml:space="preserve"> Greece's conceivably less expensive </w:t>
      </w:r>
      <w:r w:rsidR="00330E9E" w:rsidRPr="002549DE">
        <w:rPr>
          <w:rFonts w:ascii="Times New Roman" w:hAnsi="Times New Roman" w:cs="Times New Roman"/>
          <w:sz w:val="24"/>
          <w:szCs w:val="24"/>
          <w:lang w:val="en-US"/>
        </w:rPr>
        <w:t>labor</w:t>
      </w:r>
      <w:r w:rsidR="00D33250" w:rsidRPr="002549DE">
        <w:rPr>
          <w:rFonts w:ascii="Times New Roman" w:hAnsi="Times New Roman" w:cs="Times New Roman"/>
          <w:sz w:val="24"/>
          <w:szCs w:val="24"/>
          <w:lang w:val="en-US"/>
        </w:rPr>
        <w:t xml:space="preserve"> and readily accessible workforce would </w:t>
      </w:r>
      <w:r w:rsidR="00BA37EF" w:rsidRPr="002549DE">
        <w:rPr>
          <w:rFonts w:ascii="Times New Roman" w:hAnsi="Times New Roman" w:cs="Times New Roman"/>
          <w:sz w:val="24"/>
          <w:szCs w:val="24"/>
          <w:lang w:val="en-US"/>
        </w:rPr>
        <w:t xml:space="preserve">be useful for reducing expenses </w:t>
      </w:r>
      <w:r w:rsidR="00BA37EF" w:rsidRPr="002549DE">
        <w:rPr>
          <w:rFonts w:ascii="Times New Roman" w:hAnsi="Times New Roman" w:cs="Times New Roman"/>
          <w:color w:val="222222"/>
          <w:sz w:val="24"/>
          <w:szCs w:val="24"/>
          <w:shd w:val="clear" w:color="auto" w:fill="FFFFFF"/>
        </w:rPr>
        <w:t>(Ervasti, Kouvo and Venetoklis, 2019).</w:t>
      </w:r>
    </w:p>
    <w:p w:rsidR="0074593A" w:rsidRPr="002549DE" w:rsidRDefault="0074593A" w:rsidP="002549DE">
      <w:pPr>
        <w:pStyle w:val="3"/>
        <w:rPr>
          <w:lang w:val="en-US"/>
        </w:rPr>
      </w:pPr>
      <w:bookmarkStart w:id="8" w:name="_Toc149511042"/>
      <w:r w:rsidRPr="002549DE">
        <w:rPr>
          <w:lang w:val="en-US"/>
        </w:rPr>
        <w:t>Workforce Diversity</w:t>
      </w:r>
      <w:bookmarkEnd w:id="8"/>
    </w:p>
    <w:p w:rsidR="008563F3" w:rsidRPr="002549DE" w:rsidRDefault="008563F3" w:rsidP="002549DE">
      <w:pPr>
        <w:spacing w:line="360" w:lineRule="auto"/>
        <w:jc w:val="both"/>
        <w:rPr>
          <w:rFonts w:ascii="Times New Roman" w:hAnsi="Times New Roman" w:cs="Times New Roman"/>
          <w:sz w:val="24"/>
          <w:szCs w:val="24"/>
          <w:lang w:val="en-US"/>
        </w:rPr>
      </w:pPr>
    </w:p>
    <w:p w:rsidR="00D33250" w:rsidRPr="002549DE" w:rsidRDefault="00D33250"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Broadly, Austria possesses an increasingly diversified workforce than Greece, especially within larger cities. As </w:t>
      </w:r>
      <w:r w:rsidR="008563F3" w:rsidRPr="002549DE">
        <w:rPr>
          <w:rFonts w:ascii="Times New Roman" w:hAnsi="Times New Roman" w:cs="Times New Roman"/>
          <w:sz w:val="24"/>
          <w:szCs w:val="24"/>
          <w:lang w:val="en-US"/>
        </w:rPr>
        <w:t>a</w:t>
      </w:r>
      <w:r w:rsidRPr="002549DE">
        <w:rPr>
          <w:rFonts w:ascii="Times New Roman" w:hAnsi="Times New Roman" w:cs="Times New Roman"/>
          <w:sz w:val="24"/>
          <w:szCs w:val="24"/>
          <w:lang w:val="en-US"/>
        </w:rPr>
        <w:t xml:space="preserve"> result, Tesco may be able to reach out </w:t>
      </w:r>
      <w:r w:rsidR="008563F3" w:rsidRPr="002549DE">
        <w:rPr>
          <w:rFonts w:ascii="Times New Roman" w:hAnsi="Times New Roman" w:cs="Times New Roman"/>
          <w:sz w:val="24"/>
          <w:szCs w:val="24"/>
          <w:lang w:val="en-US"/>
        </w:rPr>
        <w:t>to</w:t>
      </w:r>
      <w:r w:rsidRPr="002549DE">
        <w:rPr>
          <w:rFonts w:ascii="Times New Roman" w:hAnsi="Times New Roman" w:cs="Times New Roman"/>
          <w:sz w:val="24"/>
          <w:szCs w:val="24"/>
          <w:lang w:val="en-US"/>
        </w:rPr>
        <w:t xml:space="preserve"> a broader spectrum of cultural identitie</w:t>
      </w:r>
      <w:r w:rsidR="00330E9E" w:rsidRPr="002549DE">
        <w:rPr>
          <w:rFonts w:ascii="Times New Roman" w:hAnsi="Times New Roman" w:cs="Times New Roman"/>
          <w:sz w:val="24"/>
          <w:szCs w:val="24"/>
          <w:lang w:val="en-US"/>
        </w:rPr>
        <w:t xml:space="preserve">s, and social diversity. It needs </w:t>
      </w:r>
      <w:r w:rsidRPr="002549DE">
        <w:rPr>
          <w:rFonts w:ascii="Times New Roman" w:hAnsi="Times New Roman" w:cs="Times New Roman"/>
          <w:sz w:val="24"/>
          <w:szCs w:val="24"/>
          <w:lang w:val="en-US"/>
        </w:rPr>
        <w:t>to be mindful of cultural differen</w:t>
      </w:r>
      <w:r w:rsidR="00330E9E" w:rsidRPr="002549DE">
        <w:rPr>
          <w:rFonts w:ascii="Times New Roman" w:hAnsi="Times New Roman" w:cs="Times New Roman"/>
          <w:sz w:val="24"/>
          <w:szCs w:val="24"/>
          <w:lang w:val="en-US"/>
        </w:rPr>
        <w:t>ces and inclusion</w:t>
      </w:r>
      <w:r w:rsidRPr="002549DE">
        <w:rPr>
          <w:rFonts w:ascii="Times New Roman" w:hAnsi="Times New Roman" w:cs="Times New Roman"/>
          <w:sz w:val="24"/>
          <w:szCs w:val="24"/>
          <w:lang w:val="en-US"/>
        </w:rPr>
        <w:t xml:space="preserve"> across both nations, perhaps with differing extents. Acknowledging and </w:t>
      </w:r>
      <w:r w:rsidR="008563F3" w:rsidRPr="002549DE">
        <w:rPr>
          <w:rFonts w:ascii="Times New Roman" w:hAnsi="Times New Roman" w:cs="Times New Roman"/>
          <w:sz w:val="24"/>
          <w:szCs w:val="24"/>
          <w:lang w:val="en-US"/>
        </w:rPr>
        <w:t>honoring</w:t>
      </w:r>
      <w:r w:rsidRPr="002549DE">
        <w:rPr>
          <w:rFonts w:ascii="Times New Roman" w:hAnsi="Times New Roman" w:cs="Times New Roman"/>
          <w:sz w:val="24"/>
          <w:szCs w:val="24"/>
          <w:lang w:val="en-US"/>
        </w:rPr>
        <w:t xml:space="preserve"> indigenous traditions and habits is part of this. The supermarket chain can accept and thrive </w:t>
      </w:r>
      <w:r w:rsidR="008563F3" w:rsidRPr="002549DE">
        <w:rPr>
          <w:rFonts w:ascii="Times New Roman" w:hAnsi="Times New Roman" w:cs="Times New Roman"/>
          <w:sz w:val="24"/>
          <w:szCs w:val="24"/>
          <w:lang w:val="en-US"/>
        </w:rPr>
        <w:t>in</w:t>
      </w:r>
      <w:r w:rsidRPr="002549DE">
        <w:rPr>
          <w:rFonts w:ascii="Times New Roman" w:hAnsi="Times New Roman" w:cs="Times New Roman"/>
          <w:sz w:val="24"/>
          <w:szCs w:val="24"/>
          <w:lang w:val="en-US"/>
        </w:rPr>
        <w:t xml:space="preserve"> diverse cultural environments. This inclusiveness can help to c</w:t>
      </w:r>
      <w:r w:rsidR="00330E9E" w:rsidRPr="002549DE">
        <w:rPr>
          <w:rFonts w:ascii="Times New Roman" w:hAnsi="Times New Roman" w:cs="Times New Roman"/>
          <w:sz w:val="24"/>
          <w:szCs w:val="24"/>
          <w:lang w:val="en-US"/>
        </w:rPr>
        <w:t>reate a welcoming workplace, indirectly enhancing customer satisfaction.</w:t>
      </w:r>
    </w:p>
    <w:p w:rsidR="000F5FFF" w:rsidRPr="002549DE" w:rsidRDefault="000F5FFF" w:rsidP="002549DE">
      <w:pPr>
        <w:pStyle w:val="3"/>
        <w:rPr>
          <w:lang w:val="en-US"/>
        </w:rPr>
      </w:pPr>
      <w:bookmarkStart w:id="9" w:name="_Toc149511043"/>
      <w:r w:rsidRPr="002549DE">
        <w:rPr>
          <w:lang w:val="en-US"/>
        </w:rPr>
        <w:t>Hofstede’s cultural dimension theory</w:t>
      </w:r>
      <w:bookmarkEnd w:id="9"/>
      <w:r w:rsidRPr="002549DE">
        <w:rPr>
          <w:lang w:val="en-US"/>
        </w:rPr>
        <w:t xml:space="preserve"> </w:t>
      </w:r>
    </w:p>
    <w:p w:rsidR="008563F3" w:rsidRPr="002549DE" w:rsidRDefault="008563F3" w:rsidP="002549DE">
      <w:pPr>
        <w:spacing w:line="360" w:lineRule="auto"/>
        <w:jc w:val="both"/>
        <w:rPr>
          <w:rFonts w:ascii="Times New Roman" w:hAnsi="Times New Roman" w:cs="Times New Roman"/>
          <w:sz w:val="24"/>
          <w:szCs w:val="24"/>
          <w:lang w:val="en-US"/>
        </w:rPr>
      </w:pPr>
    </w:p>
    <w:tbl>
      <w:tblPr>
        <w:tblStyle w:val="11"/>
        <w:tblW w:w="0" w:type="auto"/>
        <w:tblLook w:val="04A0" w:firstRow="1" w:lastRow="0" w:firstColumn="1" w:lastColumn="0" w:noHBand="0" w:noVBand="1"/>
      </w:tblPr>
      <w:tblGrid>
        <w:gridCol w:w="3005"/>
        <w:gridCol w:w="3005"/>
        <w:gridCol w:w="3006"/>
      </w:tblGrid>
      <w:tr w:rsidR="00D423BF" w:rsidRPr="002549DE" w:rsidTr="008563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8D08D" w:themeFill="accent6" w:themeFillTint="99"/>
          </w:tcPr>
          <w:p w:rsidR="00D423BF" w:rsidRPr="002549DE" w:rsidRDefault="00D423BF"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Cultural Dimensions</w:t>
            </w:r>
          </w:p>
        </w:tc>
        <w:tc>
          <w:tcPr>
            <w:tcW w:w="3005" w:type="dxa"/>
            <w:shd w:val="clear" w:color="auto" w:fill="A8D08D" w:themeFill="accent6" w:themeFillTint="99"/>
          </w:tcPr>
          <w:p w:rsidR="00D423BF" w:rsidRPr="002549DE" w:rsidRDefault="00D423BF" w:rsidP="002549D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Greece</w:t>
            </w:r>
          </w:p>
        </w:tc>
        <w:tc>
          <w:tcPr>
            <w:tcW w:w="3006" w:type="dxa"/>
            <w:shd w:val="clear" w:color="auto" w:fill="A8D08D" w:themeFill="accent6" w:themeFillTint="99"/>
          </w:tcPr>
          <w:p w:rsidR="00D423BF" w:rsidRPr="002549DE" w:rsidRDefault="00D423BF" w:rsidP="002549D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Austria</w:t>
            </w:r>
          </w:p>
        </w:tc>
      </w:tr>
      <w:tr w:rsidR="00D423BF" w:rsidRPr="002549DE" w:rsidTr="00856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8D08D" w:themeFill="accent6" w:themeFillTint="99"/>
          </w:tcPr>
          <w:p w:rsidR="00D423BF" w:rsidRPr="002549DE" w:rsidRDefault="00D423BF"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Power Distance</w:t>
            </w:r>
          </w:p>
        </w:tc>
        <w:tc>
          <w:tcPr>
            <w:tcW w:w="3005" w:type="dxa"/>
            <w:shd w:val="clear" w:color="auto" w:fill="E2EFD9" w:themeFill="accent6" w:themeFillTint="33"/>
          </w:tcPr>
          <w:p w:rsidR="00D423BF" w:rsidRPr="002549DE" w:rsidRDefault="00D423BF"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c>
          <w:tcPr>
            <w:tcW w:w="3006" w:type="dxa"/>
            <w:shd w:val="clear" w:color="auto" w:fill="E2EFD9" w:themeFill="accent6" w:themeFillTint="33"/>
          </w:tcPr>
          <w:p w:rsidR="00D423BF" w:rsidRPr="002549DE" w:rsidRDefault="00D423BF"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Low</w:t>
            </w:r>
          </w:p>
        </w:tc>
      </w:tr>
      <w:tr w:rsidR="00D423BF" w:rsidRPr="002549DE" w:rsidTr="008563F3">
        <w:tc>
          <w:tcPr>
            <w:cnfStyle w:val="001000000000" w:firstRow="0" w:lastRow="0" w:firstColumn="1" w:lastColumn="0" w:oddVBand="0" w:evenVBand="0" w:oddHBand="0" w:evenHBand="0" w:firstRowFirstColumn="0" w:firstRowLastColumn="0" w:lastRowFirstColumn="0" w:lastRowLastColumn="0"/>
            <w:tcW w:w="3005" w:type="dxa"/>
            <w:shd w:val="clear" w:color="auto" w:fill="A8D08D" w:themeFill="accent6" w:themeFillTint="99"/>
          </w:tcPr>
          <w:p w:rsidR="00D423BF" w:rsidRPr="002549DE" w:rsidRDefault="00D423BF"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Individualism vs. Collectivism</w:t>
            </w:r>
          </w:p>
        </w:tc>
        <w:tc>
          <w:tcPr>
            <w:tcW w:w="3005" w:type="dxa"/>
            <w:shd w:val="clear" w:color="auto" w:fill="E2EFD9" w:themeFill="accent6" w:themeFillTint="33"/>
          </w:tcPr>
          <w:p w:rsidR="00D423BF" w:rsidRPr="002549DE" w:rsidRDefault="00330E9E"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Collectivist</w:t>
            </w:r>
          </w:p>
        </w:tc>
        <w:tc>
          <w:tcPr>
            <w:tcW w:w="3006" w:type="dxa"/>
            <w:shd w:val="clear" w:color="auto" w:fill="E2EFD9" w:themeFill="accent6" w:themeFillTint="33"/>
          </w:tcPr>
          <w:p w:rsidR="00D423BF" w:rsidRPr="002549DE" w:rsidRDefault="00330E9E"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Individualist</w:t>
            </w:r>
          </w:p>
        </w:tc>
      </w:tr>
      <w:tr w:rsidR="00D423BF" w:rsidRPr="002549DE" w:rsidTr="00856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8D08D" w:themeFill="accent6" w:themeFillTint="99"/>
          </w:tcPr>
          <w:p w:rsidR="00D423BF" w:rsidRPr="002549DE" w:rsidRDefault="00D423BF"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Masculinity vs. Femininity</w:t>
            </w:r>
          </w:p>
        </w:tc>
        <w:tc>
          <w:tcPr>
            <w:tcW w:w="3005" w:type="dxa"/>
            <w:shd w:val="clear" w:color="auto" w:fill="E2EFD9" w:themeFill="accent6" w:themeFillTint="33"/>
          </w:tcPr>
          <w:p w:rsidR="00D423BF" w:rsidRPr="002549DE" w:rsidRDefault="00330E9E"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Balanced with a slight skewness toward femininity</w:t>
            </w:r>
          </w:p>
        </w:tc>
        <w:tc>
          <w:tcPr>
            <w:tcW w:w="3006" w:type="dxa"/>
            <w:shd w:val="clear" w:color="auto" w:fill="E2EFD9" w:themeFill="accent6" w:themeFillTint="33"/>
          </w:tcPr>
          <w:p w:rsidR="00D423BF" w:rsidRPr="002549DE" w:rsidRDefault="00330E9E"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Balanced with a slight skewness toward </w:t>
            </w:r>
            <w:r w:rsidR="008563F3" w:rsidRPr="002549DE">
              <w:rPr>
                <w:rFonts w:ascii="Times New Roman" w:hAnsi="Times New Roman" w:cs="Times New Roman"/>
                <w:sz w:val="24"/>
                <w:szCs w:val="24"/>
                <w:lang w:val="en-US"/>
              </w:rPr>
              <w:t>masculinity</w:t>
            </w:r>
          </w:p>
        </w:tc>
      </w:tr>
      <w:tr w:rsidR="00D423BF" w:rsidRPr="002549DE" w:rsidTr="008563F3">
        <w:tc>
          <w:tcPr>
            <w:cnfStyle w:val="001000000000" w:firstRow="0" w:lastRow="0" w:firstColumn="1" w:lastColumn="0" w:oddVBand="0" w:evenVBand="0" w:oddHBand="0" w:evenHBand="0" w:firstRowFirstColumn="0" w:firstRowLastColumn="0" w:lastRowFirstColumn="0" w:lastRowLastColumn="0"/>
            <w:tcW w:w="3005" w:type="dxa"/>
            <w:shd w:val="clear" w:color="auto" w:fill="A8D08D" w:themeFill="accent6" w:themeFillTint="99"/>
          </w:tcPr>
          <w:p w:rsidR="00D423BF" w:rsidRPr="002549DE" w:rsidRDefault="00D423BF"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Uncertainty Avoidance</w:t>
            </w:r>
          </w:p>
        </w:tc>
        <w:tc>
          <w:tcPr>
            <w:tcW w:w="3005" w:type="dxa"/>
            <w:shd w:val="clear" w:color="auto" w:fill="E2EFD9" w:themeFill="accent6" w:themeFillTint="33"/>
          </w:tcPr>
          <w:p w:rsidR="00D423BF" w:rsidRPr="002549DE" w:rsidRDefault="00330E9E"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High</w:t>
            </w:r>
          </w:p>
        </w:tc>
        <w:tc>
          <w:tcPr>
            <w:tcW w:w="3006" w:type="dxa"/>
            <w:shd w:val="clear" w:color="auto" w:fill="E2EFD9" w:themeFill="accent6" w:themeFillTint="33"/>
          </w:tcPr>
          <w:p w:rsidR="00D423BF" w:rsidRPr="002549DE" w:rsidRDefault="00330E9E" w:rsidP="002549D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2549DE">
              <w:rPr>
                <w:rFonts w:ascii="Times New Roman" w:hAnsi="Times New Roman" w:cs="Times New Roman"/>
                <w:sz w:val="24"/>
                <w:szCs w:val="24"/>
                <w:lang w:val="en-US"/>
              </w:rPr>
              <w:t>Low</w:t>
            </w:r>
          </w:p>
        </w:tc>
      </w:tr>
      <w:tr w:rsidR="00D423BF" w:rsidRPr="002549DE" w:rsidTr="008563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8D08D" w:themeFill="accent6" w:themeFillTint="99"/>
          </w:tcPr>
          <w:p w:rsidR="00D423BF" w:rsidRPr="002549DE" w:rsidRDefault="00D423BF"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Long-term Orientation</w:t>
            </w:r>
          </w:p>
        </w:tc>
        <w:tc>
          <w:tcPr>
            <w:tcW w:w="3005" w:type="dxa"/>
            <w:shd w:val="clear" w:color="auto" w:fill="E2EFD9" w:themeFill="accent6" w:themeFillTint="33"/>
          </w:tcPr>
          <w:p w:rsidR="00D423BF" w:rsidRPr="002549DE" w:rsidRDefault="00D423BF"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c>
          <w:tcPr>
            <w:tcW w:w="3006" w:type="dxa"/>
            <w:shd w:val="clear" w:color="auto" w:fill="E2EFD9" w:themeFill="accent6" w:themeFillTint="33"/>
          </w:tcPr>
          <w:p w:rsidR="00D423BF" w:rsidRPr="002549DE" w:rsidRDefault="00D423BF" w:rsidP="002549D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bl>
    <w:p w:rsidR="00D423BF" w:rsidRPr="002549DE" w:rsidRDefault="00D423BF" w:rsidP="002549DE">
      <w:pPr>
        <w:spacing w:line="360" w:lineRule="auto"/>
        <w:jc w:val="both"/>
        <w:rPr>
          <w:rFonts w:ascii="Times New Roman" w:hAnsi="Times New Roman" w:cs="Times New Roman"/>
          <w:sz w:val="24"/>
          <w:szCs w:val="24"/>
          <w:lang w:val="en-US"/>
        </w:rPr>
      </w:pPr>
    </w:p>
    <w:p w:rsidR="008563F3" w:rsidRPr="002549DE" w:rsidRDefault="008563F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Table 2. Hofstede’s cultural dimensions for Greece and Austria</w:t>
      </w:r>
    </w:p>
    <w:p w:rsidR="00D33250" w:rsidRPr="002549DE" w:rsidRDefault="00D33250"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Greece comes with a history o</w:t>
      </w:r>
      <w:r w:rsidR="00330E9E" w:rsidRPr="002549DE">
        <w:rPr>
          <w:rFonts w:ascii="Times New Roman" w:hAnsi="Times New Roman" w:cs="Times New Roman"/>
          <w:sz w:val="24"/>
          <w:szCs w:val="24"/>
          <w:lang w:val="en-US"/>
        </w:rPr>
        <w:t xml:space="preserve">f rather high power distance </w:t>
      </w:r>
      <w:r w:rsidRPr="002549DE">
        <w:rPr>
          <w:rFonts w:ascii="Times New Roman" w:hAnsi="Times New Roman" w:cs="Times New Roman"/>
          <w:sz w:val="24"/>
          <w:szCs w:val="24"/>
          <w:lang w:val="en-US"/>
        </w:rPr>
        <w:t xml:space="preserve">in both commercial and social situations, </w:t>
      </w:r>
      <w:r w:rsidR="00330E9E" w:rsidRPr="002549DE">
        <w:rPr>
          <w:rFonts w:ascii="Times New Roman" w:hAnsi="Times New Roman" w:cs="Times New Roman"/>
          <w:sz w:val="24"/>
          <w:szCs w:val="24"/>
          <w:lang w:val="en-US"/>
        </w:rPr>
        <w:t xml:space="preserve">as </w:t>
      </w:r>
      <w:r w:rsidRPr="002549DE">
        <w:rPr>
          <w:rFonts w:ascii="Times New Roman" w:hAnsi="Times New Roman" w:cs="Times New Roman"/>
          <w:sz w:val="24"/>
          <w:szCs w:val="24"/>
          <w:lang w:val="en-US"/>
        </w:rPr>
        <w:t>hierarchy reverence towards leadership</w:t>
      </w:r>
      <w:r w:rsidR="00330E9E" w:rsidRPr="002549DE">
        <w:rPr>
          <w:rFonts w:ascii="Times New Roman" w:hAnsi="Times New Roman" w:cs="Times New Roman"/>
          <w:sz w:val="24"/>
          <w:szCs w:val="24"/>
          <w:lang w:val="en-US"/>
        </w:rPr>
        <w:t>, and being mindful of authority</w:t>
      </w:r>
      <w:r w:rsidR="00FF63E3" w:rsidRPr="002549DE">
        <w:rPr>
          <w:rFonts w:ascii="Times New Roman" w:hAnsi="Times New Roman" w:cs="Times New Roman"/>
          <w:sz w:val="24"/>
          <w:szCs w:val="24"/>
          <w:lang w:val="en-US"/>
        </w:rPr>
        <w:t xml:space="preserve"> is essential </w:t>
      </w:r>
      <w:r w:rsidR="00FF63E3" w:rsidRPr="002549DE">
        <w:rPr>
          <w:rFonts w:ascii="Times New Roman" w:hAnsi="Times New Roman" w:cs="Times New Roman"/>
          <w:color w:val="222222"/>
          <w:sz w:val="24"/>
          <w:szCs w:val="24"/>
          <w:shd w:val="clear" w:color="auto" w:fill="FFFFFF"/>
        </w:rPr>
        <w:t>(Rodolaki and Barakos, 2023).</w:t>
      </w:r>
      <w:r w:rsidRPr="002549DE">
        <w:rPr>
          <w:rFonts w:ascii="Times New Roman" w:hAnsi="Times New Roman" w:cs="Times New Roman"/>
          <w:sz w:val="24"/>
          <w:szCs w:val="24"/>
          <w:lang w:val="en-US"/>
        </w:rPr>
        <w:t xml:space="preserve"> In Austria, however, there seems to be a trend towards more equitable and democratic </w:t>
      </w:r>
      <w:r w:rsidR="00330E9E" w:rsidRPr="002549DE">
        <w:rPr>
          <w:rFonts w:ascii="Times New Roman" w:hAnsi="Times New Roman" w:cs="Times New Roman"/>
          <w:sz w:val="24"/>
          <w:szCs w:val="24"/>
          <w:lang w:val="en-US"/>
        </w:rPr>
        <w:t>practices</w:t>
      </w:r>
      <w:r w:rsidRPr="002549DE">
        <w:rPr>
          <w:rFonts w:ascii="Times New Roman" w:hAnsi="Times New Roman" w:cs="Times New Roman"/>
          <w:sz w:val="24"/>
          <w:szCs w:val="24"/>
          <w:lang w:val="en-US"/>
        </w:rPr>
        <w:t>. In contrast, Greece appears prone to collectivism, as social relationships outweigh individual needs. The community values cooperation. Individualistic th</w:t>
      </w:r>
      <w:r w:rsidR="00330E9E" w:rsidRPr="002549DE">
        <w:rPr>
          <w:rFonts w:ascii="Times New Roman" w:hAnsi="Times New Roman" w:cs="Times New Roman"/>
          <w:sz w:val="24"/>
          <w:szCs w:val="24"/>
          <w:lang w:val="en-US"/>
        </w:rPr>
        <w:t xml:space="preserve">inking is prevalent in Austria as though </w:t>
      </w:r>
      <w:r w:rsidRPr="002549DE">
        <w:rPr>
          <w:rFonts w:ascii="Times New Roman" w:hAnsi="Times New Roman" w:cs="Times New Roman"/>
          <w:sz w:val="24"/>
          <w:szCs w:val="24"/>
          <w:lang w:val="en-US"/>
        </w:rPr>
        <w:t>familial and so</w:t>
      </w:r>
      <w:r w:rsidR="00330E9E" w:rsidRPr="002549DE">
        <w:rPr>
          <w:rFonts w:ascii="Times New Roman" w:hAnsi="Times New Roman" w:cs="Times New Roman"/>
          <w:sz w:val="24"/>
          <w:szCs w:val="24"/>
          <w:lang w:val="en-US"/>
        </w:rPr>
        <w:t>cial relationships remain vital Individual accomplishments and interests are respected on the same level.</w:t>
      </w:r>
      <w:r w:rsidRPr="002549DE">
        <w:rPr>
          <w:rFonts w:ascii="Times New Roman" w:hAnsi="Times New Roman" w:cs="Times New Roman"/>
          <w:sz w:val="24"/>
          <w:szCs w:val="24"/>
          <w:lang w:val="en-US"/>
        </w:rPr>
        <w:t xml:space="preserve"> Greece reflects a combination of both masculine as well as feminine characteristics. Although there may be an appetite for competition in the workplace, household and interpersonal relations are also important. </w:t>
      </w:r>
      <w:r w:rsidR="008563F3" w:rsidRPr="002549DE">
        <w:rPr>
          <w:rFonts w:ascii="Times New Roman" w:hAnsi="Times New Roman" w:cs="Times New Roman"/>
          <w:sz w:val="24"/>
          <w:szCs w:val="24"/>
          <w:lang w:val="en-US"/>
        </w:rPr>
        <w:t>Similarly</w:t>
      </w:r>
      <w:r w:rsidRPr="002549DE">
        <w:rPr>
          <w:rFonts w:ascii="Times New Roman" w:hAnsi="Times New Roman" w:cs="Times New Roman"/>
          <w:sz w:val="24"/>
          <w:szCs w:val="24"/>
          <w:lang w:val="en-US"/>
        </w:rPr>
        <w:t>, Austria favours a further compatible perspective on masculinity and femininity as Ambition along with compassionate abilities are valued.</w:t>
      </w:r>
    </w:p>
    <w:p w:rsidR="00F84AD9" w:rsidRPr="002549DE" w:rsidRDefault="00F84AD9"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The </w:t>
      </w:r>
      <w:r w:rsidR="00330E9E" w:rsidRPr="002549DE">
        <w:rPr>
          <w:rFonts w:ascii="Times New Roman" w:hAnsi="Times New Roman" w:cs="Times New Roman"/>
          <w:sz w:val="24"/>
          <w:szCs w:val="24"/>
          <w:lang w:val="en-US"/>
        </w:rPr>
        <w:t>Greek</w:t>
      </w:r>
      <w:r w:rsidRPr="002549DE">
        <w:rPr>
          <w:rFonts w:ascii="Times New Roman" w:hAnsi="Times New Roman" w:cs="Times New Roman"/>
          <w:sz w:val="24"/>
          <w:szCs w:val="24"/>
          <w:lang w:val="en-US"/>
        </w:rPr>
        <w:t xml:space="preserve"> culture focuses on uncertainty </w:t>
      </w:r>
      <w:r w:rsidR="008563F3" w:rsidRPr="002549DE">
        <w:rPr>
          <w:rFonts w:ascii="Times New Roman" w:hAnsi="Times New Roman" w:cs="Times New Roman"/>
          <w:sz w:val="24"/>
          <w:szCs w:val="24"/>
          <w:lang w:val="en-US"/>
        </w:rPr>
        <w:t>avoidance</w:t>
      </w:r>
      <w:r w:rsidRPr="002549DE">
        <w:rPr>
          <w:rFonts w:ascii="Times New Roman" w:hAnsi="Times New Roman" w:cs="Times New Roman"/>
          <w:sz w:val="24"/>
          <w:szCs w:val="24"/>
          <w:lang w:val="en-US"/>
        </w:rPr>
        <w:t xml:space="preserve">. Even though some people are </w:t>
      </w:r>
      <w:r w:rsidR="00330E9E" w:rsidRPr="002549DE">
        <w:rPr>
          <w:rFonts w:ascii="Times New Roman" w:hAnsi="Times New Roman" w:cs="Times New Roman"/>
          <w:sz w:val="24"/>
          <w:szCs w:val="24"/>
          <w:lang w:val="en-US"/>
        </w:rPr>
        <w:t>at ease with uncertainty, the majority of the population</w:t>
      </w:r>
      <w:r w:rsidRPr="002549DE">
        <w:rPr>
          <w:rFonts w:ascii="Times New Roman" w:hAnsi="Times New Roman" w:cs="Times New Roman"/>
          <w:sz w:val="24"/>
          <w:szCs w:val="24"/>
          <w:lang w:val="en-US"/>
        </w:rPr>
        <w:t xml:space="preserve"> </w:t>
      </w:r>
      <w:r w:rsidR="008563F3" w:rsidRPr="002549DE">
        <w:rPr>
          <w:rFonts w:ascii="Times New Roman" w:hAnsi="Times New Roman" w:cs="Times New Roman"/>
          <w:sz w:val="24"/>
          <w:szCs w:val="24"/>
          <w:lang w:val="en-US"/>
        </w:rPr>
        <w:t>prefers</w:t>
      </w:r>
      <w:r w:rsidRPr="002549DE">
        <w:rPr>
          <w:rFonts w:ascii="Times New Roman" w:hAnsi="Times New Roman" w:cs="Times New Roman"/>
          <w:sz w:val="24"/>
          <w:szCs w:val="24"/>
          <w:lang w:val="en-US"/>
        </w:rPr>
        <w:t xml:space="preserve"> precise norms and routines. Austria, on the contrary, has an unusually high tendency towards uncertainty avoidance as Precise standards, </w:t>
      </w:r>
      <w:r w:rsidR="00FF63E3" w:rsidRPr="002549DE">
        <w:rPr>
          <w:rFonts w:ascii="Times New Roman" w:hAnsi="Times New Roman" w:cs="Times New Roman"/>
          <w:sz w:val="24"/>
          <w:szCs w:val="24"/>
          <w:lang w:val="en-US"/>
        </w:rPr>
        <w:t xml:space="preserve">organized </w:t>
      </w:r>
      <w:r w:rsidR="008563F3" w:rsidRPr="002549DE">
        <w:rPr>
          <w:rFonts w:ascii="Times New Roman" w:hAnsi="Times New Roman" w:cs="Times New Roman"/>
          <w:sz w:val="24"/>
          <w:szCs w:val="24"/>
          <w:lang w:val="en-US"/>
        </w:rPr>
        <w:t>surroundings</w:t>
      </w:r>
      <w:r w:rsidR="00FF63E3" w:rsidRPr="002549DE">
        <w:rPr>
          <w:rFonts w:ascii="Times New Roman" w:hAnsi="Times New Roman" w:cs="Times New Roman"/>
          <w:sz w:val="24"/>
          <w:szCs w:val="24"/>
          <w:lang w:val="en-US"/>
        </w:rPr>
        <w:t xml:space="preserve">, and a low intolerance for vagueness are preferred stemming from its tendency to be more focused on the short term </w:t>
      </w:r>
      <w:r w:rsidR="00FF63E3" w:rsidRPr="002549DE">
        <w:rPr>
          <w:rFonts w:ascii="Times New Roman" w:hAnsi="Times New Roman" w:cs="Times New Roman"/>
          <w:color w:val="222222"/>
          <w:sz w:val="24"/>
          <w:szCs w:val="24"/>
          <w:shd w:val="clear" w:color="auto" w:fill="FFFFFF"/>
        </w:rPr>
        <w:t xml:space="preserve">(Liargovas et al., 2019). </w:t>
      </w:r>
      <w:r w:rsidRPr="002549DE">
        <w:rPr>
          <w:rFonts w:ascii="Times New Roman" w:hAnsi="Times New Roman" w:cs="Times New Roman"/>
          <w:sz w:val="24"/>
          <w:szCs w:val="24"/>
          <w:lang w:val="en-US"/>
        </w:rPr>
        <w:t xml:space="preserve">Established customs and </w:t>
      </w:r>
      <w:r w:rsidR="008563F3" w:rsidRPr="002549DE">
        <w:rPr>
          <w:rFonts w:ascii="Times New Roman" w:hAnsi="Times New Roman" w:cs="Times New Roman"/>
          <w:sz w:val="24"/>
          <w:szCs w:val="24"/>
          <w:lang w:val="en-US"/>
        </w:rPr>
        <w:t>practices</w:t>
      </w:r>
      <w:r w:rsidRPr="002549DE">
        <w:rPr>
          <w:rFonts w:ascii="Times New Roman" w:hAnsi="Times New Roman" w:cs="Times New Roman"/>
          <w:sz w:val="24"/>
          <w:szCs w:val="24"/>
          <w:lang w:val="en-US"/>
        </w:rPr>
        <w:t xml:space="preserve"> are frequently valued, and there seems to be an </w:t>
      </w:r>
      <w:r w:rsidR="00330E9E" w:rsidRPr="002549DE">
        <w:rPr>
          <w:rFonts w:ascii="Times New Roman" w:hAnsi="Times New Roman" w:cs="Times New Roman"/>
          <w:sz w:val="24"/>
          <w:szCs w:val="24"/>
          <w:lang w:val="en-US"/>
        </w:rPr>
        <w:t>emphasis on immediate outcomes in the country. Greeks are</w:t>
      </w:r>
      <w:r w:rsidRPr="002549DE">
        <w:rPr>
          <w:rFonts w:ascii="Times New Roman" w:hAnsi="Times New Roman" w:cs="Times New Roman"/>
          <w:sz w:val="24"/>
          <w:szCs w:val="24"/>
          <w:lang w:val="en-US"/>
        </w:rPr>
        <w:t xml:space="preserve"> more concerned with a long-term perspective as Preparing for the years to come, being patient and thriftiness are </w:t>
      </w:r>
      <w:r w:rsidR="00330E9E" w:rsidRPr="002549DE">
        <w:rPr>
          <w:rFonts w:ascii="Times New Roman" w:hAnsi="Times New Roman" w:cs="Times New Roman"/>
          <w:sz w:val="24"/>
          <w:szCs w:val="24"/>
          <w:lang w:val="en-US"/>
        </w:rPr>
        <w:t xml:space="preserve">some of their </w:t>
      </w:r>
      <w:r w:rsidRPr="002549DE">
        <w:rPr>
          <w:rFonts w:ascii="Times New Roman" w:hAnsi="Times New Roman" w:cs="Times New Roman"/>
          <w:sz w:val="24"/>
          <w:szCs w:val="24"/>
          <w:lang w:val="en-US"/>
        </w:rPr>
        <w:t>distinguishing</w:t>
      </w:r>
      <w:r w:rsidR="00330E9E" w:rsidRPr="002549DE">
        <w:rPr>
          <w:rFonts w:ascii="Times New Roman" w:hAnsi="Times New Roman" w:cs="Times New Roman"/>
          <w:sz w:val="24"/>
          <w:szCs w:val="24"/>
          <w:lang w:val="en-US"/>
        </w:rPr>
        <w:t xml:space="preserve"> culturally </w:t>
      </w:r>
      <w:r w:rsidR="008563F3" w:rsidRPr="002549DE">
        <w:rPr>
          <w:rFonts w:ascii="Times New Roman" w:hAnsi="Times New Roman" w:cs="Times New Roman"/>
          <w:sz w:val="24"/>
          <w:szCs w:val="24"/>
          <w:lang w:val="en-US"/>
        </w:rPr>
        <w:t>embedded</w:t>
      </w:r>
      <w:r w:rsidR="00330E9E" w:rsidRPr="002549DE">
        <w:rPr>
          <w:rFonts w:ascii="Times New Roman" w:hAnsi="Times New Roman" w:cs="Times New Roman"/>
          <w:sz w:val="24"/>
          <w:szCs w:val="24"/>
          <w:lang w:val="en-US"/>
        </w:rPr>
        <w:t xml:space="preserve"> </w:t>
      </w:r>
      <w:r w:rsidRPr="002549DE">
        <w:rPr>
          <w:rFonts w:ascii="Times New Roman" w:hAnsi="Times New Roman" w:cs="Times New Roman"/>
          <w:sz w:val="24"/>
          <w:szCs w:val="24"/>
          <w:lang w:val="en-US"/>
        </w:rPr>
        <w:t>characteristics.</w:t>
      </w:r>
    </w:p>
    <w:p w:rsidR="00627BA0" w:rsidRPr="002549DE" w:rsidRDefault="00627BA0" w:rsidP="002549DE">
      <w:pPr>
        <w:pStyle w:val="3"/>
        <w:rPr>
          <w:lang w:val="en-US"/>
        </w:rPr>
      </w:pPr>
      <w:bookmarkStart w:id="10" w:name="_Toc149511044"/>
      <w:r w:rsidRPr="002549DE">
        <w:rPr>
          <w:lang w:val="en-US"/>
        </w:rPr>
        <w:t>Impact on Tesco’s Expansion</w:t>
      </w:r>
      <w:bookmarkEnd w:id="10"/>
    </w:p>
    <w:p w:rsidR="008563F3" w:rsidRPr="002549DE" w:rsidRDefault="008563F3" w:rsidP="002549DE">
      <w:pPr>
        <w:spacing w:line="360" w:lineRule="auto"/>
        <w:jc w:val="both"/>
        <w:rPr>
          <w:rFonts w:ascii="Times New Roman" w:hAnsi="Times New Roman" w:cs="Times New Roman"/>
          <w:sz w:val="24"/>
          <w:szCs w:val="24"/>
          <w:lang w:val="en-US"/>
        </w:rPr>
      </w:pPr>
    </w:p>
    <w:p w:rsidR="004D3EB4" w:rsidRPr="002549DE" w:rsidRDefault="004D3EB4"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A traditional leadership approach, teamwork, and commitment toward organizational goals are vital in Greece, however</w:t>
      </w:r>
      <w:r w:rsidR="008563F3" w:rsidRPr="002549DE">
        <w:rPr>
          <w:rFonts w:ascii="Times New Roman" w:hAnsi="Times New Roman" w:cs="Times New Roman"/>
          <w:sz w:val="24"/>
          <w:szCs w:val="24"/>
          <w:lang w:val="en-US"/>
        </w:rPr>
        <w:t>,</w:t>
      </w:r>
      <w:r w:rsidRPr="002549DE">
        <w:rPr>
          <w:rFonts w:ascii="Times New Roman" w:hAnsi="Times New Roman" w:cs="Times New Roman"/>
          <w:sz w:val="24"/>
          <w:szCs w:val="24"/>
          <w:lang w:val="en-US"/>
        </w:rPr>
        <w:t xml:space="preserve"> a flatter </w:t>
      </w:r>
      <w:r w:rsidR="002549DE">
        <w:rPr>
          <w:rFonts w:ascii="Times New Roman" w:hAnsi="Times New Roman" w:cs="Times New Roman"/>
          <w:sz w:val="24"/>
          <w:szCs w:val="24"/>
          <w:lang w:val="en-US"/>
        </w:rPr>
        <w:t>organiz</w:t>
      </w:r>
      <w:r w:rsidR="00330E9E" w:rsidRPr="002549DE">
        <w:rPr>
          <w:rFonts w:ascii="Times New Roman" w:hAnsi="Times New Roman" w:cs="Times New Roman"/>
          <w:sz w:val="24"/>
          <w:szCs w:val="24"/>
          <w:lang w:val="en-US"/>
        </w:rPr>
        <w:t>ational</w:t>
      </w:r>
      <w:r w:rsidRPr="002549DE">
        <w:rPr>
          <w:rFonts w:ascii="Times New Roman" w:hAnsi="Times New Roman" w:cs="Times New Roman"/>
          <w:sz w:val="24"/>
          <w:szCs w:val="24"/>
          <w:lang w:val="en-US"/>
        </w:rPr>
        <w:t xml:space="preserve"> setup having a focus </w:t>
      </w:r>
      <w:r w:rsidR="008563F3" w:rsidRPr="002549DE">
        <w:rPr>
          <w:rFonts w:ascii="Times New Roman" w:hAnsi="Times New Roman" w:cs="Times New Roman"/>
          <w:sz w:val="24"/>
          <w:szCs w:val="24"/>
          <w:lang w:val="en-US"/>
        </w:rPr>
        <w:t>on</w:t>
      </w:r>
      <w:r w:rsidRPr="002549DE">
        <w:rPr>
          <w:rFonts w:ascii="Times New Roman" w:hAnsi="Times New Roman" w:cs="Times New Roman"/>
          <w:sz w:val="24"/>
          <w:szCs w:val="24"/>
          <w:lang w:val="en-US"/>
        </w:rPr>
        <w:t xml:space="preserve"> individual accomplishments and succ</w:t>
      </w:r>
      <w:r w:rsidR="00330E9E" w:rsidRPr="002549DE">
        <w:rPr>
          <w:rFonts w:ascii="Times New Roman" w:hAnsi="Times New Roman" w:cs="Times New Roman"/>
          <w:sz w:val="24"/>
          <w:szCs w:val="24"/>
          <w:lang w:val="en-US"/>
        </w:rPr>
        <w:t>ess might be best suited for the Austrian market</w:t>
      </w:r>
      <w:r w:rsidRPr="002549DE">
        <w:rPr>
          <w:rFonts w:ascii="Times New Roman" w:hAnsi="Times New Roman" w:cs="Times New Roman"/>
          <w:sz w:val="24"/>
          <w:szCs w:val="24"/>
          <w:lang w:val="en-US"/>
        </w:rPr>
        <w:t xml:space="preserve">. Greeks </w:t>
      </w:r>
      <w:r w:rsidR="008563F3" w:rsidRPr="002549DE">
        <w:rPr>
          <w:rFonts w:ascii="Times New Roman" w:hAnsi="Times New Roman" w:cs="Times New Roman"/>
          <w:sz w:val="24"/>
          <w:szCs w:val="24"/>
          <w:lang w:val="en-US"/>
        </w:rPr>
        <w:t>prefer</w:t>
      </w:r>
      <w:r w:rsidRPr="002549DE">
        <w:rPr>
          <w:rFonts w:ascii="Times New Roman" w:hAnsi="Times New Roman" w:cs="Times New Roman"/>
          <w:sz w:val="24"/>
          <w:szCs w:val="24"/>
          <w:lang w:val="en-US"/>
        </w:rPr>
        <w:t xml:space="preserve"> </w:t>
      </w:r>
      <w:r w:rsidR="008563F3" w:rsidRPr="002549DE">
        <w:rPr>
          <w:rFonts w:ascii="Times New Roman" w:hAnsi="Times New Roman" w:cs="Times New Roman"/>
          <w:sz w:val="24"/>
          <w:szCs w:val="24"/>
          <w:lang w:val="en-US"/>
        </w:rPr>
        <w:t>a top-down decision-making procedure</w:t>
      </w:r>
      <w:r w:rsidRPr="002549DE">
        <w:rPr>
          <w:rFonts w:ascii="Times New Roman" w:hAnsi="Times New Roman" w:cs="Times New Roman"/>
          <w:sz w:val="24"/>
          <w:szCs w:val="24"/>
          <w:lang w:val="en-US"/>
        </w:rPr>
        <w:t xml:space="preserve">, whereas the Austrian decision-making approach happens to be more participatory and </w:t>
      </w:r>
      <w:r w:rsidR="00330E9E" w:rsidRPr="002549DE">
        <w:rPr>
          <w:rFonts w:ascii="Times New Roman" w:hAnsi="Times New Roman" w:cs="Times New Roman"/>
          <w:sz w:val="24"/>
          <w:szCs w:val="24"/>
          <w:lang w:val="en-US"/>
        </w:rPr>
        <w:t>organized, focusing on collaboration</w:t>
      </w:r>
      <w:r w:rsidRPr="002549DE">
        <w:rPr>
          <w:rFonts w:ascii="Times New Roman" w:hAnsi="Times New Roman" w:cs="Times New Roman"/>
          <w:sz w:val="24"/>
          <w:szCs w:val="24"/>
          <w:lang w:val="en-US"/>
        </w:rPr>
        <w:t xml:space="preserve">. In terms of controlling risks, Tesco should take a more systematic and risk-averse strategy in Austria, </w:t>
      </w:r>
      <w:r w:rsidR="008563F3" w:rsidRPr="002549DE">
        <w:rPr>
          <w:rFonts w:ascii="Times New Roman" w:hAnsi="Times New Roman" w:cs="Times New Roman"/>
          <w:sz w:val="24"/>
          <w:szCs w:val="24"/>
          <w:lang w:val="en-US"/>
        </w:rPr>
        <w:t>to</w:t>
      </w:r>
      <w:r w:rsidRPr="002549DE">
        <w:rPr>
          <w:rFonts w:ascii="Times New Roman" w:hAnsi="Times New Roman" w:cs="Times New Roman"/>
          <w:sz w:val="24"/>
          <w:szCs w:val="24"/>
          <w:lang w:val="en-US"/>
        </w:rPr>
        <w:t xml:space="preserve"> accord with the nation's greater level of risk aversion. The organization might realise that </w:t>
      </w:r>
      <w:r w:rsidR="00330E9E" w:rsidRPr="002549DE">
        <w:rPr>
          <w:rFonts w:ascii="Times New Roman" w:hAnsi="Times New Roman" w:cs="Times New Roman"/>
          <w:sz w:val="24"/>
          <w:szCs w:val="24"/>
          <w:lang w:val="en-US"/>
        </w:rPr>
        <w:t>emphasizing</w:t>
      </w:r>
      <w:r w:rsidRPr="002549DE">
        <w:rPr>
          <w:rFonts w:ascii="Times New Roman" w:hAnsi="Times New Roman" w:cs="Times New Roman"/>
          <w:sz w:val="24"/>
          <w:szCs w:val="24"/>
          <w:lang w:val="en-US"/>
        </w:rPr>
        <w:t xml:space="preserve"> long-term strategies and investment efforts fits perfectly with th</w:t>
      </w:r>
      <w:r w:rsidR="00330E9E" w:rsidRPr="002549DE">
        <w:rPr>
          <w:rFonts w:ascii="Times New Roman" w:hAnsi="Times New Roman" w:cs="Times New Roman"/>
          <w:sz w:val="24"/>
          <w:szCs w:val="24"/>
          <w:lang w:val="en-US"/>
        </w:rPr>
        <w:t>e distinctive culture of Greece</w:t>
      </w:r>
      <w:r w:rsidRPr="002549DE">
        <w:rPr>
          <w:rFonts w:ascii="Times New Roman" w:hAnsi="Times New Roman" w:cs="Times New Roman"/>
          <w:sz w:val="24"/>
          <w:szCs w:val="24"/>
          <w:lang w:val="en-US"/>
        </w:rPr>
        <w:t xml:space="preserve">. Adapting managerial </w:t>
      </w:r>
      <w:r w:rsidR="00330E9E" w:rsidRPr="002549DE">
        <w:rPr>
          <w:rFonts w:ascii="Times New Roman" w:hAnsi="Times New Roman" w:cs="Times New Roman"/>
          <w:sz w:val="24"/>
          <w:szCs w:val="24"/>
          <w:lang w:val="en-US"/>
        </w:rPr>
        <w:t>practices</w:t>
      </w:r>
      <w:r w:rsidRPr="002549DE">
        <w:rPr>
          <w:rFonts w:ascii="Times New Roman" w:hAnsi="Times New Roman" w:cs="Times New Roman"/>
          <w:sz w:val="24"/>
          <w:szCs w:val="24"/>
          <w:lang w:val="en-US"/>
        </w:rPr>
        <w:t>, collaborative relationships, and decision-making approaches depending on cultural norms can considerably increase Tesco's prospects of success in both markets.</w:t>
      </w:r>
    </w:p>
    <w:p w:rsidR="000F5FFF" w:rsidRPr="002549DE" w:rsidRDefault="00330E9E" w:rsidP="002549DE">
      <w:pPr>
        <w:pStyle w:val="2"/>
        <w:rPr>
          <w:lang w:val="en-US"/>
        </w:rPr>
      </w:pPr>
      <w:bookmarkStart w:id="11" w:name="_Toc149511045"/>
      <w:r w:rsidRPr="002549DE">
        <w:rPr>
          <w:lang w:val="en-US"/>
        </w:rPr>
        <w:t>Communication barriers</w:t>
      </w:r>
      <w:bookmarkEnd w:id="11"/>
      <w:r w:rsidRPr="002549DE">
        <w:rPr>
          <w:lang w:val="en-US"/>
        </w:rPr>
        <w:t xml:space="preserve"> </w:t>
      </w:r>
    </w:p>
    <w:p w:rsidR="008563F3" w:rsidRPr="002549DE" w:rsidRDefault="008563F3" w:rsidP="002549DE">
      <w:pPr>
        <w:spacing w:line="360" w:lineRule="auto"/>
        <w:jc w:val="both"/>
        <w:rPr>
          <w:rFonts w:ascii="Times New Roman" w:hAnsi="Times New Roman" w:cs="Times New Roman"/>
          <w:sz w:val="24"/>
          <w:szCs w:val="24"/>
          <w:lang w:val="en-US"/>
        </w:rPr>
      </w:pPr>
    </w:p>
    <w:p w:rsidR="00627BA0" w:rsidRPr="002549DE" w:rsidRDefault="00627BA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Language barriers</w:t>
      </w:r>
    </w:p>
    <w:p w:rsidR="00A0653A" w:rsidRPr="002549DE" w:rsidRDefault="004D3EB4"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Although English competence is better in Austria, each nation could have people with weak English abilities, particularly in certain communities or locations. </w:t>
      </w:r>
      <w:r w:rsidR="00A0653A" w:rsidRPr="002549DE">
        <w:rPr>
          <w:rFonts w:ascii="Times New Roman" w:hAnsi="Times New Roman" w:cs="Times New Roman"/>
          <w:sz w:val="24"/>
          <w:szCs w:val="24"/>
          <w:lang w:val="en-US"/>
        </w:rPr>
        <w:t>Owing to the differences in the spoken language of both countries, it may prove challenging for the business to communicate effectively with employees as well as clients, subsequently having an impact on training and recruitment methods, and in deal</w:t>
      </w:r>
      <w:r w:rsidR="00BA37EF" w:rsidRPr="002549DE">
        <w:rPr>
          <w:rFonts w:ascii="Times New Roman" w:hAnsi="Times New Roman" w:cs="Times New Roman"/>
          <w:sz w:val="24"/>
          <w:szCs w:val="24"/>
          <w:lang w:val="en-US"/>
        </w:rPr>
        <w:t xml:space="preserve">ing with consumers respectively </w:t>
      </w:r>
      <w:r w:rsidR="00BA37EF" w:rsidRPr="002549DE">
        <w:rPr>
          <w:rFonts w:ascii="Times New Roman" w:hAnsi="Times New Roman" w:cs="Times New Roman"/>
          <w:color w:val="222222"/>
          <w:sz w:val="24"/>
          <w:szCs w:val="24"/>
          <w:shd w:val="clear" w:color="auto" w:fill="FFFFFF"/>
        </w:rPr>
        <w:t>(Kitenge and Lahiri, 2022).</w:t>
      </w:r>
      <w:r w:rsidR="00A0653A" w:rsidRPr="002549DE">
        <w:rPr>
          <w:rFonts w:ascii="Times New Roman" w:hAnsi="Times New Roman" w:cs="Times New Roman"/>
          <w:sz w:val="24"/>
          <w:szCs w:val="24"/>
          <w:lang w:val="en-US"/>
        </w:rPr>
        <w:t xml:space="preserve"> In this regard</w:t>
      </w:r>
      <w:r w:rsidR="008563F3" w:rsidRPr="002549DE">
        <w:rPr>
          <w:rFonts w:ascii="Times New Roman" w:hAnsi="Times New Roman" w:cs="Times New Roman"/>
          <w:sz w:val="24"/>
          <w:szCs w:val="24"/>
          <w:lang w:val="en-US"/>
        </w:rPr>
        <w:t>,</w:t>
      </w:r>
      <w:r w:rsidR="00A0653A" w:rsidRPr="002549DE">
        <w:rPr>
          <w:rFonts w:ascii="Times New Roman" w:hAnsi="Times New Roman" w:cs="Times New Roman"/>
          <w:sz w:val="24"/>
          <w:szCs w:val="24"/>
          <w:lang w:val="en-US"/>
        </w:rPr>
        <w:t xml:space="preserve"> both nations have a similar implication for the business.</w:t>
      </w:r>
    </w:p>
    <w:p w:rsidR="00627BA0" w:rsidRPr="002549DE" w:rsidRDefault="00627BA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Cultural Nuances in Communication</w:t>
      </w:r>
    </w:p>
    <w:p w:rsidR="00E97AA1" w:rsidRPr="002549DE" w:rsidRDefault="00E97AA1"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Greece's method of communication is sophisticated, </w:t>
      </w:r>
      <w:r w:rsidR="008563F3" w:rsidRPr="002549DE">
        <w:rPr>
          <w:rFonts w:ascii="Times New Roman" w:hAnsi="Times New Roman" w:cs="Times New Roman"/>
          <w:sz w:val="24"/>
          <w:szCs w:val="24"/>
          <w:lang w:val="en-US"/>
        </w:rPr>
        <w:t>emphasizing</w:t>
      </w:r>
      <w:r w:rsidRPr="002549DE">
        <w:rPr>
          <w:rFonts w:ascii="Times New Roman" w:hAnsi="Times New Roman" w:cs="Times New Roman"/>
          <w:sz w:val="24"/>
          <w:szCs w:val="24"/>
          <w:lang w:val="en-US"/>
        </w:rPr>
        <w:t xml:space="preserve"> nonverbal indications, tone, gesture and visual cues. Incorrect interpretation of such signs may result in miscommunication. Tesco employees may require retraining to learn and embrace Greek interaction conventions </w:t>
      </w:r>
      <w:r w:rsidR="008563F3" w:rsidRPr="002549DE">
        <w:rPr>
          <w:rFonts w:ascii="Times New Roman" w:hAnsi="Times New Roman" w:cs="Times New Roman"/>
          <w:sz w:val="24"/>
          <w:szCs w:val="24"/>
          <w:lang w:val="en-US"/>
        </w:rPr>
        <w:t>to</w:t>
      </w:r>
      <w:r w:rsidRPr="002549DE">
        <w:rPr>
          <w:rFonts w:ascii="Times New Roman" w:hAnsi="Times New Roman" w:cs="Times New Roman"/>
          <w:sz w:val="24"/>
          <w:szCs w:val="24"/>
          <w:lang w:val="en-US"/>
        </w:rPr>
        <w:t xml:space="preserve"> transmit communications effectively and politely.</w:t>
      </w:r>
      <w:r w:rsidR="00A0653A" w:rsidRPr="002549DE">
        <w:rPr>
          <w:rFonts w:ascii="Times New Roman" w:hAnsi="Times New Roman" w:cs="Times New Roman"/>
          <w:sz w:val="24"/>
          <w:szCs w:val="24"/>
          <w:lang w:val="en-US"/>
        </w:rPr>
        <w:t xml:space="preserve"> On the contrary,</w:t>
      </w:r>
      <w:r w:rsidRPr="002549DE">
        <w:rPr>
          <w:rFonts w:ascii="Times New Roman" w:hAnsi="Times New Roman" w:cs="Times New Roman"/>
          <w:sz w:val="24"/>
          <w:szCs w:val="24"/>
          <w:lang w:val="en-US"/>
        </w:rPr>
        <w:t xml:space="preserve"> Austrians prefer open, forthcoming and clear communication </w:t>
      </w:r>
      <w:r w:rsidR="008563F3" w:rsidRPr="002549DE">
        <w:rPr>
          <w:rFonts w:ascii="Times New Roman" w:hAnsi="Times New Roman" w:cs="Times New Roman"/>
          <w:sz w:val="24"/>
          <w:szCs w:val="24"/>
          <w:lang w:val="en-US"/>
        </w:rPr>
        <w:t xml:space="preserve">and </w:t>
      </w:r>
      <w:r w:rsidRPr="002549DE">
        <w:rPr>
          <w:rFonts w:ascii="Times New Roman" w:hAnsi="Times New Roman" w:cs="Times New Roman"/>
          <w:sz w:val="24"/>
          <w:szCs w:val="24"/>
          <w:lang w:val="en-US"/>
        </w:rPr>
        <w:t>hence are often more candid in their exchang</w:t>
      </w:r>
      <w:r w:rsidR="00A60133" w:rsidRPr="002549DE">
        <w:rPr>
          <w:rFonts w:ascii="Times New Roman" w:hAnsi="Times New Roman" w:cs="Times New Roman"/>
          <w:sz w:val="24"/>
          <w:szCs w:val="24"/>
          <w:lang w:val="en-US"/>
        </w:rPr>
        <w:t xml:space="preserve">es </w:t>
      </w:r>
      <w:r w:rsidR="00A60133" w:rsidRPr="002549DE">
        <w:rPr>
          <w:rFonts w:ascii="Times New Roman" w:hAnsi="Times New Roman" w:cs="Times New Roman"/>
          <w:color w:val="222222"/>
          <w:sz w:val="24"/>
          <w:szCs w:val="24"/>
          <w:shd w:val="clear" w:color="auto" w:fill="FFFFFF"/>
        </w:rPr>
        <w:t>(Einwiller, Ruppel and Stranzl, 2021).</w:t>
      </w:r>
      <w:r w:rsidR="00A60133" w:rsidRPr="002549DE">
        <w:rPr>
          <w:rFonts w:ascii="Times New Roman" w:hAnsi="Times New Roman" w:cs="Times New Roman"/>
          <w:sz w:val="24"/>
          <w:szCs w:val="24"/>
          <w:lang w:val="en-US"/>
        </w:rPr>
        <w:t xml:space="preserve"> </w:t>
      </w:r>
      <w:r w:rsidRPr="002549DE">
        <w:rPr>
          <w:rFonts w:ascii="Times New Roman" w:hAnsi="Times New Roman" w:cs="Times New Roman"/>
          <w:sz w:val="24"/>
          <w:szCs w:val="24"/>
          <w:lang w:val="en-US"/>
        </w:rPr>
        <w:t>This wo</w:t>
      </w:r>
      <w:r w:rsidR="00A0653A" w:rsidRPr="002549DE">
        <w:rPr>
          <w:rFonts w:ascii="Times New Roman" w:hAnsi="Times New Roman" w:cs="Times New Roman"/>
          <w:sz w:val="24"/>
          <w:szCs w:val="24"/>
          <w:lang w:val="en-US"/>
        </w:rPr>
        <w:t xml:space="preserve">uld necessitate Tesco employees to be more upfront and clear in their communication and explicitly question consumers in case of any misunderstanding. </w:t>
      </w:r>
    </w:p>
    <w:p w:rsidR="00627BA0" w:rsidRPr="002549DE" w:rsidRDefault="00627BA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Formality in Business Communication</w:t>
      </w:r>
    </w:p>
    <w:p w:rsidR="00E97AA1" w:rsidRPr="002549DE" w:rsidRDefault="00C7585E"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sz w:val="24"/>
          <w:szCs w:val="24"/>
          <w:lang w:val="en-US"/>
        </w:rPr>
        <w:t xml:space="preserve">Along with the nature of communication practices with the consumers, it is also critical to adhere </w:t>
      </w:r>
      <w:r w:rsidR="008563F3" w:rsidRPr="002549DE">
        <w:rPr>
          <w:rFonts w:ascii="Times New Roman" w:hAnsi="Times New Roman" w:cs="Times New Roman"/>
          <w:sz w:val="24"/>
          <w:szCs w:val="24"/>
          <w:lang w:val="en-US"/>
        </w:rPr>
        <w:t xml:space="preserve">to </w:t>
      </w:r>
      <w:r w:rsidRPr="002549DE">
        <w:rPr>
          <w:rFonts w:ascii="Times New Roman" w:hAnsi="Times New Roman" w:cs="Times New Roman"/>
          <w:sz w:val="24"/>
          <w:szCs w:val="24"/>
          <w:lang w:val="en-US"/>
        </w:rPr>
        <w:t xml:space="preserve">the unsaid rules followed while communicating within the organization. </w:t>
      </w:r>
      <w:r w:rsidR="00E97AA1" w:rsidRPr="002549DE">
        <w:rPr>
          <w:rFonts w:ascii="Times New Roman" w:hAnsi="Times New Roman" w:cs="Times New Roman"/>
          <w:sz w:val="24"/>
          <w:szCs w:val="24"/>
          <w:lang w:val="en-US"/>
        </w:rPr>
        <w:t xml:space="preserve">Formalities such as salutations and honorary titles are frequently used </w:t>
      </w:r>
      <w:r w:rsidRPr="002549DE">
        <w:rPr>
          <w:rFonts w:ascii="Times New Roman" w:hAnsi="Times New Roman" w:cs="Times New Roman"/>
          <w:sz w:val="24"/>
          <w:szCs w:val="24"/>
          <w:lang w:val="en-US"/>
        </w:rPr>
        <w:t xml:space="preserve">in Greek business interactions and </w:t>
      </w:r>
      <w:r w:rsidR="00E97AA1" w:rsidRPr="002549DE">
        <w:rPr>
          <w:rFonts w:ascii="Times New Roman" w:hAnsi="Times New Roman" w:cs="Times New Roman"/>
          <w:sz w:val="24"/>
          <w:szCs w:val="24"/>
          <w:lang w:val="en-US"/>
        </w:rPr>
        <w:t>disregarding them can be interpreted as discourte</w:t>
      </w:r>
      <w:r w:rsidR="00BA37EF" w:rsidRPr="002549DE">
        <w:rPr>
          <w:rFonts w:ascii="Times New Roman" w:hAnsi="Times New Roman" w:cs="Times New Roman"/>
          <w:sz w:val="24"/>
          <w:szCs w:val="24"/>
          <w:lang w:val="en-US"/>
        </w:rPr>
        <w:t xml:space="preserve">ous </w:t>
      </w:r>
      <w:r w:rsidR="00BA37EF" w:rsidRPr="002549DE">
        <w:rPr>
          <w:rFonts w:ascii="Times New Roman" w:hAnsi="Times New Roman" w:cs="Times New Roman"/>
          <w:color w:val="222222"/>
          <w:sz w:val="24"/>
          <w:szCs w:val="24"/>
          <w:shd w:val="clear" w:color="auto" w:fill="FFFFFF"/>
        </w:rPr>
        <w:t>(Gaganis, Pasiouras</w:t>
      </w:r>
      <w:r w:rsidR="008563F3" w:rsidRPr="002549DE">
        <w:rPr>
          <w:rFonts w:ascii="Times New Roman" w:hAnsi="Times New Roman" w:cs="Times New Roman"/>
          <w:color w:val="222222"/>
          <w:sz w:val="24"/>
          <w:szCs w:val="24"/>
          <w:shd w:val="clear" w:color="auto" w:fill="FFFFFF"/>
        </w:rPr>
        <w:t xml:space="preserve"> </w:t>
      </w:r>
      <w:r w:rsidR="00BA37EF" w:rsidRPr="002549DE">
        <w:rPr>
          <w:rFonts w:ascii="Times New Roman" w:hAnsi="Times New Roman" w:cs="Times New Roman"/>
          <w:color w:val="222222"/>
          <w:sz w:val="24"/>
          <w:szCs w:val="24"/>
          <w:shd w:val="clear" w:color="auto" w:fill="FFFFFF"/>
        </w:rPr>
        <w:t xml:space="preserve">and Voulgari, 2019). </w:t>
      </w:r>
      <w:r w:rsidR="00E97AA1" w:rsidRPr="002549DE">
        <w:rPr>
          <w:rFonts w:ascii="Times New Roman" w:hAnsi="Times New Roman" w:cs="Times New Roman"/>
          <w:sz w:val="24"/>
          <w:szCs w:val="24"/>
          <w:lang w:val="en-US"/>
        </w:rPr>
        <w:t>Both nations value niceties in commercial communication. Tesco personnel must be conscious of and follow specific social conventions in their dealings with consumers and coworkers.</w:t>
      </w:r>
    </w:p>
    <w:p w:rsidR="00C7585E" w:rsidRPr="002549DE" w:rsidRDefault="00C7585E"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 xml:space="preserve">Impact of </w:t>
      </w:r>
      <w:r w:rsidR="008563F3" w:rsidRPr="002549DE">
        <w:rPr>
          <w:rFonts w:ascii="Times New Roman" w:hAnsi="Times New Roman" w:cs="Times New Roman"/>
          <w:b/>
          <w:sz w:val="24"/>
          <w:szCs w:val="24"/>
          <w:lang w:val="en-US"/>
        </w:rPr>
        <w:t>Ineffective Communication</w:t>
      </w:r>
      <w:r w:rsidRPr="002549DE">
        <w:rPr>
          <w:rFonts w:ascii="Times New Roman" w:hAnsi="Times New Roman" w:cs="Times New Roman"/>
          <w:b/>
          <w:sz w:val="24"/>
          <w:szCs w:val="24"/>
          <w:lang w:val="en-US"/>
        </w:rPr>
        <w:t xml:space="preserve"> on Tesco</w:t>
      </w:r>
    </w:p>
    <w:p w:rsidR="00E97AA1" w:rsidRPr="002549DE" w:rsidRDefault="00E97AA1"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Failures in making decisions, fulfilment of orders, and dispute settle</w:t>
      </w:r>
      <w:r w:rsidR="00C7585E" w:rsidRPr="002549DE">
        <w:rPr>
          <w:rFonts w:ascii="Times New Roman" w:hAnsi="Times New Roman" w:cs="Times New Roman"/>
          <w:sz w:val="24"/>
          <w:szCs w:val="24"/>
          <w:lang w:val="en-US"/>
        </w:rPr>
        <w:t xml:space="preserve">ment are a few results of </w:t>
      </w:r>
      <w:r w:rsidRPr="002549DE">
        <w:rPr>
          <w:rFonts w:ascii="Times New Roman" w:hAnsi="Times New Roman" w:cs="Times New Roman"/>
          <w:sz w:val="24"/>
          <w:szCs w:val="24"/>
          <w:lang w:val="en-US"/>
        </w:rPr>
        <w:t xml:space="preserve">ineffective communication. </w:t>
      </w:r>
      <w:r w:rsidR="00C7585E" w:rsidRPr="002549DE">
        <w:rPr>
          <w:rFonts w:ascii="Times New Roman" w:hAnsi="Times New Roman" w:cs="Times New Roman"/>
          <w:sz w:val="24"/>
          <w:szCs w:val="24"/>
          <w:lang w:val="en-US"/>
        </w:rPr>
        <w:t xml:space="preserve">As communication is the key to </w:t>
      </w:r>
      <w:r w:rsidR="008563F3" w:rsidRPr="002549DE">
        <w:rPr>
          <w:rFonts w:ascii="Times New Roman" w:hAnsi="Times New Roman" w:cs="Times New Roman"/>
          <w:sz w:val="24"/>
          <w:szCs w:val="24"/>
          <w:lang w:val="en-US"/>
        </w:rPr>
        <w:t>understanding</w:t>
      </w:r>
      <w:r w:rsidR="00C7585E" w:rsidRPr="002549DE">
        <w:rPr>
          <w:rFonts w:ascii="Times New Roman" w:hAnsi="Times New Roman" w:cs="Times New Roman"/>
          <w:sz w:val="24"/>
          <w:szCs w:val="24"/>
          <w:lang w:val="en-US"/>
        </w:rPr>
        <w:t xml:space="preserve"> each other</w:t>
      </w:r>
      <w:r w:rsidR="008563F3" w:rsidRPr="002549DE">
        <w:rPr>
          <w:rFonts w:ascii="Times New Roman" w:hAnsi="Times New Roman" w:cs="Times New Roman"/>
          <w:sz w:val="24"/>
          <w:szCs w:val="24"/>
          <w:lang w:val="en-US"/>
        </w:rPr>
        <w:t>,</w:t>
      </w:r>
      <w:r w:rsidR="00C7585E" w:rsidRPr="002549DE">
        <w:rPr>
          <w:rFonts w:ascii="Times New Roman" w:hAnsi="Times New Roman" w:cs="Times New Roman"/>
          <w:sz w:val="24"/>
          <w:szCs w:val="24"/>
          <w:lang w:val="en-US"/>
        </w:rPr>
        <w:t xml:space="preserve"> particularly in a cross-cultural organization, any instances of ineffectiveness </w:t>
      </w:r>
      <w:r w:rsidR="008563F3" w:rsidRPr="002549DE">
        <w:rPr>
          <w:rFonts w:ascii="Times New Roman" w:hAnsi="Times New Roman" w:cs="Times New Roman"/>
          <w:sz w:val="24"/>
          <w:szCs w:val="24"/>
          <w:lang w:val="en-US"/>
        </w:rPr>
        <w:t>have</w:t>
      </w:r>
      <w:r w:rsidRPr="002549DE">
        <w:rPr>
          <w:rFonts w:ascii="Times New Roman" w:hAnsi="Times New Roman" w:cs="Times New Roman"/>
          <w:sz w:val="24"/>
          <w:szCs w:val="24"/>
          <w:lang w:val="en-US"/>
        </w:rPr>
        <w:t xml:space="preserve"> the potential to impede the swiftness of corporate processes. Miscommunication, societal subtleties, or technical standards may contribute to errors in orders, agreements, or production parameters. Consumer discontent, unhappiness, squandered business chances, prospective alliances,</w:t>
      </w:r>
      <w:r w:rsidR="00C7585E" w:rsidRPr="002549DE">
        <w:rPr>
          <w:rFonts w:ascii="Times New Roman" w:hAnsi="Times New Roman" w:cs="Times New Roman"/>
          <w:sz w:val="24"/>
          <w:szCs w:val="24"/>
          <w:lang w:val="en-US"/>
        </w:rPr>
        <w:t xml:space="preserve"> and expansion into new markets are some of the other consequences of poor communication practices.</w:t>
      </w:r>
      <w:r w:rsidRPr="002549DE">
        <w:rPr>
          <w:rFonts w:ascii="Times New Roman" w:hAnsi="Times New Roman" w:cs="Times New Roman"/>
          <w:sz w:val="24"/>
          <w:szCs w:val="24"/>
          <w:lang w:val="en-US"/>
        </w:rPr>
        <w:t xml:space="preserve"> Communication errors or misinterpretations may end up in violation </w:t>
      </w:r>
      <w:r w:rsidR="008563F3" w:rsidRPr="002549DE">
        <w:rPr>
          <w:rFonts w:ascii="Times New Roman" w:hAnsi="Times New Roman" w:cs="Times New Roman"/>
          <w:sz w:val="24"/>
          <w:szCs w:val="24"/>
          <w:lang w:val="en-US"/>
        </w:rPr>
        <w:t>of</w:t>
      </w:r>
      <w:r w:rsidRPr="002549DE">
        <w:rPr>
          <w:rFonts w:ascii="Times New Roman" w:hAnsi="Times New Roman" w:cs="Times New Roman"/>
          <w:sz w:val="24"/>
          <w:szCs w:val="24"/>
          <w:lang w:val="en-US"/>
        </w:rPr>
        <w:t xml:space="preserve"> local rules and guidelines, possibly causing legal ramifications and </w:t>
      </w:r>
      <w:r w:rsidR="00C7585E" w:rsidRPr="002549DE">
        <w:rPr>
          <w:rFonts w:ascii="Times New Roman" w:hAnsi="Times New Roman" w:cs="Times New Roman"/>
          <w:sz w:val="24"/>
          <w:szCs w:val="24"/>
          <w:lang w:val="en-US"/>
        </w:rPr>
        <w:t>jeopardizing</w:t>
      </w:r>
      <w:r w:rsidRPr="002549DE">
        <w:rPr>
          <w:rFonts w:ascii="Times New Roman" w:hAnsi="Times New Roman" w:cs="Times New Roman"/>
          <w:sz w:val="24"/>
          <w:szCs w:val="24"/>
          <w:lang w:val="en-US"/>
        </w:rPr>
        <w:t xml:space="preserve"> relationships. In contrast, Effective communication assists </w:t>
      </w:r>
      <w:r w:rsidR="00C7585E" w:rsidRPr="002549DE">
        <w:rPr>
          <w:rFonts w:ascii="Times New Roman" w:hAnsi="Times New Roman" w:cs="Times New Roman"/>
          <w:sz w:val="24"/>
          <w:szCs w:val="24"/>
          <w:lang w:val="en-US"/>
        </w:rPr>
        <w:t>organizations</w:t>
      </w:r>
      <w:r w:rsidRPr="002549DE">
        <w:rPr>
          <w:rFonts w:ascii="Times New Roman" w:hAnsi="Times New Roman" w:cs="Times New Roman"/>
          <w:sz w:val="24"/>
          <w:szCs w:val="24"/>
          <w:lang w:val="en-US"/>
        </w:rPr>
        <w:t xml:space="preserve"> in navigating cultural disparities, enabling </w:t>
      </w:r>
      <w:r w:rsidR="00C7585E" w:rsidRPr="002549DE">
        <w:rPr>
          <w:rFonts w:ascii="Times New Roman" w:hAnsi="Times New Roman" w:cs="Times New Roman"/>
          <w:sz w:val="24"/>
          <w:szCs w:val="24"/>
          <w:lang w:val="en-US"/>
        </w:rPr>
        <w:t>organizations</w:t>
      </w:r>
      <w:r w:rsidRPr="002549DE">
        <w:rPr>
          <w:rFonts w:ascii="Times New Roman" w:hAnsi="Times New Roman" w:cs="Times New Roman"/>
          <w:sz w:val="24"/>
          <w:szCs w:val="24"/>
          <w:lang w:val="en-US"/>
        </w:rPr>
        <w:t xml:space="preserve"> to thrive in various </w:t>
      </w:r>
      <w:r w:rsidR="00C7585E" w:rsidRPr="002549DE">
        <w:rPr>
          <w:rFonts w:ascii="Times New Roman" w:hAnsi="Times New Roman" w:cs="Times New Roman"/>
          <w:sz w:val="24"/>
          <w:szCs w:val="24"/>
          <w:lang w:val="en-US"/>
        </w:rPr>
        <w:t>marketplaces profitably</w:t>
      </w:r>
      <w:r w:rsidRPr="002549DE">
        <w:rPr>
          <w:rFonts w:ascii="Times New Roman" w:hAnsi="Times New Roman" w:cs="Times New Roman"/>
          <w:sz w:val="24"/>
          <w:szCs w:val="24"/>
          <w:lang w:val="en-US"/>
        </w:rPr>
        <w:t> and with integrity.</w:t>
      </w:r>
      <w:r w:rsidR="00C7585E" w:rsidRPr="002549DE">
        <w:rPr>
          <w:rFonts w:ascii="Times New Roman" w:hAnsi="Times New Roman" w:cs="Times New Roman"/>
          <w:sz w:val="24"/>
          <w:szCs w:val="24"/>
          <w:lang w:val="en-US"/>
        </w:rPr>
        <w:t xml:space="preserve"> Thus Tesco should focus on removing any communication barriers it might face as a result of the expansion.</w:t>
      </w:r>
    </w:p>
    <w:p w:rsidR="008563F3" w:rsidRPr="002549DE" w:rsidRDefault="000F5FFF" w:rsidP="002549DE">
      <w:pPr>
        <w:pStyle w:val="2"/>
        <w:rPr>
          <w:lang w:val="en-US"/>
        </w:rPr>
      </w:pPr>
      <w:bookmarkStart w:id="12" w:name="_Toc149511046"/>
      <w:r w:rsidRPr="002549DE">
        <w:rPr>
          <w:lang w:val="en-US"/>
        </w:rPr>
        <w:t>Strategies to rem</w:t>
      </w:r>
      <w:r w:rsidR="00C7585E" w:rsidRPr="002549DE">
        <w:rPr>
          <w:lang w:val="en-US"/>
        </w:rPr>
        <w:t>ove communication barriers</w:t>
      </w:r>
      <w:bookmarkEnd w:id="12"/>
    </w:p>
    <w:p w:rsidR="000F5FFF" w:rsidRPr="002549DE" w:rsidRDefault="00C7585E" w:rsidP="002549DE">
      <w:pPr>
        <w:pStyle w:val="1"/>
        <w:spacing w:line="360" w:lineRule="auto"/>
        <w:jc w:val="both"/>
        <w:rPr>
          <w:rFonts w:cs="Times New Roman"/>
          <w:sz w:val="24"/>
          <w:szCs w:val="24"/>
          <w:lang w:val="en-US"/>
        </w:rPr>
      </w:pPr>
      <w:r w:rsidRPr="002549DE">
        <w:rPr>
          <w:rFonts w:cs="Times New Roman"/>
          <w:sz w:val="24"/>
          <w:szCs w:val="24"/>
          <w:lang w:val="en-US"/>
        </w:rPr>
        <w:t xml:space="preserve"> </w:t>
      </w:r>
    </w:p>
    <w:p w:rsidR="003129C0" w:rsidRPr="002549DE" w:rsidRDefault="003129C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Diversity training and language support</w:t>
      </w:r>
    </w:p>
    <w:p w:rsidR="00576CFB" w:rsidRPr="002549DE" w:rsidRDefault="00576CFB"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Personnel should be trained in</w:t>
      </w:r>
      <w:r w:rsidR="005E7026" w:rsidRPr="002549DE">
        <w:rPr>
          <w:rFonts w:ascii="Times New Roman" w:hAnsi="Times New Roman" w:cs="Times New Roman"/>
          <w:sz w:val="24"/>
          <w:szCs w:val="24"/>
          <w:lang w:val="en-US"/>
        </w:rPr>
        <w:t xml:space="preserve"> cultural awareness, </w:t>
      </w:r>
      <w:r w:rsidRPr="002549DE">
        <w:rPr>
          <w:rFonts w:ascii="Times New Roman" w:hAnsi="Times New Roman" w:cs="Times New Roman"/>
          <w:sz w:val="24"/>
          <w:szCs w:val="24"/>
          <w:lang w:val="en-US"/>
        </w:rPr>
        <w:t>communication</w:t>
      </w:r>
      <w:r w:rsidR="005E7026" w:rsidRPr="002549DE">
        <w:rPr>
          <w:rFonts w:ascii="Times New Roman" w:hAnsi="Times New Roman" w:cs="Times New Roman"/>
          <w:sz w:val="24"/>
          <w:szCs w:val="24"/>
          <w:lang w:val="en-US"/>
        </w:rPr>
        <w:t xml:space="preserve"> tools, tactics</w:t>
      </w:r>
      <w:r w:rsidRPr="002549DE">
        <w:rPr>
          <w:rFonts w:ascii="Times New Roman" w:hAnsi="Times New Roman" w:cs="Times New Roman"/>
          <w:sz w:val="24"/>
          <w:szCs w:val="24"/>
          <w:lang w:val="en-US"/>
        </w:rPr>
        <w:t xml:space="preserve">, and empathetic terminology. It allows them to comprehend and appreciate diverse points of view and cultures. </w:t>
      </w:r>
      <w:r w:rsidR="005E7026" w:rsidRPr="002549DE">
        <w:rPr>
          <w:rFonts w:ascii="Times New Roman" w:hAnsi="Times New Roman" w:cs="Times New Roman"/>
          <w:sz w:val="24"/>
          <w:szCs w:val="24"/>
          <w:lang w:val="en-US"/>
        </w:rPr>
        <w:t>The organization should p</w:t>
      </w:r>
      <w:r w:rsidRPr="002549DE">
        <w:rPr>
          <w:rFonts w:ascii="Times New Roman" w:hAnsi="Times New Roman" w:cs="Times New Roman"/>
          <w:sz w:val="24"/>
          <w:szCs w:val="24"/>
          <w:lang w:val="en-US"/>
        </w:rPr>
        <w:t>rovide linguistic assistance for staff members lacking </w:t>
      </w:r>
      <w:r w:rsidR="008563F3" w:rsidRPr="002549DE">
        <w:rPr>
          <w:rFonts w:ascii="Times New Roman" w:hAnsi="Times New Roman" w:cs="Times New Roman"/>
          <w:sz w:val="24"/>
          <w:szCs w:val="24"/>
          <w:lang w:val="en-US"/>
        </w:rPr>
        <w:t xml:space="preserve">a </w:t>
      </w:r>
      <w:r w:rsidRPr="002549DE">
        <w:rPr>
          <w:rFonts w:ascii="Times New Roman" w:hAnsi="Times New Roman" w:cs="Times New Roman"/>
          <w:sz w:val="24"/>
          <w:szCs w:val="24"/>
          <w:lang w:val="en-US"/>
        </w:rPr>
        <w:t>grasp to converse in </w:t>
      </w:r>
      <w:r w:rsidR="008563F3" w:rsidRPr="002549DE">
        <w:rPr>
          <w:rFonts w:ascii="Times New Roman" w:hAnsi="Times New Roman" w:cs="Times New Roman"/>
          <w:sz w:val="24"/>
          <w:szCs w:val="24"/>
          <w:lang w:val="en-US"/>
        </w:rPr>
        <w:t xml:space="preserve">the </w:t>
      </w:r>
      <w:r w:rsidRPr="002549DE">
        <w:rPr>
          <w:rFonts w:ascii="Times New Roman" w:hAnsi="Times New Roman" w:cs="Times New Roman"/>
          <w:sz w:val="24"/>
          <w:szCs w:val="24"/>
          <w:lang w:val="en-US"/>
        </w:rPr>
        <w:t>prevalent dialect. It can be done by offering language courses, translatio</w:t>
      </w:r>
      <w:r w:rsidR="00BA37EF" w:rsidRPr="002549DE">
        <w:rPr>
          <w:rFonts w:ascii="Times New Roman" w:hAnsi="Times New Roman" w:cs="Times New Roman"/>
          <w:sz w:val="24"/>
          <w:szCs w:val="24"/>
          <w:lang w:val="en-US"/>
        </w:rPr>
        <w:t xml:space="preserve">n, and cross-cultural resources </w:t>
      </w:r>
      <w:r w:rsidR="00BA37EF" w:rsidRPr="002549DE">
        <w:rPr>
          <w:rFonts w:ascii="Times New Roman" w:hAnsi="Times New Roman" w:cs="Times New Roman"/>
          <w:color w:val="222222"/>
          <w:sz w:val="24"/>
          <w:szCs w:val="24"/>
          <w:shd w:val="clear" w:color="auto" w:fill="FFFFFF"/>
        </w:rPr>
        <w:t>(Kitenge and Lahiri, 2022).</w:t>
      </w:r>
    </w:p>
    <w:p w:rsidR="003129C0" w:rsidRPr="002549DE" w:rsidRDefault="003129C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Clear communication policies and feedback loops</w:t>
      </w:r>
    </w:p>
    <w:p w:rsidR="00DE710B" w:rsidRPr="002549DE" w:rsidRDefault="005E7026"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sz w:val="24"/>
          <w:szCs w:val="24"/>
          <w:lang w:val="en-US"/>
        </w:rPr>
        <w:t xml:space="preserve">Tesco should </w:t>
      </w:r>
      <w:r w:rsidR="00785F7D" w:rsidRPr="002549DE">
        <w:rPr>
          <w:rFonts w:ascii="Times New Roman" w:hAnsi="Times New Roman" w:cs="Times New Roman"/>
          <w:sz w:val="24"/>
          <w:szCs w:val="24"/>
          <w:lang w:val="en-US"/>
        </w:rPr>
        <w:t>Implement explicit communication guidelines clearly laying out the prerequisites for polite and multifaceted int</w:t>
      </w:r>
      <w:r w:rsidRPr="002549DE">
        <w:rPr>
          <w:rFonts w:ascii="Times New Roman" w:hAnsi="Times New Roman" w:cs="Times New Roman"/>
          <w:sz w:val="24"/>
          <w:szCs w:val="24"/>
          <w:lang w:val="en-US"/>
        </w:rPr>
        <w:t>eraction. T</w:t>
      </w:r>
      <w:r w:rsidR="00785F7D" w:rsidRPr="002549DE">
        <w:rPr>
          <w:rFonts w:ascii="Times New Roman" w:hAnsi="Times New Roman" w:cs="Times New Roman"/>
          <w:sz w:val="24"/>
          <w:szCs w:val="24"/>
          <w:lang w:val="en-US"/>
        </w:rPr>
        <w:t>he significance of attentive listening, compassion, and requesting clarification</w:t>
      </w:r>
      <w:r w:rsidRPr="002549DE">
        <w:rPr>
          <w:rFonts w:ascii="Times New Roman" w:hAnsi="Times New Roman" w:cs="Times New Roman"/>
          <w:sz w:val="24"/>
          <w:szCs w:val="24"/>
          <w:lang w:val="en-US"/>
        </w:rPr>
        <w:t xml:space="preserve"> should be encouraged and a </w:t>
      </w:r>
      <w:r w:rsidR="00785F7D" w:rsidRPr="002549DE">
        <w:rPr>
          <w:rFonts w:ascii="Times New Roman" w:hAnsi="Times New Roman" w:cs="Times New Roman"/>
          <w:sz w:val="24"/>
          <w:szCs w:val="24"/>
          <w:lang w:val="en-US"/>
        </w:rPr>
        <w:t xml:space="preserve">feedback mechanism </w:t>
      </w:r>
      <w:r w:rsidRPr="002549DE">
        <w:rPr>
          <w:rFonts w:ascii="Times New Roman" w:hAnsi="Times New Roman" w:cs="Times New Roman"/>
          <w:sz w:val="24"/>
          <w:szCs w:val="24"/>
          <w:lang w:val="en-US"/>
        </w:rPr>
        <w:t xml:space="preserve">must be set up </w:t>
      </w:r>
      <w:r w:rsidR="00785F7D" w:rsidRPr="002549DE">
        <w:rPr>
          <w:rFonts w:ascii="Times New Roman" w:hAnsi="Times New Roman" w:cs="Times New Roman"/>
          <w:sz w:val="24"/>
          <w:szCs w:val="24"/>
          <w:lang w:val="en-US"/>
        </w:rPr>
        <w:t xml:space="preserve">so that staff can submit insight </w:t>
      </w:r>
      <w:r w:rsidR="008563F3" w:rsidRPr="002549DE">
        <w:rPr>
          <w:rFonts w:ascii="Times New Roman" w:hAnsi="Times New Roman" w:cs="Times New Roman"/>
          <w:sz w:val="24"/>
          <w:szCs w:val="24"/>
          <w:lang w:val="en-US"/>
        </w:rPr>
        <w:t>into</w:t>
      </w:r>
      <w:r w:rsidR="00785F7D" w:rsidRPr="002549DE">
        <w:rPr>
          <w:rFonts w:ascii="Times New Roman" w:hAnsi="Times New Roman" w:cs="Times New Roman"/>
          <w:sz w:val="24"/>
          <w:szCs w:val="24"/>
          <w:lang w:val="en-US"/>
        </w:rPr>
        <w:t xml:space="preserve"> c</w:t>
      </w:r>
      <w:r w:rsidR="00BA37EF" w:rsidRPr="002549DE">
        <w:rPr>
          <w:rFonts w:ascii="Times New Roman" w:hAnsi="Times New Roman" w:cs="Times New Roman"/>
          <w:sz w:val="24"/>
          <w:szCs w:val="24"/>
          <w:lang w:val="en-US"/>
        </w:rPr>
        <w:t xml:space="preserve">ommunication problems they face </w:t>
      </w:r>
      <w:r w:rsidR="00BA37EF" w:rsidRPr="002549DE">
        <w:rPr>
          <w:rFonts w:ascii="Times New Roman" w:hAnsi="Times New Roman" w:cs="Times New Roman"/>
          <w:color w:val="222222"/>
          <w:sz w:val="24"/>
          <w:szCs w:val="24"/>
          <w:shd w:val="clear" w:color="auto" w:fill="FFFFFF"/>
        </w:rPr>
        <w:t xml:space="preserve">(Gaganis, </w:t>
      </w:r>
      <w:r w:rsidR="008563F3" w:rsidRPr="002549DE">
        <w:rPr>
          <w:rFonts w:ascii="Times New Roman" w:hAnsi="Times New Roman" w:cs="Times New Roman"/>
          <w:color w:val="222222"/>
          <w:sz w:val="24"/>
          <w:szCs w:val="24"/>
          <w:shd w:val="clear" w:color="auto" w:fill="FFFFFF"/>
        </w:rPr>
        <w:t>Pasiouras and</w:t>
      </w:r>
      <w:r w:rsidR="00BA37EF" w:rsidRPr="002549DE">
        <w:rPr>
          <w:rFonts w:ascii="Times New Roman" w:hAnsi="Times New Roman" w:cs="Times New Roman"/>
          <w:color w:val="222222"/>
          <w:sz w:val="24"/>
          <w:szCs w:val="24"/>
          <w:shd w:val="clear" w:color="auto" w:fill="FFFFFF"/>
        </w:rPr>
        <w:t xml:space="preserve"> Voulgari, 2019).</w:t>
      </w:r>
      <w:r w:rsidR="00785F7D" w:rsidRPr="002549DE">
        <w:rPr>
          <w:rFonts w:ascii="Times New Roman" w:hAnsi="Times New Roman" w:cs="Times New Roman"/>
          <w:sz w:val="24"/>
          <w:szCs w:val="24"/>
          <w:lang w:val="en-US"/>
        </w:rPr>
        <w:t xml:space="preserve"> This information</w:t>
      </w:r>
      <w:r w:rsidRPr="002549DE">
        <w:rPr>
          <w:rFonts w:ascii="Times New Roman" w:hAnsi="Times New Roman" w:cs="Times New Roman"/>
          <w:sz w:val="24"/>
          <w:szCs w:val="24"/>
          <w:lang w:val="en-US"/>
        </w:rPr>
        <w:t xml:space="preserve"> from the </w:t>
      </w:r>
      <w:r w:rsidR="008563F3" w:rsidRPr="002549DE">
        <w:rPr>
          <w:rFonts w:ascii="Times New Roman" w:hAnsi="Times New Roman" w:cs="Times New Roman"/>
          <w:sz w:val="24"/>
          <w:szCs w:val="24"/>
          <w:lang w:val="en-US"/>
        </w:rPr>
        <w:t>feedback</w:t>
      </w:r>
      <w:r w:rsidR="00785F7D" w:rsidRPr="002549DE">
        <w:rPr>
          <w:rFonts w:ascii="Times New Roman" w:hAnsi="Times New Roman" w:cs="Times New Roman"/>
          <w:sz w:val="24"/>
          <w:szCs w:val="24"/>
          <w:lang w:val="en-US"/>
        </w:rPr>
        <w:t xml:space="preserve"> can be </w:t>
      </w:r>
      <w:r w:rsidR="008563F3" w:rsidRPr="002549DE">
        <w:rPr>
          <w:rFonts w:ascii="Times New Roman" w:hAnsi="Times New Roman" w:cs="Times New Roman"/>
          <w:sz w:val="24"/>
          <w:szCs w:val="24"/>
          <w:lang w:val="en-US"/>
        </w:rPr>
        <w:t>utilised</w:t>
      </w:r>
      <w:r w:rsidR="00785F7D" w:rsidRPr="002549DE">
        <w:rPr>
          <w:rFonts w:ascii="Times New Roman" w:hAnsi="Times New Roman" w:cs="Times New Roman"/>
          <w:sz w:val="24"/>
          <w:szCs w:val="24"/>
          <w:lang w:val="en-US"/>
        </w:rPr>
        <w:t xml:space="preserve"> for any necessary changes or betterment.</w:t>
      </w:r>
    </w:p>
    <w:p w:rsidR="003129C0" w:rsidRPr="002549DE" w:rsidRDefault="003129C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Cultural Awareness and Representation</w:t>
      </w:r>
    </w:p>
    <w:p w:rsidR="00DE710B" w:rsidRPr="002549DE" w:rsidRDefault="005E7026"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Tesco should Organize</w:t>
      </w:r>
      <w:r w:rsidR="00DE710B" w:rsidRPr="002549DE">
        <w:rPr>
          <w:rFonts w:ascii="Times New Roman" w:hAnsi="Times New Roman" w:cs="Times New Roman"/>
          <w:sz w:val="24"/>
          <w:szCs w:val="24"/>
          <w:lang w:val="en-US"/>
        </w:rPr>
        <w:t xml:space="preserve"> cultural sensitivity lectures and conferences, allowing special guests or professionals to share their thoughts on various cultural conventions, </w:t>
      </w:r>
      <w:r w:rsidRPr="002549DE">
        <w:rPr>
          <w:rFonts w:ascii="Times New Roman" w:hAnsi="Times New Roman" w:cs="Times New Roman"/>
          <w:sz w:val="24"/>
          <w:szCs w:val="24"/>
          <w:lang w:val="en-US"/>
        </w:rPr>
        <w:t>practices</w:t>
      </w:r>
      <w:r w:rsidR="00DE710B" w:rsidRPr="002549DE">
        <w:rPr>
          <w:rFonts w:ascii="Times New Roman" w:hAnsi="Times New Roman" w:cs="Times New Roman"/>
          <w:sz w:val="24"/>
          <w:szCs w:val="24"/>
          <w:lang w:val="en-US"/>
        </w:rPr>
        <w:t>,</w:t>
      </w:r>
      <w:r w:rsidRPr="002549DE">
        <w:rPr>
          <w:rFonts w:ascii="Times New Roman" w:hAnsi="Times New Roman" w:cs="Times New Roman"/>
          <w:sz w:val="24"/>
          <w:szCs w:val="24"/>
          <w:lang w:val="en-US"/>
        </w:rPr>
        <w:t xml:space="preserve"> and communication patterns. It should be ensured that managerial </w:t>
      </w:r>
      <w:r w:rsidR="00DE710B" w:rsidRPr="002549DE">
        <w:rPr>
          <w:rFonts w:ascii="Times New Roman" w:hAnsi="Times New Roman" w:cs="Times New Roman"/>
          <w:sz w:val="24"/>
          <w:szCs w:val="24"/>
          <w:lang w:val="en-US"/>
        </w:rPr>
        <w:t xml:space="preserve">roles are diverse in order to represent a wide range of views </w:t>
      </w:r>
      <w:r w:rsidRPr="002549DE">
        <w:rPr>
          <w:rFonts w:ascii="Times New Roman" w:hAnsi="Times New Roman" w:cs="Times New Roman"/>
          <w:sz w:val="24"/>
          <w:szCs w:val="24"/>
          <w:lang w:val="en-US"/>
        </w:rPr>
        <w:t xml:space="preserve">and experiences and </w:t>
      </w:r>
      <w:r w:rsidR="00DE710B" w:rsidRPr="002549DE">
        <w:rPr>
          <w:rFonts w:ascii="Times New Roman" w:hAnsi="Times New Roman" w:cs="Times New Roman"/>
          <w:sz w:val="24"/>
          <w:szCs w:val="24"/>
          <w:lang w:val="en-US"/>
        </w:rPr>
        <w:t>create</w:t>
      </w:r>
      <w:r w:rsidRPr="002549DE">
        <w:rPr>
          <w:rFonts w:ascii="Times New Roman" w:hAnsi="Times New Roman" w:cs="Times New Roman"/>
          <w:sz w:val="24"/>
          <w:szCs w:val="24"/>
          <w:lang w:val="en-US"/>
        </w:rPr>
        <w:t xml:space="preserve"> a more welcoming workplace, </w:t>
      </w:r>
      <w:r w:rsidR="00DE710B" w:rsidRPr="002549DE">
        <w:rPr>
          <w:rFonts w:ascii="Times New Roman" w:hAnsi="Times New Roman" w:cs="Times New Roman"/>
          <w:sz w:val="24"/>
          <w:szCs w:val="24"/>
          <w:lang w:val="en-US"/>
        </w:rPr>
        <w:t>set</w:t>
      </w:r>
      <w:r w:rsidRPr="002549DE">
        <w:rPr>
          <w:rFonts w:ascii="Times New Roman" w:hAnsi="Times New Roman" w:cs="Times New Roman"/>
          <w:sz w:val="24"/>
          <w:szCs w:val="24"/>
          <w:lang w:val="en-US"/>
        </w:rPr>
        <w:t>ting</w:t>
      </w:r>
      <w:r w:rsidR="00DE710B" w:rsidRPr="002549DE">
        <w:rPr>
          <w:rFonts w:ascii="Times New Roman" w:hAnsi="Times New Roman" w:cs="Times New Roman"/>
          <w:sz w:val="24"/>
          <w:szCs w:val="24"/>
          <w:lang w:val="en-US"/>
        </w:rPr>
        <w:t xml:space="preserve"> a good example of professional communication.</w:t>
      </w:r>
    </w:p>
    <w:p w:rsidR="003129C0" w:rsidRPr="002549DE" w:rsidRDefault="003129C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 xml:space="preserve">Clear Communication Channels </w:t>
      </w:r>
    </w:p>
    <w:p w:rsidR="00DE710B" w:rsidRPr="002549DE" w:rsidRDefault="005E7026"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U</w:t>
      </w:r>
      <w:r w:rsidR="00DE710B" w:rsidRPr="002549DE">
        <w:rPr>
          <w:rFonts w:ascii="Times New Roman" w:hAnsi="Times New Roman" w:cs="Times New Roman"/>
          <w:sz w:val="24"/>
          <w:szCs w:val="24"/>
          <w:lang w:val="en-US"/>
        </w:rPr>
        <w:t xml:space="preserve">nrestricted channels of communication </w:t>
      </w:r>
      <w:r w:rsidRPr="002549DE">
        <w:rPr>
          <w:rFonts w:ascii="Times New Roman" w:hAnsi="Times New Roman" w:cs="Times New Roman"/>
          <w:sz w:val="24"/>
          <w:szCs w:val="24"/>
          <w:lang w:val="en-US"/>
        </w:rPr>
        <w:t xml:space="preserve">should be established </w:t>
      </w:r>
      <w:r w:rsidR="00DE710B" w:rsidRPr="002549DE">
        <w:rPr>
          <w:rFonts w:ascii="Times New Roman" w:hAnsi="Times New Roman" w:cs="Times New Roman"/>
          <w:sz w:val="24"/>
          <w:szCs w:val="24"/>
          <w:lang w:val="en-US"/>
        </w:rPr>
        <w:t xml:space="preserve">throughout the </w:t>
      </w:r>
      <w:r w:rsidR="002549DE">
        <w:rPr>
          <w:rFonts w:ascii="Times New Roman" w:hAnsi="Times New Roman" w:cs="Times New Roman"/>
          <w:sz w:val="24"/>
          <w:szCs w:val="24"/>
          <w:lang w:val="en-US"/>
        </w:rPr>
        <w:t>organiz</w:t>
      </w:r>
      <w:r w:rsidRPr="002549DE">
        <w:rPr>
          <w:rFonts w:ascii="Times New Roman" w:hAnsi="Times New Roman" w:cs="Times New Roman"/>
          <w:sz w:val="24"/>
          <w:szCs w:val="24"/>
          <w:lang w:val="en-US"/>
        </w:rPr>
        <w:t xml:space="preserve">ation, including </w:t>
      </w:r>
      <w:r w:rsidR="00DE710B" w:rsidRPr="002549DE">
        <w:rPr>
          <w:rFonts w:ascii="Times New Roman" w:hAnsi="Times New Roman" w:cs="Times New Roman"/>
          <w:sz w:val="24"/>
          <w:szCs w:val="24"/>
          <w:lang w:val="en-US"/>
        </w:rPr>
        <w:t>periodic team sessions, discussion boards, and feedback loops that</w:t>
      </w:r>
      <w:r w:rsidRPr="002549DE">
        <w:rPr>
          <w:rFonts w:ascii="Times New Roman" w:hAnsi="Times New Roman" w:cs="Times New Roman"/>
          <w:sz w:val="24"/>
          <w:szCs w:val="24"/>
          <w:lang w:val="en-US"/>
        </w:rPr>
        <w:t xml:space="preserve"> are readily accessible. T</w:t>
      </w:r>
      <w:r w:rsidR="00DE710B" w:rsidRPr="002549DE">
        <w:rPr>
          <w:rFonts w:ascii="Times New Roman" w:hAnsi="Times New Roman" w:cs="Times New Roman"/>
          <w:sz w:val="24"/>
          <w:szCs w:val="24"/>
          <w:lang w:val="en-US"/>
        </w:rPr>
        <w:t>raining concerning dispute settlement and successful communication</w:t>
      </w:r>
      <w:r w:rsidRPr="002549DE">
        <w:rPr>
          <w:rFonts w:ascii="Times New Roman" w:hAnsi="Times New Roman" w:cs="Times New Roman"/>
          <w:sz w:val="24"/>
          <w:szCs w:val="24"/>
          <w:lang w:val="en-US"/>
        </w:rPr>
        <w:t xml:space="preserve"> strategies should be imparted, giving</w:t>
      </w:r>
      <w:r w:rsidR="00DE710B" w:rsidRPr="002549DE">
        <w:rPr>
          <w:rFonts w:ascii="Times New Roman" w:hAnsi="Times New Roman" w:cs="Times New Roman"/>
          <w:sz w:val="24"/>
          <w:szCs w:val="24"/>
          <w:lang w:val="en-US"/>
        </w:rPr>
        <w:t xml:space="preserve"> personnel the skills they need to deal with miscommunication or conflicts in a positive way.</w:t>
      </w:r>
    </w:p>
    <w:p w:rsidR="003129C0" w:rsidRPr="002549DE" w:rsidRDefault="003129C0" w:rsidP="002549DE">
      <w:pPr>
        <w:spacing w:line="360" w:lineRule="auto"/>
        <w:jc w:val="both"/>
        <w:rPr>
          <w:rFonts w:ascii="Times New Roman" w:hAnsi="Times New Roman" w:cs="Times New Roman"/>
          <w:b/>
          <w:sz w:val="24"/>
          <w:szCs w:val="24"/>
          <w:lang w:val="en-US"/>
        </w:rPr>
      </w:pPr>
      <w:r w:rsidRPr="002549DE">
        <w:rPr>
          <w:rFonts w:ascii="Times New Roman" w:hAnsi="Times New Roman" w:cs="Times New Roman"/>
          <w:b/>
          <w:sz w:val="24"/>
          <w:szCs w:val="24"/>
          <w:lang w:val="en-US"/>
        </w:rPr>
        <w:t>Technology and content</w:t>
      </w:r>
    </w:p>
    <w:p w:rsidR="00DE710B" w:rsidRPr="002549DE" w:rsidRDefault="005E7026"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Innovative tools can be used to </w:t>
      </w:r>
      <w:r w:rsidR="00DE710B" w:rsidRPr="002549DE">
        <w:rPr>
          <w:rFonts w:ascii="Times New Roman" w:hAnsi="Times New Roman" w:cs="Times New Roman"/>
          <w:sz w:val="24"/>
          <w:szCs w:val="24"/>
          <w:lang w:val="en-US"/>
        </w:rPr>
        <w:t xml:space="preserve">address a variety </w:t>
      </w:r>
      <w:r w:rsidRPr="002549DE">
        <w:rPr>
          <w:rFonts w:ascii="Times New Roman" w:hAnsi="Times New Roman" w:cs="Times New Roman"/>
          <w:sz w:val="24"/>
          <w:szCs w:val="24"/>
          <w:lang w:val="en-US"/>
        </w:rPr>
        <w:t>of communication requirements including t</w:t>
      </w:r>
      <w:r w:rsidR="00DE710B" w:rsidRPr="002549DE">
        <w:rPr>
          <w:rFonts w:ascii="Times New Roman" w:hAnsi="Times New Roman" w:cs="Times New Roman"/>
          <w:sz w:val="24"/>
          <w:szCs w:val="24"/>
          <w:lang w:val="en-US"/>
        </w:rPr>
        <w:t>ranslation applications, teleconferences, and multil</w:t>
      </w:r>
      <w:r w:rsidRPr="002549DE">
        <w:rPr>
          <w:rFonts w:ascii="Times New Roman" w:hAnsi="Times New Roman" w:cs="Times New Roman"/>
          <w:sz w:val="24"/>
          <w:szCs w:val="24"/>
          <w:lang w:val="en-US"/>
        </w:rPr>
        <w:t>ingual materials. A</w:t>
      </w:r>
      <w:r w:rsidR="00DE710B" w:rsidRPr="002549DE">
        <w:rPr>
          <w:rFonts w:ascii="Times New Roman" w:hAnsi="Times New Roman" w:cs="Times New Roman"/>
          <w:sz w:val="24"/>
          <w:szCs w:val="24"/>
          <w:lang w:val="en-US"/>
        </w:rPr>
        <w:t xml:space="preserve">dvertising materials, signs and information that </w:t>
      </w:r>
      <w:r w:rsidR="008563F3" w:rsidRPr="002549DE">
        <w:rPr>
          <w:rFonts w:ascii="Times New Roman" w:hAnsi="Times New Roman" w:cs="Times New Roman"/>
          <w:sz w:val="24"/>
          <w:szCs w:val="24"/>
          <w:lang w:val="en-US"/>
        </w:rPr>
        <w:t>incorporate</w:t>
      </w:r>
      <w:r w:rsidR="00DE710B" w:rsidRPr="002549DE">
        <w:rPr>
          <w:rFonts w:ascii="Times New Roman" w:hAnsi="Times New Roman" w:cs="Times New Roman"/>
          <w:sz w:val="24"/>
          <w:szCs w:val="24"/>
          <w:lang w:val="en-US"/>
        </w:rPr>
        <w:t xml:space="preserve"> multiple languages including cultural allusions</w:t>
      </w:r>
      <w:r w:rsidRPr="002549DE">
        <w:rPr>
          <w:rFonts w:ascii="Times New Roman" w:hAnsi="Times New Roman" w:cs="Times New Roman"/>
          <w:sz w:val="24"/>
          <w:szCs w:val="24"/>
          <w:lang w:val="en-US"/>
        </w:rPr>
        <w:t xml:space="preserve"> must be developed </w:t>
      </w:r>
      <w:r w:rsidR="008563F3" w:rsidRPr="002549DE">
        <w:rPr>
          <w:rFonts w:ascii="Times New Roman" w:hAnsi="Times New Roman" w:cs="Times New Roman"/>
          <w:sz w:val="24"/>
          <w:szCs w:val="24"/>
          <w:lang w:val="en-US"/>
        </w:rPr>
        <w:t>to ensure</w:t>
      </w:r>
      <w:r w:rsidRPr="002549DE">
        <w:rPr>
          <w:rFonts w:ascii="Times New Roman" w:hAnsi="Times New Roman" w:cs="Times New Roman"/>
          <w:sz w:val="24"/>
          <w:szCs w:val="24"/>
          <w:lang w:val="en-US"/>
        </w:rPr>
        <w:t xml:space="preserve"> easy accessi</w:t>
      </w:r>
      <w:r w:rsidR="00B75C1C" w:rsidRPr="002549DE">
        <w:rPr>
          <w:rFonts w:ascii="Times New Roman" w:hAnsi="Times New Roman" w:cs="Times New Roman"/>
          <w:sz w:val="24"/>
          <w:szCs w:val="24"/>
          <w:lang w:val="en-US"/>
        </w:rPr>
        <w:t>bi</w:t>
      </w:r>
      <w:r w:rsidRPr="002549DE">
        <w:rPr>
          <w:rFonts w:ascii="Times New Roman" w:hAnsi="Times New Roman" w:cs="Times New Roman"/>
          <w:sz w:val="24"/>
          <w:szCs w:val="24"/>
          <w:lang w:val="en-US"/>
        </w:rPr>
        <w:t>lity and comprehension.</w:t>
      </w:r>
    </w:p>
    <w:p w:rsidR="008563F3" w:rsidRPr="002549DE" w:rsidRDefault="008563F3" w:rsidP="002549DE">
      <w:pPr>
        <w:pStyle w:val="2"/>
        <w:rPr>
          <w:lang w:val="en-US"/>
        </w:rPr>
      </w:pPr>
      <w:bookmarkStart w:id="13" w:name="_Toc149511047"/>
      <w:r w:rsidRPr="002549DE">
        <w:rPr>
          <w:lang w:val="en-US"/>
        </w:rPr>
        <w:t>Recommendation for expansion</w:t>
      </w:r>
      <w:bookmarkEnd w:id="13"/>
      <w:r w:rsidRPr="002549DE">
        <w:rPr>
          <w:lang w:val="en-US"/>
        </w:rPr>
        <w:t xml:space="preserve"> </w:t>
      </w:r>
    </w:p>
    <w:p w:rsidR="008563F3" w:rsidRPr="002549DE" w:rsidRDefault="008563F3" w:rsidP="002549DE">
      <w:pPr>
        <w:spacing w:line="360" w:lineRule="auto"/>
        <w:jc w:val="both"/>
        <w:rPr>
          <w:rFonts w:ascii="Times New Roman" w:hAnsi="Times New Roman" w:cs="Times New Roman"/>
          <w:sz w:val="24"/>
          <w:szCs w:val="24"/>
          <w:lang w:val="en-US"/>
        </w:rPr>
      </w:pPr>
    </w:p>
    <w:p w:rsidR="008563F3" w:rsidRPr="002549DE" w:rsidRDefault="008563F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Both countries have their pros and cons while evaluating the most strategic expansion location for Tesco. However after a careful analysis of each factor, it can be concluded that Greece with its exponential market potential, high tourism influence, and compatible cultural appeal offers the best market opportunities for Tesco. As Tesco is recovering from economic downturns, it has a relatively low market entry cost. With the availability of abundant and inexpensive staff, the operational costs are likely to be lower. The Greek market aligns perfectly with Tesco’s mission and vision.</w:t>
      </w:r>
    </w:p>
    <w:p w:rsidR="008563F3" w:rsidRPr="002549DE" w:rsidRDefault="008563F3" w:rsidP="002549DE">
      <w:pPr>
        <w:spacing w:line="360" w:lineRule="auto"/>
        <w:jc w:val="both"/>
        <w:rPr>
          <w:rFonts w:ascii="Times New Roman" w:hAnsi="Times New Roman" w:cs="Times New Roman"/>
          <w:sz w:val="24"/>
          <w:szCs w:val="24"/>
          <w:lang w:val="en-US"/>
        </w:rPr>
      </w:pPr>
    </w:p>
    <w:p w:rsidR="008563F3" w:rsidRPr="002549DE" w:rsidRDefault="008563F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br w:type="page"/>
      </w:r>
    </w:p>
    <w:p w:rsidR="000F5FFF" w:rsidRPr="002549DE" w:rsidRDefault="00B75C1C" w:rsidP="002549DE">
      <w:pPr>
        <w:pStyle w:val="1"/>
      </w:pPr>
      <w:bookmarkStart w:id="14" w:name="_Toc149511048"/>
      <w:r w:rsidRPr="002549DE">
        <w:t>Conclusion</w:t>
      </w:r>
      <w:bookmarkEnd w:id="14"/>
    </w:p>
    <w:p w:rsidR="002549DE" w:rsidRPr="002549DE" w:rsidRDefault="002549DE" w:rsidP="002549DE">
      <w:pPr>
        <w:rPr>
          <w:lang w:val="en-US"/>
        </w:rPr>
      </w:pPr>
    </w:p>
    <w:p w:rsidR="00B75C1C" w:rsidRPr="002549DE" w:rsidRDefault="00B75C1C"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t xml:space="preserve">It is not easy for a business to decide its place for expansion, particularly for an </w:t>
      </w:r>
      <w:r w:rsidR="002549DE">
        <w:rPr>
          <w:rFonts w:ascii="Times New Roman" w:hAnsi="Times New Roman" w:cs="Times New Roman"/>
          <w:sz w:val="24"/>
          <w:szCs w:val="24"/>
          <w:lang w:val="en-US"/>
        </w:rPr>
        <w:t>organiz</w:t>
      </w:r>
      <w:r w:rsidR="002549DE" w:rsidRPr="002549DE">
        <w:rPr>
          <w:rFonts w:ascii="Times New Roman" w:hAnsi="Times New Roman" w:cs="Times New Roman"/>
          <w:sz w:val="24"/>
          <w:szCs w:val="24"/>
          <w:lang w:val="en-US"/>
        </w:rPr>
        <w:t>ation</w:t>
      </w:r>
      <w:r w:rsidRPr="002549DE">
        <w:rPr>
          <w:rFonts w:ascii="Times New Roman" w:hAnsi="Times New Roman" w:cs="Times New Roman"/>
          <w:sz w:val="24"/>
          <w:szCs w:val="24"/>
          <w:lang w:val="en-US"/>
        </w:rPr>
        <w:t xml:space="preserve"> as large as Tesco. After evaluating two potentially profitable countries, Greece and Austria, it can be observed that although Austria with its stable economy, affluent consumer base, and central location seems an attractive option, Greece with its exponential market potential, expanding tourist base, and cultural fit can be more profitable for Tesco in the long run.</w:t>
      </w:r>
    </w:p>
    <w:p w:rsidR="008563F3" w:rsidRPr="002549DE" w:rsidRDefault="008563F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sz w:val="24"/>
          <w:szCs w:val="24"/>
          <w:lang w:val="en-US"/>
        </w:rPr>
        <w:br w:type="page"/>
      </w:r>
    </w:p>
    <w:p w:rsidR="00B75C1C" w:rsidRDefault="00B75C1C" w:rsidP="002549DE">
      <w:pPr>
        <w:pStyle w:val="1"/>
        <w:rPr>
          <w:lang w:val="en-US"/>
        </w:rPr>
      </w:pPr>
      <w:bookmarkStart w:id="15" w:name="_Toc149511049"/>
      <w:r w:rsidRPr="002549DE">
        <w:rPr>
          <w:lang w:val="en-US"/>
        </w:rPr>
        <w:t>References</w:t>
      </w:r>
      <w:bookmarkEnd w:id="15"/>
    </w:p>
    <w:p w:rsidR="002549DE" w:rsidRPr="002549DE" w:rsidRDefault="002549DE" w:rsidP="002549DE">
      <w:pPr>
        <w:rPr>
          <w:lang w:val="en-US"/>
        </w:rPr>
      </w:pPr>
    </w:p>
    <w:p w:rsidR="00B75C1C" w:rsidRPr="002549DE" w:rsidRDefault="00B75C1C"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color w:val="222222"/>
          <w:sz w:val="24"/>
          <w:szCs w:val="24"/>
          <w:shd w:val="clear" w:color="auto" w:fill="FFFFFF"/>
        </w:rPr>
        <w:t xml:space="preserve">Charalambakis, E.C. and Garrett, I., </w:t>
      </w:r>
      <w:r w:rsidR="00A60133" w:rsidRPr="002549DE">
        <w:rPr>
          <w:rFonts w:ascii="Times New Roman" w:hAnsi="Times New Roman" w:cs="Times New Roman"/>
          <w:color w:val="222222"/>
          <w:sz w:val="24"/>
          <w:szCs w:val="24"/>
          <w:shd w:val="clear" w:color="auto" w:fill="FFFFFF"/>
        </w:rPr>
        <w:t>(</w:t>
      </w:r>
      <w:r w:rsidRPr="002549DE">
        <w:rPr>
          <w:rFonts w:ascii="Times New Roman" w:hAnsi="Times New Roman" w:cs="Times New Roman"/>
          <w:color w:val="222222"/>
          <w:sz w:val="24"/>
          <w:szCs w:val="24"/>
          <w:shd w:val="clear" w:color="auto" w:fill="FFFFFF"/>
        </w:rPr>
        <w:t>2019</w:t>
      </w:r>
      <w:r w:rsidR="00A60133" w:rsidRPr="002549DE">
        <w:rPr>
          <w:rFonts w:ascii="Times New Roman" w:hAnsi="Times New Roman" w:cs="Times New Roman"/>
          <w:color w:val="222222"/>
          <w:sz w:val="24"/>
          <w:szCs w:val="24"/>
          <w:shd w:val="clear" w:color="auto" w:fill="FFFFFF"/>
        </w:rPr>
        <w:t>)</w:t>
      </w:r>
      <w:r w:rsidRPr="002549DE">
        <w:rPr>
          <w:rFonts w:ascii="Times New Roman" w:hAnsi="Times New Roman" w:cs="Times New Roman"/>
          <w:color w:val="222222"/>
          <w:sz w:val="24"/>
          <w:szCs w:val="24"/>
          <w:shd w:val="clear" w:color="auto" w:fill="FFFFFF"/>
        </w:rPr>
        <w:t>. On corporate financial distress prediction: What can we learn from private firms in a developing economy? Evidence from Greece. </w:t>
      </w:r>
      <w:r w:rsidRPr="002549DE">
        <w:rPr>
          <w:rFonts w:ascii="Times New Roman" w:hAnsi="Times New Roman" w:cs="Times New Roman"/>
          <w:i/>
          <w:iCs/>
          <w:color w:val="222222"/>
          <w:sz w:val="24"/>
          <w:szCs w:val="24"/>
          <w:shd w:val="clear" w:color="auto" w:fill="FFFFFF"/>
        </w:rPr>
        <w:t>Review of Quantitative Finance and Accounting</w:t>
      </w:r>
      <w:r w:rsidRPr="002549DE">
        <w:rPr>
          <w:rFonts w:ascii="Times New Roman" w:hAnsi="Times New Roman" w:cs="Times New Roman"/>
          <w:color w:val="222222"/>
          <w:sz w:val="24"/>
          <w:szCs w:val="24"/>
          <w:shd w:val="clear" w:color="auto" w:fill="FFFFFF"/>
        </w:rPr>
        <w:t>, </w:t>
      </w:r>
      <w:r w:rsidRPr="002549DE">
        <w:rPr>
          <w:rFonts w:ascii="Times New Roman" w:hAnsi="Times New Roman" w:cs="Times New Roman"/>
          <w:i/>
          <w:iCs/>
          <w:color w:val="222222"/>
          <w:sz w:val="24"/>
          <w:szCs w:val="24"/>
          <w:shd w:val="clear" w:color="auto" w:fill="FFFFFF"/>
        </w:rPr>
        <w:t>52</w:t>
      </w:r>
      <w:r w:rsidRPr="002549DE">
        <w:rPr>
          <w:rFonts w:ascii="Times New Roman" w:hAnsi="Times New Roman" w:cs="Times New Roman"/>
          <w:color w:val="222222"/>
          <w:sz w:val="24"/>
          <w:szCs w:val="24"/>
          <w:shd w:val="clear" w:color="auto" w:fill="FFFFFF"/>
        </w:rPr>
        <w:t>(2), pp.467-491.</w:t>
      </w:r>
      <w:r w:rsidR="00A60133" w:rsidRPr="002549DE">
        <w:rPr>
          <w:rFonts w:ascii="Times New Roman" w:hAnsi="Times New Roman" w:cs="Times New Roman"/>
          <w:color w:val="222222"/>
          <w:sz w:val="24"/>
          <w:szCs w:val="24"/>
          <w:shd w:val="clear" w:color="auto" w:fill="FFFFFF"/>
        </w:rPr>
        <w:t xml:space="preserve"> </w:t>
      </w:r>
    </w:p>
    <w:p w:rsidR="00B75C1C" w:rsidRPr="002549DE" w:rsidRDefault="00A60133"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color w:val="222222"/>
          <w:sz w:val="24"/>
          <w:szCs w:val="24"/>
          <w:shd w:val="clear" w:color="auto" w:fill="FFFFFF"/>
        </w:rPr>
        <w:t>Einwiller, S., Ruppel, C. and Stranzl, J., (2021). Achieving employee support during the COVID-19 pandemic–the role of relational and informational crisis communication in Austrian organizations. </w:t>
      </w:r>
      <w:r w:rsidRPr="002549DE">
        <w:rPr>
          <w:rFonts w:ascii="Times New Roman" w:hAnsi="Times New Roman" w:cs="Times New Roman"/>
          <w:i/>
          <w:iCs/>
          <w:color w:val="222222"/>
          <w:sz w:val="24"/>
          <w:szCs w:val="24"/>
          <w:shd w:val="clear" w:color="auto" w:fill="FFFFFF"/>
        </w:rPr>
        <w:t>Journal of Communication Management</w:t>
      </w:r>
      <w:r w:rsidRPr="002549DE">
        <w:rPr>
          <w:rFonts w:ascii="Times New Roman" w:hAnsi="Times New Roman" w:cs="Times New Roman"/>
          <w:color w:val="222222"/>
          <w:sz w:val="24"/>
          <w:szCs w:val="24"/>
          <w:shd w:val="clear" w:color="auto" w:fill="FFFFFF"/>
        </w:rPr>
        <w:t>, </w:t>
      </w:r>
      <w:r w:rsidRPr="002549DE">
        <w:rPr>
          <w:rFonts w:ascii="Times New Roman" w:hAnsi="Times New Roman" w:cs="Times New Roman"/>
          <w:i/>
          <w:iCs/>
          <w:color w:val="222222"/>
          <w:sz w:val="24"/>
          <w:szCs w:val="24"/>
          <w:shd w:val="clear" w:color="auto" w:fill="FFFFFF"/>
        </w:rPr>
        <w:t>25</w:t>
      </w:r>
      <w:r w:rsidRPr="002549DE">
        <w:rPr>
          <w:rFonts w:ascii="Times New Roman" w:hAnsi="Times New Roman" w:cs="Times New Roman"/>
          <w:color w:val="222222"/>
          <w:sz w:val="24"/>
          <w:szCs w:val="24"/>
          <w:shd w:val="clear" w:color="auto" w:fill="FFFFFF"/>
        </w:rPr>
        <w:t xml:space="preserve">(3), pp.233-255. </w:t>
      </w:r>
    </w:p>
    <w:p w:rsidR="00A60133" w:rsidRPr="002549DE" w:rsidRDefault="00A60133"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color w:val="222222"/>
          <w:sz w:val="24"/>
          <w:szCs w:val="24"/>
          <w:shd w:val="clear" w:color="auto" w:fill="FFFFFF"/>
        </w:rPr>
        <w:t>Ervasti, H., Kouvo, A. and Venetoklis, T., (2019). Social and institutional trust in times of crisis: Greece, 2002–2011. </w:t>
      </w:r>
      <w:r w:rsidRPr="002549DE">
        <w:rPr>
          <w:rFonts w:ascii="Times New Roman" w:hAnsi="Times New Roman" w:cs="Times New Roman"/>
          <w:i/>
          <w:iCs/>
          <w:color w:val="222222"/>
          <w:sz w:val="24"/>
          <w:szCs w:val="24"/>
          <w:shd w:val="clear" w:color="auto" w:fill="FFFFFF"/>
        </w:rPr>
        <w:t>Social Indicators Research</w:t>
      </w:r>
      <w:r w:rsidRPr="002549DE">
        <w:rPr>
          <w:rFonts w:ascii="Times New Roman" w:hAnsi="Times New Roman" w:cs="Times New Roman"/>
          <w:color w:val="222222"/>
          <w:sz w:val="24"/>
          <w:szCs w:val="24"/>
          <w:shd w:val="clear" w:color="auto" w:fill="FFFFFF"/>
        </w:rPr>
        <w:t>, </w:t>
      </w:r>
      <w:r w:rsidRPr="002549DE">
        <w:rPr>
          <w:rFonts w:ascii="Times New Roman" w:hAnsi="Times New Roman" w:cs="Times New Roman"/>
          <w:i/>
          <w:iCs/>
          <w:color w:val="222222"/>
          <w:sz w:val="24"/>
          <w:szCs w:val="24"/>
          <w:shd w:val="clear" w:color="auto" w:fill="FFFFFF"/>
        </w:rPr>
        <w:t>141</w:t>
      </w:r>
      <w:r w:rsidRPr="002549DE">
        <w:rPr>
          <w:rFonts w:ascii="Times New Roman" w:hAnsi="Times New Roman" w:cs="Times New Roman"/>
          <w:color w:val="222222"/>
          <w:sz w:val="24"/>
          <w:szCs w:val="24"/>
          <w:shd w:val="clear" w:color="auto" w:fill="FFFFFF"/>
        </w:rPr>
        <w:t xml:space="preserve">, pp.1207-1231. </w:t>
      </w:r>
    </w:p>
    <w:p w:rsidR="00BA37EF" w:rsidRPr="002549DE" w:rsidRDefault="00BA37EF"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color w:val="222222"/>
          <w:sz w:val="24"/>
          <w:szCs w:val="24"/>
          <w:shd w:val="clear" w:color="auto" w:fill="FFFFFF"/>
        </w:rPr>
        <w:t xml:space="preserve">Gaganis, C., Pasiouras, F. and Voulgari, F., </w:t>
      </w:r>
      <w:r w:rsidR="008563F3" w:rsidRPr="002549DE">
        <w:rPr>
          <w:rFonts w:ascii="Times New Roman" w:hAnsi="Times New Roman" w:cs="Times New Roman"/>
          <w:color w:val="222222"/>
          <w:sz w:val="24"/>
          <w:szCs w:val="24"/>
          <w:shd w:val="clear" w:color="auto" w:fill="FFFFFF"/>
        </w:rPr>
        <w:t>(</w:t>
      </w:r>
      <w:r w:rsidRPr="002549DE">
        <w:rPr>
          <w:rFonts w:ascii="Times New Roman" w:hAnsi="Times New Roman" w:cs="Times New Roman"/>
          <w:color w:val="222222"/>
          <w:sz w:val="24"/>
          <w:szCs w:val="24"/>
          <w:shd w:val="clear" w:color="auto" w:fill="FFFFFF"/>
        </w:rPr>
        <w:t>2019</w:t>
      </w:r>
      <w:r w:rsidR="008563F3" w:rsidRPr="002549DE">
        <w:rPr>
          <w:rFonts w:ascii="Times New Roman" w:hAnsi="Times New Roman" w:cs="Times New Roman"/>
          <w:color w:val="222222"/>
          <w:sz w:val="24"/>
          <w:szCs w:val="24"/>
          <w:shd w:val="clear" w:color="auto" w:fill="FFFFFF"/>
        </w:rPr>
        <w:t>)</w:t>
      </w:r>
      <w:r w:rsidRPr="002549DE">
        <w:rPr>
          <w:rFonts w:ascii="Times New Roman" w:hAnsi="Times New Roman" w:cs="Times New Roman"/>
          <w:color w:val="222222"/>
          <w:sz w:val="24"/>
          <w:szCs w:val="24"/>
          <w:shd w:val="clear" w:color="auto" w:fill="FFFFFF"/>
        </w:rPr>
        <w:t>. Culture, business environment and SMEs' profitability: Evidence from European Countries. </w:t>
      </w:r>
      <w:r w:rsidRPr="002549DE">
        <w:rPr>
          <w:rFonts w:ascii="Times New Roman" w:hAnsi="Times New Roman" w:cs="Times New Roman"/>
          <w:i/>
          <w:iCs/>
          <w:color w:val="222222"/>
          <w:sz w:val="24"/>
          <w:szCs w:val="24"/>
          <w:shd w:val="clear" w:color="auto" w:fill="FFFFFF"/>
        </w:rPr>
        <w:t>Economic Modelling</w:t>
      </w:r>
      <w:r w:rsidRPr="002549DE">
        <w:rPr>
          <w:rFonts w:ascii="Times New Roman" w:hAnsi="Times New Roman" w:cs="Times New Roman"/>
          <w:color w:val="222222"/>
          <w:sz w:val="24"/>
          <w:szCs w:val="24"/>
          <w:shd w:val="clear" w:color="auto" w:fill="FFFFFF"/>
        </w:rPr>
        <w:t>, </w:t>
      </w:r>
      <w:r w:rsidRPr="002549DE">
        <w:rPr>
          <w:rFonts w:ascii="Times New Roman" w:hAnsi="Times New Roman" w:cs="Times New Roman"/>
          <w:i/>
          <w:iCs/>
          <w:color w:val="222222"/>
          <w:sz w:val="24"/>
          <w:szCs w:val="24"/>
          <w:shd w:val="clear" w:color="auto" w:fill="FFFFFF"/>
        </w:rPr>
        <w:t>78</w:t>
      </w:r>
      <w:r w:rsidRPr="002549DE">
        <w:rPr>
          <w:rFonts w:ascii="Times New Roman" w:hAnsi="Times New Roman" w:cs="Times New Roman"/>
          <w:color w:val="222222"/>
          <w:sz w:val="24"/>
          <w:szCs w:val="24"/>
          <w:shd w:val="clear" w:color="auto" w:fill="FFFFFF"/>
        </w:rPr>
        <w:t xml:space="preserve">, pp.275-292. </w:t>
      </w:r>
    </w:p>
    <w:p w:rsidR="00A60133" w:rsidRPr="002549DE" w:rsidRDefault="00A60133" w:rsidP="002549DE">
      <w:pPr>
        <w:spacing w:line="360" w:lineRule="auto"/>
        <w:jc w:val="both"/>
        <w:rPr>
          <w:rFonts w:ascii="Times New Roman" w:hAnsi="Times New Roman" w:cs="Times New Roman"/>
          <w:sz w:val="24"/>
          <w:szCs w:val="24"/>
          <w:lang w:val="en-US"/>
        </w:rPr>
      </w:pPr>
      <w:r w:rsidRPr="002549DE">
        <w:rPr>
          <w:rFonts w:ascii="Times New Roman" w:hAnsi="Times New Roman" w:cs="Times New Roman"/>
          <w:color w:val="222222"/>
          <w:sz w:val="24"/>
          <w:szCs w:val="24"/>
          <w:shd w:val="clear" w:color="auto" w:fill="FFFFFF"/>
        </w:rPr>
        <w:t>Giannoulakis, S. and Sakellaris, P., (2023). Financial crises, firm‐level shocks and large downturns: Evidence from Greece. </w:t>
      </w:r>
      <w:r w:rsidRPr="002549DE">
        <w:rPr>
          <w:rFonts w:ascii="Times New Roman" w:hAnsi="Times New Roman" w:cs="Times New Roman"/>
          <w:i/>
          <w:iCs/>
          <w:color w:val="222222"/>
          <w:sz w:val="24"/>
          <w:szCs w:val="24"/>
          <w:shd w:val="clear" w:color="auto" w:fill="FFFFFF"/>
        </w:rPr>
        <w:t>International Journal of Finance &amp; Economics</w:t>
      </w:r>
      <w:r w:rsidRPr="002549DE">
        <w:rPr>
          <w:rFonts w:ascii="Times New Roman" w:hAnsi="Times New Roman" w:cs="Times New Roman"/>
          <w:color w:val="222222"/>
          <w:sz w:val="24"/>
          <w:szCs w:val="24"/>
          <w:shd w:val="clear" w:color="auto" w:fill="FFFFFF"/>
        </w:rPr>
        <w:t>, </w:t>
      </w:r>
      <w:r w:rsidRPr="002549DE">
        <w:rPr>
          <w:rFonts w:ascii="Times New Roman" w:hAnsi="Times New Roman" w:cs="Times New Roman"/>
          <w:i/>
          <w:iCs/>
          <w:color w:val="222222"/>
          <w:sz w:val="24"/>
          <w:szCs w:val="24"/>
          <w:shd w:val="clear" w:color="auto" w:fill="FFFFFF"/>
        </w:rPr>
        <w:t>28</w:t>
      </w:r>
      <w:r w:rsidRPr="002549DE">
        <w:rPr>
          <w:rFonts w:ascii="Times New Roman" w:hAnsi="Times New Roman" w:cs="Times New Roman"/>
          <w:color w:val="222222"/>
          <w:sz w:val="24"/>
          <w:szCs w:val="24"/>
          <w:shd w:val="clear" w:color="auto" w:fill="FFFFFF"/>
        </w:rPr>
        <w:t xml:space="preserve">(2), pp.1549-1562. </w:t>
      </w:r>
    </w:p>
    <w:p w:rsidR="00BA37EF" w:rsidRPr="002549DE" w:rsidRDefault="00BA37EF" w:rsidP="002549DE">
      <w:pPr>
        <w:pStyle w:val="a5"/>
        <w:spacing w:before="0" w:beforeAutospacing="0" w:after="240" w:afterAutospacing="0" w:line="360" w:lineRule="auto"/>
        <w:jc w:val="both"/>
        <w:rPr>
          <w:color w:val="222222"/>
          <w:shd w:val="clear" w:color="auto" w:fill="FFFFFF"/>
        </w:rPr>
      </w:pPr>
      <w:r w:rsidRPr="002549DE">
        <w:rPr>
          <w:color w:val="222222"/>
          <w:shd w:val="clear" w:color="auto" w:fill="FFFFFF"/>
        </w:rPr>
        <w:t xml:space="preserve">Kitenge, E. and Lahiri, S., </w:t>
      </w:r>
      <w:r w:rsidR="00FF63E3" w:rsidRPr="002549DE">
        <w:rPr>
          <w:color w:val="222222"/>
          <w:shd w:val="clear" w:color="auto" w:fill="FFFFFF"/>
        </w:rPr>
        <w:t>(</w:t>
      </w:r>
      <w:r w:rsidRPr="002549DE">
        <w:rPr>
          <w:color w:val="222222"/>
          <w:shd w:val="clear" w:color="auto" w:fill="FFFFFF"/>
        </w:rPr>
        <w:t>2022</w:t>
      </w:r>
      <w:r w:rsidR="00FF63E3" w:rsidRPr="002549DE">
        <w:rPr>
          <w:color w:val="222222"/>
          <w:shd w:val="clear" w:color="auto" w:fill="FFFFFF"/>
        </w:rPr>
        <w:t>)</w:t>
      </w:r>
      <w:r w:rsidRPr="002549DE">
        <w:rPr>
          <w:color w:val="222222"/>
          <w:shd w:val="clear" w:color="auto" w:fill="FFFFFF"/>
        </w:rPr>
        <w:t xml:space="preserve">. Is the Internet bringing down language‐based barriers to international </w:t>
      </w:r>
      <w:r w:rsidR="008563F3" w:rsidRPr="002549DE">
        <w:rPr>
          <w:color w:val="222222"/>
          <w:shd w:val="clear" w:color="auto" w:fill="FFFFFF"/>
        </w:rPr>
        <w:t>trade?</w:t>
      </w:r>
      <w:r w:rsidRPr="002549DE">
        <w:rPr>
          <w:color w:val="222222"/>
          <w:shd w:val="clear" w:color="auto" w:fill="FFFFFF"/>
        </w:rPr>
        <w:t> </w:t>
      </w:r>
      <w:r w:rsidRPr="002549DE">
        <w:rPr>
          <w:i/>
          <w:iCs/>
          <w:color w:val="222222"/>
          <w:shd w:val="clear" w:color="auto" w:fill="FFFFFF"/>
        </w:rPr>
        <w:t>Review of International Economics</w:t>
      </w:r>
      <w:r w:rsidRPr="002549DE">
        <w:rPr>
          <w:color w:val="222222"/>
          <w:shd w:val="clear" w:color="auto" w:fill="FFFFFF"/>
        </w:rPr>
        <w:t>, </w:t>
      </w:r>
      <w:r w:rsidRPr="002549DE">
        <w:rPr>
          <w:i/>
          <w:iCs/>
          <w:color w:val="222222"/>
          <w:shd w:val="clear" w:color="auto" w:fill="FFFFFF"/>
        </w:rPr>
        <w:t>30</w:t>
      </w:r>
      <w:r w:rsidRPr="002549DE">
        <w:rPr>
          <w:color w:val="222222"/>
          <w:shd w:val="clear" w:color="auto" w:fill="FFFFFF"/>
        </w:rPr>
        <w:t xml:space="preserve">(2), pp.566-605. </w:t>
      </w:r>
    </w:p>
    <w:p w:rsidR="00FF63E3" w:rsidRPr="002549DE" w:rsidRDefault="00FF63E3" w:rsidP="002549DE">
      <w:pPr>
        <w:pStyle w:val="a5"/>
        <w:spacing w:before="0" w:beforeAutospacing="0" w:after="240" w:afterAutospacing="0" w:line="360" w:lineRule="auto"/>
        <w:jc w:val="both"/>
        <w:rPr>
          <w:color w:val="222222"/>
          <w:shd w:val="clear" w:color="auto" w:fill="FFFFFF"/>
        </w:rPr>
      </w:pPr>
      <w:r w:rsidRPr="002549DE">
        <w:rPr>
          <w:color w:val="222222"/>
          <w:shd w:val="clear" w:color="auto" w:fill="FFFFFF"/>
        </w:rPr>
        <w:t xml:space="preserve">Liargovas, P., Anastasiou, A., Komninos, D. and Dermatis, Z., </w:t>
      </w:r>
      <w:r w:rsidR="008563F3" w:rsidRPr="002549DE">
        <w:rPr>
          <w:color w:val="222222"/>
          <w:shd w:val="clear" w:color="auto" w:fill="FFFFFF"/>
        </w:rPr>
        <w:t>(</w:t>
      </w:r>
      <w:r w:rsidRPr="002549DE">
        <w:rPr>
          <w:color w:val="222222"/>
          <w:shd w:val="clear" w:color="auto" w:fill="FFFFFF"/>
        </w:rPr>
        <w:t>2019</w:t>
      </w:r>
      <w:r w:rsidR="008563F3" w:rsidRPr="002549DE">
        <w:rPr>
          <w:color w:val="222222"/>
          <w:shd w:val="clear" w:color="auto" w:fill="FFFFFF"/>
        </w:rPr>
        <w:t>)</w:t>
      </w:r>
      <w:r w:rsidRPr="002549DE">
        <w:rPr>
          <w:color w:val="222222"/>
          <w:shd w:val="clear" w:color="auto" w:fill="FFFFFF"/>
        </w:rPr>
        <w:t xml:space="preserve">. " The role of capital controls in the period of the economic crisis: How was the Greek trading culture </w:t>
      </w:r>
      <w:r w:rsidR="008563F3" w:rsidRPr="002549DE">
        <w:rPr>
          <w:color w:val="222222"/>
          <w:shd w:val="clear" w:color="auto" w:fill="FFFFFF"/>
        </w:rPr>
        <w:t>formed?</w:t>
      </w:r>
      <w:r w:rsidRPr="002549DE">
        <w:rPr>
          <w:color w:val="222222"/>
          <w:shd w:val="clear" w:color="auto" w:fill="FFFFFF"/>
        </w:rPr>
        <w:t> </w:t>
      </w:r>
      <w:r w:rsidRPr="002549DE">
        <w:rPr>
          <w:i/>
          <w:iCs/>
          <w:color w:val="222222"/>
          <w:shd w:val="clear" w:color="auto" w:fill="FFFFFF"/>
        </w:rPr>
        <w:t>Noble International Journal of Economics and Financial Research</w:t>
      </w:r>
      <w:r w:rsidRPr="002549DE">
        <w:rPr>
          <w:color w:val="222222"/>
          <w:shd w:val="clear" w:color="auto" w:fill="FFFFFF"/>
        </w:rPr>
        <w:t>, </w:t>
      </w:r>
      <w:r w:rsidRPr="002549DE">
        <w:rPr>
          <w:i/>
          <w:iCs/>
          <w:color w:val="222222"/>
          <w:shd w:val="clear" w:color="auto" w:fill="FFFFFF"/>
        </w:rPr>
        <w:t>4</w:t>
      </w:r>
      <w:r w:rsidRPr="002549DE">
        <w:rPr>
          <w:color w:val="222222"/>
          <w:shd w:val="clear" w:color="auto" w:fill="FFFFFF"/>
        </w:rPr>
        <w:t xml:space="preserve">(8), pp.76-82. </w:t>
      </w:r>
    </w:p>
    <w:p w:rsidR="002549DE" w:rsidRPr="002549DE" w:rsidRDefault="002549DE" w:rsidP="002549DE">
      <w:pPr>
        <w:spacing w:line="360" w:lineRule="auto"/>
        <w:jc w:val="both"/>
        <w:rPr>
          <w:rFonts w:ascii="Times New Roman" w:hAnsi="Times New Roman" w:cs="Times New Roman"/>
          <w:color w:val="222222"/>
          <w:sz w:val="24"/>
          <w:szCs w:val="24"/>
          <w:shd w:val="clear" w:color="auto" w:fill="FFFFFF"/>
        </w:rPr>
      </w:pPr>
      <w:r w:rsidRPr="002549DE">
        <w:rPr>
          <w:rFonts w:ascii="Times New Roman" w:hAnsi="Times New Roman" w:cs="Times New Roman"/>
          <w:color w:val="222222"/>
          <w:sz w:val="24"/>
          <w:szCs w:val="24"/>
          <w:shd w:val="clear" w:color="auto" w:fill="FFFFFF"/>
        </w:rPr>
        <w:t>Mayr, S., Mitter, C., Kücher, A. and Duller, C., (2021). Entrepreneur characteristics and differences in reasons for business failure: evidence from bankrupt Austrian SMEs. </w:t>
      </w:r>
      <w:r w:rsidRPr="002549DE">
        <w:rPr>
          <w:rFonts w:ascii="Times New Roman" w:hAnsi="Times New Roman" w:cs="Times New Roman"/>
          <w:i/>
          <w:iCs/>
          <w:color w:val="222222"/>
          <w:sz w:val="24"/>
          <w:szCs w:val="24"/>
          <w:shd w:val="clear" w:color="auto" w:fill="FFFFFF"/>
        </w:rPr>
        <w:t>Journal of Small Business &amp; Entrepreneurship</w:t>
      </w:r>
      <w:r w:rsidRPr="002549DE">
        <w:rPr>
          <w:rFonts w:ascii="Times New Roman" w:hAnsi="Times New Roman" w:cs="Times New Roman"/>
          <w:color w:val="222222"/>
          <w:sz w:val="24"/>
          <w:szCs w:val="24"/>
          <w:shd w:val="clear" w:color="auto" w:fill="FFFFFF"/>
        </w:rPr>
        <w:t>, </w:t>
      </w:r>
      <w:r w:rsidRPr="002549DE">
        <w:rPr>
          <w:rFonts w:ascii="Times New Roman" w:hAnsi="Times New Roman" w:cs="Times New Roman"/>
          <w:i/>
          <w:iCs/>
          <w:color w:val="222222"/>
          <w:sz w:val="24"/>
          <w:szCs w:val="24"/>
          <w:shd w:val="clear" w:color="auto" w:fill="FFFFFF"/>
        </w:rPr>
        <w:t>33</w:t>
      </w:r>
      <w:r w:rsidRPr="002549DE">
        <w:rPr>
          <w:rFonts w:ascii="Times New Roman" w:hAnsi="Times New Roman" w:cs="Times New Roman"/>
          <w:color w:val="222222"/>
          <w:sz w:val="24"/>
          <w:szCs w:val="24"/>
          <w:shd w:val="clear" w:color="auto" w:fill="FFFFFF"/>
        </w:rPr>
        <w:t xml:space="preserve">(5), pp.539-558. </w:t>
      </w:r>
    </w:p>
    <w:p w:rsidR="00FF63E3" w:rsidRPr="002549DE" w:rsidRDefault="00FF63E3" w:rsidP="002549DE">
      <w:pPr>
        <w:pStyle w:val="a5"/>
        <w:spacing w:before="0" w:beforeAutospacing="0" w:after="240" w:afterAutospacing="0" w:line="360" w:lineRule="auto"/>
        <w:jc w:val="both"/>
        <w:rPr>
          <w:color w:val="222222"/>
          <w:shd w:val="clear" w:color="auto" w:fill="FFFFFF"/>
        </w:rPr>
      </w:pPr>
      <w:r w:rsidRPr="002549DE">
        <w:rPr>
          <w:color w:val="222222"/>
          <w:shd w:val="clear" w:color="auto" w:fill="FFFFFF"/>
        </w:rPr>
        <w:t xml:space="preserve">Rodolaki, C. and Barakos, G., </w:t>
      </w:r>
      <w:r w:rsidR="008563F3" w:rsidRPr="002549DE">
        <w:rPr>
          <w:color w:val="222222"/>
          <w:shd w:val="clear" w:color="auto" w:fill="FFFFFF"/>
        </w:rPr>
        <w:t>(</w:t>
      </w:r>
      <w:r w:rsidRPr="002549DE">
        <w:rPr>
          <w:color w:val="222222"/>
          <w:shd w:val="clear" w:color="auto" w:fill="FFFFFF"/>
        </w:rPr>
        <w:t>2023</w:t>
      </w:r>
      <w:r w:rsidR="008563F3" w:rsidRPr="002549DE">
        <w:rPr>
          <w:color w:val="222222"/>
          <w:shd w:val="clear" w:color="auto" w:fill="FFFFFF"/>
        </w:rPr>
        <w:t>)</w:t>
      </w:r>
      <w:r w:rsidRPr="002549DE">
        <w:rPr>
          <w:color w:val="222222"/>
          <w:shd w:val="clear" w:color="auto" w:fill="FFFFFF"/>
        </w:rPr>
        <w:t>. Understanding the Social License to Operate from a Cultural Perspective: The Case Studies of Australia, Greece, and India. </w:t>
      </w:r>
      <w:r w:rsidRPr="002549DE">
        <w:rPr>
          <w:i/>
          <w:iCs/>
          <w:color w:val="222222"/>
          <w:shd w:val="clear" w:color="auto" w:fill="FFFFFF"/>
        </w:rPr>
        <w:t>Materials Proceedings</w:t>
      </w:r>
      <w:r w:rsidRPr="002549DE">
        <w:rPr>
          <w:color w:val="222222"/>
          <w:shd w:val="clear" w:color="auto" w:fill="FFFFFF"/>
        </w:rPr>
        <w:t>, </w:t>
      </w:r>
      <w:r w:rsidRPr="002549DE">
        <w:rPr>
          <w:i/>
          <w:iCs/>
          <w:color w:val="222222"/>
          <w:shd w:val="clear" w:color="auto" w:fill="FFFFFF"/>
        </w:rPr>
        <w:t>15</w:t>
      </w:r>
      <w:r w:rsidRPr="002549DE">
        <w:rPr>
          <w:color w:val="222222"/>
          <w:shd w:val="clear" w:color="auto" w:fill="FFFFFF"/>
        </w:rPr>
        <w:t xml:space="preserve">(1), p.3. </w:t>
      </w:r>
    </w:p>
    <w:p w:rsidR="00BA37EF" w:rsidRPr="002549DE" w:rsidRDefault="00BA37EF" w:rsidP="002549DE">
      <w:pPr>
        <w:pStyle w:val="a5"/>
        <w:spacing w:before="0" w:beforeAutospacing="0" w:after="240" w:afterAutospacing="0" w:line="360" w:lineRule="auto"/>
        <w:jc w:val="both"/>
      </w:pPr>
      <w:r w:rsidRPr="002549DE">
        <w:t xml:space="preserve">Statista. (2023). </w:t>
      </w:r>
      <w:r w:rsidRPr="002549DE">
        <w:rPr>
          <w:i/>
          <w:iCs/>
        </w:rPr>
        <w:t>Greece: retail trade total sales (volume) index 2022</w:t>
      </w:r>
      <w:r w:rsidRPr="002549DE">
        <w:t>. [online] Available at: https://www.statista.com/statistics/426493/retail-trade-sales-volume-index-european-union-greece/</w:t>
      </w:r>
    </w:p>
    <w:sectPr w:rsidR="00BA37EF" w:rsidRPr="002549D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48E" w:rsidRDefault="002A448E" w:rsidP="002549DE">
      <w:pPr>
        <w:spacing w:after="0" w:line="240" w:lineRule="auto"/>
      </w:pPr>
      <w:r>
        <w:separator/>
      </w:r>
    </w:p>
  </w:endnote>
  <w:endnote w:type="continuationSeparator" w:id="0">
    <w:p w:rsidR="002A448E" w:rsidRDefault="002A448E" w:rsidP="0025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744415"/>
      <w:docPartObj>
        <w:docPartGallery w:val="Page Numbers (Bottom of Page)"/>
        <w:docPartUnique/>
      </w:docPartObj>
    </w:sdtPr>
    <w:sdtEndPr>
      <w:rPr>
        <w:noProof/>
      </w:rPr>
    </w:sdtEndPr>
    <w:sdtContent>
      <w:p w:rsidR="002549DE" w:rsidRDefault="002549DE">
        <w:pPr>
          <w:pStyle w:val="a9"/>
          <w:jc w:val="center"/>
        </w:pPr>
        <w:r>
          <w:fldChar w:fldCharType="begin"/>
        </w:r>
        <w:r>
          <w:instrText xml:space="preserve"> PAGE   \* MERGEFORMAT </w:instrText>
        </w:r>
        <w:r>
          <w:fldChar w:fldCharType="separate"/>
        </w:r>
        <w:r w:rsidR="00E51354">
          <w:rPr>
            <w:noProof/>
          </w:rPr>
          <w:t>14</w:t>
        </w:r>
        <w:r>
          <w:rPr>
            <w:noProof/>
          </w:rPr>
          <w:fldChar w:fldCharType="end"/>
        </w:r>
      </w:p>
    </w:sdtContent>
  </w:sdt>
  <w:p w:rsidR="002549DE" w:rsidRDefault="002549DE">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48E" w:rsidRDefault="002A448E" w:rsidP="002549DE">
      <w:pPr>
        <w:spacing w:after="0" w:line="240" w:lineRule="auto"/>
      </w:pPr>
      <w:r>
        <w:separator/>
      </w:r>
    </w:p>
  </w:footnote>
  <w:footnote w:type="continuationSeparator" w:id="0">
    <w:p w:rsidR="002A448E" w:rsidRDefault="002A448E" w:rsidP="002549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FFF"/>
    <w:rsid w:val="00022A05"/>
    <w:rsid w:val="00035198"/>
    <w:rsid w:val="00071288"/>
    <w:rsid w:val="000F5FFF"/>
    <w:rsid w:val="001B4BA1"/>
    <w:rsid w:val="002549DE"/>
    <w:rsid w:val="002A448E"/>
    <w:rsid w:val="002B00CC"/>
    <w:rsid w:val="003129C0"/>
    <w:rsid w:val="00330E9E"/>
    <w:rsid w:val="00401603"/>
    <w:rsid w:val="004C3CB7"/>
    <w:rsid w:val="004D3EB4"/>
    <w:rsid w:val="00527021"/>
    <w:rsid w:val="00527A77"/>
    <w:rsid w:val="00576CFB"/>
    <w:rsid w:val="005E7026"/>
    <w:rsid w:val="00627BA0"/>
    <w:rsid w:val="006E5B4A"/>
    <w:rsid w:val="0074593A"/>
    <w:rsid w:val="00754458"/>
    <w:rsid w:val="00785F7D"/>
    <w:rsid w:val="007F56AD"/>
    <w:rsid w:val="0081797A"/>
    <w:rsid w:val="008563F3"/>
    <w:rsid w:val="008B7238"/>
    <w:rsid w:val="009D5634"/>
    <w:rsid w:val="00A0653A"/>
    <w:rsid w:val="00A60133"/>
    <w:rsid w:val="00B75C1C"/>
    <w:rsid w:val="00BA37EF"/>
    <w:rsid w:val="00BF5188"/>
    <w:rsid w:val="00C7585E"/>
    <w:rsid w:val="00CF6EF5"/>
    <w:rsid w:val="00D13C25"/>
    <w:rsid w:val="00D33250"/>
    <w:rsid w:val="00D423BF"/>
    <w:rsid w:val="00DE710B"/>
    <w:rsid w:val="00E51354"/>
    <w:rsid w:val="00E97AA1"/>
    <w:rsid w:val="00EE5F70"/>
    <w:rsid w:val="00F15440"/>
    <w:rsid w:val="00F45444"/>
    <w:rsid w:val="00F5408C"/>
    <w:rsid w:val="00F84AD9"/>
    <w:rsid w:val="00F92D68"/>
    <w:rsid w:val="00FF63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BC90E"/>
  <w15:chartTrackingRefBased/>
  <w15:docId w15:val="{2F6F350C-7E01-480C-A66A-07F76FFE9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22A05"/>
    <w:pPr>
      <w:keepNext/>
      <w:keepLines/>
      <w:spacing w:before="240" w:after="0"/>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FF63E3"/>
    <w:pPr>
      <w:keepNext/>
      <w:keepLines/>
      <w:spacing w:before="40" w:after="0"/>
      <w:jc w:val="both"/>
      <w:outlineLvl w:val="1"/>
    </w:pPr>
    <w:rPr>
      <w:rFonts w:ascii="Times New Roman" w:eastAsiaTheme="majorEastAsia" w:hAnsi="Times New Roman" w:cstheme="majorBidi"/>
      <w:b/>
      <w:sz w:val="26"/>
      <w:szCs w:val="26"/>
    </w:rPr>
  </w:style>
  <w:style w:type="paragraph" w:styleId="3">
    <w:name w:val="heading 3"/>
    <w:basedOn w:val="a"/>
    <w:next w:val="a"/>
    <w:link w:val="30"/>
    <w:uiPriority w:val="9"/>
    <w:unhideWhenUsed/>
    <w:qFormat/>
    <w:rsid w:val="002549DE"/>
    <w:pPr>
      <w:keepNext/>
      <w:keepLines/>
      <w:spacing w:before="40" w:after="0"/>
      <w:jc w:val="both"/>
      <w:outlineLvl w:val="2"/>
    </w:pPr>
    <w:rPr>
      <w:rFonts w:ascii="Times New Roman" w:eastAsiaTheme="majorEastAsia" w:hAnsi="Times New Roman"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2A05"/>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FF63E3"/>
    <w:rPr>
      <w:rFonts w:ascii="Times New Roman" w:eastAsiaTheme="majorEastAsia" w:hAnsi="Times New Roman" w:cstheme="majorBidi"/>
      <w:b/>
      <w:sz w:val="26"/>
      <w:szCs w:val="26"/>
    </w:rPr>
  </w:style>
  <w:style w:type="character" w:customStyle="1" w:styleId="30">
    <w:name w:val="Заголовок 3 Знак"/>
    <w:basedOn w:val="a0"/>
    <w:link w:val="3"/>
    <w:uiPriority w:val="9"/>
    <w:rsid w:val="002549DE"/>
    <w:rPr>
      <w:rFonts w:ascii="Times New Roman" w:eastAsiaTheme="majorEastAsia" w:hAnsi="Times New Roman" w:cstheme="majorBidi"/>
      <w:b/>
      <w:sz w:val="24"/>
      <w:szCs w:val="24"/>
    </w:rPr>
  </w:style>
  <w:style w:type="table" w:styleId="a3">
    <w:name w:val="Table Grid"/>
    <w:basedOn w:val="a1"/>
    <w:uiPriority w:val="39"/>
    <w:rsid w:val="008B7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8B72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4">
    <w:name w:val="Strong"/>
    <w:basedOn w:val="a0"/>
    <w:uiPriority w:val="22"/>
    <w:qFormat/>
    <w:rsid w:val="00D423BF"/>
    <w:rPr>
      <w:b/>
      <w:bCs/>
    </w:rPr>
  </w:style>
  <w:style w:type="paragraph" w:styleId="a5">
    <w:name w:val="Normal (Web)"/>
    <w:basedOn w:val="a"/>
    <w:uiPriority w:val="99"/>
    <w:semiHidden/>
    <w:unhideWhenUsed/>
    <w:rsid w:val="00BA37E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6">
    <w:name w:val="Hyperlink"/>
    <w:basedOn w:val="a0"/>
    <w:uiPriority w:val="99"/>
    <w:unhideWhenUsed/>
    <w:rsid w:val="00BA37EF"/>
    <w:rPr>
      <w:color w:val="0563C1" w:themeColor="hyperlink"/>
      <w:u w:val="single"/>
    </w:rPr>
  </w:style>
  <w:style w:type="paragraph" w:styleId="a7">
    <w:name w:val="header"/>
    <w:basedOn w:val="a"/>
    <w:link w:val="a8"/>
    <w:uiPriority w:val="99"/>
    <w:unhideWhenUsed/>
    <w:rsid w:val="002549DE"/>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2549DE"/>
  </w:style>
  <w:style w:type="paragraph" w:styleId="a9">
    <w:name w:val="footer"/>
    <w:basedOn w:val="a"/>
    <w:link w:val="aa"/>
    <w:uiPriority w:val="99"/>
    <w:unhideWhenUsed/>
    <w:rsid w:val="002549DE"/>
    <w:pPr>
      <w:tabs>
        <w:tab w:val="center" w:pos="4513"/>
        <w:tab w:val="right" w:pos="9026"/>
      </w:tabs>
      <w:spacing w:after="0" w:line="240" w:lineRule="auto"/>
    </w:pPr>
  </w:style>
  <w:style w:type="character" w:customStyle="1" w:styleId="aa">
    <w:name w:val="Нижний колонтитул Знак"/>
    <w:basedOn w:val="a0"/>
    <w:link w:val="a9"/>
    <w:uiPriority w:val="99"/>
    <w:rsid w:val="002549DE"/>
  </w:style>
  <w:style w:type="paragraph" w:styleId="ab">
    <w:name w:val="TOC Heading"/>
    <w:basedOn w:val="1"/>
    <w:next w:val="a"/>
    <w:uiPriority w:val="39"/>
    <w:unhideWhenUsed/>
    <w:qFormat/>
    <w:rsid w:val="002549DE"/>
    <w:pPr>
      <w:outlineLvl w:val="9"/>
    </w:pPr>
    <w:rPr>
      <w:rFonts w:asciiTheme="majorHAnsi" w:hAnsiTheme="majorHAnsi"/>
      <w:b w:val="0"/>
      <w:color w:val="2E74B5" w:themeColor="accent1" w:themeShade="BF"/>
      <w:sz w:val="32"/>
      <w:lang w:val="en-US"/>
    </w:rPr>
  </w:style>
  <w:style w:type="paragraph" w:styleId="12">
    <w:name w:val="toc 1"/>
    <w:basedOn w:val="a"/>
    <w:next w:val="a"/>
    <w:autoRedefine/>
    <w:uiPriority w:val="39"/>
    <w:unhideWhenUsed/>
    <w:rsid w:val="002549DE"/>
    <w:pPr>
      <w:spacing w:after="100"/>
    </w:pPr>
  </w:style>
  <w:style w:type="paragraph" w:styleId="21">
    <w:name w:val="toc 2"/>
    <w:basedOn w:val="a"/>
    <w:next w:val="a"/>
    <w:autoRedefine/>
    <w:uiPriority w:val="39"/>
    <w:unhideWhenUsed/>
    <w:rsid w:val="002549DE"/>
    <w:pPr>
      <w:spacing w:after="100"/>
      <w:ind w:left="220"/>
    </w:pPr>
  </w:style>
  <w:style w:type="paragraph" w:styleId="31">
    <w:name w:val="toc 3"/>
    <w:basedOn w:val="a"/>
    <w:next w:val="a"/>
    <w:autoRedefine/>
    <w:uiPriority w:val="39"/>
    <w:unhideWhenUsed/>
    <w:rsid w:val="002549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150223">
      <w:bodyDiv w:val="1"/>
      <w:marLeft w:val="0"/>
      <w:marRight w:val="0"/>
      <w:marTop w:val="0"/>
      <w:marBottom w:val="0"/>
      <w:divBdr>
        <w:top w:val="none" w:sz="0" w:space="0" w:color="auto"/>
        <w:left w:val="none" w:sz="0" w:space="0" w:color="auto"/>
        <w:bottom w:val="none" w:sz="0" w:space="0" w:color="auto"/>
        <w:right w:val="none" w:sz="0" w:space="0" w:color="auto"/>
      </w:divBdr>
      <w:divsChild>
        <w:div w:id="423307679">
          <w:marLeft w:val="0"/>
          <w:marRight w:val="0"/>
          <w:marTop w:val="0"/>
          <w:marBottom w:val="0"/>
          <w:divBdr>
            <w:top w:val="none" w:sz="0" w:space="0" w:color="auto"/>
            <w:left w:val="none" w:sz="0" w:space="0" w:color="auto"/>
            <w:bottom w:val="none" w:sz="0" w:space="0" w:color="auto"/>
            <w:right w:val="none" w:sz="0" w:space="0" w:color="auto"/>
          </w:divBdr>
        </w:div>
        <w:div w:id="1431579978">
          <w:marLeft w:val="0"/>
          <w:marRight w:val="0"/>
          <w:marTop w:val="0"/>
          <w:marBottom w:val="0"/>
          <w:divBdr>
            <w:top w:val="none" w:sz="0" w:space="0" w:color="auto"/>
            <w:left w:val="none" w:sz="0" w:space="0" w:color="auto"/>
            <w:bottom w:val="none" w:sz="0" w:space="0" w:color="auto"/>
            <w:right w:val="none" w:sz="0" w:space="0" w:color="auto"/>
          </w:divBdr>
        </w:div>
        <w:div w:id="1992635091">
          <w:marLeft w:val="0"/>
          <w:marRight w:val="0"/>
          <w:marTop w:val="0"/>
          <w:marBottom w:val="0"/>
          <w:divBdr>
            <w:top w:val="none" w:sz="0" w:space="0" w:color="auto"/>
            <w:left w:val="none" w:sz="0" w:space="0" w:color="auto"/>
            <w:bottom w:val="none" w:sz="0" w:space="0" w:color="auto"/>
            <w:right w:val="none" w:sz="0" w:space="0" w:color="auto"/>
          </w:divBdr>
        </w:div>
        <w:div w:id="1899123814">
          <w:marLeft w:val="0"/>
          <w:marRight w:val="0"/>
          <w:marTop w:val="0"/>
          <w:marBottom w:val="0"/>
          <w:divBdr>
            <w:top w:val="none" w:sz="0" w:space="0" w:color="auto"/>
            <w:left w:val="none" w:sz="0" w:space="0" w:color="auto"/>
            <w:bottom w:val="none" w:sz="0" w:space="0" w:color="auto"/>
            <w:right w:val="none" w:sz="0" w:space="0" w:color="auto"/>
          </w:divBdr>
        </w:div>
        <w:div w:id="1712605783">
          <w:marLeft w:val="0"/>
          <w:marRight w:val="0"/>
          <w:marTop w:val="0"/>
          <w:marBottom w:val="0"/>
          <w:divBdr>
            <w:top w:val="none" w:sz="0" w:space="0" w:color="auto"/>
            <w:left w:val="none" w:sz="0" w:space="0" w:color="auto"/>
            <w:bottom w:val="none" w:sz="0" w:space="0" w:color="auto"/>
            <w:right w:val="none" w:sz="0" w:space="0" w:color="auto"/>
          </w:divBdr>
        </w:div>
      </w:divsChild>
    </w:div>
    <w:div w:id="1710060884">
      <w:bodyDiv w:val="1"/>
      <w:marLeft w:val="0"/>
      <w:marRight w:val="0"/>
      <w:marTop w:val="0"/>
      <w:marBottom w:val="0"/>
      <w:divBdr>
        <w:top w:val="none" w:sz="0" w:space="0" w:color="auto"/>
        <w:left w:val="none" w:sz="0" w:space="0" w:color="auto"/>
        <w:bottom w:val="none" w:sz="0" w:space="0" w:color="auto"/>
        <w:right w:val="none" w:sz="0" w:space="0" w:color="auto"/>
      </w:divBdr>
    </w:div>
    <w:div w:id="2048751745">
      <w:bodyDiv w:val="1"/>
      <w:marLeft w:val="0"/>
      <w:marRight w:val="0"/>
      <w:marTop w:val="0"/>
      <w:marBottom w:val="0"/>
      <w:divBdr>
        <w:top w:val="none" w:sz="0" w:space="0" w:color="auto"/>
        <w:left w:val="none" w:sz="0" w:space="0" w:color="auto"/>
        <w:bottom w:val="none" w:sz="0" w:space="0" w:color="auto"/>
        <w:right w:val="none" w:sz="0" w:space="0" w:color="auto"/>
      </w:divBdr>
      <w:divsChild>
        <w:div w:id="423770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4A8EA8-0844-44AA-AE6E-6176D4D4BC82}" type="doc">
      <dgm:prSet loTypeId="urn:microsoft.com/office/officeart/2005/8/layout/cycle6" loCatId="cycle" qsTypeId="urn:microsoft.com/office/officeart/2005/8/quickstyle/simple1" qsCatId="simple" csTypeId="urn:microsoft.com/office/officeart/2005/8/colors/accent1_4" csCatId="accent1" phldr="1"/>
      <dgm:spPr/>
      <dgm:t>
        <a:bodyPr/>
        <a:lstStyle/>
        <a:p>
          <a:endParaRPr lang="en-US"/>
        </a:p>
      </dgm:t>
    </dgm:pt>
    <dgm:pt modelId="{A04282F6-48FC-4F67-9A92-615E0B53B9E4}">
      <dgm:prSet phldrT="[Text]"/>
      <dgm:spPr/>
      <dgm:t>
        <a:bodyPr/>
        <a:lstStyle/>
        <a:p>
          <a:r>
            <a:rPr lang="en-US"/>
            <a:t>Market potential</a:t>
          </a:r>
        </a:p>
      </dgm:t>
    </dgm:pt>
    <dgm:pt modelId="{086114C8-A976-4414-8F66-802B601E15A5}" type="parTrans" cxnId="{0464BD85-008D-48AA-8A0B-D6C34EF20967}">
      <dgm:prSet/>
      <dgm:spPr/>
      <dgm:t>
        <a:bodyPr/>
        <a:lstStyle/>
        <a:p>
          <a:endParaRPr lang="en-US"/>
        </a:p>
      </dgm:t>
    </dgm:pt>
    <dgm:pt modelId="{CC74A58E-F9C4-4656-A605-735DF569E3A0}" type="sibTrans" cxnId="{0464BD85-008D-48AA-8A0B-D6C34EF20967}">
      <dgm:prSet/>
      <dgm:spPr/>
      <dgm:t>
        <a:bodyPr/>
        <a:lstStyle/>
        <a:p>
          <a:endParaRPr lang="en-US"/>
        </a:p>
      </dgm:t>
    </dgm:pt>
    <dgm:pt modelId="{7C1F4FCC-F562-4E1D-A654-1A69E7D27B56}">
      <dgm:prSet phldrT="[Text]"/>
      <dgm:spPr/>
      <dgm:t>
        <a:bodyPr/>
        <a:lstStyle/>
        <a:p>
          <a:r>
            <a:rPr lang="en-US"/>
            <a:t>Tourism Influence</a:t>
          </a:r>
        </a:p>
      </dgm:t>
    </dgm:pt>
    <dgm:pt modelId="{041906BB-C686-44BE-BF24-161469D741F8}" type="parTrans" cxnId="{9CAEB7B7-FD6F-4B40-A392-08237BB6CBF2}">
      <dgm:prSet/>
      <dgm:spPr/>
      <dgm:t>
        <a:bodyPr/>
        <a:lstStyle/>
        <a:p>
          <a:endParaRPr lang="en-US"/>
        </a:p>
      </dgm:t>
    </dgm:pt>
    <dgm:pt modelId="{51A9AAA3-745B-4382-91FE-44F99D5A4800}" type="sibTrans" cxnId="{9CAEB7B7-FD6F-4B40-A392-08237BB6CBF2}">
      <dgm:prSet/>
      <dgm:spPr/>
      <dgm:t>
        <a:bodyPr/>
        <a:lstStyle/>
        <a:p>
          <a:endParaRPr lang="en-US"/>
        </a:p>
      </dgm:t>
    </dgm:pt>
    <dgm:pt modelId="{364C42CD-153D-47E2-9D33-C288A2A49025}">
      <dgm:prSet phldrT="[Text]"/>
      <dgm:spPr/>
      <dgm:t>
        <a:bodyPr/>
        <a:lstStyle/>
        <a:p>
          <a:r>
            <a:rPr lang="en-US"/>
            <a:t>Economic stability</a:t>
          </a:r>
        </a:p>
      </dgm:t>
    </dgm:pt>
    <dgm:pt modelId="{8F70F1E4-AACD-42BE-9633-8D511DF0BEE9}" type="parTrans" cxnId="{BC66F942-4379-403E-A1E8-A6327EC328E2}">
      <dgm:prSet/>
      <dgm:spPr/>
      <dgm:t>
        <a:bodyPr/>
        <a:lstStyle/>
        <a:p>
          <a:endParaRPr lang="en-US"/>
        </a:p>
      </dgm:t>
    </dgm:pt>
    <dgm:pt modelId="{90B67787-4CB9-41C5-988F-7DA49BC1FF6F}" type="sibTrans" cxnId="{BC66F942-4379-403E-A1E8-A6327EC328E2}">
      <dgm:prSet/>
      <dgm:spPr/>
      <dgm:t>
        <a:bodyPr/>
        <a:lstStyle/>
        <a:p>
          <a:endParaRPr lang="en-US"/>
        </a:p>
      </dgm:t>
    </dgm:pt>
    <dgm:pt modelId="{B4E5DB1F-8DE9-4598-B078-4AA948F3E544}">
      <dgm:prSet phldrT="[Text]"/>
      <dgm:spPr/>
      <dgm:t>
        <a:bodyPr/>
        <a:lstStyle/>
        <a:p>
          <a:r>
            <a:rPr lang="en-US"/>
            <a:t>Cultural prefernces</a:t>
          </a:r>
        </a:p>
      </dgm:t>
    </dgm:pt>
    <dgm:pt modelId="{F92FD9CA-37E4-465A-A63C-A93B457D5A12}" type="parTrans" cxnId="{02D5353F-5A5E-4AE4-A2EA-04836D2D2A67}">
      <dgm:prSet/>
      <dgm:spPr/>
      <dgm:t>
        <a:bodyPr/>
        <a:lstStyle/>
        <a:p>
          <a:endParaRPr lang="en-US"/>
        </a:p>
      </dgm:t>
    </dgm:pt>
    <dgm:pt modelId="{C660DE3C-088F-4D1E-92F1-610F01DB0740}" type="sibTrans" cxnId="{02D5353F-5A5E-4AE4-A2EA-04836D2D2A67}">
      <dgm:prSet/>
      <dgm:spPr/>
      <dgm:t>
        <a:bodyPr/>
        <a:lstStyle/>
        <a:p>
          <a:endParaRPr lang="en-US"/>
        </a:p>
      </dgm:t>
    </dgm:pt>
    <dgm:pt modelId="{47C641B4-5E00-457C-86E3-9287550C52D2}">
      <dgm:prSet phldrT="[Text]"/>
      <dgm:spPr/>
      <dgm:t>
        <a:bodyPr/>
        <a:lstStyle/>
        <a:p>
          <a:r>
            <a:rPr lang="en-US"/>
            <a:t>Growt of retail industry</a:t>
          </a:r>
        </a:p>
      </dgm:t>
    </dgm:pt>
    <dgm:pt modelId="{410EFA4A-41A0-4FB4-AC7D-0407E2DE2952}" type="parTrans" cxnId="{E8FE8246-83B7-4ECE-BAA9-C0754035EDFF}">
      <dgm:prSet/>
      <dgm:spPr/>
      <dgm:t>
        <a:bodyPr/>
        <a:lstStyle/>
        <a:p>
          <a:endParaRPr lang="en-US"/>
        </a:p>
      </dgm:t>
    </dgm:pt>
    <dgm:pt modelId="{D7A5C68D-8AA2-415D-99AB-C8534DD90FE6}" type="sibTrans" cxnId="{E8FE8246-83B7-4ECE-BAA9-C0754035EDFF}">
      <dgm:prSet/>
      <dgm:spPr/>
      <dgm:t>
        <a:bodyPr/>
        <a:lstStyle/>
        <a:p>
          <a:endParaRPr lang="en-US"/>
        </a:p>
      </dgm:t>
    </dgm:pt>
    <dgm:pt modelId="{8902F8C6-17A3-493B-AF76-727FD8780C95}" type="pres">
      <dgm:prSet presAssocID="{CC4A8EA8-0844-44AA-AE6E-6176D4D4BC82}" presName="cycle" presStyleCnt="0">
        <dgm:presLayoutVars>
          <dgm:dir/>
          <dgm:resizeHandles val="exact"/>
        </dgm:presLayoutVars>
      </dgm:prSet>
      <dgm:spPr/>
      <dgm:t>
        <a:bodyPr/>
        <a:lstStyle/>
        <a:p>
          <a:endParaRPr lang="en-US"/>
        </a:p>
      </dgm:t>
    </dgm:pt>
    <dgm:pt modelId="{8CB4B396-9010-420E-83BF-5DD8F59F7CE5}" type="pres">
      <dgm:prSet presAssocID="{A04282F6-48FC-4F67-9A92-615E0B53B9E4}" presName="node" presStyleLbl="node1" presStyleIdx="0" presStyleCnt="5">
        <dgm:presLayoutVars>
          <dgm:bulletEnabled val="1"/>
        </dgm:presLayoutVars>
      </dgm:prSet>
      <dgm:spPr/>
      <dgm:t>
        <a:bodyPr/>
        <a:lstStyle/>
        <a:p>
          <a:endParaRPr lang="en-US"/>
        </a:p>
      </dgm:t>
    </dgm:pt>
    <dgm:pt modelId="{E7B1BBD6-6E64-49D7-B764-E98EBFF8EAE4}" type="pres">
      <dgm:prSet presAssocID="{A04282F6-48FC-4F67-9A92-615E0B53B9E4}" presName="spNode" presStyleCnt="0"/>
      <dgm:spPr/>
    </dgm:pt>
    <dgm:pt modelId="{1EE385F2-9A69-498F-8A91-E22F77D85CBB}" type="pres">
      <dgm:prSet presAssocID="{CC74A58E-F9C4-4656-A605-735DF569E3A0}" presName="sibTrans" presStyleLbl="sibTrans1D1" presStyleIdx="0" presStyleCnt="5"/>
      <dgm:spPr/>
      <dgm:t>
        <a:bodyPr/>
        <a:lstStyle/>
        <a:p>
          <a:endParaRPr lang="en-US"/>
        </a:p>
      </dgm:t>
    </dgm:pt>
    <dgm:pt modelId="{00E251BC-D5B9-4935-8C4B-87D28D1D21A1}" type="pres">
      <dgm:prSet presAssocID="{7C1F4FCC-F562-4E1D-A654-1A69E7D27B56}" presName="node" presStyleLbl="node1" presStyleIdx="1" presStyleCnt="5">
        <dgm:presLayoutVars>
          <dgm:bulletEnabled val="1"/>
        </dgm:presLayoutVars>
      </dgm:prSet>
      <dgm:spPr/>
      <dgm:t>
        <a:bodyPr/>
        <a:lstStyle/>
        <a:p>
          <a:endParaRPr lang="en-US"/>
        </a:p>
      </dgm:t>
    </dgm:pt>
    <dgm:pt modelId="{43C2A5D2-4D95-43A6-B343-7452B081796E}" type="pres">
      <dgm:prSet presAssocID="{7C1F4FCC-F562-4E1D-A654-1A69E7D27B56}" presName="spNode" presStyleCnt="0"/>
      <dgm:spPr/>
    </dgm:pt>
    <dgm:pt modelId="{262557E5-8A86-4ECE-A49F-C16A5AFDF406}" type="pres">
      <dgm:prSet presAssocID="{51A9AAA3-745B-4382-91FE-44F99D5A4800}" presName="sibTrans" presStyleLbl="sibTrans1D1" presStyleIdx="1" presStyleCnt="5"/>
      <dgm:spPr/>
      <dgm:t>
        <a:bodyPr/>
        <a:lstStyle/>
        <a:p>
          <a:endParaRPr lang="en-US"/>
        </a:p>
      </dgm:t>
    </dgm:pt>
    <dgm:pt modelId="{46231E40-42FF-4229-8CD4-4C95119C6E53}" type="pres">
      <dgm:prSet presAssocID="{364C42CD-153D-47E2-9D33-C288A2A49025}" presName="node" presStyleLbl="node1" presStyleIdx="2" presStyleCnt="5">
        <dgm:presLayoutVars>
          <dgm:bulletEnabled val="1"/>
        </dgm:presLayoutVars>
      </dgm:prSet>
      <dgm:spPr/>
      <dgm:t>
        <a:bodyPr/>
        <a:lstStyle/>
        <a:p>
          <a:endParaRPr lang="en-US"/>
        </a:p>
      </dgm:t>
    </dgm:pt>
    <dgm:pt modelId="{9371550A-5F77-47EE-96BA-C42723D9020C}" type="pres">
      <dgm:prSet presAssocID="{364C42CD-153D-47E2-9D33-C288A2A49025}" presName="spNode" presStyleCnt="0"/>
      <dgm:spPr/>
    </dgm:pt>
    <dgm:pt modelId="{4977495C-7185-464D-9E6F-5A9563C8CB01}" type="pres">
      <dgm:prSet presAssocID="{90B67787-4CB9-41C5-988F-7DA49BC1FF6F}" presName="sibTrans" presStyleLbl="sibTrans1D1" presStyleIdx="2" presStyleCnt="5"/>
      <dgm:spPr/>
      <dgm:t>
        <a:bodyPr/>
        <a:lstStyle/>
        <a:p>
          <a:endParaRPr lang="en-US"/>
        </a:p>
      </dgm:t>
    </dgm:pt>
    <dgm:pt modelId="{0E638823-27C8-4C90-93CF-751FC6B537FE}" type="pres">
      <dgm:prSet presAssocID="{B4E5DB1F-8DE9-4598-B078-4AA948F3E544}" presName="node" presStyleLbl="node1" presStyleIdx="3" presStyleCnt="5">
        <dgm:presLayoutVars>
          <dgm:bulletEnabled val="1"/>
        </dgm:presLayoutVars>
      </dgm:prSet>
      <dgm:spPr/>
      <dgm:t>
        <a:bodyPr/>
        <a:lstStyle/>
        <a:p>
          <a:endParaRPr lang="en-US"/>
        </a:p>
      </dgm:t>
    </dgm:pt>
    <dgm:pt modelId="{946E4C30-A8C0-45A6-983D-12ACF6C88DEA}" type="pres">
      <dgm:prSet presAssocID="{B4E5DB1F-8DE9-4598-B078-4AA948F3E544}" presName="spNode" presStyleCnt="0"/>
      <dgm:spPr/>
    </dgm:pt>
    <dgm:pt modelId="{98017B88-FBC2-43E8-9DCF-927C50905C7F}" type="pres">
      <dgm:prSet presAssocID="{C660DE3C-088F-4D1E-92F1-610F01DB0740}" presName="sibTrans" presStyleLbl="sibTrans1D1" presStyleIdx="3" presStyleCnt="5"/>
      <dgm:spPr/>
      <dgm:t>
        <a:bodyPr/>
        <a:lstStyle/>
        <a:p>
          <a:endParaRPr lang="en-US"/>
        </a:p>
      </dgm:t>
    </dgm:pt>
    <dgm:pt modelId="{4D3F5391-22CB-437A-8B20-6A67D119A783}" type="pres">
      <dgm:prSet presAssocID="{47C641B4-5E00-457C-86E3-9287550C52D2}" presName="node" presStyleLbl="node1" presStyleIdx="4" presStyleCnt="5">
        <dgm:presLayoutVars>
          <dgm:bulletEnabled val="1"/>
        </dgm:presLayoutVars>
      </dgm:prSet>
      <dgm:spPr/>
      <dgm:t>
        <a:bodyPr/>
        <a:lstStyle/>
        <a:p>
          <a:endParaRPr lang="en-US"/>
        </a:p>
      </dgm:t>
    </dgm:pt>
    <dgm:pt modelId="{19AB2B8C-A432-4697-81B9-3E09725FC21E}" type="pres">
      <dgm:prSet presAssocID="{47C641B4-5E00-457C-86E3-9287550C52D2}" presName="spNode" presStyleCnt="0"/>
      <dgm:spPr/>
    </dgm:pt>
    <dgm:pt modelId="{E06314A2-AD15-4DEE-8243-43EEFA42E77C}" type="pres">
      <dgm:prSet presAssocID="{D7A5C68D-8AA2-415D-99AB-C8534DD90FE6}" presName="sibTrans" presStyleLbl="sibTrans1D1" presStyleIdx="4" presStyleCnt="5"/>
      <dgm:spPr/>
      <dgm:t>
        <a:bodyPr/>
        <a:lstStyle/>
        <a:p>
          <a:endParaRPr lang="en-US"/>
        </a:p>
      </dgm:t>
    </dgm:pt>
  </dgm:ptLst>
  <dgm:cxnLst>
    <dgm:cxn modelId="{1E3D95FB-7A47-4684-BAF7-87C2BA1707AA}" type="presOf" srcId="{CC4A8EA8-0844-44AA-AE6E-6176D4D4BC82}" destId="{8902F8C6-17A3-493B-AF76-727FD8780C95}" srcOrd="0" destOrd="0" presId="urn:microsoft.com/office/officeart/2005/8/layout/cycle6"/>
    <dgm:cxn modelId="{06D727AB-50E5-4ABF-B7E8-5F8CD4FD682A}" type="presOf" srcId="{7C1F4FCC-F562-4E1D-A654-1A69E7D27B56}" destId="{00E251BC-D5B9-4935-8C4B-87D28D1D21A1}" srcOrd="0" destOrd="0" presId="urn:microsoft.com/office/officeart/2005/8/layout/cycle6"/>
    <dgm:cxn modelId="{E8FE8246-83B7-4ECE-BAA9-C0754035EDFF}" srcId="{CC4A8EA8-0844-44AA-AE6E-6176D4D4BC82}" destId="{47C641B4-5E00-457C-86E3-9287550C52D2}" srcOrd="4" destOrd="0" parTransId="{410EFA4A-41A0-4FB4-AC7D-0407E2DE2952}" sibTransId="{D7A5C68D-8AA2-415D-99AB-C8534DD90FE6}"/>
    <dgm:cxn modelId="{9C8997E9-AA6C-43A7-B85D-4E8BE49E17F5}" type="presOf" srcId="{D7A5C68D-8AA2-415D-99AB-C8534DD90FE6}" destId="{E06314A2-AD15-4DEE-8243-43EEFA42E77C}" srcOrd="0" destOrd="0" presId="urn:microsoft.com/office/officeart/2005/8/layout/cycle6"/>
    <dgm:cxn modelId="{44F5FF27-6B23-4279-B42B-FC12E008A0EC}" type="presOf" srcId="{C660DE3C-088F-4D1E-92F1-610F01DB0740}" destId="{98017B88-FBC2-43E8-9DCF-927C50905C7F}" srcOrd="0" destOrd="0" presId="urn:microsoft.com/office/officeart/2005/8/layout/cycle6"/>
    <dgm:cxn modelId="{02D5353F-5A5E-4AE4-A2EA-04836D2D2A67}" srcId="{CC4A8EA8-0844-44AA-AE6E-6176D4D4BC82}" destId="{B4E5DB1F-8DE9-4598-B078-4AA948F3E544}" srcOrd="3" destOrd="0" parTransId="{F92FD9CA-37E4-465A-A63C-A93B457D5A12}" sibTransId="{C660DE3C-088F-4D1E-92F1-610F01DB0740}"/>
    <dgm:cxn modelId="{BC66F942-4379-403E-A1E8-A6327EC328E2}" srcId="{CC4A8EA8-0844-44AA-AE6E-6176D4D4BC82}" destId="{364C42CD-153D-47E2-9D33-C288A2A49025}" srcOrd="2" destOrd="0" parTransId="{8F70F1E4-AACD-42BE-9633-8D511DF0BEE9}" sibTransId="{90B67787-4CB9-41C5-988F-7DA49BC1FF6F}"/>
    <dgm:cxn modelId="{FC7C62C2-4FBF-4F78-BA5D-BD913204E001}" type="presOf" srcId="{CC74A58E-F9C4-4656-A605-735DF569E3A0}" destId="{1EE385F2-9A69-498F-8A91-E22F77D85CBB}" srcOrd="0" destOrd="0" presId="urn:microsoft.com/office/officeart/2005/8/layout/cycle6"/>
    <dgm:cxn modelId="{849CE461-0151-49D4-B992-9EFB304435F7}" type="presOf" srcId="{B4E5DB1F-8DE9-4598-B078-4AA948F3E544}" destId="{0E638823-27C8-4C90-93CF-751FC6B537FE}" srcOrd="0" destOrd="0" presId="urn:microsoft.com/office/officeart/2005/8/layout/cycle6"/>
    <dgm:cxn modelId="{CB3B3EA4-0918-4191-BBD1-2D206E2DF79E}" type="presOf" srcId="{90B67787-4CB9-41C5-988F-7DA49BC1FF6F}" destId="{4977495C-7185-464D-9E6F-5A9563C8CB01}" srcOrd="0" destOrd="0" presId="urn:microsoft.com/office/officeart/2005/8/layout/cycle6"/>
    <dgm:cxn modelId="{178099E4-BF94-4F55-803D-8FE0823229A5}" type="presOf" srcId="{51A9AAA3-745B-4382-91FE-44F99D5A4800}" destId="{262557E5-8A86-4ECE-A49F-C16A5AFDF406}" srcOrd="0" destOrd="0" presId="urn:microsoft.com/office/officeart/2005/8/layout/cycle6"/>
    <dgm:cxn modelId="{339E9D54-B366-4321-988F-F25B33684868}" type="presOf" srcId="{A04282F6-48FC-4F67-9A92-615E0B53B9E4}" destId="{8CB4B396-9010-420E-83BF-5DD8F59F7CE5}" srcOrd="0" destOrd="0" presId="urn:microsoft.com/office/officeart/2005/8/layout/cycle6"/>
    <dgm:cxn modelId="{0464BD85-008D-48AA-8A0B-D6C34EF20967}" srcId="{CC4A8EA8-0844-44AA-AE6E-6176D4D4BC82}" destId="{A04282F6-48FC-4F67-9A92-615E0B53B9E4}" srcOrd="0" destOrd="0" parTransId="{086114C8-A976-4414-8F66-802B601E15A5}" sibTransId="{CC74A58E-F9C4-4656-A605-735DF569E3A0}"/>
    <dgm:cxn modelId="{9CAEB7B7-FD6F-4B40-A392-08237BB6CBF2}" srcId="{CC4A8EA8-0844-44AA-AE6E-6176D4D4BC82}" destId="{7C1F4FCC-F562-4E1D-A654-1A69E7D27B56}" srcOrd="1" destOrd="0" parTransId="{041906BB-C686-44BE-BF24-161469D741F8}" sibTransId="{51A9AAA3-745B-4382-91FE-44F99D5A4800}"/>
    <dgm:cxn modelId="{CAE72C2F-0C5B-41B0-90D0-3365AE60FE53}" type="presOf" srcId="{47C641B4-5E00-457C-86E3-9287550C52D2}" destId="{4D3F5391-22CB-437A-8B20-6A67D119A783}" srcOrd="0" destOrd="0" presId="urn:microsoft.com/office/officeart/2005/8/layout/cycle6"/>
    <dgm:cxn modelId="{924346B3-3B4B-4226-9E31-6E55B1BE4BD8}" type="presOf" srcId="{364C42CD-153D-47E2-9D33-C288A2A49025}" destId="{46231E40-42FF-4229-8CD4-4C95119C6E53}" srcOrd="0" destOrd="0" presId="urn:microsoft.com/office/officeart/2005/8/layout/cycle6"/>
    <dgm:cxn modelId="{189EA908-41B1-4D7B-8B3E-E58926BE4AC1}" type="presParOf" srcId="{8902F8C6-17A3-493B-AF76-727FD8780C95}" destId="{8CB4B396-9010-420E-83BF-5DD8F59F7CE5}" srcOrd="0" destOrd="0" presId="urn:microsoft.com/office/officeart/2005/8/layout/cycle6"/>
    <dgm:cxn modelId="{B50BA259-8512-4B3E-9F98-4AE047AC0794}" type="presParOf" srcId="{8902F8C6-17A3-493B-AF76-727FD8780C95}" destId="{E7B1BBD6-6E64-49D7-B764-E98EBFF8EAE4}" srcOrd="1" destOrd="0" presId="urn:microsoft.com/office/officeart/2005/8/layout/cycle6"/>
    <dgm:cxn modelId="{BB0713C0-8BFE-4D91-9271-5C9B9772EF2C}" type="presParOf" srcId="{8902F8C6-17A3-493B-AF76-727FD8780C95}" destId="{1EE385F2-9A69-498F-8A91-E22F77D85CBB}" srcOrd="2" destOrd="0" presId="urn:microsoft.com/office/officeart/2005/8/layout/cycle6"/>
    <dgm:cxn modelId="{7EAE1959-1605-49AA-8CC6-ECA0912A5C05}" type="presParOf" srcId="{8902F8C6-17A3-493B-AF76-727FD8780C95}" destId="{00E251BC-D5B9-4935-8C4B-87D28D1D21A1}" srcOrd="3" destOrd="0" presId="urn:microsoft.com/office/officeart/2005/8/layout/cycle6"/>
    <dgm:cxn modelId="{4C04C515-BCD1-46EC-AE93-46385C5BB477}" type="presParOf" srcId="{8902F8C6-17A3-493B-AF76-727FD8780C95}" destId="{43C2A5D2-4D95-43A6-B343-7452B081796E}" srcOrd="4" destOrd="0" presId="urn:microsoft.com/office/officeart/2005/8/layout/cycle6"/>
    <dgm:cxn modelId="{9386A292-19E0-4ED7-9753-28A7B7B89971}" type="presParOf" srcId="{8902F8C6-17A3-493B-AF76-727FD8780C95}" destId="{262557E5-8A86-4ECE-A49F-C16A5AFDF406}" srcOrd="5" destOrd="0" presId="urn:microsoft.com/office/officeart/2005/8/layout/cycle6"/>
    <dgm:cxn modelId="{A9CF6D0A-BFE8-4363-B577-6D8B4AC53DD9}" type="presParOf" srcId="{8902F8C6-17A3-493B-AF76-727FD8780C95}" destId="{46231E40-42FF-4229-8CD4-4C95119C6E53}" srcOrd="6" destOrd="0" presId="urn:microsoft.com/office/officeart/2005/8/layout/cycle6"/>
    <dgm:cxn modelId="{9F03D7C5-09FF-47B1-A373-6AD4592A8E06}" type="presParOf" srcId="{8902F8C6-17A3-493B-AF76-727FD8780C95}" destId="{9371550A-5F77-47EE-96BA-C42723D9020C}" srcOrd="7" destOrd="0" presId="urn:microsoft.com/office/officeart/2005/8/layout/cycle6"/>
    <dgm:cxn modelId="{FD00BCC6-2257-4676-BD05-951AFB7F21E7}" type="presParOf" srcId="{8902F8C6-17A3-493B-AF76-727FD8780C95}" destId="{4977495C-7185-464D-9E6F-5A9563C8CB01}" srcOrd="8" destOrd="0" presId="urn:microsoft.com/office/officeart/2005/8/layout/cycle6"/>
    <dgm:cxn modelId="{C5924CFE-C279-4B3B-9A50-D7C2F26E2F15}" type="presParOf" srcId="{8902F8C6-17A3-493B-AF76-727FD8780C95}" destId="{0E638823-27C8-4C90-93CF-751FC6B537FE}" srcOrd="9" destOrd="0" presId="urn:microsoft.com/office/officeart/2005/8/layout/cycle6"/>
    <dgm:cxn modelId="{8AB86AFC-A066-4ABD-87E4-5EA642F18BC7}" type="presParOf" srcId="{8902F8C6-17A3-493B-AF76-727FD8780C95}" destId="{946E4C30-A8C0-45A6-983D-12ACF6C88DEA}" srcOrd="10" destOrd="0" presId="urn:microsoft.com/office/officeart/2005/8/layout/cycle6"/>
    <dgm:cxn modelId="{318D2C12-0537-4FA6-8F6F-3E10EC13DF07}" type="presParOf" srcId="{8902F8C6-17A3-493B-AF76-727FD8780C95}" destId="{98017B88-FBC2-43E8-9DCF-927C50905C7F}" srcOrd="11" destOrd="0" presId="urn:microsoft.com/office/officeart/2005/8/layout/cycle6"/>
    <dgm:cxn modelId="{061C89D5-06C0-4C8A-B6CE-D85CAC351E7A}" type="presParOf" srcId="{8902F8C6-17A3-493B-AF76-727FD8780C95}" destId="{4D3F5391-22CB-437A-8B20-6A67D119A783}" srcOrd="12" destOrd="0" presId="urn:microsoft.com/office/officeart/2005/8/layout/cycle6"/>
    <dgm:cxn modelId="{CAC50E98-D4FB-4999-B1FE-FEA19C0D5C4E}" type="presParOf" srcId="{8902F8C6-17A3-493B-AF76-727FD8780C95}" destId="{19AB2B8C-A432-4697-81B9-3E09725FC21E}" srcOrd="13" destOrd="0" presId="urn:microsoft.com/office/officeart/2005/8/layout/cycle6"/>
    <dgm:cxn modelId="{B2FBB12E-C3C5-4117-A736-4FFC69E9720C}" type="presParOf" srcId="{8902F8C6-17A3-493B-AF76-727FD8780C95}" destId="{E06314A2-AD15-4DEE-8243-43EEFA42E77C}" srcOrd="14" destOrd="0" presId="urn:microsoft.com/office/officeart/2005/8/layout/cycle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27A87ED-9888-4818-84A1-63F478BEED00}" type="doc">
      <dgm:prSet loTypeId="urn:microsoft.com/office/officeart/2011/layout/HexagonRadial" loCatId="cycle" qsTypeId="urn:microsoft.com/office/officeart/2005/8/quickstyle/simple1" qsCatId="simple" csTypeId="urn:microsoft.com/office/officeart/2005/8/colors/accent1_4" csCatId="accent1" phldr="1"/>
      <dgm:spPr/>
      <dgm:t>
        <a:bodyPr/>
        <a:lstStyle/>
        <a:p>
          <a:endParaRPr lang="en-US"/>
        </a:p>
      </dgm:t>
    </dgm:pt>
    <dgm:pt modelId="{174FA6EB-3EFC-46EC-966B-D652E45387A4}">
      <dgm:prSet phldrT="[Text]"/>
      <dgm:spPr/>
      <dgm:t>
        <a:bodyPr/>
        <a:lstStyle/>
        <a:p>
          <a:r>
            <a:rPr lang="en-US"/>
            <a:t>Factors to e considered</a:t>
          </a:r>
        </a:p>
      </dgm:t>
    </dgm:pt>
    <dgm:pt modelId="{F189590B-A9AD-4FED-ACC7-2A4F0A4D6BF6}" type="parTrans" cxnId="{6B44461E-E55B-435B-82A9-A158FBDCAF72}">
      <dgm:prSet/>
      <dgm:spPr/>
      <dgm:t>
        <a:bodyPr/>
        <a:lstStyle/>
        <a:p>
          <a:endParaRPr lang="en-US"/>
        </a:p>
      </dgm:t>
    </dgm:pt>
    <dgm:pt modelId="{53EE67A6-2C66-49EB-9DE6-F6C776324D0C}" type="sibTrans" cxnId="{6B44461E-E55B-435B-82A9-A158FBDCAF72}">
      <dgm:prSet/>
      <dgm:spPr/>
      <dgm:t>
        <a:bodyPr/>
        <a:lstStyle/>
        <a:p>
          <a:endParaRPr lang="en-US"/>
        </a:p>
      </dgm:t>
    </dgm:pt>
    <dgm:pt modelId="{3195CF1D-14FD-4EA1-AC18-0E9CE7249435}">
      <dgm:prSet phldrT="[Text]"/>
      <dgm:spPr/>
      <dgm:t>
        <a:bodyPr/>
        <a:lstStyle/>
        <a:p>
          <a:r>
            <a:rPr lang="en-US"/>
            <a:t>Affluent consumer base</a:t>
          </a:r>
        </a:p>
      </dgm:t>
    </dgm:pt>
    <dgm:pt modelId="{D67DB38B-2B49-42C3-AB35-4E46004A8703}" type="parTrans" cxnId="{8EF135AD-A89D-4DB6-B73B-2ED9D1989100}">
      <dgm:prSet/>
      <dgm:spPr/>
      <dgm:t>
        <a:bodyPr/>
        <a:lstStyle/>
        <a:p>
          <a:endParaRPr lang="en-US"/>
        </a:p>
      </dgm:t>
    </dgm:pt>
    <dgm:pt modelId="{33E238A9-CEF7-4C33-8B27-9A5B862E20D6}" type="sibTrans" cxnId="{8EF135AD-A89D-4DB6-B73B-2ED9D1989100}">
      <dgm:prSet/>
      <dgm:spPr/>
      <dgm:t>
        <a:bodyPr/>
        <a:lstStyle/>
        <a:p>
          <a:endParaRPr lang="en-US"/>
        </a:p>
      </dgm:t>
    </dgm:pt>
    <dgm:pt modelId="{0053A403-EB90-4B12-8F11-E288552C7C68}">
      <dgm:prSet phldrT="[Text]"/>
      <dgm:spPr/>
      <dgm:t>
        <a:bodyPr/>
        <a:lstStyle/>
        <a:p>
          <a:r>
            <a:rPr lang="en-US"/>
            <a:t>Economic stability</a:t>
          </a:r>
        </a:p>
      </dgm:t>
    </dgm:pt>
    <dgm:pt modelId="{257B1197-B6E6-4973-8DF0-030D6F6A1A41}" type="parTrans" cxnId="{41A51316-868B-4C25-B890-EE3079420BBF}">
      <dgm:prSet/>
      <dgm:spPr/>
      <dgm:t>
        <a:bodyPr/>
        <a:lstStyle/>
        <a:p>
          <a:endParaRPr lang="en-US"/>
        </a:p>
      </dgm:t>
    </dgm:pt>
    <dgm:pt modelId="{810B81EE-B642-4D3C-9DE3-79B43708D490}" type="sibTrans" cxnId="{41A51316-868B-4C25-B890-EE3079420BBF}">
      <dgm:prSet/>
      <dgm:spPr/>
      <dgm:t>
        <a:bodyPr/>
        <a:lstStyle/>
        <a:p>
          <a:endParaRPr lang="en-US"/>
        </a:p>
      </dgm:t>
    </dgm:pt>
    <dgm:pt modelId="{BD9AC6C9-DB9C-4FDA-8B32-3C258CF8A514}">
      <dgm:prSet phldrT="[Text]"/>
      <dgm:spPr/>
      <dgm:t>
        <a:bodyPr/>
        <a:lstStyle/>
        <a:p>
          <a:r>
            <a:rPr lang="en-US"/>
            <a:t>Cultural Fit</a:t>
          </a:r>
        </a:p>
      </dgm:t>
    </dgm:pt>
    <dgm:pt modelId="{FBC66C6F-5881-4A6C-A7AC-F80CA35B6C27}" type="parTrans" cxnId="{FB74E969-7101-48FD-ABE2-30A597F4D031}">
      <dgm:prSet/>
      <dgm:spPr/>
      <dgm:t>
        <a:bodyPr/>
        <a:lstStyle/>
        <a:p>
          <a:endParaRPr lang="en-US"/>
        </a:p>
      </dgm:t>
    </dgm:pt>
    <dgm:pt modelId="{E935D4A5-EBD1-455F-9294-A9DC917CA0AC}" type="sibTrans" cxnId="{FB74E969-7101-48FD-ABE2-30A597F4D031}">
      <dgm:prSet/>
      <dgm:spPr/>
      <dgm:t>
        <a:bodyPr/>
        <a:lstStyle/>
        <a:p>
          <a:endParaRPr lang="en-US"/>
        </a:p>
      </dgm:t>
    </dgm:pt>
    <dgm:pt modelId="{ECF49405-8D7D-44DB-98FD-8D1FC9B502D7}">
      <dgm:prSet phldrT="[Text]"/>
      <dgm:spPr/>
      <dgm:t>
        <a:bodyPr/>
        <a:lstStyle/>
        <a:p>
          <a:r>
            <a:rPr lang="en-US"/>
            <a:t>Strategic location</a:t>
          </a:r>
        </a:p>
      </dgm:t>
    </dgm:pt>
    <dgm:pt modelId="{BEDD42C0-8EA6-4C04-8C06-DBD05371F3A1}" type="parTrans" cxnId="{B3203C48-0FAE-4EE7-917C-F54139920A67}">
      <dgm:prSet/>
      <dgm:spPr/>
      <dgm:t>
        <a:bodyPr/>
        <a:lstStyle/>
        <a:p>
          <a:endParaRPr lang="en-US"/>
        </a:p>
      </dgm:t>
    </dgm:pt>
    <dgm:pt modelId="{27091B1E-AB3D-4919-9A77-34B6EF9B8F77}" type="sibTrans" cxnId="{B3203C48-0FAE-4EE7-917C-F54139920A67}">
      <dgm:prSet/>
      <dgm:spPr/>
      <dgm:t>
        <a:bodyPr/>
        <a:lstStyle/>
        <a:p>
          <a:endParaRPr lang="en-US"/>
        </a:p>
      </dgm:t>
    </dgm:pt>
    <dgm:pt modelId="{A547D664-8958-4094-BB70-433D0734DA26}">
      <dgm:prSet phldrT="[Text]"/>
      <dgm:spPr/>
      <dgm:t>
        <a:bodyPr/>
        <a:lstStyle/>
        <a:p>
          <a:r>
            <a:rPr lang="en-US"/>
            <a:t>Growth of retail industry</a:t>
          </a:r>
        </a:p>
      </dgm:t>
    </dgm:pt>
    <dgm:pt modelId="{19688152-14D8-4777-A44F-3F6BEF887531}" type="parTrans" cxnId="{23521000-B863-4870-B038-E329715D3E35}">
      <dgm:prSet/>
      <dgm:spPr/>
      <dgm:t>
        <a:bodyPr/>
        <a:lstStyle/>
        <a:p>
          <a:endParaRPr lang="en-US"/>
        </a:p>
      </dgm:t>
    </dgm:pt>
    <dgm:pt modelId="{25B2688F-EFD4-447F-86B4-2CE5D07B3259}" type="sibTrans" cxnId="{23521000-B863-4870-B038-E329715D3E35}">
      <dgm:prSet/>
      <dgm:spPr/>
      <dgm:t>
        <a:bodyPr/>
        <a:lstStyle/>
        <a:p>
          <a:endParaRPr lang="en-US"/>
        </a:p>
      </dgm:t>
    </dgm:pt>
    <dgm:pt modelId="{4F4D368B-742E-46E8-8134-BC102F740A2B}">
      <dgm:prSet phldrT="[Text]"/>
      <dgm:spPr/>
      <dgm:t>
        <a:bodyPr/>
        <a:lstStyle/>
        <a:p>
          <a:r>
            <a:rPr lang="en-US"/>
            <a:t>Multilingual Environment</a:t>
          </a:r>
        </a:p>
      </dgm:t>
    </dgm:pt>
    <dgm:pt modelId="{31FF6230-6EB1-45AE-B95B-0DC5FDD8F4BF}" type="parTrans" cxnId="{885F7C53-6B17-401A-95EF-E96983554130}">
      <dgm:prSet/>
      <dgm:spPr/>
      <dgm:t>
        <a:bodyPr/>
        <a:lstStyle/>
        <a:p>
          <a:endParaRPr lang="en-US"/>
        </a:p>
      </dgm:t>
    </dgm:pt>
    <dgm:pt modelId="{F3782C0E-8260-4C81-B333-2417B94890C4}" type="sibTrans" cxnId="{885F7C53-6B17-401A-95EF-E96983554130}">
      <dgm:prSet/>
      <dgm:spPr/>
      <dgm:t>
        <a:bodyPr/>
        <a:lstStyle/>
        <a:p>
          <a:endParaRPr lang="en-US"/>
        </a:p>
      </dgm:t>
    </dgm:pt>
    <dgm:pt modelId="{93DC17A1-39AC-4AA5-B73E-9CCA01880937}" type="pres">
      <dgm:prSet presAssocID="{227A87ED-9888-4818-84A1-63F478BEED00}" presName="Name0" presStyleCnt="0">
        <dgm:presLayoutVars>
          <dgm:chMax val="1"/>
          <dgm:chPref val="1"/>
          <dgm:dir/>
          <dgm:animOne val="branch"/>
          <dgm:animLvl val="lvl"/>
        </dgm:presLayoutVars>
      </dgm:prSet>
      <dgm:spPr/>
      <dgm:t>
        <a:bodyPr/>
        <a:lstStyle/>
        <a:p>
          <a:endParaRPr lang="en-US"/>
        </a:p>
      </dgm:t>
    </dgm:pt>
    <dgm:pt modelId="{ECEDE516-700C-453B-B73F-110188CCAF50}" type="pres">
      <dgm:prSet presAssocID="{174FA6EB-3EFC-46EC-966B-D652E45387A4}" presName="Parent" presStyleLbl="node0" presStyleIdx="0" presStyleCnt="1">
        <dgm:presLayoutVars>
          <dgm:chMax val="6"/>
          <dgm:chPref val="6"/>
        </dgm:presLayoutVars>
      </dgm:prSet>
      <dgm:spPr/>
      <dgm:t>
        <a:bodyPr/>
        <a:lstStyle/>
        <a:p>
          <a:endParaRPr lang="en-US"/>
        </a:p>
      </dgm:t>
    </dgm:pt>
    <dgm:pt modelId="{5B6C67DC-316E-4FB7-B666-BDA2A8065048}" type="pres">
      <dgm:prSet presAssocID="{3195CF1D-14FD-4EA1-AC18-0E9CE7249435}" presName="Accent1" presStyleCnt="0"/>
      <dgm:spPr/>
    </dgm:pt>
    <dgm:pt modelId="{7C844136-D423-4E31-90E0-0648F13242B3}" type="pres">
      <dgm:prSet presAssocID="{3195CF1D-14FD-4EA1-AC18-0E9CE7249435}" presName="Accent" presStyleLbl="bgShp" presStyleIdx="0" presStyleCnt="6"/>
      <dgm:spPr/>
    </dgm:pt>
    <dgm:pt modelId="{A4915AF8-61E5-4BEB-820D-C3922B9CA708}" type="pres">
      <dgm:prSet presAssocID="{3195CF1D-14FD-4EA1-AC18-0E9CE7249435}" presName="Child1" presStyleLbl="node1" presStyleIdx="0" presStyleCnt="6">
        <dgm:presLayoutVars>
          <dgm:chMax val="0"/>
          <dgm:chPref val="0"/>
          <dgm:bulletEnabled val="1"/>
        </dgm:presLayoutVars>
      </dgm:prSet>
      <dgm:spPr/>
      <dgm:t>
        <a:bodyPr/>
        <a:lstStyle/>
        <a:p>
          <a:endParaRPr lang="en-US"/>
        </a:p>
      </dgm:t>
    </dgm:pt>
    <dgm:pt modelId="{3CE8CCD0-28BF-4486-8AFF-3BC073EABECB}" type="pres">
      <dgm:prSet presAssocID="{0053A403-EB90-4B12-8F11-E288552C7C68}" presName="Accent2" presStyleCnt="0"/>
      <dgm:spPr/>
    </dgm:pt>
    <dgm:pt modelId="{CFA0C879-4B2E-4DB1-B223-AB2A7B5FEF4D}" type="pres">
      <dgm:prSet presAssocID="{0053A403-EB90-4B12-8F11-E288552C7C68}" presName="Accent" presStyleLbl="bgShp" presStyleIdx="1" presStyleCnt="6"/>
      <dgm:spPr/>
    </dgm:pt>
    <dgm:pt modelId="{C64C34A2-71DD-4E24-8C56-F198045F0967}" type="pres">
      <dgm:prSet presAssocID="{0053A403-EB90-4B12-8F11-E288552C7C68}" presName="Child2" presStyleLbl="node1" presStyleIdx="1" presStyleCnt="6">
        <dgm:presLayoutVars>
          <dgm:chMax val="0"/>
          <dgm:chPref val="0"/>
          <dgm:bulletEnabled val="1"/>
        </dgm:presLayoutVars>
      </dgm:prSet>
      <dgm:spPr/>
      <dgm:t>
        <a:bodyPr/>
        <a:lstStyle/>
        <a:p>
          <a:endParaRPr lang="en-US"/>
        </a:p>
      </dgm:t>
    </dgm:pt>
    <dgm:pt modelId="{A44E8B9A-4EA2-4351-BA07-46E08A532A8E}" type="pres">
      <dgm:prSet presAssocID="{BD9AC6C9-DB9C-4FDA-8B32-3C258CF8A514}" presName="Accent3" presStyleCnt="0"/>
      <dgm:spPr/>
    </dgm:pt>
    <dgm:pt modelId="{32AB669B-307D-4A89-ACB5-383FAD08E683}" type="pres">
      <dgm:prSet presAssocID="{BD9AC6C9-DB9C-4FDA-8B32-3C258CF8A514}" presName="Accent" presStyleLbl="bgShp" presStyleIdx="2" presStyleCnt="6"/>
      <dgm:spPr/>
    </dgm:pt>
    <dgm:pt modelId="{F8FEF6CC-A553-4986-B4D8-A04F3F442608}" type="pres">
      <dgm:prSet presAssocID="{BD9AC6C9-DB9C-4FDA-8B32-3C258CF8A514}" presName="Child3" presStyleLbl="node1" presStyleIdx="2" presStyleCnt="6">
        <dgm:presLayoutVars>
          <dgm:chMax val="0"/>
          <dgm:chPref val="0"/>
          <dgm:bulletEnabled val="1"/>
        </dgm:presLayoutVars>
      </dgm:prSet>
      <dgm:spPr/>
      <dgm:t>
        <a:bodyPr/>
        <a:lstStyle/>
        <a:p>
          <a:endParaRPr lang="en-US"/>
        </a:p>
      </dgm:t>
    </dgm:pt>
    <dgm:pt modelId="{74899E5F-3753-4598-A477-40E067BF383E}" type="pres">
      <dgm:prSet presAssocID="{ECF49405-8D7D-44DB-98FD-8D1FC9B502D7}" presName="Accent4" presStyleCnt="0"/>
      <dgm:spPr/>
    </dgm:pt>
    <dgm:pt modelId="{7E0033E1-211A-4FA1-9C43-BB4D1E9F9D9C}" type="pres">
      <dgm:prSet presAssocID="{ECF49405-8D7D-44DB-98FD-8D1FC9B502D7}" presName="Accent" presStyleLbl="bgShp" presStyleIdx="3" presStyleCnt="6"/>
      <dgm:spPr/>
    </dgm:pt>
    <dgm:pt modelId="{02E44AA0-E3FB-4AA3-96C0-5E3D0FB211F5}" type="pres">
      <dgm:prSet presAssocID="{ECF49405-8D7D-44DB-98FD-8D1FC9B502D7}" presName="Child4" presStyleLbl="node1" presStyleIdx="3" presStyleCnt="6">
        <dgm:presLayoutVars>
          <dgm:chMax val="0"/>
          <dgm:chPref val="0"/>
          <dgm:bulletEnabled val="1"/>
        </dgm:presLayoutVars>
      </dgm:prSet>
      <dgm:spPr/>
      <dgm:t>
        <a:bodyPr/>
        <a:lstStyle/>
        <a:p>
          <a:endParaRPr lang="en-US"/>
        </a:p>
      </dgm:t>
    </dgm:pt>
    <dgm:pt modelId="{0D6CB153-3CBA-49F6-9CB5-C8688D8D929E}" type="pres">
      <dgm:prSet presAssocID="{A547D664-8958-4094-BB70-433D0734DA26}" presName="Accent5" presStyleCnt="0"/>
      <dgm:spPr/>
    </dgm:pt>
    <dgm:pt modelId="{86FB1453-6AA2-4CB1-B741-D59B4FE075EE}" type="pres">
      <dgm:prSet presAssocID="{A547D664-8958-4094-BB70-433D0734DA26}" presName="Accent" presStyleLbl="bgShp" presStyleIdx="4" presStyleCnt="6"/>
      <dgm:spPr/>
    </dgm:pt>
    <dgm:pt modelId="{6FECC8AF-B11E-4AEE-9F24-17B1988B52E4}" type="pres">
      <dgm:prSet presAssocID="{A547D664-8958-4094-BB70-433D0734DA26}" presName="Child5" presStyleLbl="node1" presStyleIdx="4" presStyleCnt="6">
        <dgm:presLayoutVars>
          <dgm:chMax val="0"/>
          <dgm:chPref val="0"/>
          <dgm:bulletEnabled val="1"/>
        </dgm:presLayoutVars>
      </dgm:prSet>
      <dgm:spPr/>
      <dgm:t>
        <a:bodyPr/>
        <a:lstStyle/>
        <a:p>
          <a:endParaRPr lang="en-US"/>
        </a:p>
      </dgm:t>
    </dgm:pt>
    <dgm:pt modelId="{2FF2361F-30EB-495C-A8EF-1BFFE0235E12}" type="pres">
      <dgm:prSet presAssocID="{4F4D368B-742E-46E8-8134-BC102F740A2B}" presName="Accent6" presStyleCnt="0"/>
      <dgm:spPr/>
    </dgm:pt>
    <dgm:pt modelId="{70FA0FAF-7C7B-4DD1-A0D7-28FCF39A3C19}" type="pres">
      <dgm:prSet presAssocID="{4F4D368B-742E-46E8-8134-BC102F740A2B}" presName="Accent" presStyleLbl="bgShp" presStyleIdx="5" presStyleCnt="6"/>
      <dgm:spPr/>
    </dgm:pt>
    <dgm:pt modelId="{36E4637F-06EA-476C-AAAC-9D164327DCEF}" type="pres">
      <dgm:prSet presAssocID="{4F4D368B-742E-46E8-8134-BC102F740A2B}" presName="Child6" presStyleLbl="node1" presStyleIdx="5" presStyleCnt="6">
        <dgm:presLayoutVars>
          <dgm:chMax val="0"/>
          <dgm:chPref val="0"/>
          <dgm:bulletEnabled val="1"/>
        </dgm:presLayoutVars>
      </dgm:prSet>
      <dgm:spPr/>
      <dgm:t>
        <a:bodyPr/>
        <a:lstStyle/>
        <a:p>
          <a:endParaRPr lang="en-US"/>
        </a:p>
      </dgm:t>
    </dgm:pt>
  </dgm:ptLst>
  <dgm:cxnLst>
    <dgm:cxn modelId="{022E1358-9EB6-4CD0-BB11-318D63787AC8}" type="presOf" srcId="{0053A403-EB90-4B12-8F11-E288552C7C68}" destId="{C64C34A2-71DD-4E24-8C56-F198045F0967}" srcOrd="0" destOrd="0" presId="urn:microsoft.com/office/officeart/2011/layout/HexagonRadial"/>
    <dgm:cxn modelId="{9D9690AE-05E7-4146-ABB7-17E3369F8561}" type="presOf" srcId="{ECF49405-8D7D-44DB-98FD-8D1FC9B502D7}" destId="{02E44AA0-E3FB-4AA3-96C0-5E3D0FB211F5}" srcOrd="0" destOrd="0" presId="urn:microsoft.com/office/officeart/2011/layout/HexagonRadial"/>
    <dgm:cxn modelId="{C1C1B393-3AEA-4A0E-A8E8-73EA2AA16474}" type="presOf" srcId="{BD9AC6C9-DB9C-4FDA-8B32-3C258CF8A514}" destId="{F8FEF6CC-A553-4986-B4D8-A04F3F442608}" srcOrd="0" destOrd="0" presId="urn:microsoft.com/office/officeart/2011/layout/HexagonRadial"/>
    <dgm:cxn modelId="{9DCB88D0-A51D-4FF0-8A42-D9879424A77D}" type="presOf" srcId="{4F4D368B-742E-46E8-8134-BC102F740A2B}" destId="{36E4637F-06EA-476C-AAAC-9D164327DCEF}" srcOrd="0" destOrd="0" presId="urn:microsoft.com/office/officeart/2011/layout/HexagonRadial"/>
    <dgm:cxn modelId="{FEC3AF6A-22E7-4A04-BB85-BD61138F008F}" type="presOf" srcId="{227A87ED-9888-4818-84A1-63F478BEED00}" destId="{93DC17A1-39AC-4AA5-B73E-9CCA01880937}" srcOrd="0" destOrd="0" presId="urn:microsoft.com/office/officeart/2011/layout/HexagonRadial"/>
    <dgm:cxn modelId="{926EE8D7-1DFD-4E5D-B807-CC90F75704BF}" type="presOf" srcId="{A547D664-8958-4094-BB70-433D0734DA26}" destId="{6FECC8AF-B11E-4AEE-9F24-17B1988B52E4}" srcOrd="0" destOrd="0" presId="urn:microsoft.com/office/officeart/2011/layout/HexagonRadial"/>
    <dgm:cxn modelId="{23521000-B863-4870-B038-E329715D3E35}" srcId="{174FA6EB-3EFC-46EC-966B-D652E45387A4}" destId="{A547D664-8958-4094-BB70-433D0734DA26}" srcOrd="4" destOrd="0" parTransId="{19688152-14D8-4777-A44F-3F6BEF887531}" sibTransId="{25B2688F-EFD4-447F-86B4-2CE5D07B3259}"/>
    <dgm:cxn modelId="{B3203C48-0FAE-4EE7-917C-F54139920A67}" srcId="{174FA6EB-3EFC-46EC-966B-D652E45387A4}" destId="{ECF49405-8D7D-44DB-98FD-8D1FC9B502D7}" srcOrd="3" destOrd="0" parTransId="{BEDD42C0-8EA6-4C04-8C06-DBD05371F3A1}" sibTransId="{27091B1E-AB3D-4919-9A77-34B6EF9B8F77}"/>
    <dgm:cxn modelId="{8EF135AD-A89D-4DB6-B73B-2ED9D1989100}" srcId="{174FA6EB-3EFC-46EC-966B-D652E45387A4}" destId="{3195CF1D-14FD-4EA1-AC18-0E9CE7249435}" srcOrd="0" destOrd="0" parTransId="{D67DB38B-2B49-42C3-AB35-4E46004A8703}" sibTransId="{33E238A9-CEF7-4C33-8B27-9A5B862E20D6}"/>
    <dgm:cxn modelId="{C24A2E7F-241D-4125-BDD4-80BEDAFB40D8}" type="presOf" srcId="{174FA6EB-3EFC-46EC-966B-D652E45387A4}" destId="{ECEDE516-700C-453B-B73F-110188CCAF50}" srcOrd="0" destOrd="0" presId="urn:microsoft.com/office/officeart/2011/layout/HexagonRadial"/>
    <dgm:cxn modelId="{885F7C53-6B17-401A-95EF-E96983554130}" srcId="{174FA6EB-3EFC-46EC-966B-D652E45387A4}" destId="{4F4D368B-742E-46E8-8134-BC102F740A2B}" srcOrd="5" destOrd="0" parTransId="{31FF6230-6EB1-45AE-B95B-0DC5FDD8F4BF}" sibTransId="{F3782C0E-8260-4C81-B333-2417B94890C4}"/>
    <dgm:cxn modelId="{FB74E969-7101-48FD-ABE2-30A597F4D031}" srcId="{174FA6EB-3EFC-46EC-966B-D652E45387A4}" destId="{BD9AC6C9-DB9C-4FDA-8B32-3C258CF8A514}" srcOrd="2" destOrd="0" parTransId="{FBC66C6F-5881-4A6C-A7AC-F80CA35B6C27}" sibTransId="{E935D4A5-EBD1-455F-9294-A9DC917CA0AC}"/>
    <dgm:cxn modelId="{AE1E38AE-0440-491F-9B20-7BEBB3D30F88}" type="presOf" srcId="{3195CF1D-14FD-4EA1-AC18-0E9CE7249435}" destId="{A4915AF8-61E5-4BEB-820D-C3922B9CA708}" srcOrd="0" destOrd="0" presId="urn:microsoft.com/office/officeart/2011/layout/HexagonRadial"/>
    <dgm:cxn modelId="{6B44461E-E55B-435B-82A9-A158FBDCAF72}" srcId="{227A87ED-9888-4818-84A1-63F478BEED00}" destId="{174FA6EB-3EFC-46EC-966B-D652E45387A4}" srcOrd="0" destOrd="0" parTransId="{F189590B-A9AD-4FED-ACC7-2A4F0A4D6BF6}" sibTransId="{53EE67A6-2C66-49EB-9DE6-F6C776324D0C}"/>
    <dgm:cxn modelId="{41A51316-868B-4C25-B890-EE3079420BBF}" srcId="{174FA6EB-3EFC-46EC-966B-D652E45387A4}" destId="{0053A403-EB90-4B12-8F11-E288552C7C68}" srcOrd="1" destOrd="0" parTransId="{257B1197-B6E6-4973-8DF0-030D6F6A1A41}" sibTransId="{810B81EE-B642-4D3C-9DE3-79B43708D490}"/>
    <dgm:cxn modelId="{34ABCE4C-FA5D-4C1F-AE88-D1CF1886E244}" type="presParOf" srcId="{93DC17A1-39AC-4AA5-B73E-9CCA01880937}" destId="{ECEDE516-700C-453B-B73F-110188CCAF50}" srcOrd="0" destOrd="0" presId="urn:microsoft.com/office/officeart/2011/layout/HexagonRadial"/>
    <dgm:cxn modelId="{CD1B3BD4-1408-477D-B34F-EAF2C08C9BCD}" type="presParOf" srcId="{93DC17A1-39AC-4AA5-B73E-9CCA01880937}" destId="{5B6C67DC-316E-4FB7-B666-BDA2A8065048}" srcOrd="1" destOrd="0" presId="urn:microsoft.com/office/officeart/2011/layout/HexagonRadial"/>
    <dgm:cxn modelId="{870C857D-30B9-4C50-9A06-04E3F5D2FB66}" type="presParOf" srcId="{5B6C67DC-316E-4FB7-B666-BDA2A8065048}" destId="{7C844136-D423-4E31-90E0-0648F13242B3}" srcOrd="0" destOrd="0" presId="urn:microsoft.com/office/officeart/2011/layout/HexagonRadial"/>
    <dgm:cxn modelId="{5D40F8DB-BE0A-417E-B56A-EB93FF671142}" type="presParOf" srcId="{93DC17A1-39AC-4AA5-B73E-9CCA01880937}" destId="{A4915AF8-61E5-4BEB-820D-C3922B9CA708}" srcOrd="2" destOrd="0" presId="urn:microsoft.com/office/officeart/2011/layout/HexagonRadial"/>
    <dgm:cxn modelId="{516236E3-AE6D-4552-A507-3410EE4C2D10}" type="presParOf" srcId="{93DC17A1-39AC-4AA5-B73E-9CCA01880937}" destId="{3CE8CCD0-28BF-4486-8AFF-3BC073EABECB}" srcOrd="3" destOrd="0" presId="urn:microsoft.com/office/officeart/2011/layout/HexagonRadial"/>
    <dgm:cxn modelId="{E89D619C-2D5B-45B5-9705-4B177928FF39}" type="presParOf" srcId="{3CE8CCD0-28BF-4486-8AFF-3BC073EABECB}" destId="{CFA0C879-4B2E-4DB1-B223-AB2A7B5FEF4D}" srcOrd="0" destOrd="0" presId="urn:microsoft.com/office/officeart/2011/layout/HexagonRadial"/>
    <dgm:cxn modelId="{B3197488-4F55-4EBC-B170-FEB41E5ECE58}" type="presParOf" srcId="{93DC17A1-39AC-4AA5-B73E-9CCA01880937}" destId="{C64C34A2-71DD-4E24-8C56-F198045F0967}" srcOrd="4" destOrd="0" presId="urn:microsoft.com/office/officeart/2011/layout/HexagonRadial"/>
    <dgm:cxn modelId="{DC4D6450-34DA-4082-88BB-5222341AF4D6}" type="presParOf" srcId="{93DC17A1-39AC-4AA5-B73E-9CCA01880937}" destId="{A44E8B9A-4EA2-4351-BA07-46E08A532A8E}" srcOrd="5" destOrd="0" presId="urn:microsoft.com/office/officeart/2011/layout/HexagonRadial"/>
    <dgm:cxn modelId="{45E0A271-CB20-4BBA-A58F-52134F0B3773}" type="presParOf" srcId="{A44E8B9A-4EA2-4351-BA07-46E08A532A8E}" destId="{32AB669B-307D-4A89-ACB5-383FAD08E683}" srcOrd="0" destOrd="0" presId="urn:microsoft.com/office/officeart/2011/layout/HexagonRadial"/>
    <dgm:cxn modelId="{5D97FCFD-F42A-433D-B387-43438A9FCBCE}" type="presParOf" srcId="{93DC17A1-39AC-4AA5-B73E-9CCA01880937}" destId="{F8FEF6CC-A553-4986-B4D8-A04F3F442608}" srcOrd="6" destOrd="0" presId="urn:microsoft.com/office/officeart/2011/layout/HexagonRadial"/>
    <dgm:cxn modelId="{2A4E4A20-D46F-4D96-A2B9-B4346ED9AE72}" type="presParOf" srcId="{93DC17A1-39AC-4AA5-B73E-9CCA01880937}" destId="{74899E5F-3753-4598-A477-40E067BF383E}" srcOrd="7" destOrd="0" presId="urn:microsoft.com/office/officeart/2011/layout/HexagonRadial"/>
    <dgm:cxn modelId="{7BB4B80B-4D72-400E-89D9-A65B51577479}" type="presParOf" srcId="{74899E5F-3753-4598-A477-40E067BF383E}" destId="{7E0033E1-211A-4FA1-9C43-BB4D1E9F9D9C}" srcOrd="0" destOrd="0" presId="urn:microsoft.com/office/officeart/2011/layout/HexagonRadial"/>
    <dgm:cxn modelId="{9AFA5C5F-D39B-4C4E-A918-50BC18FFF801}" type="presParOf" srcId="{93DC17A1-39AC-4AA5-B73E-9CCA01880937}" destId="{02E44AA0-E3FB-4AA3-96C0-5E3D0FB211F5}" srcOrd="8" destOrd="0" presId="urn:microsoft.com/office/officeart/2011/layout/HexagonRadial"/>
    <dgm:cxn modelId="{CFF7CEFA-E34E-4DA1-ACE1-E0786AD5EFC2}" type="presParOf" srcId="{93DC17A1-39AC-4AA5-B73E-9CCA01880937}" destId="{0D6CB153-3CBA-49F6-9CB5-C8688D8D929E}" srcOrd="9" destOrd="0" presId="urn:microsoft.com/office/officeart/2011/layout/HexagonRadial"/>
    <dgm:cxn modelId="{23F0A0EA-88A8-42AD-B449-4B1E4A7437AE}" type="presParOf" srcId="{0D6CB153-3CBA-49F6-9CB5-C8688D8D929E}" destId="{86FB1453-6AA2-4CB1-B741-D59B4FE075EE}" srcOrd="0" destOrd="0" presId="urn:microsoft.com/office/officeart/2011/layout/HexagonRadial"/>
    <dgm:cxn modelId="{F2FB2178-166C-4B8F-848F-F30B422FC346}" type="presParOf" srcId="{93DC17A1-39AC-4AA5-B73E-9CCA01880937}" destId="{6FECC8AF-B11E-4AEE-9F24-17B1988B52E4}" srcOrd="10" destOrd="0" presId="urn:microsoft.com/office/officeart/2011/layout/HexagonRadial"/>
    <dgm:cxn modelId="{E1BDA937-E7AB-4B53-B4D3-C3971D280C35}" type="presParOf" srcId="{93DC17A1-39AC-4AA5-B73E-9CCA01880937}" destId="{2FF2361F-30EB-495C-A8EF-1BFFE0235E12}" srcOrd="11" destOrd="0" presId="urn:microsoft.com/office/officeart/2011/layout/HexagonRadial"/>
    <dgm:cxn modelId="{9FA4AC1E-9EBC-48CF-A77F-1FBE33944E5E}" type="presParOf" srcId="{2FF2361F-30EB-495C-A8EF-1BFFE0235E12}" destId="{70FA0FAF-7C7B-4DD1-A0D7-28FCF39A3C19}" srcOrd="0" destOrd="0" presId="urn:microsoft.com/office/officeart/2011/layout/HexagonRadial"/>
    <dgm:cxn modelId="{91BD9659-A5E4-4EC6-BA5E-EC382660B4D2}" type="presParOf" srcId="{93DC17A1-39AC-4AA5-B73E-9CCA01880937}" destId="{36E4637F-06EA-476C-AAAC-9D164327DCEF}"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B4B396-9010-420E-83BF-5DD8F59F7CE5}">
      <dsp:nvSpPr>
        <dsp:cNvPr id="0" name=""/>
        <dsp:cNvSpPr/>
      </dsp:nvSpPr>
      <dsp:spPr>
        <a:xfrm>
          <a:off x="981434" y="68565"/>
          <a:ext cx="794301" cy="516296"/>
        </a:xfrm>
        <a:prstGeom prst="roundRect">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Market potential</a:t>
          </a:r>
        </a:p>
      </dsp:txBody>
      <dsp:txXfrm>
        <a:off x="1006637" y="93768"/>
        <a:ext cx="743895" cy="465890"/>
      </dsp:txXfrm>
    </dsp:sp>
    <dsp:sp modelId="{1EE385F2-9A69-498F-8A91-E22F77D85CBB}">
      <dsp:nvSpPr>
        <dsp:cNvPr id="0" name=""/>
        <dsp:cNvSpPr/>
      </dsp:nvSpPr>
      <dsp:spPr>
        <a:xfrm>
          <a:off x="347238" y="326713"/>
          <a:ext cx="2062692" cy="2062692"/>
        </a:xfrm>
        <a:custGeom>
          <a:avLst/>
          <a:gdLst/>
          <a:ahLst/>
          <a:cxnLst/>
          <a:rect l="0" t="0" r="0" b="0"/>
          <a:pathLst>
            <a:path>
              <a:moveTo>
                <a:pt x="1433951" y="81828"/>
              </a:moveTo>
              <a:arcTo wR="1031346" hR="1031346" stAng="17578647" swAng="1961105"/>
            </a:path>
          </a:pathLst>
        </a:custGeom>
        <a:noFill/>
        <a:ln w="6350" cap="flat" cmpd="sng" algn="ctr">
          <a:solidFill>
            <a:schemeClr val="accent1">
              <a:shade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0E251BC-D5B9-4935-8C4B-87D28D1D21A1}">
      <dsp:nvSpPr>
        <dsp:cNvPr id="0" name=""/>
        <dsp:cNvSpPr/>
      </dsp:nvSpPr>
      <dsp:spPr>
        <a:xfrm>
          <a:off x="1962302" y="781207"/>
          <a:ext cx="794301" cy="516296"/>
        </a:xfrm>
        <a:prstGeom prst="roundRect">
          <a:avLst/>
        </a:prstGeom>
        <a:solidFill>
          <a:schemeClr val="accent1">
            <a:shade val="50000"/>
            <a:hueOff val="133703"/>
            <a:satOff val="3582"/>
            <a:lumOff val="157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Tourism Influence</a:t>
          </a:r>
        </a:p>
      </dsp:txBody>
      <dsp:txXfrm>
        <a:off x="1987505" y="806410"/>
        <a:ext cx="743895" cy="465890"/>
      </dsp:txXfrm>
    </dsp:sp>
    <dsp:sp modelId="{262557E5-8A86-4ECE-A49F-C16A5AFDF406}">
      <dsp:nvSpPr>
        <dsp:cNvPr id="0" name=""/>
        <dsp:cNvSpPr/>
      </dsp:nvSpPr>
      <dsp:spPr>
        <a:xfrm>
          <a:off x="347238" y="326713"/>
          <a:ext cx="2062692" cy="2062692"/>
        </a:xfrm>
        <a:custGeom>
          <a:avLst/>
          <a:gdLst/>
          <a:ahLst/>
          <a:cxnLst/>
          <a:rect l="0" t="0" r="0" b="0"/>
          <a:pathLst>
            <a:path>
              <a:moveTo>
                <a:pt x="2061279" y="977382"/>
              </a:moveTo>
              <a:arcTo wR="1031346" hR="1031346" stAng="21420043" swAng="2195970"/>
            </a:path>
          </a:pathLst>
        </a:custGeom>
        <a:noFill/>
        <a:ln w="6350" cap="flat" cmpd="sng" algn="ctr">
          <a:solidFill>
            <a:schemeClr val="accent1">
              <a:shade val="90000"/>
              <a:hueOff val="140366"/>
              <a:satOff val="-1286"/>
              <a:lumOff val="111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46231E40-42FF-4229-8CD4-4C95119C6E53}">
      <dsp:nvSpPr>
        <dsp:cNvPr id="0" name=""/>
        <dsp:cNvSpPr/>
      </dsp:nvSpPr>
      <dsp:spPr>
        <a:xfrm>
          <a:off x="1587644" y="1934287"/>
          <a:ext cx="794301" cy="516296"/>
        </a:xfrm>
        <a:prstGeom prst="roundRect">
          <a:avLst/>
        </a:prstGeom>
        <a:solidFill>
          <a:schemeClr val="accent1">
            <a:shade val="50000"/>
            <a:hueOff val="267407"/>
            <a:satOff val="7164"/>
            <a:lumOff val="315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Economic stability</a:t>
          </a:r>
        </a:p>
      </dsp:txBody>
      <dsp:txXfrm>
        <a:off x="1612847" y="1959490"/>
        <a:ext cx="743895" cy="465890"/>
      </dsp:txXfrm>
    </dsp:sp>
    <dsp:sp modelId="{4977495C-7185-464D-9E6F-5A9563C8CB01}">
      <dsp:nvSpPr>
        <dsp:cNvPr id="0" name=""/>
        <dsp:cNvSpPr/>
      </dsp:nvSpPr>
      <dsp:spPr>
        <a:xfrm>
          <a:off x="347238" y="326713"/>
          <a:ext cx="2062692" cy="2062692"/>
        </a:xfrm>
        <a:custGeom>
          <a:avLst/>
          <a:gdLst/>
          <a:ahLst/>
          <a:cxnLst/>
          <a:rect l="0" t="0" r="0" b="0"/>
          <a:pathLst>
            <a:path>
              <a:moveTo>
                <a:pt x="1236309" y="2042120"/>
              </a:moveTo>
              <a:arcTo wR="1031346" hR="1031346" stAng="4712225" swAng="1375549"/>
            </a:path>
          </a:pathLst>
        </a:custGeom>
        <a:noFill/>
        <a:ln w="6350" cap="flat" cmpd="sng" algn="ctr">
          <a:solidFill>
            <a:schemeClr val="accent1">
              <a:shade val="90000"/>
              <a:hueOff val="280732"/>
              <a:satOff val="-2572"/>
              <a:lumOff val="22203"/>
              <a:alphaOff val="0"/>
            </a:schemeClr>
          </a:solidFill>
          <a:prstDash val="solid"/>
          <a:miter lim="800000"/>
        </a:ln>
        <a:effectLst/>
      </dsp:spPr>
      <dsp:style>
        <a:lnRef idx="1">
          <a:scrgbClr r="0" g="0" b="0"/>
        </a:lnRef>
        <a:fillRef idx="0">
          <a:scrgbClr r="0" g="0" b="0"/>
        </a:fillRef>
        <a:effectRef idx="0">
          <a:scrgbClr r="0" g="0" b="0"/>
        </a:effectRef>
        <a:fontRef idx="minor"/>
      </dsp:style>
    </dsp:sp>
    <dsp:sp modelId="{0E638823-27C8-4C90-93CF-751FC6B537FE}">
      <dsp:nvSpPr>
        <dsp:cNvPr id="0" name=""/>
        <dsp:cNvSpPr/>
      </dsp:nvSpPr>
      <dsp:spPr>
        <a:xfrm>
          <a:off x="375223" y="1934287"/>
          <a:ext cx="794301" cy="516296"/>
        </a:xfrm>
        <a:prstGeom prst="roundRect">
          <a:avLst/>
        </a:prstGeom>
        <a:solidFill>
          <a:schemeClr val="accent1">
            <a:shade val="50000"/>
            <a:hueOff val="267407"/>
            <a:satOff val="7164"/>
            <a:lumOff val="315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Cultural prefernces</a:t>
          </a:r>
        </a:p>
      </dsp:txBody>
      <dsp:txXfrm>
        <a:off x="400426" y="1959490"/>
        <a:ext cx="743895" cy="465890"/>
      </dsp:txXfrm>
    </dsp:sp>
    <dsp:sp modelId="{98017B88-FBC2-43E8-9DCF-927C50905C7F}">
      <dsp:nvSpPr>
        <dsp:cNvPr id="0" name=""/>
        <dsp:cNvSpPr/>
      </dsp:nvSpPr>
      <dsp:spPr>
        <a:xfrm>
          <a:off x="347238" y="326713"/>
          <a:ext cx="2062692" cy="2062692"/>
        </a:xfrm>
        <a:custGeom>
          <a:avLst/>
          <a:gdLst/>
          <a:ahLst/>
          <a:cxnLst/>
          <a:rect l="0" t="0" r="0" b="0"/>
          <a:pathLst>
            <a:path>
              <a:moveTo>
                <a:pt x="172318" y="1602087"/>
              </a:moveTo>
              <a:arcTo wR="1031346" hR="1031346" stAng="8783987" swAng="2195970"/>
            </a:path>
          </a:pathLst>
        </a:custGeom>
        <a:noFill/>
        <a:ln w="6350" cap="flat" cmpd="sng" algn="ctr">
          <a:solidFill>
            <a:schemeClr val="accent1">
              <a:shade val="90000"/>
              <a:hueOff val="280732"/>
              <a:satOff val="-2572"/>
              <a:lumOff val="22203"/>
              <a:alphaOff val="0"/>
            </a:schemeClr>
          </a:solidFill>
          <a:prstDash val="solid"/>
          <a:miter lim="800000"/>
        </a:ln>
        <a:effectLst/>
      </dsp:spPr>
      <dsp:style>
        <a:lnRef idx="1">
          <a:scrgbClr r="0" g="0" b="0"/>
        </a:lnRef>
        <a:fillRef idx="0">
          <a:scrgbClr r="0" g="0" b="0"/>
        </a:fillRef>
        <a:effectRef idx="0">
          <a:scrgbClr r="0" g="0" b="0"/>
        </a:effectRef>
        <a:fontRef idx="minor"/>
      </dsp:style>
    </dsp:sp>
    <dsp:sp modelId="{4D3F5391-22CB-437A-8B20-6A67D119A783}">
      <dsp:nvSpPr>
        <dsp:cNvPr id="0" name=""/>
        <dsp:cNvSpPr/>
      </dsp:nvSpPr>
      <dsp:spPr>
        <a:xfrm>
          <a:off x="565" y="781207"/>
          <a:ext cx="794301" cy="516296"/>
        </a:xfrm>
        <a:prstGeom prst="roundRect">
          <a:avLst/>
        </a:prstGeom>
        <a:solidFill>
          <a:schemeClr val="accent1">
            <a:shade val="50000"/>
            <a:hueOff val="133703"/>
            <a:satOff val="3582"/>
            <a:lumOff val="157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Growt of retail industry</a:t>
          </a:r>
        </a:p>
      </dsp:txBody>
      <dsp:txXfrm>
        <a:off x="25768" y="806410"/>
        <a:ext cx="743895" cy="465890"/>
      </dsp:txXfrm>
    </dsp:sp>
    <dsp:sp modelId="{E06314A2-AD15-4DEE-8243-43EEFA42E77C}">
      <dsp:nvSpPr>
        <dsp:cNvPr id="0" name=""/>
        <dsp:cNvSpPr/>
      </dsp:nvSpPr>
      <dsp:spPr>
        <a:xfrm>
          <a:off x="347238" y="326713"/>
          <a:ext cx="2062692" cy="2062692"/>
        </a:xfrm>
        <a:custGeom>
          <a:avLst/>
          <a:gdLst/>
          <a:ahLst/>
          <a:cxnLst/>
          <a:rect l="0" t="0" r="0" b="0"/>
          <a:pathLst>
            <a:path>
              <a:moveTo>
                <a:pt x="179733" y="449598"/>
              </a:moveTo>
              <a:arcTo wR="1031346" hR="1031346" stAng="12860248" swAng="1961105"/>
            </a:path>
          </a:pathLst>
        </a:custGeom>
        <a:noFill/>
        <a:ln w="6350" cap="flat" cmpd="sng" algn="ctr">
          <a:solidFill>
            <a:schemeClr val="accent1">
              <a:shade val="90000"/>
              <a:hueOff val="140366"/>
              <a:satOff val="-1286"/>
              <a:lumOff val="11102"/>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EDE516-700C-453B-B73F-110188CCAF50}">
      <dsp:nvSpPr>
        <dsp:cNvPr id="0" name=""/>
        <dsp:cNvSpPr/>
      </dsp:nvSpPr>
      <dsp:spPr>
        <a:xfrm>
          <a:off x="681736" y="780576"/>
          <a:ext cx="992147" cy="858247"/>
        </a:xfrm>
        <a:prstGeom prst="hexagon">
          <a:avLst>
            <a:gd name="adj" fmla="val 28570"/>
            <a:gd name="vf" fmla="val 115470"/>
          </a:avLst>
        </a:prstGeom>
        <a:solidFill>
          <a:schemeClr val="accent1">
            <a:shade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Factors to e considered</a:t>
          </a:r>
        </a:p>
      </dsp:txBody>
      <dsp:txXfrm>
        <a:off x="846149" y="922800"/>
        <a:ext cx="663321" cy="573799"/>
      </dsp:txXfrm>
    </dsp:sp>
    <dsp:sp modelId="{CFA0C879-4B2E-4DB1-B223-AB2A7B5FEF4D}">
      <dsp:nvSpPr>
        <dsp:cNvPr id="0" name=""/>
        <dsp:cNvSpPr/>
      </dsp:nvSpPr>
      <dsp:spPr>
        <a:xfrm>
          <a:off x="1303010" y="369963"/>
          <a:ext cx="374334" cy="322538"/>
        </a:xfrm>
        <a:prstGeom prst="hexagon">
          <a:avLst>
            <a:gd name="adj" fmla="val 28900"/>
            <a:gd name="vf" fmla="val 115470"/>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4915AF8-61E5-4BEB-820D-C3922B9CA708}">
      <dsp:nvSpPr>
        <dsp:cNvPr id="0" name=""/>
        <dsp:cNvSpPr/>
      </dsp:nvSpPr>
      <dsp:spPr>
        <a:xfrm>
          <a:off x="773127" y="0"/>
          <a:ext cx="813057" cy="703390"/>
        </a:xfrm>
        <a:prstGeom prst="hexagon">
          <a:avLst>
            <a:gd name="adj" fmla="val 28570"/>
            <a:gd name="vf" fmla="val 115470"/>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Affluent consumer base</a:t>
          </a:r>
        </a:p>
      </dsp:txBody>
      <dsp:txXfrm>
        <a:off x="907868" y="116567"/>
        <a:ext cx="543575" cy="470256"/>
      </dsp:txXfrm>
    </dsp:sp>
    <dsp:sp modelId="{32AB669B-307D-4A89-ACB5-383FAD08E683}">
      <dsp:nvSpPr>
        <dsp:cNvPr id="0" name=""/>
        <dsp:cNvSpPr/>
      </dsp:nvSpPr>
      <dsp:spPr>
        <a:xfrm>
          <a:off x="1739887" y="972938"/>
          <a:ext cx="374334" cy="322538"/>
        </a:xfrm>
        <a:prstGeom prst="hexagon">
          <a:avLst>
            <a:gd name="adj" fmla="val 28900"/>
            <a:gd name="vf" fmla="val 115470"/>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4C34A2-71DD-4E24-8C56-F198045F0967}">
      <dsp:nvSpPr>
        <dsp:cNvPr id="0" name=""/>
        <dsp:cNvSpPr/>
      </dsp:nvSpPr>
      <dsp:spPr>
        <a:xfrm>
          <a:off x="1518795" y="432632"/>
          <a:ext cx="813057" cy="703390"/>
        </a:xfrm>
        <a:prstGeom prst="hexagon">
          <a:avLst>
            <a:gd name="adj" fmla="val 28570"/>
            <a:gd name="vf" fmla="val 115470"/>
          </a:avLst>
        </a:prstGeom>
        <a:solidFill>
          <a:schemeClr val="accent1">
            <a:shade val="50000"/>
            <a:hueOff val="111419"/>
            <a:satOff val="2985"/>
            <a:lumOff val="131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Economic stability</a:t>
          </a:r>
        </a:p>
      </dsp:txBody>
      <dsp:txXfrm>
        <a:off x="1653536" y="549199"/>
        <a:ext cx="543575" cy="470256"/>
      </dsp:txXfrm>
    </dsp:sp>
    <dsp:sp modelId="{7E0033E1-211A-4FA1-9C43-BB4D1E9F9D9C}">
      <dsp:nvSpPr>
        <dsp:cNvPr id="0" name=""/>
        <dsp:cNvSpPr/>
      </dsp:nvSpPr>
      <dsp:spPr>
        <a:xfrm>
          <a:off x="1436404" y="1653584"/>
          <a:ext cx="374334" cy="322538"/>
        </a:xfrm>
        <a:prstGeom prst="hexagon">
          <a:avLst>
            <a:gd name="adj" fmla="val 28900"/>
            <a:gd name="vf" fmla="val 115470"/>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8FEF6CC-A553-4986-B4D8-A04F3F442608}">
      <dsp:nvSpPr>
        <dsp:cNvPr id="0" name=""/>
        <dsp:cNvSpPr/>
      </dsp:nvSpPr>
      <dsp:spPr>
        <a:xfrm>
          <a:off x="1518795" y="1283136"/>
          <a:ext cx="813057" cy="703390"/>
        </a:xfrm>
        <a:prstGeom prst="hexagon">
          <a:avLst>
            <a:gd name="adj" fmla="val 28570"/>
            <a:gd name="vf" fmla="val 115470"/>
          </a:avLst>
        </a:prstGeom>
        <a:solidFill>
          <a:schemeClr val="accent1">
            <a:shade val="50000"/>
            <a:hueOff val="222839"/>
            <a:satOff val="5970"/>
            <a:lumOff val="263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Cultural Fit</a:t>
          </a:r>
        </a:p>
      </dsp:txBody>
      <dsp:txXfrm>
        <a:off x="1653536" y="1399703"/>
        <a:ext cx="543575" cy="470256"/>
      </dsp:txXfrm>
    </dsp:sp>
    <dsp:sp modelId="{86FB1453-6AA2-4CB1-B741-D59B4FE075EE}">
      <dsp:nvSpPr>
        <dsp:cNvPr id="0" name=""/>
        <dsp:cNvSpPr/>
      </dsp:nvSpPr>
      <dsp:spPr>
        <a:xfrm>
          <a:off x="683582" y="1724237"/>
          <a:ext cx="374334" cy="322538"/>
        </a:xfrm>
        <a:prstGeom prst="hexagon">
          <a:avLst>
            <a:gd name="adj" fmla="val 28900"/>
            <a:gd name="vf" fmla="val 115470"/>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2E44AA0-E3FB-4AA3-96C0-5E3D0FB211F5}">
      <dsp:nvSpPr>
        <dsp:cNvPr id="0" name=""/>
        <dsp:cNvSpPr/>
      </dsp:nvSpPr>
      <dsp:spPr>
        <a:xfrm>
          <a:off x="773127" y="1716252"/>
          <a:ext cx="813057" cy="703390"/>
        </a:xfrm>
        <a:prstGeom prst="hexagon">
          <a:avLst>
            <a:gd name="adj" fmla="val 28570"/>
            <a:gd name="vf" fmla="val 115470"/>
          </a:avLst>
        </a:prstGeom>
        <a:solidFill>
          <a:schemeClr val="accent1">
            <a:shade val="50000"/>
            <a:hueOff val="334258"/>
            <a:satOff val="8955"/>
            <a:lumOff val="394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Strategic location</a:t>
          </a:r>
        </a:p>
      </dsp:txBody>
      <dsp:txXfrm>
        <a:off x="907868" y="1832819"/>
        <a:ext cx="543575" cy="470256"/>
      </dsp:txXfrm>
    </dsp:sp>
    <dsp:sp modelId="{70FA0FAF-7C7B-4DD1-A0D7-28FCF39A3C19}">
      <dsp:nvSpPr>
        <dsp:cNvPr id="0" name=""/>
        <dsp:cNvSpPr/>
      </dsp:nvSpPr>
      <dsp:spPr>
        <a:xfrm>
          <a:off x="239550" y="1121504"/>
          <a:ext cx="374334" cy="322538"/>
        </a:xfrm>
        <a:prstGeom prst="hexagon">
          <a:avLst>
            <a:gd name="adj" fmla="val 28900"/>
            <a:gd name="vf" fmla="val 115470"/>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FECC8AF-B11E-4AEE-9F24-17B1988B52E4}">
      <dsp:nvSpPr>
        <dsp:cNvPr id="0" name=""/>
        <dsp:cNvSpPr/>
      </dsp:nvSpPr>
      <dsp:spPr>
        <a:xfrm>
          <a:off x="23997" y="1283620"/>
          <a:ext cx="813057" cy="703390"/>
        </a:xfrm>
        <a:prstGeom prst="hexagon">
          <a:avLst>
            <a:gd name="adj" fmla="val 28570"/>
            <a:gd name="vf" fmla="val 115470"/>
          </a:avLst>
        </a:prstGeom>
        <a:solidFill>
          <a:schemeClr val="accent1">
            <a:shade val="50000"/>
            <a:hueOff val="222839"/>
            <a:satOff val="5970"/>
            <a:lumOff val="263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Growth of retail industry</a:t>
          </a:r>
        </a:p>
      </dsp:txBody>
      <dsp:txXfrm>
        <a:off x="158738" y="1400187"/>
        <a:ext cx="543575" cy="470256"/>
      </dsp:txXfrm>
    </dsp:sp>
    <dsp:sp modelId="{36E4637F-06EA-476C-AAAC-9D164327DCEF}">
      <dsp:nvSpPr>
        <dsp:cNvPr id="0" name=""/>
        <dsp:cNvSpPr/>
      </dsp:nvSpPr>
      <dsp:spPr>
        <a:xfrm>
          <a:off x="23997" y="431664"/>
          <a:ext cx="813057" cy="703390"/>
        </a:xfrm>
        <a:prstGeom prst="hexagon">
          <a:avLst>
            <a:gd name="adj" fmla="val 28570"/>
            <a:gd name="vf" fmla="val 115470"/>
          </a:avLst>
        </a:prstGeom>
        <a:solidFill>
          <a:schemeClr val="accent1">
            <a:shade val="50000"/>
            <a:hueOff val="111419"/>
            <a:satOff val="2985"/>
            <a:lumOff val="131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Multilingual Environment</a:t>
          </a:r>
        </a:p>
      </dsp:txBody>
      <dsp:txXfrm>
        <a:off x="158738" y="548231"/>
        <a:ext cx="543575" cy="470256"/>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B3F69-42A4-4877-B58A-693BECAC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2957</Words>
  <Characters>18551</Characters>
  <Application>Microsoft Office Word</Application>
  <DocSecurity>0</DocSecurity>
  <Lines>154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bibliotecar</cp:lastModifiedBy>
  <cp:revision>4</cp:revision>
  <dcterms:created xsi:type="dcterms:W3CDTF">2023-10-29T17:00:00Z</dcterms:created>
  <dcterms:modified xsi:type="dcterms:W3CDTF">2023-11-02T06:46:00Z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8177a21923d471726c401e5b6fd29f161309506cfddcf4e305a0eac4b464170a</vt:lpwstr>
  </property>
</Properties>
</file>