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jc w:val="center"/>
        <w:tblBorders>
          <w:top w:val="nil"/>
          <w:left w:val="nil"/>
          <w:bottom w:val="nil"/>
          <w:right w:val="nil"/>
          <w:insideH w:val="nil"/>
          <w:insideV w:val="nil"/>
        </w:tblBorders>
        <w:tblLayout w:type="fixed"/>
        <w:tblLook w:val="04A0" w:firstRow="1" w:lastRow="0" w:firstColumn="1" w:lastColumn="0" w:noHBand="0" w:noVBand="1"/>
      </w:tblPr>
      <w:tblGrid>
        <w:gridCol w:w="9360"/>
      </w:tblGrid>
      <w:tr w:rsidR="00D67A93" w14:paraId="2D1A113C" w14:textId="77777777">
        <w:trPr>
          <w:jc w:val="center"/>
        </w:trPr>
        <w:tc>
          <w:tcPr>
            <w:tcW w:w="9360" w:type="dxa"/>
            <w:shd w:val="clear" w:color="auto" w:fill="17365D"/>
          </w:tcPr>
          <w:p w14:paraId="72C28FF8" w14:textId="77777777" w:rsidR="005963D2" w:rsidRDefault="005963D2"/>
        </w:tc>
      </w:tr>
    </w:tbl>
    <w:p w14:paraId="5C13F340" w14:textId="77777777" w:rsidR="005963D2" w:rsidRDefault="00000000">
      <w:pPr>
        <w:spacing w:before="320" w:after="160"/>
        <w:jc w:val="center"/>
      </w:pPr>
      <w:r>
        <w:rPr>
          <w:noProof/>
        </w:rPr>
        <w:drawing>
          <wp:inline distT="0" distB="0" distL="0" distR="0" wp14:anchorId="3E79FB42" wp14:editId="68A8EE63">
            <wp:extent cx="1600200" cy="640080"/>
            <wp:effectExtent l="0" t="0" r="0" b="0"/>
            <wp:docPr id="2047035310" name="Picture 20470353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png"/>
                    <pic:cNvPicPr/>
                  </pic:nvPicPr>
                  <pic:blipFill>
                    <a:blip r:embed="rId8"/>
                    <a:stretch>
                      <a:fillRect/>
                    </a:stretch>
                  </pic:blipFill>
                  <pic:spPr>
                    <a:xfrm>
                      <a:off x="0" y="0"/>
                      <a:ext cx="1600200" cy="640080"/>
                    </a:xfrm>
                    <a:prstGeom prst="rect">
                      <a:avLst/>
                    </a:prstGeom>
                  </pic:spPr>
                </pic:pic>
              </a:graphicData>
            </a:graphic>
          </wp:inline>
        </w:drawing>
      </w:r>
    </w:p>
    <w:p w14:paraId="0467D0E5" w14:textId="77777777" w:rsidR="005963D2" w:rsidRDefault="00000000">
      <w:pPr>
        <w:spacing w:after="40" w:line="240" w:lineRule="auto"/>
        <w:jc w:val="center"/>
      </w:pPr>
      <w:r>
        <w:rPr>
          <w:b/>
          <w:color w:val="17365D"/>
          <w:sz w:val="30"/>
        </w:rPr>
        <w:t>University of Wales Trinity Saint David</w:t>
      </w:r>
    </w:p>
    <w:p w14:paraId="1DC59139" w14:textId="77777777" w:rsidR="005963D2" w:rsidRDefault="00000000">
      <w:pPr>
        <w:spacing w:after="360" w:line="240" w:lineRule="auto"/>
        <w:jc w:val="center"/>
      </w:pPr>
      <w:r>
        <w:rPr>
          <w:color w:val="555555"/>
          <w:sz w:val="22"/>
        </w:rPr>
        <w:t>MASTER OF BUSINESS ADMINISTRATION</w:t>
      </w:r>
    </w:p>
    <w:p w14:paraId="3F60FBBE" w14:textId="77777777" w:rsidR="005963D2" w:rsidRDefault="00000000">
      <w:pPr>
        <w:spacing w:after="100" w:line="240" w:lineRule="auto"/>
        <w:jc w:val="center"/>
      </w:pPr>
      <w:r>
        <w:rPr>
          <w:b/>
          <w:color w:val="17365D"/>
          <w:sz w:val="48"/>
        </w:rPr>
        <w:t>A Comparative Analysis of Toyota’s</w:t>
      </w:r>
    </w:p>
    <w:p w14:paraId="06A67F2B" w14:textId="77777777" w:rsidR="005963D2" w:rsidRDefault="00000000">
      <w:pPr>
        <w:spacing w:after="240" w:line="240" w:lineRule="auto"/>
        <w:jc w:val="center"/>
      </w:pPr>
      <w:r>
        <w:rPr>
          <w:color w:val="4F4F4F"/>
          <w:sz w:val="30"/>
        </w:rPr>
        <w:t>International Market Entry Strategy and Marketing Mix</w:t>
      </w:r>
    </w:p>
    <w:p w14:paraId="3C69519D" w14:textId="77777777" w:rsidR="005963D2" w:rsidRDefault="00000000">
      <w:pPr>
        <w:spacing w:after="360" w:line="240" w:lineRule="auto"/>
        <w:jc w:val="center"/>
      </w:pPr>
      <w:r>
        <w:rPr>
          <w:b/>
          <w:color w:val="A67C00"/>
          <w:sz w:val="34"/>
        </w:rPr>
        <w:t>in Japan and the United States</w:t>
      </w:r>
    </w:p>
    <w:tbl>
      <w:tblPr>
        <w:tblW w:w="0" w:type="auto"/>
        <w:jc w:val="center"/>
        <w:tblBorders>
          <w:top w:val="nil"/>
          <w:left w:val="nil"/>
          <w:bottom w:val="nil"/>
          <w:right w:val="nil"/>
          <w:insideH w:val="nil"/>
          <w:insideV w:val="nil"/>
        </w:tblBorders>
        <w:tblLayout w:type="fixed"/>
        <w:tblLook w:val="04A0" w:firstRow="1" w:lastRow="0" w:firstColumn="1" w:lastColumn="0" w:noHBand="0" w:noVBand="1"/>
      </w:tblPr>
      <w:tblGrid>
        <w:gridCol w:w="9360"/>
      </w:tblGrid>
      <w:tr w:rsidR="00D67A93" w14:paraId="7B4E259D" w14:textId="77777777">
        <w:trPr>
          <w:jc w:val="center"/>
        </w:trPr>
        <w:tc>
          <w:tcPr>
            <w:tcW w:w="9360" w:type="dxa"/>
            <w:shd w:val="clear" w:color="auto" w:fill="D6B656"/>
          </w:tcPr>
          <w:p w14:paraId="2F6CC855" w14:textId="77777777" w:rsidR="005963D2" w:rsidRDefault="005963D2"/>
        </w:tc>
      </w:tr>
    </w:tbl>
    <w:p w14:paraId="0005F5D8" w14:textId="77777777" w:rsidR="005963D2" w:rsidRDefault="005963D2">
      <w:pPr>
        <w:spacing w:after="240" w:line="240" w:lineRule="auto"/>
        <w:jc w:val="center"/>
      </w:pPr>
    </w:p>
    <w:tbl>
      <w:tblPr>
        <w:tblW w:w="9648" w:type="dxa"/>
        <w:jc w:val="center"/>
        <w:tblBorders>
          <w:top w:val="single" w:sz="4" w:space="0" w:color="C8D2DF"/>
          <w:left w:val="single" w:sz="4" w:space="0" w:color="C8D2DF"/>
          <w:bottom w:val="single" w:sz="4" w:space="0" w:color="C8D2DF"/>
          <w:right w:val="single" w:sz="4" w:space="0" w:color="C8D2DF"/>
          <w:insideH w:val="single" w:sz="4" w:space="0" w:color="C8D2DF"/>
          <w:insideV w:val="single" w:sz="4" w:space="0" w:color="C8D2DF"/>
        </w:tblBorders>
        <w:tblLayout w:type="fixed"/>
        <w:tblLook w:val="04A0" w:firstRow="1" w:lastRow="0" w:firstColumn="1" w:lastColumn="0" w:noHBand="0" w:noVBand="1"/>
      </w:tblPr>
      <w:tblGrid>
        <w:gridCol w:w="2952"/>
        <w:gridCol w:w="6696"/>
      </w:tblGrid>
      <w:tr w:rsidR="00D67A93" w14:paraId="7B3E2E21" w14:textId="77777777" w:rsidTr="008E447F">
        <w:trPr>
          <w:jc w:val="center"/>
        </w:trPr>
        <w:tc>
          <w:tcPr>
            <w:tcW w:w="2952" w:type="dxa"/>
            <w:shd w:val="clear" w:color="auto" w:fill="EAF0F7"/>
            <w:tcMar>
              <w:top w:w="110" w:type="dxa"/>
              <w:left w:w="150" w:type="dxa"/>
              <w:bottom w:w="110" w:type="dxa"/>
              <w:right w:w="150" w:type="dxa"/>
            </w:tcMar>
            <w:vAlign w:val="center"/>
          </w:tcPr>
          <w:p w14:paraId="7FB5120B" w14:textId="77777777" w:rsidR="005963D2" w:rsidRDefault="00000000">
            <w:pPr>
              <w:spacing w:after="0" w:line="240" w:lineRule="auto"/>
            </w:pPr>
            <w:r>
              <w:rPr>
                <w:b/>
                <w:color w:val="17365D"/>
                <w:sz w:val="21"/>
              </w:rPr>
              <w:t>Programme</w:t>
            </w:r>
          </w:p>
        </w:tc>
        <w:tc>
          <w:tcPr>
            <w:tcW w:w="6696" w:type="dxa"/>
            <w:tcMar>
              <w:top w:w="110" w:type="dxa"/>
              <w:left w:w="170" w:type="dxa"/>
              <w:bottom w:w="110" w:type="dxa"/>
              <w:right w:w="170" w:type="dxa"/>
            </w:tcMar>
            <w:vAlign w:val="center"/>
          </w:tcPr>
          <w:p w14:paraId="60822123" w14:textId="77777777" w:rsidR="005963D2" w:rsidRDefault="00000000">
            <w:pPr>
              <w:spacing w:after="0" w:line="240" w:lineRule="auto"/>
            </w:pPr>
            <w:r>
              <w:rPr>
                <w:color w:val="333333"/>
                <w:sz w:val="21"/>
              </w:rPr>
              <w:t>Master of Business Administration</w:t>
            </w:r>
          </w:p>
        </w:tc>
      </w:tr>
      <w:tr w:rsidR="00D67A93" w14:paraId="6511199F" w14:textId="77777777" w:rsidTr="008E447F">
        <w:trPr>
          <w:jc w:val="center"/>
        </w:trPr>
        <w:tc>
          <w:tcPr>
            <w:tcW w:w="2952" w:type="dxa"/>
            <w:shd w:val="clear" w:color="auto" w:fill="EAF0F7"/>
            <w:tcMar>
              <w:top w:w="110" w:type="dxa"/>
              <w:left w:w="150" w:type="dxa"/>
              <w:bottom w:w="110" w:type="dxa"/>
              <w:right w:w="150" w:type="dxa"/>
            </w:tcMar>
            <w:vAlign w:val="center"/>
          </w:tcPr>
          <w:p w14:paraId="1B7C8FD7" w14:textId="77777777" w:rsidR="005963D2" w:rsidRDefault="00000000">
            <w:pPr>
              <w:spacing w:after="0" w:line="240" w:lineRule="auto"/>
            </w:pPr>
            <w:r>
              <w:rPr>
                <w:b/>
                <w:color w:val="17365D"/>
                <w:sz w:val="21"/>
              </w:rPr>
              <w:t>Module</w:t>
            </w:r>
          </w:p>
        </w:tc>
        <w:tc>
          <w:tcPr>
            <w:tcW w:w="6696" w:type="dxa"/>
            <w:tcMar>
              <w:top w:w="110" w:type="dxa"/>
              <w:left w:w="170" w:type="dxa"/>
              <w:bottom w:w="110" w:type="dxa"/>
              <w:right w:w="170" w:type="dxa"/>
            </w:tcMar>
            <w:vAlign w:val="center"/>
          </w:tcPr>
          <w:p w14:paraId="14A6FBA8" w14:textId="77777777" w:rsidR="005963D2" w:rsidRDefault="00000000">
            <w:pPr>
              <w:spacing w:after="0" w:line="240" w:lineRule="auto"/>
            </w:pPr>
            <w:r>
              <w:rPr>
                <w:color w:val="333333"/>
                <w:sz w:val="21"/>
              </w:rPr>
              <w:t>International Marketing: Principles and Practices</w:t>
            </w:r>
          </w:p>
        </w:tc>
      </w:tr>
      <w:tr w:rsidR="00D67A93" w14:paraId="41046483" w14:textId="77777777" w:rsidTr="008E447F">
        <w:trPr>
          <w:jc w:val="center"/>
        </w:trPr>
        <w:tc>
          <w:tcPr>
            <w:tcW w:w="2952" w:type="dxa"/>
            <w:shd w:val="clear" w:color="auto" w:fill="EAF0F7"/>
            <w:tcMar>
              <w:top w:w="110" w:type="dxa"/>
              <w:left w:w="150" w:type="dxa"/>
              <w:bottom w:w="110" w:type="dxa"/>
              <w:right w:w="150" w:type="dxa"/>
            </w:tcMar>
            <w:vAlign w:val="center"/>
          </w:tcPr>
          <w:p w14:paraId="5C10CE70" w14:textId="77777777" w:rsidR="005963D2" w:rsidRDefault="00000000">
            <w:pPr>
              <w:spacing w:after="0" w:line="240" w:lineRule="auto"/>
            </w:pPr>
            <w:r>
              <w:rPr>
                <w:b/>
                <w:color w:val="17365D"/>
                <w:sz w:val="21"/>
              </w:rPr>
              <w:t>Module code</w:t>
            </w:r>
          </w:p>
        </w:tc>
        <w:tc>
          <w:tcPr>
            <w:tcW w:w="6696" w:type="dxa"/>
            <w:tcMar>
              <w:top w:w="110" w:type="dxa"/>
              <w:left w:w="170" w:type="dxa"/>
              <w:bottom w:w="110" w:type="dxa"/>
              <w:right w:w="170" w:type="dxa"/>
            </w:tcMar>
            <w:vAlign w:val="center"/>
          </w:tcPr>
          <w:p w14:paraId="0BCC8B30" w14:textId="77777777" w:rsidR="005963D2" w:rsidRDefault="00000000">
            <w:pPr>
              <w:spacing w:after="0" w:line="240" w:lineRule="auto"/>
            </w:pPr>
            <w:r>
              <w:rPr>
                <w:color w:val="333333"/>
                <w:sz w:val="21"/>
              </w:rPr>
              <w:t>LCMB7026</w:t>
            </w:r>
          </w:p>
        </w:tc>
      </w:tr>
      <w:tr w:rsidR="00D67A93" w14:paraId="759280CA" w14:textId="77777777" w:rsidTr="008E447F">
        <w:trPr>
          <w:jc w:val="center"/>
        </w:trPr>
        <w:tc>
          <w:tcPr>
            <w:tcW w:w="2952" w:type="dxa"/>
            <w:shd w:val="clear" w:color="auto" w:fill="EAF0F7"/>
            <w:tcMar>
              <w:top w:w="110" w:type="dxa"/>
              <w:left w:w="150" w:type="dxa"/>
              <w:bottom w:w="110" w:type="dxa"/>
              <w:right w:w="150" w:type="dxa"/>
            </w:tcMar>
            <w:vAlign w:val="center"/>
          </w:tcPr>
          <w:p w14:paraId="6090D8A5" w14:textId="77777777" w:rsidR="005963D2" w:rsidRDefault="00000000">
            <w:pPr>
              <w:spacing w:after="0" w:line="240" w:lineRule="auto"/>
            </w:pPr>
            <w:r>
              <w:rPr>
                <w:b/>
                <w:color w:val="17365D"/>
                <w:sz w:val="21"/>
              </w:rPr>
              <w:t>Assessment</w:t>
            </w:r>
          </w:p>
        </w:tc>
        <w:tc>
          <w:tcPr>
            <w:tcW w:w="6696" w:type="dxa"/>
            <w:tcMar>
              <w:top w:w="110" w:type="dxa"/>
              <w:left w:w="170" w:type="dxa"/>
              <w:bottom w:w="110" w:type="dxa"/>
              <w:right w:w="170" w:type="dxa"/>
            </w:tcMar>
            <w:vAlign w:val="center"/>
          </w:tcPr>
          <w:p w14:paraId="2FD410BA" w14:textId="77777777" w:rsidR="005963D2" w:rsidRDefault="00000000">
            <w:pPr>
              <w:spacing w:after="0" w:line="240" w:lineRule="auto"/>
            </w:pPr>
            <w:r>
              <w:rPr>
                <w:color w:val="333333"/>
                <w:sz w:val="21"/>
              </w:rPr>
              <w:t>Assessment component 1: Individual report</w:t>
            </w:r>
          </w:p>
        </w:tc>
      </w:tr>
      <w:tr w:rsidR="00D67A93" w14:paraId="4FA9CB34" w14:textId="77777777" w:rsidTr="008E447F">
        <w:trPr>
          <w:jc w:val="center"/>
        </w:trPr>
        <w:tc>
          <w:tcPr>
            <w:tcW w:w="2952" w:type="dxa"/>
            <w:shd w:val="clear" w:color="auto" w:fill="EAF0F7"/>
            <w:tcMar>
              <w:top w:w="110" w:type="dxa"/>
              <w:left w:w="150" w:type="dxa"/>
              <w:bottom w:w="110" w:type="dxa"/>
              <w:right w:w="150" w:type="dxa"/>
            </w:tcMar>
            <w:vAlign w:val="center"/>
          </w:tcPr>
          <w:p w14:paraId="1063C1B1" w14:textId="77777777" w:rsidR="005963D2" w:rsidRDefault="00000000">
            <w:pPr>
              <w:spacing w:after="0" w:line="240" w:lineRule="auto"/>
            </w:pPr>
            <w:r>
              <w:rPr>
                <w:b/>
                <w:color w:val="17365D"/>
                <w:sz w:val="21"/>
              </w:rPr>
              <w:t>Lecturer</w:t>
            </w:r>
          </w:p>
        </w:tc>
        <w:tc>
          <w:tcPr>
            <w:tcW w:w="6696" w:type="dxa"/>
            <w:tcMar>
              <w:top w:w="110" w:type="dxa"/>
              <w:left w:w="170" w:type="dxa"/>
              <w:bottom w:w="110" w:type="dxa"/>
              <w:right w:w="170" w:type="dxa"/>
            </w:tcMar>
            <w:vAlign w:val="center"/>
          </w:tcPr>
          <w:p w14:paraId="5E0A63F6" w14:textId="77777777" w:rsidR="005963D2" w:rsidRDefault="00000000">
            <w:pPr>
              <w:spacing w:after="0" w:line="240" w:lineRule="auto"/>
            </w:pPr>
            <w:r>
              <w:rPr>
                <w:color w:val="333333"/>
                <w:sz w:val="21"/>
              </w:rPr>
              <w:t>Tushara Balendran / Dian Mayasari</w:t>
            </w:r>
          </w:p>
        </w:tc>
      </w:tr>
      <w:tr w:rsidR="00D67A93" w14:paraId="02A3491C" w14:textId="77777777" w:rsidTr="008E447F">
        <w:trPr>
          <w:jc w:val="center"/>
        </w:trPr>
        <w:tc>
          <w:tcPr>
            <w:tcW w:w="2952" w:type="dxa"/>
            <w:shd w:val="clear" w:color="auto" w:fill="EAF0F7"/>
            <w:tcMar>
              <w:top w:w="110" w:type="dxa"/>
              <w:left w:w="150" w:type="dxa"/>
              <w:bottom w:w="110" w:type="dxa"/>
              <w:right w:w="150" w:type="dxa"/>
            </w:tcMar>
            <w:vAlign w:val="center"/>
          </w:tcPr>
          <w:p w14:paraId="3FE566E1" w14:textId="77777777" w:rsidR="005963D2" w:rsidRDefault="00000000">
            <w:pPr>
              <w:spacing w:after="0" w:line="240" w:lineRule="auto"/>
            </w:pPr>
            <w:r>
              <w:rPr>
                <w:b/>
                <w:color w:val="17365D"/>
                <w:sz w:val="21"/>
              </w:rPr>
              <w:t>Student name</w:t>
            </w:r>
          </w:p>
        </w:tc>
        <w:tc>
          <w:tcPr>
            <w:tcW w:w="6696" w:type="dxa"/>
            <w:tcMar>
              <w:top w:w="110" w:type="dxa"/>
              <w:left w:w="170" w:type="dxa"/>
              <w:bottom w:w="110" w:type="dxa"/>
              <w:right w:w="170" w:type="dxa"/>
            </w:tcMar>
            <w:vAlign w:val="center"/>
          </w:tcPr>
          <w:p w14:paraId="5EA8892C" w14:textId="77777777" w:rsidR="005963D2" w:rsidRDefault="00000000">
            <w:pPr>
              <w:spacing w:after="0" w:line="240" w:lineRule="auto"/>
            </w:pPr>
            <w:r>
              <w:rPr>
                <w:color w:val="333333"/>
                <w:sz w:val="21"/>
              </w:rPr>
              <w:t>MD JUEL MIAH</w:t>
            </w:r>
          </w:p>
        </w:tc>
      </w:tr>
      <w:tr w:rsidR="00D67A93" w14:paraId="1ED7AE34" w14:textId="77777777" w:rsidTr="008E447F">
        <w:trPr>
          <w:jc w:val="center"/>
        </w:trPr>
        <w:tc>
          <w:tcPr>
            <w:tcW w:w="2952" w:type="dxa"/>
            <w:shd w:val="clear" w:color="auto" w:fill="EAF0F7"/>
            <w:tcMar>
              <w:top w:w="110" w:type="dxa"/>
              <w:left w:w="150" w:type="dxa"/>
              <w:bottom w:w="110" w:type="dxa"/>
              <w:right w:w="150" w:type="dxa"/>
            </w:tcMar>
            <w:vAlign w:val="center"/>
          </w:tcPr>
          <w:p w14:paraId="4D386EC5" w14:textId="77777777" w:rsidR="005963D2" w:rsidRDefault="00000000">
            <w:pPr>
              <w:spacing w:after="0" w:line="240" w:lineRule="auto"/>
            </w:pPr>
            <w:r>
              <w:rPr>
                <w:b/>
                <w:color w:val="17365D"/>
                <w:sz w:val="21"/>
              </w:rPr>
              <w:t>Student ID</w:t>
            </w:r>
          </w:p>
        </w:tc>
        <w:tc>
          <w:tcPr>
            <w:tcW w:w="6696" w:type="dxa"/>
            <w:tcMar>
              <w:top w:w="110" w:type="dxa"/>
              <w:left w:w="170" w:type="dxa"/>
              <w:bottom w:w="110" w:type="dxa"/>
              <w:right w:w="170" w:type="dxa"/>
            </w:tcMar>
            <w:vAlign w:val="center"/>
          </w:tcPr>
          <w:p w14:paraId="08FE4CDF" w14:textId="77777777" w:rsidR="005963D2" w:rsidRDefault="00000000">
            <w:pPr>
              <w:spacing w:after="0" w:line="240" w:lineRule="auto"/>
            </w:pPr>
            <w:r>
              <w:rPr>
                <w:color w:val="333333"/>
                <w:sz w:val="21"/>
              </w:rPr>
              <w:t>2522339</w:t>
            </w:r>
          </w:p>
        </w:tc>
      </w:tr>
      <w:tr w:rsidR="008E447F" w14:paraId="28C5A2B3" w14:textId="77777777" w:rsidTr="008E447F">
        <w:trPr>
          <w:jc w:val="center"/>
        </w:trPr>
        <w:tc>
          <w:tcPr>
            <w:tcW w:w="2952" w:type="dxa"/>
            <w:shd w:val="clear" w:color="auto" w:fill="EAF0F7"/>
            <w:tcMar>
              <w:top w:w="110" w:type="dxa"/>
              <w:left w:w="150" w:type="dxa"/>
              <w:bottom w:w="110" w:type="dxa"/>
              <w:right w:w="150" w:type="dxa"/>
            </w:tcMar>
            <w:vAlign w:val="center"/>
          </w:tcPr>
          <w:p w14:paraId="2B71383C" w14:textId="0F3CFA09" w:rsidR="008E447F" w:rsidRDefault="008E447F">
            <w:pPr>
              <w:spacing w:after="0" w:line="240" w:lineRule="auto"/>
              <w:rPr>
                <w:b/>
                <w:color w:val="17365D"/>
                <w:sz w:val="21"/>
              </w:rPr>
            </w:pPr>
            <w:r>
              <w:rPr>
                <w:b/>
                <w:color w:val="17365D"/>
                <w:sz w:val="21"/>
              </w:rPr>
              <w:t>Word count</w:t>
            </w:r>
          </w:p>
        </w:tc>
        <w:tc>
          <w:tcPr>
            <w:tcW w:w="6696" w:type="dxa"/>
            <w:tcMar>
              <w:top w:w="110" w:type="dxa"/>
              <w:left w:w="170" w:type="dxa"/>
              <w:bottom w:w="110" w:type="dxa"/>
              <w:right w:w="170" w:type="dxa"/>
            </w:tcMar>
            <w:vAlign w:val="center"/>
          </w:tcPr>
          <w:p w14:paraId="318725E5" w14:textId="4CE31CF3" w:rsidR="008E447F" w:rsidRDefault="000F6F0B">
            <w:pPr>
              <w:spacing w:after="0" w:line="240" w:lineRule="auto"/>
              <w:rPr>
                <w:color w:val="333333"/>
                <w:sz w:val="21"/>
              </w:rPr>
            </w:pPr>
            <w:r>
              <w:rPr>
                <w:color w:val="333333"/>
                <w:sz w:val="21"/>
              </w:rPr>
              <w:t>5546</w:t>
            </w:r>
          </w:p>
        </w:tc>
      </w:tr>
    </w:tbl>
    <w:p w14:paraId="5342B44A" w14:textId="77777777" w:rsidR="005963D2" w:rsidRPr="004F6CEC" w:rsidRDefault="00000000">
      <w:pPr>
        <w:spacing w:before="180" w:after="0" w:line="240" w:lineRule="auto"/>
        <w:jc w:val="center"/>
        <w:rPr>
          <w:b/>
          <w:bCs/>
          <w:sz w:val="32"/>
          <w:szCs w:val="28"/>
        </w:rPr>
      </w:pPr>
      <w:r w:rsidRPr="004F6CEC">
        <w:rPr>
          <w:b/>
          <w:bCs/>
          <w:color w:val="555555"/>
          <w:szCs w:val="28"/>
        </w:rPr>
        <w:t>Submission date: 22 July 2026</w:t>
      </w:r>
    </w:p>
    <w:p w14:paraId="27D81902" w14:textId="33CAA475" w:rsidR="008E447F" w:rsidRDefault="008E447F" w:rsidP="008E447F"/>
    <w:p w14:paraId="6E3926C9" w14:textId="0013E065" w:rsidR="000B2C56" w:rsidRPr="000B2C56" w:rsidRDefault="00964DDE" w:rsidP="008E447F">
      <w:pPr>
        <w:tabs>
          <w:tab w:val="left" w:pos="1200"/>
        </w:tabs>
        <w:spacing w:line="276" w:lineRule="auto"/>
        <w:rPr>
          <w:i/>
          <w:noProof/>
        </w:rPr>
      </w:pPr>
      <w:r w:rsidRPr="008E447F">
        <w:br w:type="page"/>
      </w:r>
      <w:r w:rsidR="00000000">
        <w:fldChar w:fldCharType="begin"/>
      </w:r>
      <w:r>
        <w:instrText xml:space="preserve"> TOC \o "1-2" \h \z \u </w:instrText>
      </w:r>
      <w:r w:rsidR="00000000">
        <w:fldChar w:fldCharType="separate"/>
      </w:r>
    </w:p>
    <w:sdt>
      <w:sdtPr>
        <w:rPr>
          <w:rFonts w:ascii="Arial" w:eastAsia="Arial" w:hAnsi="Arial" w:cs="Arial"/>
          <w:b w:val="0"/>
          <w:bCs w:val="0"/>
          <w:noProof/>
          <w:color w:val="auto"/>
          <w:sz w:val="24"/>
          <w:szCs w:val="22"/>
        </w:rPr>
        <w:id w:val="-161393007"/>
        <w:docPartObj>
          <w:docPartGallery w:val="Table of Contents"/>
          <w:docPartUnique/>
        </w:docPartObj>
      </w:sdtPr>
      <w:sdtContent>
        <w:p w14:paraId="2191E13C" w14:textId="77777777" w:rsidR="000B2C56" w:rsidRDefault="000B2C56">
          <w:pPr>
            <w:pStyle w:val="TOCHeading"/>
            <w:rPr>
              <w:noProof/>
            </w:rPr>
          </w:pPr>
          <w:r>
            <w:rPr>
              <w:noProof/>
            </w:rPr>
            <w:t>Table of Contents</w:t>
          </w:r>
        </w:p>
        <w:p w14:paraId="747A8A25" w14:textId="403F3739" w:rsidR="000B2C56" w:rsidRDefault="000B2C56">
          <w:pPr>
            <w:pStyle w:val="TOC1"/>
            <w:tabs>
              <w:tab w:val="right" w:leader="dot" w:pos="9350"/>
            </w:tabs>
            <w:rPr>
              <w:rFonts w:asciiTheme="minorHAnsi" w:eastAsiaTheme="minorEastAsia" w:hAnsiTheme="minorHAnsi" w:cstheme="minorBidi"/>
              <w:noProof/>
              <w:kern w:val="2"/>
              <w:szCs w:val="24"/>
              <w14:ligatures w14:val="standardContextual"/>
            </w:rPr>
          </w:pPr>
          <w:r>
            <w:rPr>
              <w:noProof/>
            </w:rPr>
            <w:fldChar w:fldCharType="begin"/>
          </w:r>
          <w:r>
            <w:rPr>
              <w:noProof/>
            </w:rPr>
            <w:instrText xml:space="preserve"> TOC \o "1-3" \h \z \u </w:instrText>
          </w:r>
          <w:r>
            <w:rPr>
              <w:noProof/>
            </w:rPr>
            <w:fldChar w:fldCharType="separate"/>
          </w:r>
          <w:hyperlink w:anchor="_Toc234063779" w:history="1">
            <w:r w:rsidRPr="00111007">
              <w:rPr>
                <w:rStyle w:val="Hyperlink"/>
                <w:noProof/>
              </w:rPr>
              <w:t>Executive Summary</w:t>
            </w:r>
            <w:r>
              <w:rPr>
                <w:noProof/>
                <w:webHidden/>
              </w:rPr>
              <w:tab/>
            </w:r>
            <w:r>
              <w:rPr>
                <w:noProof/>
                <w:webHidden/>
              </w:rPr>
              <w:fldChar w:fldCharType="begin"/>
            </w:r>
            <w:r>
              <w:rPr>
                <w:noProof/>
                <w:webHidden/>
              </w:rPr>
              <w:instrText xml:space="preserve"> PAGEREF _Toc234063779 \h </w:instrText>
            </w:r>
            <w:r>
              <w:rPr>
                <w:noProof/>
                <w:webHidden/>
              </w:rPr>
            </w:r>
            <w:r>
              <w:rPr>
                <w:noProof/>
                <w:webHidden/>
              </w:rPr>
              <w:fldChar w:fldCharType="separate"/>
            </w:r>
            <w:r w:rsidR="000F6F0B">
              <w:rPr>
                <w:noProof/>
                <w:webHidden/>
              </w:rPr>
              <w:t>3</w:t>
            </w:r>
            <w:r>
              <w:rPr>
                <w:noProof/>
                <w:webHidden/>
              </w:rPr>
              <w:fldChar w:fldCharType="end"/>
            </w:r>
          </w:hyperlink>
        </w:p>
        <w:p w14:paraId="1C1294FF" w14:textId="16396EC6" w:rsidR="000B2C56" w:rsidRDefault="000B2C56">
          <w:pPr>
            <w:pStyle w:val="TOC1"/>
            <w:tabs>
              <w:tab w:val="right" w:leader="dot" w:pos="9350"/>
            </w:tabs>
            <w:rPr>
              <w:rFonts w:asciiTheme="minorHAnsi" w:eastAsiaTheme="minorEastAsia" w:hAnsiTheme="minorHAnsi" w:cstheme="minorBidi"/>
              <w:noProof/>
              <w:kern w:val="2"/>
              <w:szCs w:val="24"/>
              <w14:ligatures w14:val="standardContextual"/>
            </w:rPr>
          </w:pPr>
          <w:hyperlink w:anchor="_Toc234063780" w:history="1">
            <w:r w:rsidRPr="00111007">
              <w:rPr>
                <w:rStyle w:val="Hyperlink"/>
                <w:noProof/>
              </w:rPr>
              <w:t>1. Introduction</w:t>
            </w:r>
            <w:r>
              <w:rPr>
                <w:noProof/>
                <w:webHidden/>
              </w:rPr>
              <w:tab/>
            </w:r>
            <w:r>
              <w:rPr>
                <w:noProof/>
                <w:webHidden/>
              </w:rPr>
              <w:fldChar w:fldCharType="begin"/>
            </w:r>
            <w:r>
              <w:rPr>
                <w:noProof/>
                <w:webHidden/>
              </w:rPr>
              <w:instrText xml:space="preserve"> PAGEREF _Toc234063780 \h </w:instrText>
            </w:r>
            <w:r>
              <w:rPr>
                <w:noProof/>
                <w:webHidden/>
              </w:rPr>
            </w:r>
            <w:r>
              <w:rPr>
                <w:noProof/>
                <w:webHidden/>
              </w:rPr>
              <w:fldChar w:fldCharType="separate"/>
            </w:r>
            <w:r w:rsidR="000F6F0B">
              <w:rPr>
                <w:noProof/>
                <w:webHidden/>
              </w:rPr>
              <w:t>4</w:t>
            </w:r>
            <w:r>
              <w:rPr>
                <w:noProof/>
                <w:webHidden/>
              </w:rPr>
              <w:fldChar w:fldCharType="end"/>
            </w:r>
          </w:hyperlink>
        </w:p>
        <w:p w14:paraId="0FEAAF51" w14:textId="52DCBAF6" w:rsidR="000B2C56" w:rsidRDefault="000B2C56">
          <w:pPr>
            <w:pStyle w:val="TOC1"/>
            <w:tabs>
              <w:tab w:val="right" w:leader="dot" w:pos="9350"/>
            </w:tabs>
            <w:rPr>
              <w:rFonts w:asciiTheme="minorHAnsi" w:eastAsiaTheme="minorEastAsia" w:hAnsiTheme="minorHAnsi" w:cstheme="minorBidi"/>
              <w:noProof/>
              <w:kern w:val="2"/>
              <w:szCs w:val="24"/>
              <w14:ligatures w14:val="standardContextual"/>
            </w:rPr>
          </w:pPr>
          <w:hyperlink w:anchor="_Toc234063781" w:history="1">
            <w:r w:rsidRPr="00111007">
              <w:rPr>
                <w:rStyle w:val="Hyperlink"/>
                <w:noProof/>
              </w:rPr>
              <w:t>2. Brand and Market Selection Rationale</w:t>
            </w:r>
            <w:r>
              <w:rPr>
                <w:noProof/>
                <w:webHidden/>
              </w:rPr>
              <w:tab/>
            </w:r>
            <w:r>
              <w:rPr>
                <w:noProof/>
                <w:webHidden/>
              </w:rPr>
              <w:fldChar w:fldCharType="begin"/>
            </w:r>
            <w:r>
              <w:rPr>
                <w:noProof/>
                <w:webHidden/>
              </w:rPr>
              <w:instrText xml:space="preserve"> PAGEREF _Toc234063781 \h </w:instrText>
            </w:r>
            <w:r>
              <w:rPr>
                <w:noProof/>
                <w:webHidden/>
              </w:rPr>
            </w:r>
            <w:r>
              <w:rPr>
                <w:noProof/>
                <w:webHidden/>
              </w:rPr>
              <w:fldChar w:fldCharType="separate"/>
            </w:r>
            <w:r w:rsidR="000F6F0B">
              <w:rPr>
                <w:noProof/>
                <w:webHidden/>
              </w:rPr>
              <w:t>5</w:t>
            </w:r>
            <w:r>
              <w:rPr>
                <w:noProof/>
                <w:webHidden/>
              </w:rPr>
              <w:fldChar w:fldCharType="end"/>
            </w:r>
          </w:hyperlink>
        </w:p>
        <w:p w14:paraId="39545E23" w14:textId="006EC9E6" w:rsidR="000B2C56" w:rsidRDefault="000B2C56">
          <w:pPr>
            <w:pStyle w:val="TOC1"/>
            <w:tabs>
              <w:tab w:val="right" w:leader="dot" w:pos="9350"/>
            </w:tabs>
            <w:rPr>
              <w:rFonts w:asciiTheme="minorHAnsi" w:eastAsiaTheme="minorEastAsia" w:hAnsiTheme="minorHAnsi" w:cstheme="minorBidi"/>
              <w:noProof/>
              <w:kern w:val="2"/>
              <w:szCs w:val="24"/>
              <w14:ligatures w14:val="standardContextual"/>
            </w:rPr>
          </w:pPr>
          <w:hyperlink w:anchor="_Toc234063782" w:history="1">
            <w:r w:rsidRPr="00111007">
              <w:rPr>
                <w:rStyle w:val="Hyperlink"/>
                <w:noProof/>
              </w:rPr>
              <w:t>3. Analytical Framework</w:t>
            </w:r>
            <w:r>
              <w:rPr>
                <w:noProof/>
                <w:webHidden/>
              </w:rPr>
              <w:tab/>
            </w:r>
            <w:r>
              <w:rPr>
                <w:noProof/>
                <w:webHidden/>
              </w:rPr>
              <w:fldChar w:fldCharType="begin"/>
            </w:r>
            <w:r>
              <w:rPr>
                <w:noProof/>
                <w:webHidden/>
              </w:rPr>
              <w:instrText xml:space="preserve"> PAGEREF _Toc234063782 \h </w:instrText>
            </w:r>
            <w:r>
              <w:rPr>
                <w:noProof/>
                <w:webHidden/>
              </w:rPr>
            </w:r>
            <w:r>
              <w:rPr>
                <w:noProof/>
                <w:webHidden/>
              </w:rPr>
              <w:fldChar w:fldCharType="separate"/>
            </w:r>
            <w:r w:rsidR="000F6F0B">
              <w:rPr>
                <w:noProof/>
                <w:webHidden/>
              </w:rPr>
              <w:t>5</w:t>
            </w:r>
            <w:r>
              <w:rPr>
                <w:noProof/>
                <w:webHidden/>
              </w:rPr>
              <w:fldChar w:fldCharType="end"/>
            </w:r>
          </w:hyperlink>
        </w:p>
        <w:p w14:paraId="74AC48E4" w14:textId="7ECA2E5A" w:rsidR="000B2C56" w:rsidRDefault="000B2C56">
          <w:pPr>
            <w:pStyle w:val="TOC1"/>
            <w:tabs>
              <w:tab w:val="right" w:leader="dot" w:pos="9350"/>
            </w:tabs>
            <w:rPr>
              <w:rFonts w:asciiTheme="minorHAnsi" w:eastAsiaTheme="minorEastAsia" w:hAnsiTheme="minorHAnsi" w:cstheme="minorBidi"/>
              <w:noProof/>
              <w:kern w:val="2"/>
              <w:szCs w:val="24"/>
              <w14:ligatures w14:val="standardContextual"/>
            </w:rPr>
          </w:pPr>
          <w:hyperlink w:anchor="_Toc234063783" w:history="1">
            <w:r w:rsidRPr="00111007">
              <w:rPr>
                <w:rStyle w:val="Hyperlink"/>
                <w:noProof/>
              </w:rPr>
              <w:t>4. Comparative Market Analysis</w:t>
            </w:r>
            <w:r>
              <w:rPr>
                <w:noProof/>
                <w:webHidden/>
              </w:rPr>
              <w:tab/>
            </w:r>
            <w:r>
              <w:rPr>
                <w:noProof/>
                <w:webHidden/>
              </w:rPr>
              <w:fldChar w:fldCharType="begin"/>
            </w:r>
            <w:r>
              <w:rPr>
                <w:noProof/>
                <w:webHidden/>
              </w:rPr>
              <w:instrText xml:space="preserve"> PAGEREF _Toc234063783 \h </w:instrText>
            </w:r>
            <w:r>
              <w:rPr>
                <w:noProof/>
                <w:webHidden/>
              </w:rPr>
            </w:r>
            <w:r>
              <w:rPr>
                <w:noProof/>
                <w:webHidden/>
              </w:rPr>
              <w:fldChar w:fldCharType="separate"/>
            </w:r>
            <w:r w:rsidR="000F6F0B">
              <w:rPr>
                <w:noProof/>
                <w:webHidden/>
              </w:rPr>
              <w:t>6</w:t>
            </w:r>
            <w:r>
              <w:rPr>
                <w:noProof/>
                <w:webHidden/>
              </w:rPr>
              <w:fldChar w:fldCharType="end"/>
            </w:r>
          </w:hyperlink>
        </w:p>
        <w:p w14:paraId="10754D6A" w14:textId="21DB4392" w:rsidR="000B2C56" w:rsidRDefault="000B2C56">
          <w:pPr>
            <w:pStyle w:val="TOC2"/>
            <w:tabs>
              <w:tab w:val="right" w:leader="dot" w:pos="9350"/>
            </w:tabs>
            <w:rPr>
              <w:rFonts w:asciiTheme="minorHAnsi" w:eastAsiaTheme="minorEastAsia" w:hAnsiTheme="minorHAnsi" w:cstheme="minorBidi"/>
              <w:noProof/>
              <w:kern w:val="2"/>
              <w:szCs w:val="24"/>
              <w14:ligatures w14:val="standardContextual"/>
            </w:rPr>
          </w:pPr>
          <w:hyperlink w:anchor="_Toc234063784" w:history="1">
            <w:r w:rsidRPr="00111007">
              <w:rPr>
                <w:rStyle w:val="Hyperlink"/>
                <w:noProof/>
              </w:rPr>
              <w:t>4.1 Data Snapshot and PESTEL Comparison</w:t>
            </w:r>
            <w:r>
              <w:rPr>
                <w:noProof/>
                <w:webHidden/>
              </w:rPr>
              <w:tab/>
            </w:r>
            <w:r>
              <w:rPr>
                <w:noProof/>
                <w:webHidden/>
              </w:rPr>
              <w:fldChar w:fldCharType="begin"/>
            </w:r>
            <w:r>
              <w:rPr>
                <w:noProof/>
                <w:webHidden/>
              </w:rPr>
              <w:instrText xml:space="preserve"> PAGEREF _Toc234063784 \h </w:instrText>
            </w:r>
            <w:r>
              <w:rPr>
                <w:noProof/>
                <w:webHidden/>
              </w:rPr>
            </w:r>
            <w:r>
              <w:rPr>
                <w:noProof/>
                <w:webHidden/>
              </w:rPr>
              <w:fldChar w:fldCharType="separate"/>
            </w:r>
            <w:r w:rsidR="000F6F0B">
              <w:rPr>
                <w:noProof/>
                <w:webHidden/>
              </w:rPr>
              <w:t>6</w:t>
            </w:r>
            <w:r>
              <w:rPr>
                <w:noProof/>
                <w:webHidden/>
              </w:rPr>
              <w:fldChar w:fldCharType="end"/>
            </w:r>
          </w:hyperlink>
        </w:p>
        <w:p w14:paraId="7F279546" w14:textId="3057FB3A" w:rsidR="000B2C56" w:rsidRDefault="000B2C56">
          <w:pPr>
            <w:pStyle w:val="TOC2"/>
            <w:tabs>
              <w:tab w:val="right" w:leader="dot" w:pos="9350"/>
            </w:tabs>
            <w:rPr>
              <w:rFonts w:asciiTheme="minorHAnsi" w:eastAsiaTheme="minorEastAsia" w:hAnsiTheme="minorHAnsi" w:cstheme="minorBidi"/>
              <w:noProof/>
              <w:kern w:val="2"/>
              <w:szCs w:val="24"/>
              <w14:ligatures w14:val="standardContextual"/>
            </w:rPr>
          </w:pPr>
          <w:hyperlink w:anchor="_Toc234063785" w:history="1">
            <w:r w:rsidRPr="00111007">
              <w:rPr>
                <w:rStyle w:val="Hyperlink"/>
                <w:noProof/>
              </w:rPr>
              <w:t>4.2 Cultural Comparison Using Hofstede</w:t>
            </w:r>
            <w:r>
              <w:rPr>
                <w:noProof/>
                <w:webHidden/>
              </w:rPr>
              <w:tab/>
            </w:r>
            <w:r>
              <w:rPr>
                <w:noProof/>
                <w:webHidden/>
              </w:rPr>
              <w:fldChar w:fldCharType="begin"/>
            </w:r>
            <w:r>
              <w:rPr>
                <w:noProof/>
                <w:webHidden/>
              </w:rPr>
              <w:instrText xml:space="preserve"> PAGEREF _Toc234063785 \h </w:instrText>
            </w:r>
            <w:r>
              <w:rPr>
                <w:noProof/>
                <w:webHidden/>
              </w:rPr>
            </w:r>
            <w:r>
              <w:rPr>
                <w:noProof/>
                <w:webHidden/>
              </w:rPr>
              <w:fldChar w:fldCharType="separate"/>
            </w:r>
            <w:r w:rsidR="000F6F0B">
              <w:rPr>
                <w:noProof/>
                <w:webHidden/>
              </w:rPr>
              <w:t>10</w:t>
            </w:r>
            <w:r>
              <w:rPr>
                <w:noProof/>
                <w:webHidden/>
              </w:rPr>
              <w:fldChar w:fldCharType="end"/>
            </w:r>
          </w:hyperlink>
        </w:p>
        <w:p w14:paraId="2C96A05B" w14:textId="21749276" w:rsidR="000B2C56" w:rsidRDefault="000B2C56">
          <w:pPr>
            <w:pStyle w:val="TOC1"/>
            <w:tabs>
              <w:tab w:val="right" w:leader="dot" w:pos="9350"/>
            </w:tabs>
            <w:rPr>
              <w:rFonts w:asciiTheme="minorHAnsi" w:eastAsiaTheme="minorEastAsia" w:hAnsiTheme="minorHAnsi" w:cstheme="minorBidi"/>
              <w:noProof/>
              <w:kern w:val="2"/>
              <w:szCs w:val="24"/>
              <w14:ligatures w14:val="standardContextual"/>
            </w:rPr>
          </w:pPr>
          <w:hyperlink w:anchor="_Toc234063786" w:history="1">
            <w:r w:rsidRPr="00111007">
              <w:rPr>
                <w:rStyle w:val="Hyperlink"/>
                <w:noProof/>
              </w:rPr>
              <w:t>5. Comparative STP Analysis</w:t>
            </w:r>
            <w:r>
              <w:rPr>
                <w:noProof/>
                <w:webHidden/>
              </w:rPr>
              <w:tab/>
            </w:r>
            <w:r>
              <w:rPr>
                <w:noProof/>
                <w:webHidden/>
              </w:rPr>
              <w:fldChar w:fldCharType="begin"/>
            </w:r>
            <w:r>
              <w:rPr>
                <w:noProof/>
                <w:webHidden/>
              </w:rPr>
              <w:instrText xml:space="preserve"> PAGEREF _Toc234063786 \h </w:instrText>
            </w:r>
            <w:r>
              <w:rPr>
                <w:noProof/>
                <w:webHidden/>
              </w:rPr>
            </w:r>
            <w:r>
              <w:rPr>
                <w:noProof/>
                <w:webHidden/>
              </w:rPr>
              <w:fldChar w:fldCharType="separate"/>
            </w:r>
            <w:r w:rsidR="000F6F0B">
              <w:rPr>
                <w:noProof/>
                <w:webHidden/>
              </w:rPr>
              <w:t>11</w:t>
            </w:r>
            <w:r>
              <w:rPr>
                <w:noProof/>
                <w:webHidden/>
              </w:rPr>
              <w:fldChar w:fldCharType="end"/>
            </w:r>
          </w:hyperlink>
        </w:p>
        <w:p w14:paraId="29929BB3" w14:textId="16E075BF" w:rsidR="000B2C56" w:rsidRDefault="000B2C56">
          <w:pPr>
            <w:pStyle w:val="TOC1"/>
            <w:tabs>
              <w:tab w:val="right" w:leader="dot" w:pos="9350"/>
            </w:tabs>
            <w:rPr>
              <w:rFonts w:asciiTheme="minorHAnsi" w:eastAsiaTheme="minorEastAsia" w:hAnsiTheme="minorHAnsi" w:cstheme="minorBidi"/>
              <w:noProof/>
              <w:kern w:val="2"/>
              <w:szCs w:val="24"/>
              <w14:ligatures w14:val="standardContextual"/>
            </w:rPr>
          </w:pPr>
          <w:hyperlink w:anchor="_Toc234063787" w:history="1">
            <w:r w:rsidRPr="00111007">
              <w:rPr>
                <w:rStyle w:val="Hyperlink"/>
                <w:noProof/>
              </w:rPr>
              <w:t>6. Comparative International Marketing Mix: 7Ps</w:t>
            </w:r>
            <w:r>
              <w:rPr>
                <w:noProof/>
                <w:webHidden/>
              </w:rPr>
              <w:tab/>
            </w:r>
            <w:r>
              <w:rPr>
                <w:noProof/>
                <w:webHidden/>
              </w:rPr>
              <w:fldChar w:fldCharType="begin"/>
            </w:r>
            <w:r>
              <w:rPr>
                <w:noProof/>
                <w:webHidden/>
              </w:rPr>
              <w:instrText xml:space="preserve"> PAGEREF _Toc234063787 \h </w:instrText>
            </w:r>
            <w:r>
              <w:rPr>
                <w:noProof/>
                <w:webHidden/>
              </w:rPr>
            </w:r>
            <w:r>
              <w:rPr>
                <w:noProof/>
                <w:webHidden/>
              </w:rPr>
              <w:fldChar w:fldCharType="separate"/>
            </w:r>
            <w:r w:rsidR="000F6F0B">
              <w:rPr>
                <w:noProof/>
                <w:webHidden/>
              </w:rPr>
              <w:t>13</w:t>
            </w:r>
            <w:r>
              <w:rPr>
                <w:noProof/>
                <w:webHidden/>
              </w:rPr>
              <w:fldChar w:fldCharType="end"/>
            </w:r>
          </w:hyperlink>
        </w:p>
        <w:p w14:paraId="786BF74B" w14:textId="3F8683B6" w:rsidR="000B2C56" w:rsidRDefault="000B2C56">
          <w:pPr>
            <w:pStyle w:val="TOC1"/>
            <w:tabs>
              <w:tab w:val="right" w:leader="dot" w:pos="9350"/>
            </w:tabs>
            <w:rPr>
              <w:rFonts w:asciiTheme="minorHAnsi" w:eastAsiaTheme="minorEastAsia" w:hAnsiTheme="minorHAnsi" w:cstheme="minorBidi"/>
              <w:noProof/>
              <w:kern w:val="2"/>
              <w:szCs w:val="24"/>
              <w14:ligatures w14:val="standardContextual"/>
            </w:rPr>
          </w:pPr>
          <w:hyperlink w:anchor="_Toc234063788" w:history="1">
            <w:r w:rsidRPr="00111007">
              <w:rPr>
                <w:rStyle w:val="Hyperlink"/>
                <w:noProof/>
              </w:rPr>
              <w:t>7. Market Entry Strategy in the United States</w:t>
            </w:r>
            <w:r>
              <w:rPr>
                <w:noProof/>
                <w:webHidden/>
              </w:rPr>
              <w:tab/>
            </w:r>
            <w:r>
              <w:rPr>
                <w:noProof/>
                <w:webHidden/>
              </w:rPr>
              <w:fldChar w:fldCharType="begin"/>
            </w:r>
            <w:r>
              <w:rPr>
                <w:noProof/>
                <w:webHidden/>
              </w:rPr>
              <w:instrText xml:space="preserve"> PAGEREF _Toc234063788 \h </w:instrText>
            </w:r>
            <w:r>
              <w:rPr>
                <w:noProof/>
                <w:webHidden/>
              </w:rPr>
            </w:r>
            <w:r>
              <w:rPr>
                <w:noProof/>
                <w:webHidden/>
              </w:rPr>
              <w:fldChar w:fldCharType="separate"/>
            </w:r>
            <w:r w:rsidR="000F6F0B">
              <w:rPr>
                <w:noProof/>
                <w:webHidden/>
              </w:rPr>
              <w:t>16</w:t>
            </w:r>
            <w:r>
              <w:rPr>
                <w:noProof/>
                <w:webHidden/>
              </w:rPr>
              <w:fldChar w:fldCharType="end"/>
            </w:r>
          </w:hyperlink>
        </w:p>
        <w:p w14:paraId="60FAED35" w14:textId="3DF9AC9E" w:rsidR="000B2C56" w:rsidRDefault="000B2C56">
          <w:pPr>
            <w:pStyle w:val="TOC1"/>
            <w:tabs>
              <w:tab w:val="right" w:leader="dot" w:pos="9350"/>
            </w:tabs>
            <w:rPr>
              <w:rFonts w:asciiTheme="minorHAnsi" w:eastAsiaTheme="minorEastAsia" w:hAnsiTheme="minorHAnsi" w:cstheme="minorBidi"/>
              <w:noProof/>
              <w:kern w:val="2"/>
              <w:szCs w:val="24"/>
              <w14:ligatures w14:val="standardContextual"/>
            </w:rPr>
          </w:pPr>
          <w:hyperlink w:anchor="_Toc234063789" w:history="1">
            <w:r w:rsidRPr="00111007">
              <w:rPr>
                <w:rStyle w:val="Hyperlink"/>
                <w:noProof/>
              </w:rPr>
              <w:t>8. Ethical Evaluation: Safety Communication and the U.S. Marketing Mix</w:t>
            </w:r>
            <w:r>
              <w:rPr>
                <w:noProof/>
                <w:webHidden/>
              </w:rPr>
              <w:tab/>
            </w:r>
            <w:r>
              <w:rPr>
                <w:noProof/>
                <w:webHidden/>
              </w:rPr>
              <w:fldChar w:fldCharType="begin"/>
            </w:r>
            <w:r>
              <w:rPr>
                <w:noProof/>
                <w:webHidden/>
              </w:rPr>
              <w:instrText xml:space="preserve"> PAGEREF _Toc234063789 \h </w:instrText>
            </w:r>
            <w:r>
              <w:rPr>
                <w:noProof/>
                <w:webHidden/>
              </w:rPr>
            </w:r>
            <w:r>
              <w:rPr>
                <w:noProof/>
                <w:webHidden/>
              </w:rPr>
              <w:fldChar w:fldCharType="separate"/>
            </w:r>
            <w:r w:rsidR="000F6F0B">
              <w:rPr>
                <w:noProof/>
                <w:webHidden/>
              </w:rPr>
              <w:t>17</w:t>
            </w:r>
            <w:r>
              <w:rPr>
                <w:noProof/>
                <w:webHidden/>
              </w:rPr>
              <w:fldChar w:fldCharType="end"/>
            </w:r>
          </w:hyperlink>
        </w:p>
        <w:p w14:paraId="156AF8ED" w14:textId="4AB344C0" w:rsidR="000B2C56" w:rsidRDefault="000B2C56">
          <w:pPr>
            <w:pStyle w:val="TOC1"/>
            <w:tabs>
              <w:tab w:val="right" w:leader="dot" w:pos="9350"/>
            </w:tabs>
            <w:rPr>
              <w:rFonts w:asciiTheme="minorHAnsi" w:eastAsiaTheme="minorEastAsia" w:hAnsiTheme="minorHAnsi" w:cstheme="minorBidi"/>
              <w:noProof/>
              <w:kern w:val="2"/>
              <w:szCs w:val="24"/>
              <w14:ligatures w14:val="standardContextual"/>
            </w:rPr>
          </w:pPr>
          <w:hyperlink w:anchor="_Toc234063790" w:history="1">
            <w:r w:rsidRPr="00111007">
              <w:rPr>
                <w:rStyle w:val="Hyperlink"/>
                <w:noProof/>
              </w:rPr>
              <w:t>9. Recommendations</w:t>
            </w:r>
            <w:r>
              <w:rPr>
                <w:noProof/>
                <w:webHidden/>
              </w:rPr>
              <w:tab/>
            </w:r>
            <w:r>
              <w:rPr>
                <w:noProof/>
                <w:webHidden/>
              </w:rPr>
              <w:fldChar w:fldCharType="begin"/>
            </w:r>
            <w:r>
              <w:rPr>
                <w:noProof/>
                <w:webHidden/>
              </w:rPr>
              <w:instrText xml:space="preserve"> PAGEREF _Toc234063790 \h </w:instrText>
            </w:r>
            <w:r>
              <w:rPr>
                <w:noProof/>
                <w:webHidden/>
              </w:rPr>
            </w:r>
            <w:r>
              <w:rPr>
                <w:noProof/>
                <w:webHidden/>
              </w:rPr>
              <w:fldChar w:fldCharType="separate"/>
            </w:r>
            <w:r w:rsidR="000F6F0B">
              <w:rPr>
                <w:noProof/>
                <w:webHidden/>
              </w:rPr>
              <w:t>18</w:t>
            </w:r>
            <w:r>
              <w:rPr>
                <w:noProof/>
                <w:webHidden/>
              </w:rPr>
              <w:fldChar w:fldCharType="end"/>
            </w:r>
          </w:hyperlink>
        </w:p>
        <w:p w14:paraId="43DC5A70" w14:textId="261B8E40" w:rsidR="000B2C56" w:rsidRDefault="000B2C56">
          <w:pPr>
            <w:pStyle w:val="TOC1"/>
            <w:tabs>
              <w:tab w:val="right" w:leader="dot" w:pos="9350"/>
            </w:tabs>
            <w:rPr>
              <w:rFonts w:asciiTheme="minorHAnsi" w:eastAsiaTheme="minorEastAsia" w:hAnsiTheme="minorHAnsi" w:cstheme="minorBidi"/>
              <w:noProof/>
              <w:kern w:val="2"/>
              <w:szCs w:val="24"/>
              <w14:ligatures w14:val="standardContextual"/>
            </w:rPr>
          </w:pPr>
          <w:hyperlink w:anchor="_Toc234063791" w:history="1">
            <w:r w:rsidRPr="00111007">
              <w:rPr>
                <w:rStyle w:val="Hyperlink"/>
                <w:noProof/>
              </w:rPr>
              <w:t>10. Conclusion</w:t>
            </w:r>
            <w:r>
              <w:rPr>
                <w:noProof/>
                <w:webHidden/>
              </w:rPr>
              <w:tab/>
            </w:r>
            <w:r>
              <w:rPr>
                <w:noProof/>
                <w:webHidden/>
              </w:rPr>
              <w:fldChar w:fldCharType="begin"/>
            </w:r>
            <w:r>
              <w:rPr>
                <w:noProof/>
                <w:webHidden/>
              </w:rPr>
              <w:instrText xml:space="preserve"> PAGEREF _Toc234063791 \h </w:instrText>
            </w:r>
            <w:r>
              <w:rPr>
                <w:noProof/>
                <w:webHidden/>
              </w:rPr>
            </w:r>
            <w:r>
              <w:rPr>
                <w:noProof/>
                <w:webHidden/>
              </w:rPr>
              <w:fldChar w:fldCharType="separate"/>
            </w:r>
            <w:r w:rsidR="000F6F0B">
              <w:rPr>
                <w:noProof/>
                <w:webHidden/>
              </w:rPr>
              <w:t>20</w:t>
            </w:r>
            <w:r>
              <w:rPr>
                <w:noProof/>
                <w:webHidden/>
              </w:rPr>
              <w:fldChar w:fldCharType="end"/>
            </w:r>
          </w:hyperlink>
        </w:p>
        <w:p w14:paraId="77865952" w14:textId="390350A3" w:rsidR="000B2C56" w:rsidRDefault="000B2C56">
          <w:pPr>
            <w:pStyle w:val="TOC1"/>
            <w:tabs>
              <w:tab w:val="right" w:leader="dot" w:pos="9350"/>
            </w:tabs>
            <w:rPr>
              <w:rFonts w:asciiTheme="minorHAnsi" w:eastAsiaTheme="minorEastAsia" w:hAnsiTheme="minorHAnsi" w:cstheme="minorBidi"/>
              <w:noProof/>
              <w:kern w:val="2"/>
              <w:szCs w:val="24"/>
              <w14:ligatures w14:val="standardContextual"/>
            </w:rPr>
          </w:pPr>
          <w:hyperlink w:anchor="_Toc234063792" w:history="1">
            <w:r w:rsidRPr="00111007">
              <w:rPr>
                <w:rStyle w:val="Hyperlink"/>
                <w:noProof/>
              </w:rPr>
              <w:t>11. Reflective Account Using Gibbs’ Reflective Cycle</w:t>
            </w:r>
            <w:r>
              <w:rPr>
                <w:noProof/>
                <w:webHidden/>
              </w:rPr>
              <w:tab/>
            </w:r>
            <w:r>
              <w:rPr>
                <w:noProof/>
                <w:webHidden/>
              </w:rPr>
              <w:fldChar w:fldCharType="begin"/>
            </w:r>
            <w:r>
              <w:rPr>
                <w:noProof/>
                <w:webHidden/>
              </w:rPr>
              <w:instrText xml:space="preserve"> PAGEREF _Toc234063792 \h </w:instrText>
            </w:r>
            <w:r>
              <w:rPr>
                <w:noProof/>
                <w:webHidden/>
              </w:rPr>
            </w:r>
            <w:r>
              <w:rPr>
                <w:noProof/>
                <w:webHidden/>
              </w:rPr>
              <w:fldChar w:fldCharType="separate"/>
            </w:r>
            <w:r w:rsidR="000F6F0B">
              <w:rPr>
                <w:noProof/>
                <w:webHidden/>
              </w:rPr>
              <w:t>21</w:t>
            </w:r>
            <w:r>
              <w:rPr>
                <w:noProof/>
                <w:webHidden/>
              </w:rPr>
              <w:fldChar w:fldCharType="end"/>
            </w:r>
          </w:hyperlink>
        </w:p>
        <w:p w14:paraId="781D886F" w14:textId="73FD151F" w:rsidR="000B2C56" w:rsidRDefault="000B2C56">
          <w:pPr>
            <w:pStyle w:val="TOC1"/>
            <w:tabs>
              <w:tab w:val="right" w:leader="dot" w:pos="9350"/>
            </w:tabs>
            <w:rPr>
              <w:rFonts w:asciiTheme="minorHAnsi" w:eastAsiaTheme="minorEastAsia" w:hAnsiTheme="minorHAnsi" w:cstheme="minorBidi"/>
              <w:noProof/>
              <w:kern w:val="2"/>
              <w:szCs w:val="24"/>
              <w14:ligatures w14:val="standardContextual"/>
            </w:rPr>
          </w:pPr>
          <w:hyperlink w:anchor="_Toc234063793" w:history="1">
            <w:r w:rsidRPr="00111007">
              <w:rPr>
                <w:rStyle w:val="Hyperlink"/>
                <w:noProof/>
              </w:rPr>
              <w:t>References</w:t>
            </w:r>
            <w:r>
              <w:rPr>
                <w:noProof/>
                <w:webHidden/>
              </w:rPr>
              <w:tab/>
            </w:r>
            <w:r>
              <w:rPr>
                <w:noProof/>
                <w:webHidden/>
              </w:rPr>
              <w:fldChar w:fldCharType="begin"/>
            </w:r>
            <w:r>
              <w:rPr>
                <w:noProof/>
                <w:webHidden/>
              </w:rPr>
              <w:instrText xml:space="preserve"> PAGEREF _Toc234063793 \h </w:instrText>
            </w:r>
            <w:r>
              <w:rPr>
                <w:noProof/>
                <w:webHidden/>
              </w:rPr>
            </w:r>
            <w:r>
              <w:rPr>
                <w:noProof/>
                <w:webHidden/>
              </w:rPr>
              <w:fldChar w:fldCharType="separate"/>
            </w:r>
            <w:r w:rsidR="000F6F0B">
              <w:rPr>
                <w:noProof/>
                <w:webHidden/>
              </w:rPr>
              <w:t>23</w:t>
            </w:r>
            <w:r>
              <w:rPr>
                <w:noProof/>
                <w:webHidden/>
              </w:rPr>
              <w:fldChar w:fldCharType="end"/>
            </w:r>
          </w:hyperlink>
        </w:p>
        <w:p w14:paraId="20080F06" w14:textId="13BADA53" w:rsidR="000B2C56" w:rsidRDefault="000B2C56">
          <w:pPr>
            <w:pStyle w:val="TOC1"/>
            <w:tabs>
              <w:tab w:val="right" w:leader="dot" w:pos="9350"/>
            </w:tabs>
            <w:rPr>
              <w:rFonts w:asciiTheme="minorHAnsi" w:eastAsiaTheme="minorEastAsia" w:hAnsiTheme="minorHAnsi" w:cstheme="minorBidi"/>
              <w:noProof/>
              <w:kern w:val="2"/>
              <w:szCs w:val="24"/>
              <w14:ligatures w14:val="standardContextual"/>
            </w:rPr>
          </w:pPr>
          <w:hyperlink w:anchor="_Toc234063794" w:history="1">
            <w:r w:rsidRPr="00111007">
              <w:rPr>
                <w:rStyle w:val="Hyperlink"/>
                <w:noProof/>
              </w:rPr>
              <w:t>Appendix A: Source and Data Notes</w:t>
            </w:r>
            <w:r>
              <w:rPr>
                <w:noProof/>
                <w:webHidden/>
              </w:rPr>
              <w:tab/>
            </w:r>
            <w:r>
              <w:rPr>
                <w:noProof/>
                <w:webHidden/>
              </w:rPr>
              <w:fldChar w:fldCharType="begin"/>
            </w:r>
            <w:r>
              <w:rPr>
                <w:noProof/>
                <w:webHidden/>
              </w:rPr>
              <w:instrText xml:space="preserve"> PAGEREF _Toc234063794 \h </w:instrText>
            </w:r>
            <w:r>
              <w:rPr>
                <w:noProof/>
                <w:webHidden/>
              </w:rPr>
            </w:r>
            <w:r>
              <w:rPr>
                <w:noProof/>
                <w:webHidden/>
              </w:rPr>
              <w:fldChar w:fldCharType="separate"/>
            </w:r>
            <w:r w:rsidR="000F6F0B">
              <w:rPr>
                <w:noProof/>
                <w:webHidden/>
              </w:rPr>
              <w:t>26</w:t>
            </w:r>
            <w:r>
              <w:rPr>
                <w:noProof/>
                <w:webHidden/>
              </w:rPr>
              <w:fldChar w:fldCharType="end"/>
            </w:r>
          </w:hyperlink>
        </w:p>
        <w:p w14:paraId="70352707" w14:textId="77777777" w:rsidR="000B2C56" w:rsidRDefault="000B2C56">
          <w:pPr>
            <w:rPr>
              <w:noProof/>
            </w:rPr>
          </w:pPr>
          <w:r>
            <w:rPr>
              <w:b/>
              <w:bCs/>
              <w:noProof/>
            </w:rPr>
            <w:fldChar w:fldCharType="end"/>
          </w:r>
        </w:p>
      </w:sdtContent>
    </w:sdt>
    <w:p w14:paraId="42272D2E" w14:textId="77777777" w:rsidR="00F84356" w:rsidRDefault="00F84356" w:rsidP="000B2C56">
      <w:pPr>
        <w:pStyle w:val="TOC1"/>
        <w:tabs>
          <w:tab w:val="right" w:leader="dot" w:pos="9350"/>
        </w:tabs>
        <w:rPr>
          <w:noProof/>
        </w:rPr>
      </w:pPr>
    </w:p>
    <w:p w14:paraId="73FD1E71" w14:textId="77777777" w:rsidR="00244E75" w:rsidRDefault="00000000">
      <w:pPr>
        <w:tabs>
          <w:tab w:val="right" w:leader="dot" w:pos="8784"/>
        </w:tabs>
        <w:spacing w:after="0" w:line="252" w:lineRule="auto"/>
      </w:pPr>
      <w:r>
        <w:fldChar w:fldCharType="end"/>
      </w:r>
      <w:r>
        <w:br w:type="page"/>
      </w:r>
    </w:p>
    <w:p w14:paraId="5085C1FF" w14:textId="77777777" w:rsidR="006D5068" w:rsidRDefault="00000000">
      <w:pPr>
        <w:pStyle w:val="Heading1"/>
        <w:spacing w:before="200" w:after="120"/>
      </w:pPr>
      <w:bookmarkStart w:id="0" w:name="_Toc233937246"/>
      <w:bookmarkStart w:id="1" w:name="_Toc234063779"/>
      <w:r>
        <w:rPr>
          <w:rFonts w:ascii="Arial" w:eastAsia="Arial" w:hAnsi="Arial" w:cs="Arial"/>
        </w:rPr>
        <w:lastRenderedPageBreak/>
        <w:t>Executive Summary</w:t>
      </w:r>
      <w:bookmarkEnd w:id="0"/>
      <w:bookmarkEnd w:id="1"/>
    </w:p>
    <w:p w14:paraId="367031AC" w14:textId="77777777" w:rsidR="00F93BB9" w:rsidRDefault="00F93BB9" w:rsidP="003B4F69">
      <w:pPr>
        <w:spacing w:after="120"/>
        <w:jc w:val="both"/>
      </w:pPr>
      <w:r w:rsidRPr="00F93BB9">
        <w:t>This report is a critical comparison of the international marketing practices of Toyota in both Japan and the United States that will consider how the company balances global uniformity with local adaptation. Competitive advantage of Toyota is based on disciplined adaptation, according to which the company retains its fundamental values of quality, reliability, and trust and adapts its products and marketing strategies to other cultural, regulatory, and market conditions (Theodosiou and Leonidou, 2003; Douglas and Craig, 2011). It uses the PESTEL analysis and Hofstede cultural dimensions analysis to take into account country circumstances and the STP and 7Ps frameworks to consider how Toyota adapts its marketing mix (Booms and Bitner, 1981; Hofstede, Hofstede and Minkov, 2010). The results show that Toyota is most successful in those cases when the national conditions, customer-based segmentation, and operational possibilities are paired, but some gaps can still be identified. Another issue the report examines is the entry of Toyota into the U.S. market and the unintended acceleration crisis which proved that product reputation in home market does not necessarily follow into foreign markets (Toyota USA Newsroom, n.d.). Moreover, ethical marketing might be crucial as falsified statements regarding product safety or errors in the product itself may harm consumer confidence and reputation of a company (U.S. Department of Transportation, 2011; U.S. Department of Justice, 2014).</w:t>
      </w:r>
    </w:p>
    <w:p w14:paraId="092E6BC1" w14:textId="77777777" w:rsidR="00F93BB9" w:rsidRDefault="00F93BB9">
      <w:pPr>
        <w:spacing w:line="276" w:lineRule="auto"/>
        <w:rPr>
          <w:b/>
          <w:bCs/>
          <w:color w:val="000000"/>
          <w:sz w:val="32"/>
          <w:szCs w:val="28"/>
        </w:rPr>
      </w:pPr>
      <w:bookmarkStart w:id="2" w:name="_Toc233937247"/>
      <w:r>
        <w:br w:type="page"/>
      </w:r>
    </w:p>
    <w:p w14:paraId="54E87D8A" w14:textId="77777777" w:rsidR="006D5068" w:rsidRDefault="00000000">
      <w:pPr>
        <w:pStyle w:val="Heading1"/>
        <w:spacing w:before="200" w:after="120"/>
      </w:pPr>
      <w:bookmarkStart w:id="3" w:name="_Toc234063780"/>
      <w:r>
        <w:rPr>
          <w:rFonts w:ascii="Arial" w:eastAsia="Arial" w:hAnsi="Arial" w:cs="Arial"/>
        </w:rPr>
        <w:lastRenderedPageBreak/>
        <w:t>1. Introduction</w:t>
      </w:r>
      <w:bookmarkEnd w:id="2"/>
      <w:bookmarkEnd w:id="3"/>
    </w:p>
    <w:p w14:paraId="7624FA56" w14:textId="77777777" w:rsidR="00CF0FCA" w:rsidRDefault="00CF0FCA" w:rsidP="00CF0FCA">
      <w:pPr>
        <w:spacing w:after="120"/>
        <w:jc w:val="both"/>
      </w:pPr>
      <w:r w:rsidRPr="00CF0FCA">
        <w:t>The international marketing does not involve merely the export of a domestic marketing mix to a different nation. Companies need to find the balance between global efficiency, local legitimacy and customer relevance.</w:t>
      </w:r>
      <w:r w:rsidR="00BC58B3">
        <w:t xml:space="preserve"> </w:t>
      </w:r>
      <w:r w:rsidRPr="00CF0FCA">
        <w:t>Th</w:t>
      </w:r>
      <w:r w:rsidR="00BC58B3">
        <w:t>e</w:t>
      </w:r>
      <w:r w:rsidRPr="00CF0FCA">
        <w:t xml:space="preserve"> contradiction lies at the center of Toyota due to the high involvement in purchasing cars based on safety, price, service, fuel economy, resale value and environmental credibility (Hollensen, 2020; Kotler, Keller and Chernev, 2022). The current studies also indicate that the performance implications of global marketing </w:t>
      </w:r>
      <w:proofErr w:type="spellStart"/>
      <w:r w:rsidRPr="00CF0FCA">
        <w:t>standardisation</w:t>
      </w:r>
      <w:proofErr w:type="spellEnd"/>
      <w:r w:rsidRPr="00CF0FCA">
        <w:t xml:space="preserve"> and adaptation are also dependent on the country context, customer expectations and strategy-implementation fit (Mandler et al., 2021; Poulis, 2024).</w:t>
      </w:r>
    </w:p>
    <w:p w14:paraId="03A4A1F8" w14:textId="025653E9" w:rsidR="00CF0FCA" w:rsidRDefault="00CF0FCA" w:rsidP="00CF0FCA">
      <w:pPr>
        <w:spacing w:after="120"/>
        <w:jc w:val="both"/>
      </w:pPr>
      <w:r w:rsidRPr="00CF0FCA">
        <w:t xml:space="preserve">This report is a comparison between Toyota in Japan and the United States. Japan is a domestic market to Toyota and it continues to form the core of the company, in its legacy and legitimacy over time. The US is one of the largest sources of sales, profit opportunities and strategic risk to Toyota, which is quite a large host market. In 2025, Toyota Motor North America reported U.S. sales of 2,518,071 vehicles, an increase of 8.0%, while electrified vehicles accounted for 47.0% of total sales (Toyota Motor North America, 2026). </w:t>
      </w:r>
    </w:p>
    <w:p w14:paraId="5DE649C9" w14:textId="77777777" w:rsidR="00CF0FCA" w:rsidRDefault="00CF0FCA" w:rsidP="00CF0FCA">
      <w:pPr>
        <w:spacing w:after="120"/>
        <w:jc w:val="both"/>
      </w:pPr>
      <w:r w:rsidRPr="00CF0FCA">
        <w:t>There are five objectives of the report. First, it compares the macro-environments of Japan and the United States using PESTEL. Second, it compares the cultural differences on the basis of the Hofstede model. Third, it compares Toyota’s STP and 7Ps strategies in both countries. Fourth, it analyses the U.S market entry strategy of Toyota. Fifth, it explores one ethical concern that has been related to the marketing mix of Toyota and formulated future marketing recommendations to international marketing. The report analyzes the rationale behind how Toyota would tailor some of the aspects, areas it is doing well and where there are strategic tensions.</w:t>
      </w:r>
    </w:p>
    <w:p w14:paraId="66A981AE" w14:textId="77777777" w:rsidR="006D5068" w:rsidRDefault="00000000">
      <w:pPr>
        <w:pStyle w:val="Heading1"/>
        <w:spacing w:before="200" w:after="120"/>
      </w:pPr>
      <w:bookmarkStart w:id="4" w:name="_Toc233937248"/>
      <w:bookmarkStart w:id="5" w:name="_Toc234063781"/>
      <w:r>
        <w:rPr>
          <w:rFonts w:ascii="Arial" w:eastAsia="Arial" w:hAnsi="Arial" w:cs="Arial"/>
        </w:rPr>
        <w:t>2. Brand and Market Selection Rationale</w:t>
      </w:r>
      <w:bookmarkEnd w:id="4"/>
      <w:bookmarkEnd w:id="5"/>
    </w:p>
    <w:p w14:paraId="0FE0CC00" w14:textId="77777777" w:rsidR="00CF0FCA" w:rsidRDefault="00CF0FCA" w:rsidP="00CF0FCA">
      <w:pPr>
        <w:spacing w:after="120"/>
        <w:jc w:val="both"/>
      </w:pPr>
      <w:r w:rsidRPr="00CF0FCA">
        <w:t xml:space="preserve">Toyota was chosen due to its scope to be critically analyzed as compared to other brands available. It is a multi-faceted global business with design of products, regulation, dealer network, after-sales service, financing and safety communication and sustainability </w:t>
      </w:r>
      <w:r w:rsidRPr="00CF0FCA">
        <w:lastRenderedPageBreak/>
        <w:t xml:space="preserve">claims that affect the marketing mix. Its performance in marketing therefore relies on operations and evidence supported strategic promises and not just promotion. </w:t>
      </w:r>
    </w:p>
    <w:p w14:paraId="3DFEE308" w14:textId="77777777" w:rsidR="00CF0FCA" w:rsidRDefault="00CF0FCA" w:rsidP="00CF0FCA">
      <w:pPr>
        <w:spacing w:after="120"/>
        <w:jc w:val="both"/>
      </w:pPr>
      <w:r w:rsidRPr="00CF0FCA">
        <w:t xml:space="preserve">These two nations serve as a good ground to make a critical comparison. Japan is a home market of Toyota, as cultural legitimacy, engineering legacy and high-density urban mobility define the customer expectations. The United States is a key host market, with scale, funding, suburban freedom, bigger cars and greater individualistic communications compelling distinct marketing pressures. The comparison is not just a straightforward comparison of two sales territories test, though, and it determines how much Toyota is able to </w:t>
      </w:r>
      <w:proofErr w:type="spellStart"/>
      <w:r w:rsidRPr="00CF0FCA">
        <w:t>standardise</w:t>
      </w:r>
      <w:proofErr w:type="spellEnd"/>
      <w:r w:rsidRPr="00CF0FCA">
        <w:t xml:space="preserve"> its global identity</w:t>
      </w:r>
      <w:r w:rsidR="00D273B5">
        <w:t>.</w:t>
      </w:r>
    </w:p>
    <w:p w14:paraId="76588B3C" w14:textId="77777777" w:rsidR="006D5068" w:rsidRDefault="00000000">
      <w:pPr>
        <w:pStyle w:val="Heading1"/>
        <w:spacing w:before="200" w:after="120"/>
      </w:pPr>
      <w:bookmarkStart w:id="6" w:name="_Toc233937249"/>
      <w:bookmarkStart w:id="7" w:name="_Toc234063782"/>
      <w:r>
        <w:rPr>
          <w:rFonts w:ascii="Arial" w:eastAsia="Arial" w:hAnsi="Arial" w:cs="Arial"/>
        </w:rPr>
        <w:t>3. Analytical Framework</w:t>
      </w:r>
      <w:bookmarkEnd w:id="6"/>
      <w:bookmarkEnd w:id="7"/>
    </w:p>
    <w:p w14:paraId="3DE27B20" w14:textId="77777777" w:rsidR="00763F3C" w:rsidRDefault="00763F3C" w:rsidP="00763F3C">
      <w:pPr>
        <w:spacing w:after="120"/>
        <w:jc w:val="both"/>
      </w:pPr>
      <w:r w:rsidRPr="00763F3C">
        <w:t>The analysis is performed with the combined framework and not individual tools. This is significant since PESTEL, Hofstede, STP and the 7Ps are potentially descriptive checklists when used individually. PESTEL represents the external limitations and opportunities in this report, Hofstede offers information about cultural tendencies, STP reveals the methods of customer selection and positioning of Toyota, and the 7Ps attempt to define whether the marketing mix is really able to implement the desired customer positioning. The ethics and market entry sections then interrogate the potential of Toyota to be strategically effective and socially responsible in its strategy. The framework is based on the idea of sustainable marketing scholarship</w:t>
      </w:r>
      <w:r w:rsidR="00BC58B3">
        <w:t xml:space="preserve"> </w:t>
      </w:r>
      <w:r w:rsidRPr="00763F3C">
        <w:t>(Griffith, 2021).</w:t>
      </w:r>
    </w:p>
    <w:p w14:paraId="349A5E0E" w14:textId="77777777" w:rsidR="006D5068" w:rsidRDefault="00A6244E">
      <w:pPr>
        <w:spacing w:after="0"/>
        <w:jc w:val="center"/>
      </w:pPr>
      <w:r>
        <w:rPr>
          <w:noProof/>
        </w:rPr>
        <w:lastRenderedPageBreak/>
        <w:drawing>
          <wp:inline distT="0" distB="0" distL="0" distR="0" wp14:anchorId="02205A59" wp14:editId="3E37D67C">
            <wp:extent cx="6037609" cy="3397961"/>
            <wp:effectExtent l="0" t="0" r="1270" b="0"/>
            <wp:docPr id="2209935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53311" cy="3406798"/>
                    </a:xfrm>
                    <a:prstGeom prst="rect">
                      <a:avLst/>
                    </a:prstGeom>
                    <a:noFill/>
                  </pic:spPr>
                </pic:pic>
              </a:graphicData>
            </a:graphic>
          </wp:inline>
        </w:drawing>
      </w:r>
    </w:p>
    <w:p w14:paraId="21171A5A" w14:textId="77777777" w:rsidR="006D5068" w:rsidRDefault="00000000">
      <w:pPr>
        <w:pStyle w:val="CaptionText"/>
        <w:keepNext/>
        <w:spacing w:after="60"/>
        <w:jc w:val="center"/>
      </w:pPr>
      <w:r>
        <w:rPr>
          <w:rFonts w:cs="Arial"/>
        </w:rPr>
        <w:t>Figure 1: Toyota international marketing analytical framework</w:t>
      </w:r>
    </w:p>
    <w:p w14:paraId="0E5AAB51" w14:textId="77777777" w:rsidR="006D5068" w:rsidRDefault="00000000">
      <w:pPr>
        <w:pStyle w:val="SourceNote"/>
        <w:spacing w:after="120"/>
        <w:jc w:val="center"/>
      </w:pPr>
      <w:r>
        <w:rPr>
          <w:rFonts w:cs="Arial"/>
        </w:rPr>
        <w:t>Source: Author’s own illustration, based on Hollensen (2020), Kotler, Keller and Chernev (2022), and Cavusgil, Knight and Riesenberger (2020).</w:t>
      </w:r>
    </w:p>
    <w:p w14:paraId="476AF3E1" w14:textId="77777777" w:rsidR="009C0DC5" w:rsidRDefault="009C0DC5" w:rsidP="009C0DC5">
      <w:pPr>
        <w:spacing w:after="120"/>
        <w:jc w:val="both"/>
      </w:pPr>
      <w:r w:rsidRPr="009C0DC5">
        <w:t xml:space="preserve">There is one limitation to the framework identified, too. PESTEL and Hofstede can be simplified when they are applied mechanically to simplify markets. National averages fail to reflect all consumers and macro-level indicators do not necessarily underlie purchase </w:t>
      </w:r>
      <w:proofErr w:type="spellStart"/>
      <w:r w:rsidRPr="009C0DC5">
        <w:t>behaviour</w:t>
      </w:r>
      <w:proofErr w:type="spellEnd"/>
      <w:r w:rsidRPr="009C0DC5">
        <w:t xml:space="preserve">. Thus, the report considers these tools more as interpretive tools than evidence alone. This aligns with recent international marketing research that considers </w:t>
      </w:r>
      <w:proofErr w:type="spellStart"/>
      <w:r w:rsidRPr="009C0DC5">
        <w:t>standardisation</w:t>
      </w:r>
      <w:proofErr w:type="spellEnd"/>
      <w:r w:rsidRPr="009C0DC5">
        <w:t xml:space="preserve"> and adaptation a search of relational fit and not an immediate choice (Poulis, 2024).</w:t>
      </w:r>
    </w:p>
    <w:p w14:paraId="6D1AD414" w14:textId="77777777" w:rsidR="006D5068" w:rsidRDefault="00000000">
      <w:pPr>
        <w:pStyle w:val="Heading1"/>
        <w:spacing w:before="200" w:after="120"/>
      </w:pPr>
      <w:bookmarkStart w:id="8" w:name="_Toc233937250"/>
      <w:bookmarkStart w:id="9" w:name="_Toc234063783"/>
      <w:r>
        <w:rPr>
          <w:rFonts w:ascii="Arial" w:eastAsia="Arial" w:hAnsi="Arial" w:cs="Arial"/>
        </w:rPr>
        <w:t>4. Comparative Market Analysis</w:t>
      </w:r>
      <w:bookmarkEnd w:id="8"/>
      <w:bookmarkEnd w:id="9"/>
    </w:p>
    <w:p w14:paraId="3946FF33" w14:textId="77777777" w:rsidR="006D5068" w:rsidRDefault="00000000">
      <w:pPr>
        <w:pStyle w:val="Heading2"/>
        <w:spacing w:before="120" w:after="120"/>
      </w:pPr>
      <w:bookmarkStart w:id="10" w:name="_Toc233937251"/>
      <w:bookmarkStart w:id="11" w:name="_Toc234063784"/>
      <w:r>
        <w:rPr>
          <w:rFonts w:ascii="Arial" w:eastAsia="Arial" w:hAnsi="Arial" w:cs="Arial"/>
        </w:rPr>
        <w:t>4.1 Data Snapshot and PESTEL Comparison</w:t>
      </w:r>
      <w:bookmarkEnd w:id="10"/>
      <w:bookmarkEnd w:id="11"/>
    </w:p>
    <w:p w14:paraId="73B90BC9" w14:textId="77777777" w:rsidR="009C0DC5" w:rsidRDefault="009C0DC5" w:rsidP="00657725">
      <w:pPr>
        <w:spacing w:after="120"/>
        <w:jc w:val="both"/>
      </w:pPr>
      <w:r w:rsidRPr="009C0DC5">
        <w:t xml:space="preserve">The size of the two markets, income, demographic pressure, and regulation are highly different. The strategic fit is tested in terms of Table 1, as opposed to the provision of background. The US has a higher volume and revenue potential, whereas Japan needs </w:t>
      </w:r>
      <w:r w:rsidRPr="009C0DC5">
        <w:lastRenderedPageBreak/>
        <w:t>Toyota to protect domestic legitimacy, respond to ageing buyers and limitations on urban mobility.</w:t>
      </w:r>
    </w:p>
    <w:p w14:paraId="1D060A12" w14:textId="77777777" w:rsidR="006D5068" w:rsidRDefault="00000000" w:rsidP="00657725">
      <w:pPr>
        <w:pStyle w:val="CaptionText"/>
        <w:keepNext/>
        <w:spacing w:after="60"/>
        <w:jc w:val="both"/>
      </w:pPr>
      <w:r>
        <w:rPr>
          <w:rFonts w:cs="Arial"/>
        </w:rPr>
        <w:t>Table 1: Japan and United States market context indicators</w:t>
      </w:r>
    </w:p>
    <w:tbl>
      <w:tblPr>
        <w:tblStyle w:val="TableGrid"/>
        <w:tblW w:w="0" w:type="auto"/>
        <w:jc w:val="center"/>
        <w:tblLook w:val="04A0" w:firstRow="1" w:lastRow="0" w:firstColumn="1" w:lastColumn="0" w:noHBand="0" w:noVBand="1"/>
      </w:tblPr>
      <w:tblGrid>
        <w:gridCol w:w="1943"/>
        <w:gridCol w:w="1943"/>
        <w:gridCol w:w="2086"/>
        <w:gridCol w:w="3378"/>
      </w:tblGrid>
      <w:tr w:rsidR="006D5068" w:rsidRPr="009C0DC5" w14:paraId="37C60C8D" w14:textId="77777777">
        <w:trPr>
          <w:cantSplit/>
          <w:tblHeader/>
          <w:jc w:val="center"/>
        </w:trPr>
        <w:tc>
          <w:tcPr>
            <w:tcW w:w="1944" w:type="dxa"/>
            <w:shd w:val="clear" w:color="auto" w:fill="D9D9D9"/>
            <w:vAlign w:val="center"/>
          </w:tcPr>
          <w:p w14:paraId="0BBD0552" w14:textId="77777777" w:rsidR="006D5068" w:rsidRPr="009C0DC5" w:rsidRDefault="00000000" w:rsidP="00657725">
            <w:pPr>
              <w:spacing w:line="240" w:lineRule="auto"/>
              <w:jc w:val="both"/>
              <w:rPr>
                <w:szCs w:val="36"/>
              </w:rPr>
            </w:pPr>
            <w:r w:rsidRPr="009C0DC5">
              <w:rPr>
                <w:b/>
                <w:szCs w:val="36"/>
              </w:rPr>
              <w:t>Indicator</w:t>
            </w:r>
          </w:p>
        </w:tc>
        <w:tc>
          <w:tcPr>
            <w:tcW w:w="1944" w:type="dxa"/>
            <w:shd w:val="clear" w:color="auto" w:fill="D9D9D9"/>
            <w:vAlign w:val="center"/>
          </w:tcPr>
          <w:p w14:paraId="6D81D7C7" w14:textId="77777777" w:rsidR="006D5068" w:rsidRPr="009C0DC5" w:rsidRDefault="00000000" w:rsidP="00657725">
            <w:pPr>
              <w:spacing w:line="240" w:lineRule="auto"/>
              <w:jc w:val="both"/>
              <w:rPr>
                <w:szCs w:val="36"/>
              </w:rPr>
            </w:pPr>
            <w:r w:rsidRPr="009C0DC5">
              <w:rPr>
                <w:b/>
                <w:szCs w:val="36"/>
              </w:rPr>
              <w:t>Japan</w:t>
            </w:r>
          </w:p>
        </w:tc>
        <w:tc>
          <w:tcPr>
            <w:tcW w:w="2088" w:type="dxa"/>
            <w:shd w:val="clear" w:color="auto" w:fill="D9D9D9"/>
            <w:vAlign w:val="center"/>
          </w:tcPr>
          <w:p w14:paraId="293FE7F4" w14:textId="77777777" w:rsidR="006D5068" w:rsidRPr="009C0DC5" w:rsidRDefault="00000000" w:rsidP="00657725">
            <w:pPr>
              <w:spacing w:line="240" w:lineRule="auto"/>
              <w:jc w:val="both"/>
              <w:rPr>
                <w:szCs w:val="36"/>
              </w:rPr>
            </w:pPr>
            <w:r w:rsidRPr="009C0DC5">
              <w:rPr>
                <w:b/>
                <w:szCs w:val="36"/>
              </w:rPr>
              <w:t>United States</w:t>
            </w:r>
          </w:p>
        </w:tc>
        <w:tc>
          <w:tcPr>
            <w:tcW w:w="3384" w:type="dxa"/>
            <w:shd w:val="clear" w:color="auto" w:fill="D9D9D9"/>
            <w:vAlign w:val="center"/>
          </w:tcPr>
          <w:p w14:paraId="13B23C75" w14:textId="77777777" w:rsidR="006D5068" w:rsidRPr="009C0DC5" w:rsidRDefault="00000000" w:rsidP="00657725">
            <w:pPr>
              <w:spacing w:line="240" w:lineRule="auto"/>
              <w:jc w:val="both"/>
              <w:rPr>
                <w:szCs w:val="36"/>
              </w:rPr>
            </w:pPr>
            <w:r w:rsidRPr="009C0DC5">
              <w:rPr>
                <w:b/>
                <w:szCs w:val="36"/>
              </w:rPr>
              <w:t>Marketing implication for Toyota</w:t>
            </w:r>
          </w:p>
        </w:tc>
      </w:tr>
      <w:tr w:rsidR="006D5068" w:rsidRPr="009C0DC5" w14:paraId="55887D8A" w14:textId="77777777">
        <w:trPr>
          <w:cantSplit/>
          <w:jc w:val="center"/>
        </w:trPr>
        <w:tc>
          <w:tcPr>
            <w:tcW w:w="1944" w:type="dxa"/>
          </w:tcPr>
          <w:p w14:paraId="43DC51F7" w14:textId="77777777" w:rsidR="006D5068" w:rsidRPr="009C0DC5" w:rsidRDefault="00000000" w:rsidP="00657725">
            <w:pPr>
              <w:spacing w:line="240" w:lineRule="auto"/>
              <w:jc w:val="both"/>
              <w:rPr>
                <w:szCs w:val="36"/>
              </w:rPr>
            </w:pPr>
            <w:r w:rsidRPr="009C0DC5">
              <w:rPr>
                <w:szCs w:val="36"/>
              </w:rPr>
              <w:t>Population, 2024</w:t>
            </w:r>
          </w:p>
        </w:tc>
        <w:tc>
          <w:tcPr>
            <w:tcW w:w="1944" w:type="dxa"/>
          </w:tcPr>
          <w:p w14:paraId="76415B47" w14:textId="77777777" w:rsidR="006D5068" w:rsidRPr="009C0DC5" w:rsidRDefault="00000000" w:rsidP="00657725">
            <w:pPr>
              <w:spacing w:line="240" w:lineRule="auto"/>
              <w:jc w:val="both"/>
              <w:rPr>
                <w:szCs w:val="36"/>
              </w:rPr>
            </w:pPr>
            <w:r w:rsidRPr="009C0DC5">
              <w:rPr>
                <w:szCs w:val="36"/>
              </w:rPr>
              <w:t>123.98 million</w:t>
            </w:r>
          </w:p>
        </w:tc>
        <w:tc>
          <w:tcPr>
            <w:tcW w:w="2088" w:type="dxa"/>
          </w:tcPr>
          <w:p w14:paraId="445797DF" w14:textId="77777777" w:rsidR="006D5068" w:rsidRPr="009C0DC5" w:rsidRDefault="00000000" w:rsidP="00657725">
            <w:pPr>
              <w:spacing w:line="240" w:lineRule="auto"/>
              <w:jc w:val="both"/>
              <w:rPr>
                <w:szCs w:val="36"/>
              </w:rPr>
            </w:pPr>
            <w:r w:rsidRPr="009C0DC5">
              <w:rPr>
                <w:szCs w:val="36"/>
              </w:rPr>
              <w:t>340.11 million</w:t>
            </w:r>
          </w:p>
        </w:tc>
        <w:tc>
          <w:tcPr>
            <w:tcW w:w="3384" w:type="dxa"/>
          </w:tcPr>
          <w:p w14:paraId="6F6A2132" w14:textId="77777777" w:rsidR="006D5068" w:rsidRPr="009C0DC5" w:rsidRDefault="00000000" w:rsidP="00657725">
            <w:pPr>
              <w:spacing w:line="240" w:lineRule="auto"/>
              <w:jc w:val="both"/>
              <w:rPr>
                <w:szCs w:val="36"/>
              </w:rPr>
            </w:pPr>
            <w:r w:rsidRPr="009C0DC5">
              <w:rPr>
                <w:szCs w:val="36"/>
              </w:rPr>
              <w:t>The United States offers wider scale, while Japan requires deeper retention of an ageing domestic customer base.</w:t>
            </w:r>
          </w:p>
        </w:tc>
      </w:tr>
      <w:tr w:rsidR="006D5068" w:rsidRPr="009C0DC5" w14:paraId="0F559B19" w14:textId="77777777">
        <w:trPr>
          <w:cantSplit/>
          <w:jc w:val="center"/>
        </w:trPr>
        <w:tc>
          <w:tcPr>
            <w:tcW w:w="1944" w:type="dxa"/>
          </w:tcPr>
          <w:p w14:paraId="7044F311" w14:textId="77777777" w:rsidR="006D5068" w:rsidRPr="009C0DC5" w:rsidRDefault="00000000" w:rsidP="00657725">
            <w:pPr>
              <w:spacing w:line="240" w:lineRule="auto"/>
              <w:jc w:val="both"/>
              <w:rPr>
                <w:szCs w:val="36"/>
              </w:rPr>
            </w:pPr>
            <w:r w:rsidRPr="009C0DC5">
              <w:rPr>
                <w:szCs w:val="36"/>
              </w:rPr>
              <w:t>GDP, 2024</w:t>
            </w:r>
          </w:p>
        </w:tc>
        <w:tc>
          <w:tcPr>
            <w:tcW w:w="1944" w:type="dxa"/>
          </w:tcPr>
          <w:p w14:paraId="202DCE83" w14:textId="77777777" w:rsidR="006D5068" w:rsidRPr="009C0DC5" w:rsidRDefault="00000000" w:rsidP="00657725">
            <w:pPr>
              <w:spacing w:line="240" w:lineRule="auto"/>
              <w:jc w:val="both"/>
              <w:rPr>
                <w:szCs w:val="36"/>
              </w:rPr>
            </w:pPr>
            <w:r w:rsidRPr="009C0DC5">
              <w:rPr>
                <w:szCs w:val="36"/>
              </w:rPr>
              <w:t>US$4.03 trillion</w:t>
            </w:r>
          </w:p>
        </w:tc>
        <w:tc>
          <w:tcPr>
            <w:tcW w:w="2088" w:type="dxa"/>
          </w:tcPr>
          <w:p w14:paraId="18582A78" w14:textId="77777777" w:rsidR="006D5068" w:rsidRPr="009C0DC5" w:rsidRDefault="00000000" w:rsidP="00657725">
            <w:pPr>
              <w:spacing w:line="240" w:lineRule="auto"/>
              <w:jc w:val="both"/>
              <w:rPr>
                <w:szCs w:val="36"/>
              </w:rPr>
            </w:pPr>
            <w:r w:rsidRPr="009C0DC5">
              <w:rPr>
                <w:szCs w:val="36"/>
              </w:rPr>
              <w:t>US$28.75 trillion</w:t>
            </w:r>
          </w:p>
        </w:tc>
        <w:tc>
          <w:tcPr>
            <w:tcW w:w="3384" w:type="dxa"/>
          </w:tcPr>
          <w:p w14:paraId="0961FDE3" w14:textId="77777777" w:rsidR="006D5068" w:rsidRPr="009C0DC5" w:rsidRDefault="00000000" w:rsidP="00657725">
            <w:pPr>
              <w:spacing w:line="240" w:lineRule="auto"/>
              <w:jc w:val="both"/>
              <w:rPr>
                <w:szCs w:val="36"/>
              </w:rPr>
            </w:pPr>
            <w:r w:rsidRPr="009C0DC5">
              <w:rPr>
                <w:szCs w:val="36"/>
              </w:rPr>
              <w:t>The United States offers much larger total purchasing power and stronger volume potential.</w:t>
            </w:r>
          </w:p>
        </w:tc>
      </w:tr>
      <w:tr w:rsidR="006D5068" w:rsidRPr="009C0DC5" w14:paraId="77788D7D" w14:textId="77777777">
        <w:trPr>
          <w:cantSplit/>
          <w:jc w:val="center"/>
        </w:trPr>
        <w:tc>
          <w:tcPr>
            <w:tcW w:w="1944" w:type="dxa"/>
          </w:tcPr>
          <w:p w14:paraId="622BD94F" w14:textId="77777777" w:rsidR="006D5068" w:rsidRPr="009C0DC5" w:rsidRDefault="00000000" w:rsidP="00657725">
            <w:pPr>
              <w:spacing w:line="240" w:lineRule="auto"/>
              <w:jc w:val="both"/>
              <w:rPr>
                <w:szCs w:val="36"/>
              </w:rPr>
            </w:pPr>
            <w:r w:rsidRPr="009C0DC5">
              <w:rPr>
                <w:szCs w:val="36"/>
              </w:rPr>
              <w:t>GDP per capita, 2024</w:t>
            </w:r>
          </w:p>
        </w:tc>
        <w:tc>
          <w:tcPr>
            <w:tcW w:w="1944" w:type="dxa"/>
          </w:tcPr>
          <w:p w14:paraId="473C93A0" w14:textId="77777777" w:rsidR="006D5068" w:rsidRPr="009C0DC5" w:rsidRDefault="00000000" w:rsidP="00657725">
            <w:pPr>
              <w:spacing w:line="240" w:lineRule="auto"/>
              <w:jc w:val="both"/>
              <w:rPr>
                <w:szCs w:val="36"/>
              </w:rPr>
            </w:pPr>
            <w:r w:rsidRPr="009C0DC5">
              <w:rPr>
                <w:szCs w:val="36"/>
              </w:rPr>
              <w:t>US$32,487</w:t>
            </w:r>
          </w:p>
        </w:tc>
        <w:tc>
          <w:tcPr>
            <w:tcW w:w="2088" w:type="dxa"/>
          </w:tcPr>
          <w:p w14:paraId="79F8387D" w14:textId="77777777" w:rsidR="006D5068" w:rsidRPr="009C0DC5" w:rsidRDefault="00000000" w:rsidP="00657725">
            <w:pPr>
              <w:spacing w:line="240" w:lineRule="auto"/>
              <w:jc w:val="both"/>
              <w:rPr>
                <w:szCs w:val="36"/>
              </w:rPr>
            </w:pPr>
            <w:r w:rsidRPr="009C0DC5">
              <w:rPr>
                <w:szCs w:val="36"/>
              </w:rPr>
              <w:t>US$84,534</w:t>
            </w:r>
          </w:p>
        </w:tc>
        <w:tc>
          <w:tcPr>
            <w:tcW w:w="3384" w:type="dxa"/>
          </w:tcPr>
          <w:p w14:paraId="429C0BAC" w14:textId="77777777" w:rsidR="006D5068" w:rsidRPr="009C0DC5" w:rsidRDefault="00000000" w:rsidP="00657725">
            <w:pPr>
              <w:spacing w:line="240" w:lineRule="auto"/>
              <w:jc w:val="both"/>
              <w:rPr>
                <w:szCs w:val="36"/>
              </w:rPr>
            </w:pPr>
            <w:r w:rsidRPr="009C0DC5">
              <w:rPr>
                <w:szCs w:val="36"/>
              </w:rPr>
              <w:t>Higher U.S. income supports larger vehicles, premium trims and finance-led upgrading.</w:t>
            </w:r>
          </w:p>
        </w:tc>
      </w:tr>
      <w:tr w:rsidR="006D5068" w:rsidRPr="009C0DC5" w14:paraId="1B60351D" w14:textId="77777777">
        <w:trPr>
          <w:cantSplit/>
          <w:jc w:val="center"/>
        </w:trPr>
        <w:tc>
          <w:tcPr>
            <w:tcW w:w="1944" w:type="dxa"/>
          </w:tcPr>
          <w:p w14:paraId="66D8E39A" w14:textId="77777777" w:rsidR="006D5068" w:rsidRPr="009C0DC5" w:rsidRDefault="00000000" w:rsidP="00657725">
            <w:pPr>
              <w:spacing w:line="240" w:lineRule="auto"/>
              <w:jc w:val="both"/>
              <w:rPr>
                <w:szCs w:val="36"/>
              </w:rPr>
            </w:pPr>
            <w:r w:rsidRPr="009C0DC5">
              <w:rPr>
                <w:szCs w:val="36"/>
              </w:rPr>
              <w:t>GDP growth, 2024</w:t>
            </w:r>
          </w:p>
        </w:tc>
        <w:tc>
          <w:tcPr>
            <w:tcW w:w="1944" w:type="dxa"/>
          </w:tcPr>
          <w:p w14:paraId="29A07A11" w14:textId="77777777" w:rsidR="006D5068" w:rsidRPr="009C0DC5" w:rsidRDefault="00000000" w:rsidP="00657725">
            <w:pPr>
              <w:spacing w:line="240" w:lineRule="auto"/>
              <w:jc w:val="both"/>
              <w:rPr>
                <w:szCs w:val="36"/>
              </w:rPr>
            </w:pPr>
            <w:r w:rsidRPr="009C0DC5">
              <w:rPr>
                <w:szCs w:val="36"/>
              </w:rPr>
              <w:t>0.1%</w:t>
            </w:r>
          </w:p>
        </w:tc>
        <w:tc>
          <w:tcPr>
            <w:tcW w:w="2088" w:type="dxa"/>
          </w:tcPr>
          <w:p w14:paraId="0C779FF7" w14:textId="77777777" w:rsidR="006D5068" w:rsidRPr="009C0DC5" w:rsidRDefault="00000000" w:rsidP="00657725">
            <w:pPr>
              <w:spacing w:line="240" w:lineRule="auto"/>
              <w:jc w:val="both"/>
              <w:rPr>
                <w:szCs w:val="36"/>
              </w:rPr>
            </w:pPr>
            <w:r w:rsidRPr="009C0DC5">
              <w:rPr>
                <w:szCs w:val="36"/>
              </w:rPr>
              <w:t>2.8%</w:t>
            </w:r>
          </w:p>
        </w:tc>
        <w:tc>
          <w:tcPr>
            <w:tcW w:w="3384" w:type="dxa"/>
          </w:tcPr>
          <w:p w14:paraId="64408CA3" w14:textId="77777777" w:rsidR="006D5068" w:rsidRPr="009C0DC5" w:rsidRDefault="00000000" w:rsidP="00657725">
            <w:pPr>
              <w:spacing w:line="240" w:lineRule="auto"/>
              <w:jc w:val="both"/>
              <w:rPr>
                <w:szCs w:val="36"/>
              </w:rPr>
            </w:pPr>
            <w:r w:rsidRPr="009C0DC5">
              <w:rPr>
                <w:szCs w:val="36"/>
              </w:rPr>
              <w:t>Japan’s stagnant growth favours value, reliability and low running cost; U.S. growth supports replacement demand.</w:t>
            </w:r>
          </w:p>
        </w:tc>
      </w:tr>
      <w:tr w:rsidR="006D5068" w:rsidRPr="009C0DC5" w14:paraId="58E3AD6B" w14:textId="77777777">
        <w:trPr>
          <w:cantSplit/>
          <w:jc w:val="center"/>
        </w:trPr>
        <w:tc>
          <w:tcPr>
            <w:tcW w:w="1944" w:type="dxa"/>
          </w:tcPr>
          <w:p w14:paraId="54E26297" w14:textId="77777777" w:rsidR="006D5068" w:rsidRPr="009C0DC5" w:rsidRDefault="00000000" w:rsidP="00657725">
            <w:pPr>
              <w:spacing w:line="240" w:lineRule="auto"/>
              <w:jc w:val="both"/>
              <w:rPr>
                <w:szCs w:val="36"/>
              </w:rPr>
            </w:pPr>
            <w:r w:rsidRPr="009C0DC5">
              <w:rPr>
                <w:szCs w:val="36"/>
              </w:rPr>
              <w:t>New vehicle market, 2025</w:t>
            </w:r>
          </w:p>
        </w:tc>
        <w:tc>
          <w:tcPr>
            <w:tcW w:w="1944" w:type="dxa"/>
          </w:tcPr>
          <w:p w14:paraId="0BED1885" w14:textId="77777777" w:rsidR="006D5068" w:rsidRPr="009C0DC5" w:rsidRDefault="00000000" w:rsidP="00657725">
            <w:pPr>
              <w:spacing w:line="240" w:lineRule="auto"/>
              <w:jc w:val="both"/>
              <w:rPr>
                <w:szCs w:val="36"/>
              </w:rPr>
            </w:pPr>
            <w:r w:rsidRPr="009C0DC5">
              <w:rPr>
                <w:szCs w:val="36"/>
              </w:rPr>
              <w:t>4.566 million new vehicles</w:t>
            </w:r>
          </w:p>
        </w:tc>
        <w:tc>
          <w:tcPr>
            <w:tcW w:w="2088" w:type="dxa"/>
          </w:tcPr>
          <w:p w14:paraId="21D25BBE" w14:textId="77777777" w:rsidR="006D5068" w:rsidRPr="009C0DC5" w:rsidRDefault="00000000" w:rsidP="00657725">
            <w:pPr>
              <w:spacing w:line="240" w:lineRule="auto"/>
              <w:jc w:val="both"/>
              <w:rPr>
                <w:szCs w:val="36"/>
              </w:rPr>
            </w:pPr>
            <w:r w:rsidRPr="009C0DC5">
              <w:rPr>
                <w:szCs w:val="36"/>
              </w:rPr>
              <w:t>16.2 million light vehicles</w:t>
            </w:r>
          </w:p>
        </w:tc>
        <w:tc>
          <w:tcPr>
            <w:tcW w:w="3384" w:type="dxa"/>
          </w:tcPr>
          <w:p w14:paraId="1E164F0F" w14:textId="77777777" w:rsidR="006D5068" w:rsidRPr="009C0DC5" w:rsidRDefault="00000000" w:rsidP="00657725">
            <w:pPr>
              <w:spacing w:line="240" w:lineRule="auto"/>
              <w:jc w:val="both"/>
              <w:rPr>
                <w:szCs w:val="36"/>
              </w:rPr>
            </w:pPr>
            <w:r w:rsidRPr="009C0DC5">
              <w:rPr>
                <w:szCs w:val="36"/>
              </w:rPr>
              <w:t>Toyota faces a much larger host-market opportunity in the United States.</w:t>
            </w:r>
          </w:p>
        </w:tc>
      </w:tr>
      <w:tr w:rsidR="006D5068" w:rsidRPr="009C0DC5" w14:paraId="11FEC010" w14:textId="77777777">
        <w:trPr>
          <w:cantSplit/>
          <w:jc w:val="center"/>
        </w:trPr>
        <w:tc>
          <w:tcPr>
            <w:tcW w:w="1944" w:type="dxa"/>
          </w:tcPr>
          <w:p w14:paraId="3180B9D7" w14:textId="77777777" w:rsidR="006D5068" w:rsidRPr="009C0DC5" w:rsidRDefault="00000000" w:rsidP="00657725">
            <w:pPr>
              <w:spacing w:line="240" w:lineRule="auto"/>
              <w:jc w:val="both"/>
              <w:rPr>
                <w:szCs w:val="36"/>
              </w:rPr>
            </w:pPr>
            <w:r w:rsidRPr="009C0DC5">
              <w:rPr>
                <w:szCs w:val="36"/>
              </w:rPr>
              <w:t>Toyota sales relevance</w:t>
            </w:r>
          </w:p>
        </w:tc>
        <w:tc>
          <w:tcPr>
            <w:tcW w:w="1944" w:type="dxa"/>
          </w:tcPr>
          <w:p w14:paraId="32662A06" w14:textId="77777777" w:rsidR="006D5068" w:rsidRPr="009C0DC5" w:rsidRDefault="00000000" w:rsidP="00657725">
            <w:pPr>
              <w:spacing w:line="240" w:lineRule="auto"/>
              <w:jc w:val="both"/>
              <w:rPr>
                <w:szCs w:val="36"/>
              </w:rPr>
            </w:pPr>
            <w:r w:rsidRPr="009C0DC5">
              <w:rPr>
                <w:szCs w:val="36"/>
              </w:rPr>
              <w:t>1.991 million consolidated vehicle sales in Japan, FY2025</w:t>
            </w:r>
          </w:p>
        </w:tc>
        <w:tc>
          <w:tcPr>
            <w:tcW w:w="2088" w:type="dxa"/>
          </w:tcPr>
          <w:p w14:paraId="1466F582" w14:textId="77777777" w:rsidR="006D5068" w:rsidRPr="009C0DC5" w:rsidRDefault="00000000" w:rsidP="00657725">
            <w:pPr>
              <w:spacing w:line="240" w:lineRule="auto"/>
              <w:jc w:val="both"/>
              <w:rPr>
                <w:szCs w:val="36"/>
              </w:rPr>
            </w:pPr>
            <w:r w:rsidRPr="009C0DC5">
              <w:rPr>
                <w:szCs w:val="36"/>
              </w:rPr>
              <w:t>2.703 million consolidated vehicle sales in North America, FY2025; 2.518 million U.S. TMNA sales in 2025</w:t>
            </w:r>
          </w:p>
        </w:tc>
        <w:tc>
          <w:tcPr>
            <w:tcW w:w="3384" w:type="dxa"/>
          </w:tcPr>
          <w:p w14:paraId="4CE54116" w14:textId="77777777" w:rsidR="006D5068" w:rsidRPr="009C0DC5" w:rsidRDefault="00000000" w:rsidP="00657725">
            <w:pPr>
              <w:spacing w:line="240" w:lineRule="auto"/>
              <w:jc w:val="both"/>
              <w:rPr>
                <w:szCs w:val="36"/>
              </w:rPr>
            </w:pPr>
            <w:r w:rsidRPr="009C0DC5">
              <w:rPr>
                <w:szCs w:val="36"/>
              </w:rPr>
              <w:t>North America is larger than Japan in Toyota unit terms, so U.S. adaptation is strategically essential.</w:t>
            </w:r>
          </w:p>
        </w:tc>
      </w:tr>
      <w:tr w:rsidR="006D5068" w:rsidRPr="009C0DC5" w14:paraId="284914A9" w14:textId="77777777">
        <w:trPr>
          <w:cantSplit/>
          <w:jc w:val="center"/>
        </w:trPr>
        <w:tc>
          <w:tcPr>
            <w:tcW w:w="1944" w:type="dxa"/>
          </w:tcPr>
          <w:p w14:paraId="751ADBD5" w14:textId="77777777" w:rsidR="006D5068" w:rsidRPr="009C0DC5" w:rsidRDefault="00000000" w:rsidP="00657725">
            <w:pPr>
              <w:spacing w:line="240" w:lineRule="auto"/>
              <w:jc w:val="both"/>
              <w:rPr>
                <w:szCs w:val="36"/>
              </w:rPr>
            </w:pPr>
            <w:r w:rsidRPr="009C0DC5">
              <w:rPr>
                <w:szCs w:val="36"/>
              </w:rPr>
              <w:t>Electrification signal</w:t>
            </w:r>
          </w:p>
        </w:tc>
        <w:tc>
          <w:tcPr>
            <w:tcW w:w="1944" w:type="dxa"/>
          </w:tcPr>
          <w:p w14:paraId="22707929" w14:textId="77777777" w:rsidR="006D5068" w:rsidRPr="009C0DC5" w:rsidRDefault="00000000" w:rsidP="00657725">
            <w:pPr>
              <w:spacing w:line="240" w:lineRule="auto"/>
              <w:jc w:val="both"/>
              <w:rPr>
                <w:szCs w:val="36"/>
              </w:rPr>
            </w:pPr>
            <w:r w:rsidRPr="009C0DC5">
              <w:rPr>
                <w:szCs w:val="36"/>
              </w:rPr>
              <w:t>Policy target for all new passenger vehicles to be electrified by 2035</w:t>
            </w:r>
          </w:p>
        </w:tc>
        <w:tc>
          <w:tcPr>
            <w:tcW w:w="2088" w:type="dxa"/>
          </w:tcPr>
          <w:p w14:paraId="4FE4DA42" w14:textId="77777777" w:rsidR="006D5068" w:rsidRPr="009C0DC5" w:rsidRDefault="00000000" w:rsidP="00657725">
            <w:pPr>
              <w:spacing w:line="240" w:lineRule="auto"/>
              <w:jc w:val="both"/>
              <w:rPr>
                <w:szCs w:val="36"/>
              </w:rPr>
            </w:pPr>
            <w:r w:rsidRPr="009C0DC5">
              <w:rPr>
                <w:szCs w:val="36"/>
              </w:rPr>
              <w:t>TMNA electrified vehicles were 47.0% of 2025 U.S. sales</w:t>
            </w:r>
          </w:p>
        </w:tc>
        <w:tc>
          <w:tcPr>
            <w:tcW w:w="3384" w:type="dxa"/>
          </w:tcPr>
          <w:p w14:paraId="1995F0F1" w14:textId="77777777" w:rsidR="006D5068" w:rsidRPr="009C0DC5" w:rsidRDefault="00000000" w:rsidP="00657725">
            <w:pPr>
              <w:spacing w:line="240" w:lineRule="auto"/>
              <w:jc w:val="both"/>
              <w:rPr>
                <w:szCs w:val="36"/>
              </w:rPr>
            </w:pPr>
            <w:r w:rsidRPr="009C0DC5">
              <w:rPr>
                <w:szCs w:val="36"/>
              </w:rPr>
              <w:t>Toyota’s hybrid strength is useful in both markets, but the message must avoid implying that hybrids alone solve the transition.</w:t>
            </w:r>
          </w:p>
        </w:tc>
      </w:tr>
    </w:tbl>
    <w:p w14:paraId="16AA5956" w14:textId="77777777" w:rsidR="006D5068" w:rsidRDefault="006D5068" w:rsidP="00657725">
      <w:pPr>
        <w:spacing w:after="40"/>
        <w:jc w:val="both"/>
      </w:pPr>
    </w:p>
    <w:p w14:paraId="2031E5BA" w14:textId="77777777" w:rsidR="006D5068" w:rsidRDefault="00000000" w:rsidP="00657725">
      <w:pPr>
        <w:pStyle w:val="SourceNote"/>
        <w:spacing w:after="120"/>
        <w:jc w:val="both"/>
      </w:pPr>
      <w:r>
        <w:rPr>
          <w:rFonts w:cs="Arial"/>
        </w:rPr>
        <w:t>Source: World Bank (n.d.-a, n.d.-b), Ministry of Economy, Trade and Industry (2024), National Automobile Dealers Association (2025), Nippon.com (2026), Toyota Motor Corporation (2025a), and Toyota Motor North America (2026).</w:t>
      </w:r>
    </w:p>
    <w:p w14:paraId="3546CDDD" w14:textId="77777777" w:rsidR="009C0DC5" w:rsidRDefault="009C0DC5" w:rsidP="00657725">
      <w:pPr>
        <w:spacing w:after="120"/>
        <w:jc w:val="both"/>
      </w:pPr>
      <w:r w:rsidRPr="009C0DC5">
        <w:lastRenderedPageBreak/>
        <w:t xml:space="preserve">Both countries are stable, politically and legally, although they exert different pressure on Toyota. In Japan, the promotion of electrification is based on both hybrid and fuel-cell routes, whereas the 2024 U.S. emissions rule increased pressure on performance and environmental claims (Ministry of Economy, Trade and Industry, 2024; U.S. Environmental Protection Agency, 2024). </w:t>
      </w:r>
    </w:p>
    <w:p w14:paraId="78546116" w14:textId="77777777" w:rsidR="009C0DC5" w:rsidRDefault="009C0DC5" w:rsidP="00657725">
      <w:pPr>
        <w:spacing w:after="120"/>
        <w:jc w:val="both"/>
      </w:pPr>
      <w:r w:rsidRPr="009C0DC5">
        <w:t>The United States is a far greater opportunity, but not necessarily easier, economically. Increased national income and greater demand on vehicles favor Toyota size, but interest rates, cost of financing and the price competition influence consumer analysis of affordability. Japan is more demographically challenged and smaller; however, Toyota enjoys familiarity, trust infrastructure and domestic service infrastructure. This makes it a significant trade-off: the U.S. market promises higher growth prospects, whereas Japan provides a better embeddedness and brand legitimacy.</w:t>
      </w:r>
    </w:p>
    <w:p w14:paraId="581D85F9" w14:textId="77777777" w:rsidR="00657725" w:rsidRDefault="00657725" w:rsidP="00657725">
      <w:pPr>
        <w:spacing w:after="120"/>
        <w:jc w:val="both"/>
      </w:pPr>
      <w:r w:rsidRPr="00657725">
        <w:t xml:space="preserve">Japanese culture also poses the socioeconomic challenges of an urbanized and aging population in Japan demanding a smaller, easier to drive and use vehicle. In the United States mobility is further correlated with distance, family size, leisure and lifestyle identity. Marketing of Toyota cannot just communicate the idea of reliability the same way. </w:t>
      </w:r>
    </w:p>
    <w:p w14:paraId="7FA97A65" w14:textId="77777777" w:rsidR="00657725" w:rsidRDefault="00657725" w:rsidP="00657725">
      <w:pPr>
        <w:spacing w:after="120"/>
        <w:jc w:val="both"/>
      </w:pPr>
      <w:r w:rsidRPr="00657725">
        <w:t>The multi-pathway strategy of Toyota is both its strength and strategic risk as far as technologies are concerned. It provides Toyota with flexibility in areas of charging infrastructure, consumer readiness and policy incentives. This warning is supported by recent studies on EV adoption, as the acceptance of consumers is determined by the availability of charging facilities, range consideration, purchasing cost, charging time and policy subsidies, rather than factoring in environmental curiosity (</w:t>
      </w:r>
      <w:proofErr w:type="spellStart"/>
      <w:r w:rsidRPr="00657725">
        <w:t>Pamidimukkala</w:t>
      </w:r>
      <w:proofErr w:type="spellEnd"/>
      <w:r w:rsidRPr="00657725">
        <w:t xml:space="preserve"> et al., 2024). </w:t>
      </w:r>
    </w:p>
    <w:p w14:paraId="23C965D6" w14:textId="77777777" w:rsidR="00657725" w:rsidRDefault="00657725" w:rsidP="00657725">
      <w:pPr>
        <w:spacing w:after="120"/>
        <w:jc w:val="both"/>
      </w:pPr>
      <w:r w:rsidRPr="00657725">
        <w:t xml:space="preserve">Environmental factors reinforce this tension. Toyota’s carbon-neutrality goals, and North-American environmental reporting will help the brand take sustainability-in-carbon claims, but automotive marketing is now viewed through the prism of achievable emissions results, rather than car sales pledges (Toyota Motor North America, 2025). The ethical threat is that in broad terms like electrified companies can seem to be equal even when a difference exists. According to greenwashing studies, the environmental statements at a product level turn problematic in cases when they are ambiguous, inadequately </w:t>
      </w:r>
      <w:r w:rsidRPr="00657725">
        <w:lastRenderedPageBreak/>
        <w:t>supported or unrelated to the actual environmental performance (de Freitas Netto et al., 2020). A more recent concept analysis supplements this finding by stating that greenwashing entails an environmental performance statement applied in the marketing mix that is non-provable and provides competitive advantage (Spaniol et al., 2024). An effective environmental marketing strategy must thus be more focused on the offering capabilities (and limitations) of each technology.</w:t>
      </w:r>
    </w:p>
    <w:p w14:paraId="00548103" w14:textId="77777777" w:rsidR="006D5068" w:rsidRDefault="00A6244E">
      <w:pPr>
        <w:spacing w:after="0"/>
        <w:jc w:val="center"/>
      </w:pPr>
      <w:r>
        <w:rPr>
          <w:noProof/>
        </w:rPr>
        <w:drawing>
          <wp:inline distT="0" distB="0" distL="0" distR="0" wp14:anchorId="09FEEEBF" wp14:editId="5F4CB71F">
            <wp:extent cx="5727431" cy="3425159"/>
            <wp:effectExtent l="0" t="0" r="6985" b="4445"/>
            <wp:docPr id="15203535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51923" cy="3439806"/>
                    </a:xfrm>
                    <a:prstGeom prst="rect">
                      <a:avLst/>
                    </a:prstGeom>
                    <a:noFill/>
                  </pic:spPr>
                </pic:pic>
              </a:graphicData>
            </a:graphic>
          </wp:inline>
        </w:drawing>
      </w:r>
    </w:p>
    <w:p w14:paraId="44E60165" w14:textId="77777777" w:rsidR="006D5068" w:rsidRDefault="00000000">
      <w:pPr>
        <w:pStyle w:val="CaptionText"/>
        <w:keepNext/>
        <w:spacing w:after="60"/>
        <w:jc w:val="center"/>
      </w:pPr>
      <w:r>
        <w:rPr>
          <w:rFonts w:cs="Arial"/>
        </w:rPr>
        <w:t>Figure 2: Toyota consolidated vehicle sales by region, FY2025</w:t>
      </w:r>
    </w:p>
    <w:p w14:paraId="46D04719" w14:textId="77777777" w:rsidR="006D5068" w:rsidRDefault="00000000">
      <w:pPr>
        <w:pStyle w:val="SourceNote"/>
        <w:spacing w:after="120"/>
        <w:jc w:val="center"/>
      </w:pPr>
      <w:r>
        <w:rPr>
          <w:rFonts w:cs="Arial"/>
        </w:rPr>
        <w:t>Source: Author’s chart based on Toyota Motor Corporation (2025a), vehicle sales in thousands of units. Other regions combine Central and South America, Oceania, Africa, Middle East and other markets.</w:t>
      </w:r>
    </w:p>
    <w:p w14:paraId="3F447647" w14:textId="77777777" w:rsidR="00657725" w:rsidRDefault="00657725" w:rsidP="00657725">
      <w:pPr>
        <w:keepNext/>
        <w:spacing w:after="120"/>
        <w:jc w:val="both"/>
      </w:pPr>
      <w:r w:rsidRPr="00657725">
        <w:t xml:space="preserve">Figure 2 indicates why the United States cannot be considered secondary. The U.S. market serves as a strategic determiner as the regional figure of North America topped that of Japan at the FY2025 surge of Toyota in consolidated vehicle sales (Toyota Motor </w:t>
      </w:r>
      <w:r w:rsidRPr="00657725">
        <w:lastRenderedPageBreak/>
        <w:t>Corporation, 2025a). However, scale also is a risk factor since the litigation, media publicity, dealer expectations and regulatory scrutiny are very visible.</w:t>
      </w:r>
    </w:p>
    <w:p w14:paraId="407A66B9" w14:textId="77777777" w:rsidR="006D5068" w:rsidRDefault="00000000">
      <w:pPr>
        <w:pStyle w:val="Heading2"/>
        <w:spacing w:before="120" w:after="120"/>
      </w:pPr>
      <w:bookmarkStart w:id="12" w:name="_Toc233937252"/>
      <w:bookmarkStart w:id="13" w:name="_Toc234063785"/>
      <w:r>
        <w:rPr>
          <w:rFonts w:ascii="Arial" w:eastAsia="Arial" w:hAnsi="Arial" w:cs="Arial"/>
        </w:rPr>
        <w:t>4.2 Cultural Comparison Using Hofstede</w:t>
      </w:r>
      <w:bookmarkEnd w:id="12"/>
      <w:bookmarkEnd w:id="13"/>
    </w:p>
    <w:p w14:paraId="32C39462" w14:textId="77777777" w:rsidR="00657725" w:rsidRDefault="00657725" w:rsidP="00657725">
      <w:pPr>
        <w:spacing w:after="120"/>
        <w:jc w:val="both"/>
      </w:pPr>
      <w:r w:rsidRPr="00657725">
        <w:t>The framework created by Hofstede can be used to understand why the value proposition created by Toyota spread all over the world yet requires emphasis. Its usefulness in this regard is diagnostic: it points out the fact that the same brand promise might require alternative language, evidence processes, and service processes in Japan and in the United States (Hofstede, Hofstede and Minkov, 2010).</w:t>
      </w:r>
    </w:p>
    <w:p w14:paraId="142050E4" w14:textId="77777777" w:rsidR="006D5068" w:rsidRDefault="00000000" w:rsidP="00657725">
      <w:pPr>
        <w:pStyle w:val="CaptionText"/>
        <w:keepNext/>
        <w:spacing w:after="60"/>
      </w:pPr>
      <w:r>
        <w:rPr>
          <w:rFonts w:cs="Arial"/>
        </w:rPr>
        <w:t>Table 2: Hofstede cultural dimensions for Japan and the United States</w:t>
      </w:r>
    </w:p>
    <w:tbl>
      <w:tblPr>
        <w:tblStyle w:val="TableGrid"/>
        <w:tblW w:w="0" w:type="auto"/>
        <w:tblLook w:val="04A0" w:firstRow="1" w:lastRow="0" w:firstColumn="1" w:lastColumn="0" w:noHBand="0" w:noVBand="1"/>
      </w:tblPr>
      <w:tblGrid>
        <w:gridCol w:w="2088"/>
        <w:gridCol w:w="1152"/>
        <w:gridCol w:w="1440"/>
        <w:gridCol w:w="4392"/>
      </w:tblGrid>
      <w:tr w:rsidR="006D5068" w:rsidRPr="00657725" w14:paraId="0E50A851" w14:textId="77777777" w:rsidTr="00657725">
        <w:trPr>
          <w:cantSplit/>
          <w:tblHeader/>
        </w:trPr>
        <w:tc>
          <w:tcPr>
            <w:tcW w:w="2088" w:type="dxa"/>
            <w:shd w:val="clear" w:color="auto" w:fill="D9D9D9"/>
            <w:vAlign w:val="center"/>
          </w:tcPr>
          <w:p w14:paraId="36CBF3C6" w14:textId="77777777" w:rsidR="006D5068" w:rsidRPr="00657725" w:rsidRDefault="00000000">
            <w:pPr>
              <w:spacing w:line="240" w:lineRule="auto"/>
              <w:rPr>
                <w:szCs w:val="36"/>
              </w:rPr>
            </w:pPr>
            <w:r w:rsidRPr="00657725">
              <w:rPr>
                <w:b/>
                <w:szCs w:val="36"/>
              </w:rPr>
              <w:t>Dimension</w:t>
            </w:r>
          </w:p>
        </w:tc>
        <w:tc>
          <w:tcPr>
            <w:tcW w:w="1152" w:type="dxa"/>
            <w:shd w:val="clear" w:color="auto" w:fill="D9D9D9"/>
            <w:vAlign w:val="center"/>
          </w:tcPr>
          <w:p w14:paraId="4953CE91" w14:textId="77777777" w:rsidR="006D5068" w:rsidRPr="00657725" w:rsidRDefault="00000000">
            <w:pPr>
              <w:spacing w:line="240" w:lineRule="auto"/>
              <w:rPr>
                <w:szCs w:val="36"/>
              </w:rPr>
            </w:pPr>
            <w:r w:rsidRPr="00657725">
              <w:rPr>
                <w:b/>
                <w:szCs w:val="36"/>
              </w:rPr>
              <w:t>Japan score</w:t>
            </w:r>
          </w:p>
        </w:tc>
        <w:tc>
          <w:tcPr>
            <w:tcW w:w="1440" w:type="dxa"/>
            <w:shd w:val="clear" w:color="auto" w:fill="D9D9D9"/>
            <w:vAlign w:val="center"/>
          </w:tcPr>
          <w:p w14:paraId="2F287023" w14:textId="77777777" w:rsidR="006D5068" w:rsidRPr="00657725" w:rsidRDefault="00000000">
            <w:pPr>
              <w:spacing w:line="240" w:lineRule="auto"/>
              <w:rPr>
                <w:szCs w:val="36"/>
              </w:rPr>
            </w:pPr>
            <w:r w:rsidRPr="00657725">
              <w:rPr>
                <w:b/>
                <w:szCs w:val="36"/>
              </w:rPr>
              <w:t>United States score</w:t>
            </w:r>
          </w:p>
        </w:tc>
        <w:tc>
          <w:tcPr>
            <w:tcW w:w="4392" w:type="dxa"/>
            <w:shd w:val="clear" w:color="auto" w:fill="D9D9D9"/>
            <w:vAlign w:val="center"/>
          </w:tcPr>
          <w:p w14:paraId="3D62B1ED" w14:textId="77777777" w:rsidR="006D5068" w:rsidRPr="00657725" w:rsidRDefault="00000000">
            <w:pPr>
              <w:spacing w:line="240" w:lineRule="auto"/>
              <w:rPr>
                <w:szCs w:val="36"/>
              </w:rPr>
            </w:pPr>
            <w:r w:rsidRPr="00657725">
              <w:rPr>
                <w:b/>
                <w:szCs w:val="36"/>
              </w:rPr>
              <w:t>Critical implication for Toyota</w:t>
            </w:r>
          </w:p>
        </w:tc>
      </w:tr>
      <w:tr w:rsidR="006D5068" w:rsidRPr="00657725" w14:paraId="14B74F78" w14:textId="77777777" w:rsidTr="00657725">
        <w:trPr>
          <w:cantSplit/>
        </w:trPr>
        <w:tc>
          <w:tcPr>
            <w:tcW w:w="2088" w:type="dxa"/>
          </w:tcPr>
          <w:p w14:paraId="4755EF63" w14:textId="77777777" w:rsidR="006D5068" w:rsidRPr="00657725" w:rsidRDefault="00000000">
            <w:pPr>
              <w:spacing w:line="240" w:lineRule="auto"/>
              <w:rPr>
                <w:szCs w:val="36"/>
              </w:rPr>
            </w:pPr>
            <w:r w:rsidRPr="00657725">
              <w:rPr>
                <w:szCs w:val="36"/>
              </w:rPr>
              <w:t>Power distance</w:t>
            </w:r>
          </w:p>
        </w:tc>
        <w:tc>
          <w:tcPr>
            <w:tcW w:w="1152" w:type="dxa"/>
          </w:tcPr>
          <w:p w14:paraId="46CD7923" w14:textId="77777777" w:rsidR="006D5068" w:rsidRPr="00657725" w:rsidRDefault="00000000">
            <w:pPr>
              <w:spacing w:line="240" w:lineRule="auto"/>
              <w:rPr>
                <w:szCs w:val="36"/>
              </w:rPr>
            </w:pPr>
            <w:r w:rsidRPr="00657725">
              <w:rPr>
                <w:szCs w:val="36"/>
              </w:rPr>
              <w:t>54</w:t>
            </w:r>
          </w:p>
        </w:tc>
        <w:tc>
          <w:tcPr>
            <w:tcW w:w="1440" w:type="dxa"/>
          </w:tcPr>
          <w:p w14:paraId="53AD1B31" w14:textId="77777777" w:rsidR="006D5068" w:rsidRPr="00657725" w:rsidRDefault="00000000">
            <w:pPr>
              <w:spacing w:line="240" w:lineRule="auto"/>
              <w:rPr>
                <w:szCs w:val="36"/>
              </w:rPr>
            </w:pPr>
            <w:r w:rsidRPr="00657725">
              <w:rPr>
                <w:szCs w:val="36"/>
              </w:rPr>
              <w:t>40</w:t>
            </w:r>
          </w:p>
        </w:tc>
        <w:tc>
          <w:tcPr>
            <w:tcW w:w="4392" w:type="dxa"/>
          </w:tcPr>
          <w:p w14:paraId="32F8FAB9" w14:textId="77777777" w:rsidR="006D5068" w:rsidRPr="00657725" w:rsidRDefault="00000000">
            <w:pPr>
              <w:spacing w:line="240" w:lineRule="auto"/>
              <w:rPr>
                <w:szCs w:val="36"/>
              </w:rPr>
            </w:pPr>
            <w:r w:rsidRPr="00657725">
              <w:rPr>
                <w:szCs w:val="36"/>
              </w:rPr>
              <w:t>Japan may accept expert-led and institutionally trusted brand messaging; U.S. communication should feel more direct, customer-empowering and less hierarchical.</w:t>
            </w:r>
          </w:p>
        </w:tc>
      </w:tr>
      <w:tr w:rsidR="006D5068" w:rsidRPr="00657725" w14:paraId="00760C10" w14:textId="77777777" w:rsidTr="00657725">
        <w:trPr>
          <w:cantSplit/>
        </w:trPr>
        <w:tc>
          <w:tcPr>
            <w:tcW w:w="2088" w:type="dxa"/>
          </w:tcPr>
          <w:p w14:paraId="57707447" w14:textId="77777777" w:rsidR="006D5068" w:rsidRPr="00657725" w:rsidRDefault="00000000">
            <w:pPr>
              <w:spacing w:line="240" w:lineRule="auto"/>
              <w:rPr>
                <w:szCs w:val="36"/>
              </w:rPr>
            </w:pPr>
            <w:r w:rsidRPr="00657725">
              <w:rPr>
                <w:szCs w:val="36"/>
              </w:rPr>
              <w:t>Individualism</w:t>
            </w:r>
          </w:p>
        </w:tc>
        <w:tc>
          <w:tcPr>
            <w:tcW w:w="1152" w:type="dxa"/>
          </w:tcPr>
          <w:p w14:paraId="10299ECA" w14:textId="77777777" w:rsidR="006D5068" w:rsidRPr="00657725" w:rsidRDefault="00000000">
            <w:pPr>
              <w:spacing w:line="240" w:lineRule="auto"/>
              <w:rPr>
                <w:szCs w:val="36"/>
              </w:rPr>
            </w:pPr>
            <w:r w:rsidRPr="00657725">
              <w:rPr>
                <w:szCs w:val="36"/>
              </w:rPr>
              <w:t>46</w:t>
            </w:r>
          </w:p>
        </w:tc>
        <w:tc>
          <w:tcPr>
            <w:tcW w:w="1440" w:type="dxa"/>
          </w:tcPr>
          <w:p w14:paraId="27BD5A71" w14:textId="77777777" w:rsidR="006D5068" w:rsidRPr="00657725" w:rsidRDefault="00000000">
            <w:pPr>
              <w:spacing w:line="240" w:lineRule="auto"/>
              <w:rPr>
                <w:szCs w:val="36"/>
              </w:rPr>
            </w:pPr>
            <w:r w:rsidRPr="00657725">
              <w:rPr>
                <w:szCs w:val="36"/>
              </w:rPr>
              <w:t>91</w:t>
            </w:r>
          </w:p>
        </w:tc>
        <w:tc>
          <w:tcPr>
            <w:tcW w:w="4392" w:type="dxa"/>
          </w:tcPr>
          <w:p w14:paraId="2643573A" w14:textId="77777777" w:rsidR="006D5068" w:rsidRPr="00657725" w:rsidRDefault="00000000">
            <w:pPr>
              <w:spacing w:line="240" w:lineRule="auto"/>
              <w:rPr>
                <w:szCs w:val="36"/>
              </w:rPr>
            </w:pPr>
            <w:r w:rsidRPr="00657725">
              <w:rPr>
                <w:szCs w:val="36"/>
              </w:rPr>
              <w:t>Japanese marketing can emphasise harmony, trust and social fit; U.S. marketing should stress individual choice, lifestyle and personal benefit.</w:t>
            </w:r>
          </w:p>
        </w:tc>
      </w:tr>
      <w:tr w:rsidR="006D5068" w:rsidRPr="00657725" w14:paraId="52374843" w14:textId="77777777" w:rsidTr="00657725">
        <w:trPr>
          <w:cantSplit/>
        </w:trPr>
        <w:tc>
          <w:tcPr>
            <w:tcW w:w="2088" w:type="dxa"/>
          </w:tcPr>
          <w:p w14:paraId="4BB979EF" w14:textId="77777777" w:rsidR="006D5068" w:rsidRPr="00657725" w:rsidRDefault="00000000">
            <w:pPr>
              <w:spacing w:line="240" w:lineRule="auto"/>
              <w:rPr>
                <w:szCs w:val="36"/>
              </w:rPr>
            </w:pPr>
            <w:r w:rsidRPr="00657725">
              <w:rPr>
                <w:szCs w:val="36"/>
              </w:rPr>
              <w:t>Motivation toward achievement and success</w:t>
            </w:r>
          </w:p>
        </w:tc>
        <w:tc>
          <w:tcPr>
            <w:tcW w:w="1152" w:type="dxa"/>
          </w:tcPr>
          <w:p w14:paraId="2587A18A" w14:textId="77777777" w:rsidR="006D5068" w:rsidRPr="00657725" w:rsidRDefault="00000000">
            <w:pPr>
              <w:spacing w:line="240" w:lineRule="auto"/>
              <w:rPr>
                <w:szCs w:val="36"/>
              </w:rPr>
            </w:pPr>
            <w:r w:rsidRPr="00657725">
              <w:rPr>
                <w:szCs w:val="36"/>
              </w:rPr>
              <w:t>95</w:t>
            </w:r>
          </w:p>
        </w:tc>
        <w:tc>
          <w:tcPr>
            <w:tcW w:w="1440" w:type="dxa"/>
          </w:tcPr>
          <w:p w14:paraId="5F4CF6A9" w14:textId="77777777" w:rsidR="006D5068" w:rsidRPr="00657725" w:rsidRDefault="00000000">
            <w:pPr>
              <w:spacing w:line="240" w:lineRule="auto"/>
              <w:rPr>
                <w:szCs w:val="36"/>
              </w:rPr>
            </w:pPr>
            <w:r w:rsidRPr="00657725">
              <w:rPr>
                <w:szCs w:val="36"/>
              </w:rPr>
              <w:t>62</w:t>
            </w:r>
          </w:p>
        </w:tc>
        <w:tc>
          <w:tcPr>
            <w:tcW w:w="4392" w:type="dxa"/>
          </w:tcPr>
          <w:p w14:paraId="269F8ED5" w14:textId="77777777" w:rsidR="006D5068" w:rsidRPr="00657725" w:rsidRDefault="00000000">
            <w:pPr>
              <w:spacing w:line="240" w:lineRule="auto"/>
              <w:rPr>
                <w:szCs w:val="36"/>
              </w:rPr>
            </w:pPr>
            <w:r w:rsidRPr="00657725">
              <w:rPr>
                <w:szCs w:val="36"/>
              </w:rPr>
              <w:t>Both markets value performance, but Japan’s high score supports precision, reliability and craftsmanship, while U.S. messaging can link performance to freedom and utility.</w:t>
            </w:r>
          </w:p>
        </w:tc>
      </w:tr>
      <w:tr w:rsidR="006D5068" w:rsidRPr="00657725" w14:paraId="4C9B4864" w14:textId="77777777" w:rsidTr="00657725">
        <w:trPr>
          <w:cantSplit/>
        </w:trPr>
        <w:tc>
          <w:tcPr>
            <w:tcW w:w="2088" w:type="dxa"/>
          </w:tcPr>
          <w:p w14:paraId="2DDC05BD" w14:textId="77777777" w:rsidR="006D5068" w:rsidRPr="00657725" w:rsidRDefault="00000000">
            <w:pPr>
              <w:spacing w:line="240" w:lineRule="auto"/>
              <w:rPr>
                <w:szCs w:val="36"/>
              </w:rPr>
            </w:pPr>
            <w:r w:rsidRPr="00657725">
              <w:rPr>
                <w:szCs w:val="36"/>
              </w:rPr>
              <w:t>Uncertainty avoidance</w:t>
            </w:r>
          </w:p>
        </w:tc>
        <w:tc>
          <w:tcPr>
            <w:tcW w:w="1152" w:type="dxa"/>
          </w:tcPr>
          <w:p w14:paraId="6CD4DD81" w14:textId="77777777" w:rsidR="006D5068" w:rsidRPr="00657725" w:rsidRDefault="00000000">
            <w:pPr>
              <w:spacing w:line="240" w:lineRule="auto"/>
              <w:rPr>
                <w:szCs w:val="36"/>
              </w:rPr>
            </w:pPr>
            <w:r w:rsidRPr="00657725">
              <w:rPr>
                <w:szCs w:val="36"/>
              </w:rPr>
              <w:t>92</w:t>
            </w:r>
          </w:p>
        </w:tc>
        <w:tc>
          <w:tcPr>
            <w:tcW w:w="1440" w:type="dxa"/>
          </w:tcPr>
          <w:p w14:paraId="3D428065" w14:textId="77777777" w:rsidR="006D5068" w:rsidRPr="00657725" w:rsidRDefault="00000000">
            <w:pPr>
              <w:spacing w:line="240" w:lineRule="auto"/>
              <w:rPr>
                <w:szCs w:val="36"/>
              </w:rPr>
            </w:pPr>
            <w:r w:rsidRPr="00657725">
              <w:rPr>
                <w:szCs w:val="36"/>
              </w:rPr>
              <w:t>46</w:t>
            </w:r>
          </w:p>
        </w:tc>
        <w:tc>
          <w:tcPr>
            <w:tcW w:w="4392" w:type="dxa"/>
          </w:tcPr>
          <w:p w14:paraId="3B447723" w14:textId="77777777" w:rsidR="006D5068" w:rsidRPr="00657725" w:rsidRDefault="00000000">
            <w:pPr>
              <w:spacing w:line="240" w:lineRule="auto"/>
              <w:rPr>
                <w:szCs w:val="36"/>
              </w:rPr>
            </w:pPr>
            <w:r w:rsidRPr="00657725">
              <w:rPr>
                <w:szCs w:val="36"/>
              </w:rPr>
              <w:t>Japan needs detailed reliability, safety and service assurance; U.S. consumers may accept novelty if affordability and practicality are clear.</w:t>
            </w:r>
          </w:p>
        </w:tc>
      </w:tr>
      <w:tr w:rsidR="006D5068" w:rsidRPr="00657725" w14:paraId="0F83A669" w14:textId="77777777" w:rsidTr="00657725">
        <w:trPr>
          <w:cantSplit/>
        </w:trPr>
        <w:tc>
          <w:tcPr>
            <w:tcW w:w="2088" w:type="dxa"/>
          </w:tcPr>
          <w:p w14:paraId="7C34F386" w14:textId="77777777" w:rsidR="006D5068" w:rsidRPr="00657725" w:rsidRDefault="00000000">
            <w:pPr>
              <w:spacing w:line="240" w:lineRule="auto"/>
              <w:rPr>
                <w:szCs w:val="36"/>
              </w:rPr>
            </w:pPr>
            <w:r w:rsidRPr="00657725">
              <w:rPr>
                <w:szCs w:val="36"/>
              </w:rPr>
              <w:t>Long-term orientation</w:t>
            </w:r>
          </w:p>
        </w:tc>
        <w:tc>
          <w:tcPr>
            <w:tcW w:w="1152" w:type="dxa"/>
          </w:tcPr>
          <w:p w14:paraId="166F5BA9" w14:textId="77777777" w:rsidR="006D5068" w:rsidRPr="00657725" w:rsidRDefault="00000000">
            <w:pPr>
              <w:spacing w:line="240" w:lineRule="auto"/>
              <w:rPr>
                <w:szCs w:val="36"/>
              </w:rPr>
            </w:pPr>
            <w:r w:rsidRPr="00657725">
              <w:rPr>
                <w:szCs w:val="36"/>
              </w:rPr>
              <w:t>88</w:t>
            </w:r>
          </w:p>
        </w:tc>
        <w:tc>
          <w:tcPr>
            <w:tcW w:w="1440" w:type="dxa"/>
          </w:tcPr>
          <w:p w14:paraId="491C1F29" w14:textId="77777777" w:rsidR="006D5068" w:rsidRPr="00657725" w:rsidRDefault="00000000">
            <w:pPr>
              <w:spacing w:line="240" w:lineRule="auto"/>
              <w:rPr>
                <w:szCs w:val="36"/>
              </w:rPr>
            </w:pPr>
            <w:r w:rsidRPr="00657725">
              <w:rPr>
                <w:szCs w:val="36"/>
              </w:rPr>
              <w:t>26</w:t>
            </w:r>
          </w:p>
        </w:tc>
        <w:tc>
          <w:tcPr>
            <w:tcW w:w="4392" w:type="dxa"/>
          </w:tcPr>
          <w:p w14:paraId="56E44DA5" w14:textId="77777777" w:rsidR="006D5068" w:rsidRPr="00657725" w:rsidRDefault="00000000">
            <w:pPr>
              <w:spacing w:line="240" w:lineRule="auto"/>
              <w:rPr>
                <w:szCs w:val="36"/>
              </w:rPr>
            </w:pPr>
            <w:r w:rsidRPr="00657725">
              <w:rPr>
                <w:szCs w:val="36"/>
              </w:rPr>
              <w:t>Japan aligns with long-term ownership, durability and future social value; U.S. marketing needs clearer short-term value, incentives and immediate benefits.</w:t>
            </w:r>
          </w:p>
        </w:tc>
      </w:tr>
      <w:tr w:rsidR="006D5068" w:rsidRPr="00657725" w14:paraId="06158C2B" w14:textId="77777777" w:rsidTr="00657725">
        <w:trPr>
          <w:cantSplit/>
        </w:trPr>
        <w:tc>
          <w:tcPr>
            <w:tcW w:w="2088" w:type="dxa"/>
          </w:tcPr>
          <w:p w14:paraId="4893BA19" w14:textId="77777777" w:rsidR="006D5068" w:rsidRPr="00657725" w:rsidRDefault="00000000">
            <w:pPr>
              <w:spacing w:line="240" w:lineRule="auto"/>
              <w:rPr>
                <w:szCs w:val="36"/>
              </w:rPr>
            </w:pPr>
            <w:r w:rsidRPr="00657725">
              <w:rPr>
                <w:szCs w:val="36"/>
              </w:rPr>
              <w:t>Indulgence</w:t>
            </w:r>
          </w:p>
        </w:tc>
        <w:tc>
          <w:tcPr>
            <w:tcW w:w="1152" w:type="dxa"/>
          </w:tcPr>
          <w:p w14:paraId="66573483" w14:textId="77777777" w:rsidR="006D5068" w:rsidRPr="00657725" w:rsidRDefault="00000000">
            <w:pPr>
              <w:spacing w:line="240" w:lineRule="auto"/>
              <w:rPr>
                <w:szCs w:val="36"/>
              </w:rPr>
            </w:pPr>
            <w:r w:rsidRPr="00657725">
              <w:rPr>
                <w:szCs w:val="36"/>
              </w:rPr>
              <w:t>42</w:t>
            </w:r>
          </w:p>
        </w:tc>
        <w:tc>
          <w:tcPr>
            <w:tcW w:w="1440" w:type="dxa"/>
          </w:tcPr>
          <w:p w14:paraId="3A8660DA" w14:textId="77777777" w:rsidR="006D5068" w:rsidRPr="00657725" w:rsidRDefault="00000000">
            <w:pPr>
              <w:spacing w:line="240" w:lineRule="auto"/>
              <w:rPr>
                <w:szCs w:val="36"/>
              </w:rPr>
            </w:pPr>
            <w:r w:rsidRPr="00657725">
              <w:rPr>
                <w:szCs w:val="36"/>
              </w:rPr>
              <w:t>68</w:t>
            </w:r>
          </w:p>
        </w:tc>
        <w:tc>
          <w:tcPr>
            <w:tcW w:w="4392" w:type="dxa"/>
          </w:tcPr>
          <w:p w14:paraId="503E6E2D" w14:textId="77777777" w:rsidR="006D5068" w:rsidRPr="00657725" w:rsidRDefault="00000000">
            <w:pPr>
              <w:spacing w:line="240" w:lineRule="auto"/>
              <w:rPr>
                <w:szCs w:val="36"/>
              </w:rPr>
            </w:pPr>
            <w:r w:rsidRPr="00657725">
              <w:rPr>
                <w:szCs w:val="36"/>
              </w:rPr>
              <w:t>The United States is more receptive to lifestyle, enjoyment and self-expression; Japan requires more restrained and socially legitimate positioning.</w:t>
            </w:r>
          </w:p>
        </w:tc>
      </w:tr>
    </w:tbl>
    <w:p w14:paraId="03AEFC9B" w14:textId="77777777" w:rsidR="006D5068" w:rsidRDefault="006D5068">
      <w:pPr>
        <w:spacing w:after="40"/>
      </w:pPr>
    </w:p>
    <w:p w14:paraId="6B1D7583" w14:textId="77777777" w:rsidR="006D5068" w:rsidRDefault="00000000">
      <w:pPr>
        <w:pStyle w:val="SourceNote"/>
        <w:spacing w:after="120"/>
      </w:pPr>
      <w:r>
        <w:rPr>
          <w:rFonts w:cs="Arial"/>
        </w:rPr>
        <w:t>Source: The Culture Factor Group (n.d.) and Hofstede, Hofstede and Minkov (2010).</w:t>
      </w:r>
    </w:p>
    <w:p w14:paraId="64320D10" w14:textId="77777777" w:rsidR="00657725" w:rsidRDefault="00657725" w:rsidP="00657725">
      <w:pPr>
        <w:spacing w:after="120"/>
        <w:jc w:val="both"/>
      </w:pPr>
      <w:r w:rsidRPr="00657725">
        <w:t xml:space="preserve">The cultural difference helps in the presentation of the argument that the Toyota strategy is not merely product-led. In Japan, the greater uncertainty avoidance and high long-term orientation </w:t>
      </w:r>
      <w:proofErr w:type="spellStart"/>
      <w:r w:rsidRPr="00657725">
        <w:t>favour</w:t>
      </w:r>
      <w:proofErr w:type="spellEnd"/>
      <w:r w:rsidRPr="00657725">
        <w:t xml:space="preserve"> a guarantee that is based on durability, risk mitigation and reliable engineering work. Due to very high individualism in the United States, Toyota needs to relate reliability to personal choice, family mobility and flexibility of lifestyle. It implies that the main value of Toyota will not decrease, yet the culture evidence needs to be altered. </w:t>
      </w:r>
    </w:p>
    <w:p w14:paraId="6F2BFCFF" w14:textId="77777777" w:rsidR="00657725" w:rsidRDefault="00657725" w:rsidP="00657725">
      <w:pPr>
        <w:spacing w:after="120"/>
        <w:jc w:val="both"/>
      </w:pPr>
      <w:r w:rsidRPr="00657725">
        <w:t>Culture is not to be overrated though. Operational adaptation is also a key to the success of Toyota in the U.S.: dealer coverage, local production, financing, model mix and after-sales service. Hofstede only comes in handy where cultural insight is translated into products, prices, communication and service systems that customers get to experience.</w:t>
      </w:r>
    </w:p>
    <w:p w14:paraId="0595A8D8" w14:textId="77777777" w:rsidR="006D5068" w:rsidRDefault="00000000">
      <w:pPr>
        <w:pStyle w:val="Heading1"/>
        <w:spacing w:before="200" w:after="120"/>
      </w:pPr>
      <w:bookmarkStart w:id="14" w:name="_Toc233937253"/>
      <w:bookmarkStart w:id="15" w:name="_Toc234063786"/>
      <w:r>
        <w:rPr>
          <w:rFonts w:ascii="Arial" w:eastAsia="Arial" w:hAnsi="Arial" w:cs="Arial"/>
        </w:rPr>
        <w:t>5. Comparative STP Analysis</w:t>
      </w:r>
      <w:bookmarkEnd w:id="14"/>
      <w:bookmarkEnd w:id="15"/>
    </w:p>
    <w:p w14:paraId="597B10A7" w14:textId="77777777" w:rsidR="00657725" w:rsidRDefault="00657725">
      <w:pPr>
        <w:spacing w:after="120"/>
      </w:pPr>
      <w:r w:rsidRPr="00657725">
        <w:t>Segmentation, targeting and positioning are the key areas since they are the ones that will convert the country differences into customer preferences. Toyota will not be able to reach every consumer with the same message and particularly in a category where the choice to purchase a product is highly financial in nature, in regards to safety and long-term ownership interest. Table 3 is a comparison between STP logic in Japan and the United States by Toyota.</w:t>
      </w:r>
    </w:p>
    <w:p w14:paraId="613ABA9F" w14:textId="77777777" w:rsidR="006D5068" w:rsidRDefault="00000000" w:rsidP="00657725">
      <w:pPr>
        <w:pStyle w:val="CaptionText"/>
        <w:keepNext/>
        <w:spacing w:after="60"/>
      </w:pPr>
      <w:r>
        <w:rPr>
          <w:rFonts w:cs="Arial"/>
        </w:rPr>
        <w:lastRenderedPageBreak/>
        <w:t>Table 3: Comparative STP analysis of Toyota in Japan and the United States</w:t>
      </w:r>
    </w:p>
    <w:tbl>
      <w:tblPr>
        <w:tblStyle w:val="TableGrid"/>
        <w:tblW w:w="0" w:type="auto"/>
        <w:tblLook w:val="04A0" w:firstRow="1" w:lastRow="0" w:firstColumn="1" w:lastColumn="0" w:noHBand="0" w:noVBand="1"/>
      </w:tblPr>
      <w:tblGrid>
        <w:gridCol w:w="1698"/>
        <w:gridCol w:w="2372"/>
        <w:gridCol w:w="2353"/>
        <w:gridCol w:w="2927"/>
      </w:tblGrid>
      <w:tr w:rsidR="006D5068" w:rsidRPr="00657725" w14:paraId="229A1DBA" w14:textId="77777777" w:rsidTr="00657725">
        <w:trPr>
          <w:cantSplit/>
          <w:tblHeader/>
        </w:trPr>
        <w:tc>
          <w:tcPr>
            <w:tcW w:w="1512" w:type="dxa"/>
            <w:shd w:val="clear" w:color="auto" w:fill="D9D9D9"/>
            <w:vAlign w:val="center"/>
          </w:tcPr>
          <w:p w14:paraId="25164B71" w14:textId="77777777" w:rsidR="006D5068" w:rsidRPr="00657725" w:rsidRDefault="00000000">
            <w:pPr>
              <w:spacing w:line="240" w:lineRule="auto"/>
              <w:rPr>
                <w:szCs w:val="36"/>
              </w:rPr>
            </w:pPr>
            <w:r w:rsidRPr="00657725">
              <w:rPr>
                <w:b/>
                <w:szCs w:val="36"/>
              </w:rPr>
              <w:t>STP element</w:t>
            </w:r>
          </w:p>
        </w:tc>
        <w:tc>
          <w:tcPr>
            <w:tcW w:w="2520" w:type="dxa"/>
            <w:shd w:val="clear" w:color="auto" w:fill="D9D9D9"/>
            <w:vAlign w:val="center"/>
          </w:tcPr>
          <w:p w14:paraId="6358F42F" w14:textId="77777777" w:rsidR="006D5068" w:rsidRPr="00657725" w:rsidRDefault="00000000">
            <w:pPr>
              <w:spacing w:line="240" w:lineRule="auto"/>
              <w:rPr>
                <w:szCs w:val="36"/>
              </w:rPr>
            </w:pPr>
            <w:r w:rsidRPr="00657725">
              <w:rPr>
                <w:b/>
                <w:szCs w:val="36"/>
              </w:rPr>
              <w:t>Japan</w:t>
            </w:r>
          </w:p>
        </w:tc>
        <w:tc>
          <w:tcPr>
            <w:tcW w:w="2520" w:type="dxa"/>
            <w:shd w:val="clear" w:color="auto" w:fill="D9D9D9"/>
            <w:vAlign w:val="center"/>
          </w:tcPr>
          <w:p w14:paraId="669C8983" w14:textId="77777777" w:rsidR="006D5068" w:rsidRPr="00657725" w:rsidRDefault="00000000">
            <w:pPr>
              <w:spacing w:line="240" w:lineRule="auto"/>
              <w:rPr>
                <w:szCs w:val="36"/>
              </w:rPr>
            </w:pPr>
            <w:r w:rsidRPr="00657725">
              <w:rPr>
                <w:b/>
                <w:szCs w:val="36"/>
              </w:rPr>
              <w:t>United States</w:t>
            </w:r>
          </w:p>
        </w:tc>
        <w:tc>
          <w:tcPr>
            <w:tcW w:w="3168" w:type="dxa"/>
            <w:shd w:val="clear" w:color="auto" w:fill="D9D9D9"/>
            <w:vAlign w:val="center"/>
          </w:tcPr>
          <w:p w14:paraId="1E5449A6" w14:textId="77777777" w:rsidR="006D5068" w:rsidRPr="00657725" w:rsidRDefault="00000000">
            <w:pPr>
              <w:spacing w:line="240" w:lineRule="auto"/>
              <w:rPr>
                <w:szCs w:val="36"/>
              </w:rPr>
            </w:pPr>
            <w:r w:rsidRPr="00657725">
              <w:rPr>
                <w:b/>
                <w:szCs w:val="36"/>
              </w:rPr>
              <w:t>Critical interpretation</w:t>
            </w:r>
          </w:p>
        </w:tc>
      </w:tr>
      <w:tr w:rsidR="006D5068" w:rsidRPr="00657725" w14:paraId="5A8505FC" w14:textId="77777777" w:rsidTr="00657725">
        <w:trPr>
          <w:cantSplit/>
        </w:trPr>
        <w:tc>
          <w:tcPr>
            <w:tcW w:w="1512" w:type="dxa"/>
          </w:tcPr>
          <w:p w14:paraId="0D7339CC" w14:textId="77777777" w:rsidR="006D5068" w:rsidRPr="00657725" w:rsidRDefault="00000000">
            <w:pPr>
              <w:spacing w:line="240" w:lineRule="auto"/>
              <w:rPr>
                <w:szCs w:val="36"/>
              </w:rPr>
            </w:pPr>
            <w:r w:rsidRPr="00657725">
              <w:rPr>
                <w:szCs w:val="36"/>
              </w:rPr>
              <w:t>Segmentation</w:t>
            </w:r>
          </w:p>
        </w:tc>
        <w:tc>
          <w:tcPr>
            <w:tcW w:w="2520" w:type="dxa"/>
          </w:tcPr>
          <w:p w14:paraId="187CF6B1" w14:textId="77777777" w:rsidR="006D5068" w:rsidRPr="00657725" w:rsidRDefault="00000000">
            <w:pPr>
              <w:spacing w:line="240" w:lineRule="auto"/>
              <w:rPr>
                <w:szCs w:val="36"/>
              </w:rPr>
            </w:pPr>
            <w:r w:rsidRPr="00657725">
              <w:rPr>
                <w:szCs w:val="36"/>
              </w:rPr>
              <w:t>Urban families, older drivers, commuters, eco-conscious hybrid users, fleet and mobility service users, customers seeking compact practicality and low running cost.</w:t>
            </w:r>
          </w:p>
        </w:tc>
        <w:tc>
          <w:tcPr>
            <w:tcW w:w="2520" w:type="dxa"/>
          </w:tcPr>
          <w:p w14:paraId="0D10A4E4" w14:textId="77777777" w:rsidR="006D5068" w:rsidRPr="00657725" w:rsidRDefault="00000000">
            <w:pPr>
              <w:spacing w:line="240" w:lineRule="auto"/>
              <w:rPr>
                <w:szCs w:val="36"/>
              </w:rPr>
            </w:pPr>
            <w:r w:rsidRPr="00657725">
              <w:rPr>
                <w:szCs w:val="36"/>
              </w:rPr>
              <w:t>Families, commuters, SUV and truck users, value-focused buyers, hybrid adopters, small business and lifestyle users, Lexus premium customers.</w:t>
            </w:r>
          </w:p>
        </w:tc>
        <w:tc>
          <w:tcPr>
            <w:tcW w:w="3168" w:type="dxa"/>
          </w:tcPr>
          <w:p w14:paraId="52928855" w14:textId="77777777" w:rsidR="006D5068" w:rsidRPr="00657725" w:rsidRDefault="00000000">
            <w:pPr>
              <w:spacing w:line="240" w:lineRule="auto"/>
              <w:rPr>
                <w:szCs w:val="36"/>
              </w:rPr>
            </w:pPr>
            <w:r w:rsidRPr="00657725">
              <w:rPr>
                <w:szCs w:val="36"/>
              </w:rPr>
              <w:t>Segmentation reflects different mobility problems, not just different demographics. Japan is shaped by density, ageing and everyday practicality; the United States is shaped by distance, lifestyle and larger vehicle use. This means Toyota must adapt the evidence of value while protecting the same reliability promise.</w:t>
            </w:r>
          </w:p>
        </w:tc>
      </w:tr>
      <w:tr w:rsidR="006D5068" w:rsidRPr="00657725" w14:paraId="1D5A3F47" w14:textId="77777777" w:rsidTr="00657725">
        <w:trPr>
          <w:cantSplit/>
        </w:trPr>
        <w:tc>
          <w:tcPr>
            <w:tcW w:w="1512" w:type="dxa"/>
          </w:tcPr>
          <w:p w14:paraId="3C437DF9" w14:textId="77777777" w:rsidR="006D5068" w:rsidRPr="00657725" w:rsidRDefault="00000000">
            <w:pPr>
              <w:spacing w:line="240" w:lineRule="auto"/>
              <w:rPr>
                <w:szCs w:val="36"/>
              </w:rPr>
            </w:pPr>
            <w:r w:rsidRPr="00657725">
              <w:rPr>
                <w:szCs w:val="36"/>
              </w:rPr>
              <w:t>Targeting</w:t>
            </w:r>
          </w:p>
        </w:tc>
        <w:tc>
          <w:tcPr>
            <w:tcW w:w="2520" w:type="dxa"/>
          </w:tcPr>
          <w:p w14:paraId="044482BE" w14:textId="77777777" w:rsidR="006D5068" w:rsidRPr="00657725" w:rsidRDefault="00000000">
            <w:pPr>
              <w:spacing w:line="240" w:lineRule="auto"/>
              <w:rPr>
                <w:szCs w:val="36"/>
              </w:rPr>
            </w:pPr>
            <w:r w:rsidRPr="00657725">
              <w:rPr>
                <w:szCs w:val="36"/>
              </w:rPr>
              <w:t>Broad domestic coverage through reliable vehicles, hybrids, compact models, safety technology and long-term service relationships.</w:t>
            </w:r>
          </w:p>
        </w:tc>
        <w:tc>
          <w:tcPr>
            <w:tcW w:w="2520" w:type="dxa"/>
          </w:tcPr>
          <w:p w14:paraId="535858DD" w14:textId="77777777" w:rsidR="006D5068" w:rsidRPr="00657725" w:rsidRDefault="00000000">
            <w:pPr>
              <w:spacing w:line="240" w:lineRule="auto"/>
              <w:rPr>
                <w:szCs w:val="36"/>
              </w:rPr>
            </w:pPr>
            <w:r w:rsidRPr="00657725">
              <w:rPr>
                <w:szCs w:val="36"/>
              </w:rPr>
              <w:t>Mass-market and upper-mass customers seeking dependable cars, SUVs, trucks and hybrids, supported by financing and dealer accessibility.</w:t>
            </w:r>
          </w:p>
        </w:tc>
        <w:tc>
          <w:tcPr>
            <w:tcW w:w="3168" w:type="dxa"/>
          </w:tcPr>
          <w:p w14:paraId="7F55E5B5" w14:textId="77777777" w:rsidR="006D5068" w:rsidRPr="00657725" w:rsidRDefault="00000000">
            <w:pPr>
              <w:spacing w:line="240" w:lineRule="auto"/>
              <w:rPr>
                <w:szCs w:val="36"/>
              </w:rPr>
            </w:pPr>
            <w:r w:rsidRPr="00657725">
              <w:rPr>
                <w:szCs w:val="36"/>
              </w:rPr>
              <w:t>Toyota targets risk-averse mainstream customers in both markets, but the risk being reduced differs. In Japan it is functional and social risk; in the United States it is financial, family and lifestyle risk. The broad target is powerful but may become diluted in the electrification transition.</w:t>
            </w:r>
          </w:p>
        </w:tc>
      </w:tr>
      <w:tr w:rsidR="006D5068" w:rsidRPr="00657725" w14:paraId="614DFD45" w14:textId="77777777" w:rsidTr="00657725">
        <w:trPr>
          <w:cantSplit/>
        </w:trPr>
        <w:tc>
          <w:tcPr>
            <w:tcW w:w="1512" w:type="dxa"/>
          </w:tcPr>
          <w:p w14:paraId="2A3A3746" w14:textId="77777777" w:rsidR="006D5068" w:rsidRPr="00657725" w:rsidRDefault="00000000">
            <w:pPr>
              <w:spacing w:line="240" w:lineRule="auto"/>
              <w:rPr>
                <w:szCs w:val="36"/>
              </w:rPr>
            </w:pPr>
            <w:r w:rsidRPr="00657725">
              <w:rPr>
                <w:szCs w:val="36"/>
              </w:rPr>
              <w:t>Positioning</w:t>
            </w:r>
          </w:p>
        </w:tc>
        <w:tc>
          <w:tcPr>
            <w:tcW w:w="2520" w:type="dxa"/>
          </w:tcPr>
          <w:p w14:paraId="16673FEA" w14:textId="77777777" w:rsidR="006D5068" w:rsidRPr="00657725" w:rsidRDefault="00000000">
            <w:pPr>
              <w:spacing w:line="240" w:lineRule="auto"/>
              <w:rPr>
                <w:szCs w:val="36"/>
              </w:rPr>
            </w:pPr>
            <w:r w:rsidRPr="00657725">
              <w:rPr>
                <w:szCs w:val="36"/>
              </w:rPr>
              <w:t>Trusted national mobility company associated with quality, responsibility, technical refinement and long-term social contribution.</w:t>
            </w:r>
          </w:p>
        </w:tc>
        <w:tc>
          <w:tcPr>
            <w:tcW w:w="2520" w:type="dxa"/>
          </w:tcPr>
          <w:p w14:paraId="120BB26D" w14:textId="77777777" w:rsidR="006D5068" w:rsidRPr="00657725" w:rsidRDefault="00000000">
            <w:pPr>
              <w:spacing w:line="240" w:lineRule="auto"/>
              <w:rPr>
                <w:szCs w:val="36"/>
              </w:rPr>
            </w:pPr>
            <w:r w:rsidRPr="00657725">
              <w:rPr>
                <w:szCs w:val="36"/>
              </w:rPr>
              <w:t>Reliable, affordable and practical mobility brand offering durable vehicles and a wide range of electrified choices.</w:t>
            </w:r>
          </w:p>
        </w:tc>
        <w:tc>
          <w:tcPr>
            <w:tcW w:w="3168" w:type="dxa"/>
          </w:tcPr>
          <w:p w14:paraId="65C8BED6" w14:textId="77777777" w:rsidR="006D5068" w:rsidRPr="00657725" w:rsidRDefault="00000000">
            <w:pPr>
              <w:spacing w:line="240" w:lineRule="auto"/>
              <w:rPr>
                <w:szCs w:val="36"/>
              </w:rPr>
            </w:pPr>
            <w:r w:rsidRPr="00657725">
              <w:rPr>
                <w:szCs w:val="36"/>
              </w:rPr>
              <w:t>The core brand is consistent, but the proof differs: social trust and precision in Japan; lifestyle utility and ownership value in the United States.</w:t>
            </w:r>
          </w:p>
        </w:tc>
      </w:tr>
    </w:tbl>
    <w:p w14:paraId="07FA1EA1" w14:textId="77777777" w:rsidR="006D5068" w:rsidRDefault="006D5068">
      <w:pPr>
        <w:spacing w:after="40"/>
      </w:pPr>
    </w:p>
    <w:p w14:paraId="2175C2CF" w14:textId="77777777" w:rsidR="006D5068" w:rsidRDefault="00000000">
      <w:pPr>
        <w:pStyle w:val="SourceNote"/>
        <w:spacing w:after="120"/>
      </w:pPr>
      <w:r>
        <w:rPr>
          <w:rFonts w:cs="Arial"/>
        </w:rPr>
        <w:t>Source: Author’s analysis based on Kotler, Keller and Chernev (2022), Toyota Motor Corporation (2025a), Toyota Motor North America (2026), and The Culture Factor Group (n.d.).</w:t>
      </w:r>
    </w:p>
    <w:p w14:paraId="3DBF3B24" w14:textId="77777777" w:rsidR="00005FD1" w:rsidRDefault="00005FD1" w:rsidP="00005FD1">
      <w:pPr>
        <w:spacing w:after="120"/>
        <w:jc w:val="both"/>
      </w:pPr>
      <w:r w:rsidRPr="00005FD1">
        <w:lastRenderedPageBreak/>
        <w:t xml:space="preserve">The semi-global strategy is demonstrated in the STP comparison. Toyota </w:t>
      </w:r>
      <w:proofErr w:type="spellStart"/>
      <w:r w:rsidRPr="00005FD1">
        <w:t>standardises</w:t>
      </w:r>
      <w:proofErr w:type="spellEnd"/>
      <w:r w:rsidRPr="00005FD1">
        <w:t xml:space="preserve"> the core idea of reliability mobility, however, tailors target markets and proof points. The domestic trust, and daily practicality and continuity of technology anchor Japan, and the United States needs Toyota as protector of values and reliability, meeting in SUVs, trucks, hybrids and Lexus. Toyota is thus under selective standardization of what has to stay constant and a customization of what the customers use to determine worthiness.</w:t>
      </w:r>
    </w:p>
    <w:p w14:paraId="6C4CB9E7" w14:textId="77777777" w:rsidR="00005FD1" w:rsidRDefault="00005FD1" w:rsidP="00005FD1">
      <w:pPr>
        <w:spacing w:after="120"/>
        <w:jc w:val="both"/>
      </w:pPr>
      <w:r w:rsidRPr="00005FD1">
        <w:t>The threat is that Toyota targets too broadly, which can become overly broad when electrification gains momentum. A brand that attempts to address the concerns of hybrid customers, appeal to BEV customers, save internal combustion customers and encourage fuel-cell experimentation might look like a strategy that includes all groups; however, it might look like not at all. This is the greatest vulnerability in the present STP logic used by Toyota: breadth safeguards short-term quantity, yet can diminish differentiation when customers are not able to comprehend what technology fits ideal what need.</w:t>
      </w:r>
    </w:p>
    <w:p w14:paraId="5684CD5A" w14:textId="77777777" w:rsidR="006D5068" w:rsidRDefault="00000000">
      <w:pPr>
        <w:pStyle w:val="Heading1"/>
        <w:spacing w:before="200" w:after="120"/>
      </w:pPr>
      <w:bookmarkStart w:id="16" w:name="_Toc233937254"/>
      <w:bookmarkStart w:id="17" w:name="_Toc234063787"/>
      <w:r>
        <w:rPr>
          <w:rFonts w:ascii="Arial" w:eastAsia="Arial" w:hAnsi="Arial" w:cs="Arial"/>
        </w:rPr>
        <w:t>6. Comparative International Marketing Mix: 7Ps</w:t>
      </w:r>
      <w:bookmarkEnd w:id="16"/>
      <w:bookmarkEnd w:id="17"/>
    </w:p>
    <w:p w14:paraId="3FC6C80B" w14:textId="77777777" w:rsidR="00005FD1" w:rsidRDefault="00005FD1" w:rsidP="00005FD1">
      <w:pPr>
        <w:spacing w:after="120"/>
        <w:jc w:val="both"/>
      </w:pPr>
      <w:r w:rsidRPr="00005FD1">
        <w:t xml:space="preserve">The 7Ps model </w:t>
      </w:r>
      <w:r>
        <w:t xml:space="preserve">extends </w:t>
      </w:r>
      <w:r w:rsidRPr="00005FD1">
        <w:t>of the conventional marketing mix that incorporates people, process and physical evidence that are relevant to services and high-involvement purchases (Booms and Bitner, 1981). These additional Ps are significant to Toyota since, next to advertising, the dealership, test drive, financing process, recall communication and service experience determine consumer trust. A comparative analysis is given in Table 4.</w:t>
      </w:r>
    </w:p>
    <w:p w14:paraId="47F51960" w14:textId="77777777" w:rsidR="006D5068" w:rsidRDefault="00000000" w:rsidP="00005FD1">
      <w:pPr>
        <w:pStyle w:val="CaptionText"/>
        <w:keepNext/>
        <w:spacing w:after="60"/>
      </w:pPr>
      <w:r>
        <w:rPr>
          <w:rFonts w:cs="Arial"/>
        </w:rPr>
        <w:t>Table 4: Comparative 7Ps analysis of Toyota in Japan and the United States</w:t>
      </w:r>
    </w:p>
    <w:tbl>
      <w:tblPr>
        <w:tblStyle w:val="TableGrid"/>
        <w:tblW w:w="0" w:type="auto"/>
        <w:tblLook w:val="04A0" w:firstRow="1" w:lastRow="0" w:firstColumn="1" w:lastColumn="0" w:noHBand="0" w:noVBand="1"/>
      </w:tblPr>
      <w:tblGrid>
        <w:gridCol w:w="1311"/>
        <w:gridCol w:w="2304"/>
        <w:gridCol w:w="2317"/>
        <w:gridCol w:w="3418"/>
      </w:tblGrid>
      <w:tr w:rsidR="006D5068" w:rsidRPr="00005FD1" w14:paraId="58EE8D2D" w14:textId="77777777" w:rsidTr="00005FD1">
        <w:trPr>
          <w:cantSplit/>
          <w:tblHeader/>
        </w:trPr>
        <w:tc>
          <w:tcPr>
            <w:tcW w:w="1296" w:type="dxa"/>
            <w:shd w:val="clear" w:color="auto" w:fill="D9D9D9"/>
            <w:vAlign w:val="center"/>
          </w:tcPr>
          <w:p w14:paraId="20DB4760" w14:textId="77777777" w:rsidR="006D5068" w:rsidRPr="00005FD1" w:rsidRDefault="00000000">
            <w:pPr>
              <w:spacing w:line="240" w:lineRule="auto"/>
              <w:rPr>
                <w:szCs w:val="36"/>
              </w:rPr>
            </w:pPr>
            <w:r w:rsidRPr="00005FD1">
              <w:rPr>
                <w:b/>
                <w:szCs w:val="36"/>
              </w:rPr>
              <w:t>7P</w:t>
            </w:r>
          </w:p>
        </w:tc>
        <w:tc>
          <w:tcPr>
            <w:tcW w:w="2376" w:type="dxa"/>
            <w:shd w:val="clear" w:color="auto" w:fill="D9D9D9"/>
            <w:vAlign w:val="center"/>
          </w:tcPr>
          <w:p w14:paraId="174DFD01" w14:textId="77777777" w:rsidR="006D5068" w:rsidRPr="00005FD1" w:rsidRDefault="00000000">
            <w:pPr>
              <w:spacing w:line="240" w:lineRule="auto"/>
              <w:rPr>
                <w:szCs w:val="36"/>
              </w:rPr>
            </w:pPr>
            <w:r w:rsidRPr="00005FD1">
              <w:rPr>
                <w:b/>
                <w:szCs w:val="36"/>
              </w:rPr>
              <w:t>Japan</w:t>
            </w:r>
          </w:p>
        </w:tc>
        <w:tc>
          <w:tcPr>
            <w:tcW w:w="2376" w:type="dxa"/>
            <w:shd w:val="clear" w:color="auto" w:fill="D9D9D9"/>
            <w:vAlign w:val="center"/>
          </w:tcPr>
          <w:p w14:paraId="25EFBBA6" w14:textId="77777777" w:rsidR="006D5068" w:rsidRPr="00005FD1" w:rsidRDefault="00000000">
            <w:pPr>
              <w:spacing w:line="240" w:lineRule="auto"/>
              <w:rPr>
                <w:szCs w:val="36"/>
              </w:rPr>
            </w:pPr>
            <w:r w:rsidRPr="00005FD1">
              <w:rPr>
                <w:b/>
                <w:szCs w:val="36"/>
              </w:rPr>
              <w:t>United States</w:t>
            </w:r>
          </w:p>
        </w:tc>
        <w:tc>
          <w:tcPr>
            <w:tcW w:w="3672" w:type="dxa"/>
            <w:shd w:val="clear" w:color="auto" w:fill="D9D9D9"/>
            <w:vAlign w:val="center"/>
          </w:tcPr>
          <w:p w14:paraId="78FE9030" w14:textId="77777777" w:rsidR="006D5068" w:rsidRPr="00005FD1" w:rsidRDefault="00000000">
            <w:pPr>
              <w:spacing w:line="240" w:lineRule="auto"/>
              <w:rPr>
                <w:szCs w:val="36"/>
              </w:rPr>
            </w:pPr>
            <w:r w:rsidRPr="00005FD1">
              <w:rPr>
                <w:b/>
                <w:szCs w:val="36"/>
              </w:rPr>
              <w:t>Critical reasoning</w:t>
            </w:r>
          </w:p>
        </w:tc>
      </w:tr>
      <w:tr w:rsidR="006D5068" w:rsidRPr="00005FD1" w14:paraId="2EFB97CC" w14:textId="77777777" w:rsidTr="00005FD1">
        <w:trPr>
          <w:cantSplit/>
        </w:trPr>
        <w:tc>
          <w:tcPr>
            <w:tcW w:w="1296" w:type="dxa"/>
          </w:tcPr>
          <w:p w14:paraId="52AAEE68" w14:textId="77777777" w:rsidR="006D5068" w:rsidRPr="00005FD1" w:rsidRDefault="00000000">
            <w:pPr>
              <w:spacing w:line="240" w:lineRule="auto"/>
              <w:rPr>
                <w:szCs w:val="36"/>
              </w:rPr>
            </w:pPr>
            <w:r w:rsidRPr="00005FD1">
              <w:rPr>
                <w:szCs w:val="36"/>
              </w:rPr>
              <w:t>Product</w:t>
            </w:r>
          </w:p>
        </w:tc>
        <w:tc>
          <w:tcPr>
            <w:tcW w:w="2376" w:type="dxa"/>
          </w:tcPr>
          <w:p w14:paraId="0288FDAD" w14:textId="77777777" w:rsidR="006D5068" w:rsidRPr="00005FD1" w:rsidRDefault="00000000">
            <w:pPr>
              <w:spacing w:line="240" w:lineRule="auto"/>
              <w:rPr>
                <w:szCs w:val="36"/>
              </w:rPr>
            </w:pPr>
            <w:r w:rsidRPr="00005FD1">
              <w:rPr>
                <w:szCs w:val="36"/>
              </w:rPr>
              <w:t>Compact cars, hybrids, minivans, safety technologies, local nameplates and mobility services suited to dense urban and ageing society conditions.</w:t>
            </w:r>
          </w:p>
        </w:tc>
        <w:tc>
          <w:tcPr>
            <w:tcW w:w="2376" w:type="dxa"/>
          </w:tcPr>
          <w:p w14:paraId="5C788CEB" w14:textId="77777777" w:rsidR="006D5068" w:rsidRPr="00005FD1" w:rsidRDefault="00000000">
            <w:pPr>
              <w:spacing w:line="240" w:lineRule="auto"/>
              <w:rPr>
                <w:szCs w:val="36"/>
              </w:rPr>
            </w:pPr>
            <w:r w:rsidRPr="00005FD1">
              <w:rPr>
                <w:szCs w:val="36"/>
              </w:rPr>
              <w:t>Sedans, SUVs, trucks, hybrids, plug-in hybrids, Lexus and larger family or lifestyle models such as RAV4, Tacoma, Highlander and Camry.</w:t>
            </w:r>
          </w:p>
        </w:tc>
        <w:tc>
          <w:tcPr>
            <w:tcW w:w="3672" w:type="dxa"/>
          </w:tcPr>
          <w:p w14:paraId="17C3009F" w14:textId="77777777" w:rsidR="006D5068" w:rsidRPr="00005FD1" w:rsidRDefault="00000000">
            <w:pPr>
              <w:spacing w:line="240" w:lineRule="auto"/>
              <w:rPr>
                <w:szCs w:val="36"/>
              </w:rPr>
            </w:pPr>
            <w:r w:rsidRPr="00005FD1">
              <w:rPr>
                <w:szCs w:val="36"/>
              </w:rPr>
              <w:t>Product adaptation is essential. Toyota’s early U.S. Crown problem shows that home-market product credibility does not automatically transfer. The product must fit road conditions, consumer expectations and price-value perceptions.</w:t>
            </w:r>
          </w:p>
        </w:tc>
      </w:tr>
      <w:tr w:rsidR="006D5068" w:rsidRPr="00005FD1" w14:paraId="7C46B6CC" w14:textId="77777777" w:rsidTr="00005FD1">
        <w:trPr>
          <w:cantSplit/>
        </w:trPr>
        <w:tc>
          <w:tcPr>
            <w:tcW w:w="1296" w:type="dxa"/>
          </w:tcPr>
          <w:p w14:paraId="04FB4441" w14:textId="77777777" w:rsidR="006D5068" w:rsidRPr="00005FD1" w:rsidRDefault="00000000">
            <w:pPr>
              <w:spacing w:line="240" w:lineRule="auto"/>
              <w:rPr>
                <w:szCs w:val="36"/>
              </w:rPr>
            </w:pPr>
            <w:r w:rsidRPr="00005FD1">
              <w:rPr>
                <w:szCs w:val="36"/>
              </w:rPr>
              <w:lastRenderedPageBreak/>
              <w:t>Price</w:t>
            </w:r>
          </w:p>
        </w:tc>
        <w:tc>
          <w:tcPr>
            <w:tcW w:w="2376" w:type="dxa"/>
          </w:tcPr>
          <w:p w14:paraId="36762E9B" w14:textId="77777777" w:rsidR="006D5068" w:rsidRPr="00005FD1" w:rsidRDefault="00000000">
            <w:pPr>
              <w:spacing w:line="240" w:lineRule="auto"/>
              <w:rPr>
                <w:szCs w:val="36"/>
              </w:rPr>
            </w:pPr>
            <w:r w:rsidRPr="00005FD1">
              <w:rPr>
                <w:szCs w:val="36"/>
              </w:rPr>
              <w:t>Value is linked to long-term ownership, fuel economy, reliability and service. Price sensitivity is shaped by stagnant growth and practical replacement demand.</w:t>
            </w:r>
          </w:p>
        </w:tc>
        <w:tc>
          <w:tcPr>
            <w:tcW w:w="2376" w:type="dxa"/>
          </w:tcPr>
          <w:p w14:paraId="6EE6C49A" w14:textId="77777777" w:rsidR="006D5068" w:rsidRPr="00005FD1" w:rsidRDefault="00000000">
            <w:pPr>
              <w:spacing w:line="240" w:lineRule="auto"/>
              <w:rPr>
                <w:szCs w:val="36"/>
              </w:rPr>
            </w:pPr>
            <w:r w:rsidRPr="00005FD1">
              <w:rPr>
                <w:szCs w:val="36"/>
              </w:rPr>
              <w:t>Price is linked to affordability, monthly finance, incentives, resale value and trim upgrades. Toyota highlights accessible options under US$30,000.</w:t>
            </w:r>
          </w:p>
        </w:tc>
        <w:tc>
          <w:tcPr>
            <w:tcW w:w="3672" w:type="dxa"/>
          </w:tcPr>
          <w:p w14:paraId="26112F0C" w14:textId="77777777" w:rsidR="006D5068" w:rsidRPr="00005FD1" w:rsidRDefault="00000000">
            <w:pPr>
              <w:spacing w:line="240" w:lineRule="auto"/>
              <w:rPr>
                <w:szCs w:val="36"/>
              </w:rPr>
            </w:pPr>
            <w:r w:rsidRPr="00005FD1">
              <w:rPr>
                <w:szCs w:val="36"/>
              </w:rPr>
              <w:t>Pricing is not only list price. In the U.S., financing and perceived total ownership cost are central parts of the value proposition.</w:t>
            </w:r>
          </w:p>
        </w:tc>
      </w:tr>
      <w:tr w:rsidR="006D5068" w:rsidRPr="00005FD1" w14:paraId="2851209F" w14:textId="77777777" w:rsidTr="00005FD1">
        <w:trPr>
          <w:cantSplit/>
        </w:trPr>
        <w:tc>
          <w:tcPr>
            <w:tcW w:w="1296" w:type="dxa"/>
          </w:tcPr>
          <w:p w14:paraId="3FDFAF57" w14:textId="77777777" w:rsidR="006D5068" w:rsidRPr="00005FD1" w:rsidRDefault="00000000">
            <w:pPr>
              <w:spacing w:line="240" w:lineRule="auto"/>
              <w:rPr>
                <w:szCs w:val="36"/>
              </w:rPr>
            </w:pPr>
            <w:r w:rsidRPr="00005FD1">
              <w:rPr>
                <w:szCs w:val="36"/>
              </w:rPr>
              <w:t>Place</w:t>
            </w:r>
          </w:p>
        </w:tc>
        <w:tc>
          <w:tcPr>
            <w:tcW w:w="2376" w:type="dxa"/>
          </w:tcPr>
          <w:p w14:paraId="03566092" w14:textId="77777777" w:rsidR="006D5068" w:rsidRPr="00005FD1" w:rsidRDefault="00000000">
            <w:pPr>
              <w:spacing w:line="240" w:lineRule="auto"/>
              <w:rPr>
                <w:szCs w:val="36"/>
              </w:rPr>
            </w:pPr>
            <w:r w:rsidRPr="00005FD1">
              <w:rPr>
                <w:szCs w:val="36"/>
              </w:rPr>
              <w:t>Dense domestic dealer and service coverage, supported by Toyota’s historic presence and strong national familiarity.</w:t>
            </w:r>
          </w:p>
        </w:tc>
        <w:tc>
          <w:tcPr>
            <w:tcW w:w="2376" w:type="dxa"/>
          </w:tcPr>
          <w:p w14:paraId="23C36ADA" w14:textId="77777777" w:rsidR="006D5068" w:rsidRPr="00005FD1" w:rsidRDefault="00000000">
            <w:pPr>
              <w:spacing w:line="240" w:lineRule="auto"/>
              <w:rPr>
                <w:szCs w:val="36"/>
              </w:rPr>
            </w:pPr>
            <w:r w:rsidRPr="00005FD1">
              <w:rPr>
                <w:szCs w:val="36"/>
              </w:rPr>
              <w:t>More than 1,800 dealerships in North America and local manufacturing, design and assembly capability.</w:t>
            </w:r>
          </w:p>
        </w:tc>
        <w:tc>
          <w:tcPr>
            <w:tcW w:w="3672" w:type="dxa"/>
          </w:tcPr>
          <w:p w14:paraId="1AE6EE50" w14:textId="77777777" w:rsidR="006D5068" w:rsidRPr="00005FD1" w:rsidRDefault="00000000">
            <w:pPr>
              <w:spacing w:line="240" w:lineRule="auto"/>
              <w:rPr>
                <w:szCs w:val="36"/>
              </w:rPr>
            </w:pPr>
            <w:r w:rsidRPr="00005FD1">
              <w:rPr>
                <w:szCs w:val="36"/>
              </w:rPr>
              <w:t>Distribution has strategic value because trust in a high-cost product is reinforced through local availability, parts, service and test-drive access.</w:t>
            </w:r>
          </w:p>
        </w:tc>
      </w:tr>
      <w:tr w:rsidR="006D5068" w:rsidRPr="00005FD1" w14:paraId="2D075528" w14:textId="77777777" w:rsidTr="00005FD1">
        <w:trPr>
          <w:cantSplit/>
        </w:trPr>
        <w:tc>
          <w:tcPr>
            <w:tcW w:w="1296" w:type="dxa"/>
          </w:tcPr>
          <w:p w14:paraId="4B5D3805" w14:textId="77777777" w:rsidR="006D5068" w:rsidRPr="00005FD1" w:rsidRDefault="00000000">
            <w:pPr>
              <w:spacing w:line="240" w:lineRule="auto"/>
              <w:rPr>
                <w:szCs w:val="36"/>
              </w:rPr>
            </w:pPr>
            <w:r w:rsidRPr="00005FD1">
              <w:rPr>
                <w:szCs w:val="36"/>
              </w:rPr>
              <w:t>Promotion</w:t>
            </w:r>
          </w:p>
        </w:tc>
        <w:tc>
          <w:tcPr>
            <w:tcW w:w="2376" w:type="dxa"/>
          </w:tcPr>
          <w:p w14:paraId="523B03DD" w14:textId="77777777" w:rsidR="006D5068" w:rsidRPr="00005FD1" w:rsidRDefault="00000000">
            <w:pPr>
              <w:spacing w:line="240" w:lineRule="auto"/>
              <w:rPr>
                <w:szCs w:val="36"/>
              </w:rPr>
            </w:pPr>
            <w:r w:rsidRPr="00005FD1">
              <w:rPr>
                <w:szCs w:val="36"/>
              </w:rPr>
              <w:t>Emphasis on trust, quality, environmental responsibility, safety and contribution to society.</w:t>
            </w:r>
          </w:p>
        </w:tc>
        <w:tc>
          <w:tcPr>
            <w:tcW w:w="2376" w:type="dxa"/>
          </w:tcPr>
          <w:p w14:paraId="3D100C47" w14:textId="77777777" w:rsidR="006D5068" w:rsidRPr="00005FD1" w:rsidRDefault="00000000">
            <w:pPr>
              <w:spacing w:line="240" w:lineRule="auto"/>
              <w:rPr>
                <w:szCs w:val="36"/>
              </w:rPr>
            </w:pPr>
            <w:r w:rsidRPr="00005FD1">
              <w:rPr>
                <w:szCs w:val="36"/>
              </w:rPr>
              <w:t>Emphasis on choice, affordability, family, lifestyle, hybrid availability, reliability and model-specific utility.</w:t>
            </w:r>
          </w:p>
        </w:tc>
        <w:tc>
          <w:tcPr>
            <w:tcW w:w="3672" w:type="dxa"/>
          </w:tcPr>
          <w:p w14:paraId="2BB3D536" w14:textId="77777777" w:rsidR="006D5068" w:rsidRPr="00005FD1" w:rsidRDefault="00000000">
            <w:pPr>
              <w:spacing w:line="240" w:lineRule="auto"/>
              <w:rPr>
                <w:szCs w:val="36"/>
              </w:rPr>
            </w:pPr>
            <w:r w:rsidRPr="00005FD1">
              <w:rPr>
                <w:szCs w:val="36"/>
              </w:rPr>
              <w:t>Promotion reflects culture. U.S. customers respond to individual benefit and lifestyle, while Japan requires more restrained proof of long-term value.</w:t>
            </w:r>
          </w:p>
        </w:tc>
      </w:tr>
      <w:tr w:rsidR="006D5068" w:rsidRPr="00005FD1" w14:paraId="5C989FF4" w14:textId="77777777" w:rsidTr="00005FD1">
        <w:trPr>
          <w:cantSplit/>
        </w:trPr>
        <w:tc>
          <w:tcPr>
            <w:tcW w:w="1296" w:type="dxa"/>
          </w:tcPr>
          <w:p w14:paraId="0D5A9F86" w14:textId="77777777" w:rsidR="006D5068" w:rsidRPr="00005FD1" w:rsidRDefault="00000000">
            <w:pPr>
              <w:spacing w:line="240" w:lineRule="auto"/>
              <w:rPr>
                <w:szCs w:val="36"/>
              </w:rPr>
            </w:pPr>
            <w:r w:rsidRPr="00005FD1">
              <w:rPr>
                <w:szCs w:val="36"/>
              </w:rPr>
              <w:t>People</w:t>
            </w:r>
          </w:p>
        </w:tc>
        <w:tc>
          <w:tcPr>
            <w:tcW w:w="2376" w:type="dxa"/>
          </w:tcPr>
          <w:p w14:paraId="68A68FCC" w14:textId="77777777" w:rsidR="006D5068" w:rsidRPr="00005FD1" w:rsidRDefault="00000000">
            <w:pPr>
              <w:spacing w:line="240" w:lineRule="auto"/>
              <w:rPr>
                <w:szCs w:val="36"/>
              </w:rPr>
            </w:pPr>
            <w:r w:rsidRPr="00005FD1">
              <w:rPr>
                <w:szCs w:val="36"/>
              </w:rPr>
              <w:t>Dealer staff and service personnel act as trust-builders in a high uncertainty-avoidance market.</w:t>
            </w:r>
          </w:p>
        </w:tc>
        <w:tc>
          <w:tcPr>
            <w:tcW w:w="2376" w:type="dxa"/>
          </w:tcPr>
          <w:p w14:paraId="58E7872F" w14:textId="77777777" w:rsidR="006D5068" w:rsidRPr="00005FD1" w:rsidRDefault="00000000">
            <w:pPr>
              <w:spacing w:line="240" w:lineRule="auto"/>
              <w:rPr>
                <w:szCs w:val="36"/>
              </w:rPr>
            </w:pPr>
            <w:r w:rsidRPr="00005FD1">
              <w:rPr>
                <w:szCs w:val="36"/>
              </w:rPr>
              <w:t>Dealer personnel, finance teams and service advisers shape the buying experience across a geographically dispersed market.</w:t>
            </w:r>
          </w:p>
        </w:tc>
        <w:tc>
          <w:tcPr>
            <w:tcW w:w="3672" w:type="dxa"/>
          </w:tcPr>
          <w:p w14:paraId="4539FC80" w14:textId="77777777" w:rsidR="006D5068" w:rsidRPr="00005FD1" w:rsidRDefault="00000000">
            <w:pPr>
              <w:spacing w:line="240" w:lineRule="auto"/>
              <w:rPr>
                <w:szCs w:val="36"/>
              </w:rPr>
            </w:pPr>
            <w:r w:rsidRPr="00005FD1">
              <w:rPr>
                <w:szCs w:val="36"/>
              </w:rPr>
              <w:t>People are part of ethics as well as service. Poor safety communication can damage trust even when the product portfolio is strong.</w:t>
            </w:r>
          </w:p>
        </w:tc>
      </w:tr>
      <w:tr w:rsidR="006D5068" w:rsidRPr="00005FD1" w14:paraId="6399B00B" w14:textId="77777777" w:rsidTr="00005FD1">
        <w:trPr>
          <w:cantSplit/>
        </w:trPr>
        <w:tc>
          <w:tcPr>
            <w:tcW w:w="1296" w:type="dxa"/>
          </w:tcPr>
          <w:p w14:paraId="663D2B3B" w14:textId="77777777" w:rsidR="006D5068" w:rsidRPr="00005FD1" w:rsidRDefault="00000000">
            <w:pPr>
              <w:spacing w:line="240" w:lineRule="auto"/>
              <w:rPr>
                <w:szCs w:val="36"/>
              </w:rPr>
            </w:pPr>
            <w:r w:rsidRPr="00005FD1">
              <w:rPr>
                <w:szCs w:val="36"/>
              </w:rPr>
              <w:t>Process</w:t>
            </w:r>
          </w:p>
        </w:tc>
        <w:tc>
          <w:tcPr>
            <w:tcW w:w="2376" w:type="dxa"/>
          </w:tcPr>
          <w:p w14:paraId="53B05D3C" w14:textId="77777777" w:rsidR="006D5068" w:rsidRPr="00005FD1" w:rsidRDefault="00000000">
            <w:pPr>
              <w:spacing w:line="240" w:lineRule="auto"/>
              <w:rPr>
                <w:szCs w:val="36"/>
              </w:rPr>
            </w:pPr>
            <w:r w:rsidRPr="00005FD1">
              <w:rPr>
                <w:szCs w:val="36"/>
              </w:rPr>
              <w:t>Process needs to minimise uncertainty through clear explanation, predictable service and careful after-sales support.</w:t>
            </w:r>
          </w:p>
        </w:tc>
        <w:tc>
          <w:tcPr>
            <w:tcW w:w="2376" w:type="dxa"/>
          </w:tcPr>
          <w:p w14:paraId="2FF5A8BB" w14:textId="77777777" w:rsidR="006D5068" w:rsidRPr="00005FD1" w:rsidRDefault="00000000">
            <w:pPr>
              <w:spacing w:line="240" w:lineRule="auto"/>
              <w:rPr>
                <w:szCs w:val="36"/>
              </w:rPr>
            </w:pPr>
            <w:r w:rsidRPr="00005FD1">
              <w:rPr>
                <w:szCs w:val="36"/>
              </w:rPr>
              <w:t>Process needs to reduce purchase friction through digital research, financing, test drives, trade-ins and recall responsiveness.</w:t>
            </w:r>
          </w:p>
        </w:tc>
        <w:tc>
          <w:tcPr>
            <w:tcW w:w="3672" w:type="dxa"/>
          </w:tcPr>
          <w:p w14:paraId="7E56D0EA" w14:textId="77777777" w:rsidR="006D5068" w:rsidRPr="00005FD1" w:rsidRDefault="00000000">
            <w:pPr>
              <w:spacing w:line="240" w:lineRule="auto"/>
              <w:rPr>
                <w:szCs w:val="36"/>
              </w:rPr>
            </w:pPr>
            <w:r w:rsidRPr="00005FD1">
              <w:rPr>
                <w:szCs w:val="36"/>
              </w:rPr>
              <w:t>Toyota must treat process as a competitive differentiator. In the United States, complicated purchase processes can weaken brand trust.</w:t>
            </w:r>
          </w:p>
        </w:tc>
      </w:tr>
      <w:tr w:rsidR="006D5068" w:rsidRPr="00005FD1" w14:paraId="336672D8" w14:textId="77777777" w:rsidTr="00005FD1">
        <w:trPr>
          <w:cantSplit/>
        </w:trPr>
        <w:tc>
          <w:tcPr>
            <w:tcW w:w="1296" w:type="dxa"/>
          </w:tcPr>
          <w:p w14:paraId="1A038CC3" w14:textId="77777777" w:rsidR="006D5068" w:rsidRPr="00005FD1" w:rsidRDefault="00000000">
            <w:pPr>
              <w:spacing w:line="240" w:lineRule="auto"/>
              <w:rPr>
                <w:szCs w:val="36"/>
              </w:rPr>
            </w:pPr>
            <w:r w:rsidRPr="00005FD1">
              <w:rPr>
                <w:szCs w:val="36"/>
              </w:rPr>
              <w:lastRenderedPageBreak/>
              <w:t>Physical evidence</w:t>
            </w:r>
          </w:p>
        </w:tc>
        <w:tc>
          <w:tcPr>
            <w:tcW w:w="2376" w:type="dxa"/>
          </w:tcPr>
          <w:p w14:paraId="153BC47F" w14:textId="77777777" w:rsidR="006D5068" w:rsidRPr="00005FD1" w:rsidRDefault="00000000">
            <w:pPr>
              <w:spacing w:line="240" w:lineRule="auto"/>
              <w:rPr>
                <w:szCs w:val="36"/>
              </w:rPr>
            </w:pPr>
            <w:r w:rsidRPr="00005FD1">
              <w:rPr>
                <w:szCs w:val="36"/>
              </w:rPr>
              <w:t>Showrooms, service centres, product demonstrations and visible engineering quality reinforce Toyota’s domestic legitimacy.</w:t>
            </w:r>
          </w:p>
        </w:tc>
        <w:tc>
          <w:tcPr>
            <w:tcW w:w="2376" w:type="dxa"/>
          </w:tcPr>
          <w:p w14:paraId="30EE03B2" w14:textId="77777777" w:rsidR="006D5068" w:rsidRPr="00005FD1" w:rsidRDefault="00000000">
            <w:pPr>
              <w:spacing w:line="240" w:lineRule="auto"/>
              <w:rPr>
                <w:szCs w:val="36"/>
              </w:rPr>
            </w:pPr>
            <w:r w:rsidRPr="00005FD1">
              <w:rPr>
                <w:szCs w:val="36"/>
              </w:rPr>
              <w:t>Dealership scale, service facilities, online configurators, battery plant investment and local production reinforce commitment to the market.</w:t>
            </w:r>
          </w:p>
        </w:tc>
        <w:tc>
          <w:tcPr>
            <w:tcW w:w="3672" w:type="dxa"/>
          </w:tcPr>
          <w:p w14:paraId="3610890C" w14:textId="77777777" w:rsidR="006D5068" w:rsidRPr="00005FD1" w:rsidRDefault="00000000">
            <w:pPr>
              <w:spacing w:line="240" w:lineRule="auto"/>
              <w:rPr>
                <w:szCs w:val="36"/>
              </w:rPr>
            </w:pPr>
            <w:r w:rsidRPr="00005FD1">
              <w:rPr>
                <w:szCs w:val="36"/>
              </w:rPr>
              <w:t>Physical evidence supports localisation. U.S. investment and manufacturing reduce the perception of Toyota as only an importer.</w:t>
            </w:r>
          </w:p>
        </w:tc>
      </w:tr>
    </w:tbl>
    <w:p w14:paraId="7C508801" w14:textId="77777777" w:rsidR="006D5068" w:rsidRDefault="006D5068">
      <w:pPr>
        <w:spacing w:after="40"/>
      </w:pPr>
    </w:p>
    <w:p w14:paraId="387E8FC4" w14:textId="77777777" w:rsidR="006D5068" w:rsidRDefault="00000000">
      <w:pPr>
        <w:pStyle w:val="SourceNote"/>
        <w:spacing w:after="120"/>
      </w:pPr>
      <w:r>
        <w:rPr>
          <w:rFonts w:cs="Arial"/>
        </w:rPr>
        <w:t>Source: Author’s analysis based on Booms and Bitner (1981), Toyota USA Newsroom (n.d.), Toyota Motor North America (2026), and Toyota Motor North America (2025).</w:t>
      </w:r>
    </w:p>
    <w:p w14:paraId="6A5E205A" w14:textId="77777777" w:rsidR="00005FD1" w:rsidRDefault="00005FD1" w:rsidP="00005FD1">
      <w:pPr>
        <w:spacing w:after="120"/>
        <w:jc w:val="both"/>
      </w:pPr>
      <w:r w:rsidRPr="00005FD1">
        <w:t xml:space="preserve">The greatest understanding of the 7Ps is that the Toyota competitive edge with regard to marketing is systemic. It is the relationship of trustful merchandise, reachable price tags, availability of dealers, supplying services and trained individuals as well as reliable tangible signs. Such a trust system may not be easily replicated but it also implies that a single aspect that is not as solid as clear safety communication or environmental messaging prominently, minimizes the promise that the larger entity reflects. </w:t>
      </w:r>
    </w:p>
    <w:p w14:paraId="380C07D8" w14:textId="77777777" w:rsidR="00005FD1" w:rsidRDefault="00005FD1" w:rsidP="00005FD1">
      <w:pPr>
        <w:spacing w:after="120"/>
        <w:jc w:val="both"/>
      </w:pPr>
      <w:r w:rsidRPr="00005FD1">
        <w:t>The most evident one is product strategy. Social and pragmatic fit is tightly connected with compact and efficient mobility in Japan. In the US, Toyota will be forced to play bigger, more lifestyle-based categories and yet have to contend with reliability. This will demonstrate that there is no cosmetic product adaptation. It is a strategic requirement. The early case of the Toyota Crown in the U.S. showed just how expensive it can be to assume that success in one country can be replicated in another without making it fit enough to more closely resemble conditions in that country and match its or their own values (Toyota USA Newsroom, n.d.).</w:t>
      </w:r>
    </w:p>
    <w:p w14:paraId="4095B991" w14:textId="77777777" w:rsidR="00005FD1" w:rsidRDefault="00005FD1" w:rsidP="00005FD1">
      <w:pPr>
        <w:spacing w:after="120"/>
        <w:jc w:val="both"/>
      </w:pPr>
      <w:r w:rsidRPr="00005FD1">
        <w:t xml:space="preserve">Promotion also requires careful interpretation. The U.S. focus on affordability, choice and electrified options is currently a commercially strong strategy of Toyota, which may, however, be ethically weak in terms of confusing hybrids, plug-in hybrids and battery-electric vehicles. Japan sees Toyota being able to trust more on domestic trust and engineering credibility, but this poses as a risk of complacency. Promotion in either </w:t>
      </w:r>
      <w:r w:rsidRPr="00005FD1">
        <w:lastRenderedPageBreak/>
        <w:t>country cannot just be a matter of persuasion. It will have to explain what the actual benefits, restrictions and trade-offs of the technologies of Toyota are.</w:t>
      </w:r>
    </w:p>
    <w:p w14:paraId="4AFCD02F" w14:textId="77777777" w:rsidR="006D5068" w:rsidRDefault="00000000">
      <w:pPr>
        <w:pStyle w:val="Heading1"/>
        <w:spacing w:before="200" w:after="120"/>
      </w:pPr>
      <w:bookmarkStart w:id="18" w:name="_Toc233937255"/>
      <w:bookmarkStart w:id="19" w:name="_Toc234063788"/>
      <w:r>
        <w:rPr>
          <w:rFonts w:ascii="Arial" w:eastAsia="Arial" w:hAnsi="Arial" w:cs="Arial"/>
        </w:rPr>
        <w:t>7. Market Entry Strategy in the United States</w:t>
      </w:r>
      <w:bookmarkEnd w:id="18"/>
      <w:bookmarkEnd w:id="19"/>
    </w:p>
    <w:p w14:paraId="5FCB731D" w14:textId="77777777" w:rsidR="00470C66" w:rsidRDefault="00470C66" w:rsidP="00470C66">
      <w:pPr>
        <w:spacing w:after="120"/>
        <w:jc w:val="both"/>
      </w:pPr>
      <w:r w:rsidRPr="00470C66">
        <w:t xml:space="preserve">The entry strategy of Toyota in the U.S. depicts the aspect of learning failure and not an easy success tale. Toyota Motor Sales, U.S.A. was established in Hollywood in 1957, and sales began in 1958 with 288 vehicles (Toyota USA Newsroom, n.d.). The weak and expensive </w:t>
      </w:r>
      <w:proofErr w:type="spellStart"/>
      <w:r w:rsidRPr="00470C66">
        <w:t>Toyopet</w:t>
      </w:r>
      <w:proofErr w:type="spellEnd"/>
      <w:r w:rsidRPr="00470C66">
        <w:t xml:space="preserve"> Crown demonstrated the inability of global entry based on the popularity of the home market. It entails product-customer expectations, infrastructure and competition fit.</w:t>
      </w:r>
    </w:p>
    <w:p w14:paraId="1B0C09C9" w14:textId="77777777" w:rsidR="00470C66" w:rsidRDefault="00470C66" w:rsidP="00470C66">
      <w:pPr>
        <w:spacing w:after="120"/>
        <w:jc w:val="both"/>
      </w:pPr>
      <w:r w:rsidRPr="00470C66">
        <w:t>The subsequent strategy by Toyota shifted its export-led entry to greater embeddedness. The company invented domestic distribution, customized products to fit American roads and consumer demands, created manufacturing connections and created dealer/service presence. This change brought a reduction in the distance between Toyota and the U.S customers. The shift to local embeddedness presents a good strategic direction of market entry in that exporting is not a one-time mode decision. A learning process involves becoming increasingly committed when the firm knows how to decrease uncertainty and enhance legitimacy.</w:t>
      </w:r>
    </w:p>
    <w:p w14:paraId="37E02D3A" w14:textId="77777777" w:rsidR="00470C66" w:rsidRDefault="00470C66" w:rsidP="00470C66">
      <w:pPr>
        <w:spacing w:after="120"/>
        <w:jc w:val="both"/>
      </w:pPr>
      <w:r w:rsidRPr="00470C66">
        <w:t>More importantly, the U.S. launch of Toyota also demonstrates that to adapt does not necessarily have to drop the world brand. Toyota never turned into an American. It was transformed into the Japanese-origin brand that understood how to make its pledge of quality connections in the United States. Such differentiation is important since effective international marketing does not entail imitating the cultures. It is disciplined translation of brand value into local evidence.</w:t>
      </w:r>
    </w:p>
    <w:p w14:paraId="2E33CF4E" w14:textId="77777777" w:rsidR="00470C66" w:rsidRDefault="00470C66" w:rsidP="00470C66">
      <w:pPr>
        <w:spacing w:after="120"/>
        <w:jc w:val="both"/>
      </w:pPr>
      <w:r w:rsidRPr="00470C66">
        <w:t xml:space="preserve">The risk at present is that electrification may necessitate a new market learning. The hybrid nature of Toyota is perfectly suited to the needs of many U.S. consumers who need not have a massive fuel-consumption or complete reliance on charging. But should charging infrastructure become a better, and BEV hopes increase more rapidly than the Toyota communication, there is a risk that the company will experience a redoing of the entry issue: technically able product portfolio that is not articulated in the manner the </w:t>
      </w:r>
      <w:r w:rsidRPr="00470C66">
        <w:lastRenderedPageBreak/>
        <w:t>market expects. Because price, charging time, charging availability and range constraints are the most common barriers to EV adoption, Toyota, in turn, has to focus on investing in technology, as well as more efficient strategic communications that will connect each technology with a particular use case by customers (</w:t>
      </w:r>
      <w:proofErr w:type="spellStart"/>
      <w:r w:rsidRPr="00470C66">
        <w:t>Pamidimukkala</w:t>
      </w:r>
      <w:proofErr w:type="spellEnd"/>
      <w:r w:rsidRPr="00470C66">
        <w:t xml:space="preserve"> et al., 2024).</w:t>
      </w:r>
    </w:p>
    <w:p w14:paraId="14A4B6E2" w14:textId="77777777" w:rsidR="006D5068" w:rsidRDefault="00000000">
      <w:pPr>
        <w:pStyle w:val="Heading1"/>
        <w:spacing w:before="200" w:after="120"/>
      </w:pPr>
      <w:bookmarkStart w:id="20" w:name="_Toc233937256"/>
      <w:bookmarkStart w:id="21" w:name="_Toc234063789"/>
      <w:r>
        <w:rPr>
          <w:rFonts w:ascii="Arial" w:eastAsia="Arial" w:hAnsi="Arial" w:cs="Arial"/>
        </w:rPr>
        <w:t>8. Ethical Evaluation: Safety Communication and the U.S. Marketing Mix</w:t>
      </w:r>
      <w:bookmarkEnd w:id="20"/>
      <w:bookmarkEnd w:id="21"/>
    </w:p>
    <w:p w14:paraId="0E08C3E3" w14:textId="77777777" w:rsidR="00470C66" w:rsidRDefault="00470C66" w:rsidP="00470C66">
      <w:pPr>
        <w:spacing w:after="120"/>
        <w:jc w:val="both"/>
      </w:pPr>
      <w:r w:rsidRPr="00470C66">
        <w:t xml:space="preserve">The ethical issue selected for evaluation is Toyota’s U.S. unintended acceleration crisis because it directly relates to the product, promotion, people and process elements of the marketing mix. The strategic significance of the problem is that Toyota has made its company identity based on safety and reliability. </w:t>
      </w:r>
    </w:p>
    <w:p w14:paraId="014F8F65" w14:textId="77777777" w:rsidR="00470C66" w:rsidRDefault="00470C66" w:rsidP="00470C66">
      <w:pPr>
        <w:spacing w:after="120"/>
        <w:jc w:val="both"/>
      </w:pPr>
      <w:r w:rsidRPr="00470C66">
        <w:t xml:space="preserve">The moral value does not depend on whether a defect exists. Defects may occur in complex products of big manufacturers. The greater ethical question is how the company is sharing information about risk and at what speed it responds and whether its external comments enable consumers to make decisions. The case by the U.S. Department of Justice is thus hazardous not just due to the financial fine, but owing to the fact that it purported false safety statements at a time of day where consumers required essentials (U.S. Department of Justice, 2014). </w:t>
      </w:r>
    </w:p>
    <w:p w14:paraId="643CC472" w14:textId="77777777" w:rsidR="00470C66" w:rsidRDefault="00470C66" w:rsidP="00470C66">
      <w:pPr>
        <w:spacing w:after="120"/>
        <w:jc w:val="both"/>
      </w:pPr>
      <w:r w:rsidRPr="00470C66">
        <w:t xml:space="preserve">The reasons the 7Ps are also helpful are also evident in this case. The element of product safety defects also falls in the product component whereas ethical failure is also related with promotion and process. When the risk reduction in communication is directed to the masses this implies that promotion is ethically questionable. Process takes on part of the harm, in case the internal escalation or recall processes are slow. When dealer staffs are unable to make the issue understandable, individuals are members of the trust failure. This implies that there is no way that one can make an ethical judgement independent of the marketing mix. </w:t>
      </w:r>
    </w:p>
    <w:p w14:paraId="0A493072" w14:textId="77777777" w:rsidR="00470C66" w:rsidRDefault="00470C66" w:rsidP="00470C66">
      <w:pPr>
        <w:spacing w:after="120"/>
        <w:jc w:val="both"/>
      </w:pPr>
      <w:r w:rsidRPr="00470C66">
        <w:t>Sustainability communication has an ethical parallel</w:t>
      </w:r>
      <w:r>
        <w:t xml:space="preserve">. </w:t>
      </w:r>
      <w:r w:rsidRPr="00470C66">
        <w:t xml:space="preserve">The multi-pathways adopted by Toyota can be justified as there is reality of difference in infrastructure and readiness of consumers. But it is susceptible to the extent that marketing would position all electrified technologies as being equal. Toyota needs to clarify to the customer whether he or she </w:t>
      </w:r>
      <w:r w:rsidRPr="00470C66">
        <w:lastRenderedPageBreak/>
        <w:t>is purchasing a hybrid, plug-in hybrid, battery-electric or fuel-cell car, and what this implies in terms of emissions, charging and use. To decrease the risk of greenwashing, each environmental statement must be a specific, evidence-based and connected to the real product-technology advertised (de Freitas Netto et al., 2020; Spaniol et al., 2024).</w:t>
      </w:r>
    </w:p>
    <w:p w14:paraId="34D43AFD" w14:textId="77777777" w:rsidR="006D5068" w:rsidRDefault="00000000">
      <w:pPr>
        <w:pStyle w:val="Heading1"/>
        <w:spacing w:before="200" w:after="120"/>
      </w:pPr>
      <w:bookmarkStart w:id="22" w:name="_Toc233937257"/>
      <w:bookmarkStart w:id="23" w:name="_Toc234063790"/>
      <w:r>
        <w:rPr>
          <w:rFonts w:ascii="Arial" w:eastAsia="Arial" w:hAnsi="Arial" w:cs="Arial"/>
        </w:rPr>
        <w:t>9. Recommendations</w:t>
      </w:r>
      <w:bookmarkEnd w:id="22"/>
      <w:bookmarkEnd w:id="23"/>
    </w:p>
    <w:p w14:paraId="4CE7D0E1" w14:textId="77777777" w:rsidR="006D5068" w:rsidRDefault="00000000">
      <w:pPr>
        <w:spacing w:after="120"/>
      </w:pPr>
      <w:r>
        <w:t>The following recommendations are based on the preceding PESTEL, Hofstede, STP, 7Ps, entry strategy and ethical evaluation. They are intended to be practical rather than generic.</w:t>
      </w:r>
    </w:p>
    <w:p w14:paraId="744520D3" w14:textId="77777777" w:rsidR="006D5068" w:rsidRDefault="00000000" w:rsidP="00964DDE">
      <w:pPr>
        <w:pStyle w:val="CaptionText"/>
        <w:keepNext/>
        <w:spacing w:after="60"/>
        <w:jc w:val="both"/>
      </w:pPr>
      <w:r>
        <w:rPr>
          <w:rFonts w:cs="Arial"/>
        </w:rPr>
        <w:t>Table 5: Evidence-based recommendations for Toyota’s international marketing strategy</w:t>
      </w:r>
    </w:p>
    <w:tbl>
      <w:tblPr>
        <w:tblStyle w:val="TableGrid"/>
        <w:tblW w:w="0" w:type="auto"/>
        <w:tblLook w:val="04A0" w:firstRow="1" w:lastRow="0" w:firstColumn="1" w:lastColumn="0" w:noHBand="0" w:noVBand="1"/>
      </w:tblPr>
      <w:tblGrid>
        <w:gridCol w:w="2230"/>
        <w:gridCol w:w="2117"/>
        <w:gridCol w:w="2328"/>
        <w:gridCol w:w="2675"/>
      </w:tblGrid>
      <w:tr w:rsidR="006D5068" w:rsidRPr="00470C66" w14:paraId="589E1DF4" w14:textId="77777777" w:rsidTr="00470C66">
        <w:trPr>
          <w:cantSplit/>
          <w:tblHeader/>
        </w:trPr>
        <w:tc>
          <w:tcPr>
            <w:tcW w:w="2088" w:type="dxa"/>
            <w:shd w:val="clear" w:color="auto" w:fill="D9D9D9"/>
            <w:vAlign w:val="center"/>
          </w:tcPr>
          <w:p w14:paraId="1B093DBC" w14:textId="77777777" w:rsidR="006D5068" w:rsidRPr="00470C66" w:rsidRDefault="00000000" w:rsidP="00964DDE">
            <w:pPr>
              <w:spacing w:line="240" w:lineRule="auto"/>
              <w:jc w:val="both"/>
              <w:rPr>
                <w:szCs w:val="36"/>
              </w:rPr>
            </w:pPr>
            <w:r w:rsidRPr="00470C66">
              <w:rPr>
                <w:b/>
                <w:szCs w:val="36"/>
              </w:rPr>
              <w:t>Recommendation</w:t>
            </w:r>
          </w:p>
        </w:tc>
        <w:tc>
          <w:tcPr>
            <w:tcW w:w="2232" w:type="dxa"/>
            <w:shd w:val="clear" w:color="auto" w:fill="D9D9D9"/>
            <w:vAlign w:val="center"/>
          </w:tcPr>
          <w:p w14:paraId="4C920B2B" w14:textId="77777777" w:rsidR="006D5068" w:rsidRPr="00470C66" w:rsidRDefault="00000000" w:rsidP="00964DDE">
            <w:pPr>
              <w:spacing w:line="240" w:lineRule="auto"/>
              <w:jc w:val="both"/>
              <w:rPr>
                <w:szCs w:val="36"/>
              </w:rPr>
            </w:pPr>
            <w:r w:rsidRPr="00470C66">
              <w:rPr>
                <w:b/>
                <w:szCs w:val="36"/>
              </w:rPr>
              <w:t>Japan application</w:t>
            </w:r>
          </w:p>
        </w:tc>
        <w:tc>
          <w:tcPr>
            <w:tcW w:w="2520" w:type="dxa"/>
            <w:shd w:val="clear" w:color="auto" w:fill="D9D9D9"/>
            <w:vAlign w:val="center"/>
          </w:tcPr>
          <w:p w14:paraId="19C36177" w14:textId="77777777" w:rsidR="006D5068" w:rsidRPr="00470C66" w:rsidRDefault="00000000" w:rsidP="00964DDE">
            <w:pPr>
              <w:spacing w:line="240" w:lineRule="auto"/>
              <w:jc w:val="both"/>
              <w:rPr>
                <w:szCs w:val="36"/>
              </w:rPr>
            </w:pPr>
            <w:r w:rsidRPr="00470C66">
              <w:rPr>
                <w:b/>
                <w:szCs w:val="36"/>
              </w:rPr>
              <w:t>United States application</w:t>
            </w:r>
          </w:p>
        </w:tc>
        <w:tc>
          <w:tcPr>
            <w:tcW w:w="2880" w:type="dxa"/>
            <w:shd w:val="clear" w:color="auto" w:fill="D9D9D9"/>
            <w:vAlign w:val="center"/>
          </w:tcPr>
          <w:p w14:paraId="777EDAD5" w14:textId="77777777" w:rsidR="006D5068" w:rsidRPr="00470C66" w:rsidRDefault="00000000" w:rsidP="00964DDE">
            <w:pPr>
              <w:spacing w:line="240" w:lineRule="auto"/>
              <w:jc w:val="both"/>
              <w:rPr>
                <w:szCs w:val="36"/>
              </w:rPr>
            </w:pPr>
            <w:r w:rsidRPr="00470C66">
              <w:rPr>
                <w:b/>
                <w:szCs w:val="36"/>
              </w:rPr>
              <w:t>Reasoning</w:t>
            </w:r>
          </w:p>
        </w:tc>
      </w:tr>
      <w:tr w:rsidR="006D5068" w:rsidRPr="00470C66" w14:paraId="5FBC127A" w14:textId="77777777" w:rsidTr="00470C66">
        <w:trPr>
          <w:cantSplit/>
        </w:trPr>
        <w:tc>
          <w:tcPr>
            <w:tcW w:w="2088" w:type="dxa"/>
          </w:tcPr>
          <w:p w14:paraId="44F00E27" w14:textId="77777777" w:rsidR="006D5068" w:rsidRPr="00470C66" w:rsidRDefault="00000000" w:rsidP="00964DDE">
            <w:pPr>
              <w:spacing w:line="240" w:lineRule="auto"/>
              <w:jc w:val="both"/>
              <w:rPr>
                <w:szCs w:val="36"/>
              </w:rPr>
            </w:pPr>
            <w:r w:rsidRPr="00470C66">
              <w:rPr>
                <w:szCs w:val="36"/>
              </w:rPr>
              <w:t>Clarify electrification segmentation</w:t>
            </w:r>
          </w:p>
        </w:tc>
        <w:tc>
          <w:tcPr>
            <w:tcW w:w="2232" w:type="dxa"/>
          </w:tcPr>
          <w:p w14:paraId="485BD951" w14:textId="77777777" w:rsidR="00244E75" w:rsidRPr="00470C66" w:rsidRDefault="00000000" w:rsidP="00964DDE">
            <w:pPr>
              <w:spacing w:line="240" w:lineRule="auto"/>
              <w:jc w:val="both"/>
              <w:rPr>
                <w:szCs w:val="36"/>
              </w:rPr>
            </w:pPr>
            <w:r w:rsidRPr="00470C66">
              <w:rPr>
                <w:szCs w:val="36"/>
              </w:rPr>
              <w:t>Create three use-case messages for 2026-2028: HEV for immediate fuel saving, PHEV for mixed commuting and BEV/fuel-cell for urban, fleet and infrastructure-ready users.</w:t>
            </w:r>
          </w:p>
        </w:tc>
        <w:tc>
          <w:tcPr>
            <w:tcW w:w="2520" w:type="dxa"/>
          </w:tcPr>
          <w:p w14:paraId="06ACC887" w14:textId="77777777" w:rsidR="00244E75" w:rsidRPr="00470C66" w:rsidRDefault="00000000" w:rsidP="00964DDE">
            <w:pPr>
              <w:spacing w:line="240" w:lineRule="auto"/>
              <w:jc w:val="both"/>
              <w:rPr>
                <w:szCs w:val="36"/>
              </w:rPr>
            </w:pPr>
            <w:r w:rsidRPr="00470C66">
              <w:rPr>
                <w:szCs w:val="36"/>
              </w:rPr>
              <w:t>Separate HEV, PHEV and BEV campaigns by charging access, mileage pattern and total cost of ownership; publish a simple model selector for dealers and online users.</w:t>
            </w:r>
          </w:p>
        </w:tc>
        <w:tc>
          <w:tcPr>
            <w:tcW w:w="2880" w:type="dxa"/>
          </w:tcPr>
          <w:p w14:paraId="2D959D30" w14:textId="77777777" w:rsidR="00244E75" w:rsidRPr="00470C66" w:rsidRDefault="00000000" w:rsidP="00964DDE">
            <w:pPr>
              <w:spacing w:line="240" w:lineRule="auto"/>
              <w:jc w:val="both"/>
              <w:rPr>
                <w:szCs w:val="36"/>
              </w:rPr>
            </w:pPr>
            <w:r w:rsidRPr="00470C66">
              <w:rPr>
                <w:szCs w:val="36"/>
              </w:rPr>
              <w:t>This reduces strategic ambiguity and improves consumer understanding. Track results through model-selector completion, dealer lead conversion and customer recall of HEV/PHEV/BEV differences.</w:t>
            </w:r>
          </w:p>
        </w:tc>
      </w:tr>
      <w:tr w:rsidR="006D5068" w:rsidRPr="00470C66" w14:paraId="230A98FC" w14:textId="77777777" w:rsidTr="00470C66">
        <w:trPr>
          <w:cantSplit/>
        </w:trPr>
        <w:tc>
          <w:tcPr>
            <w:tcW w:w="2088" w:type="dxa"/>
          </w:tcPr>
          <w:p w14:paraId="4D1DBC91" w14:textId="77777777" w:rsidR="006D5068" w:rsidRPr="00470C66" w:rsidRDefault="00000000" w:rsidP="00964DDE">
            <w:pPr>
              <w:spacing w:line="240" w:lineRule="auto"/>
              <w:jc w:val="both"/>
              <w:rPr>
                <w:szCs w:val="36"/>
              </w:rPr>
            </w:pPr>
            <w:r w:rsidRPr="00470C66">
              <w:rPr>
                <w:szCs w:val="36"/>
              </w:rPr>
              <w:t>Strengthen evidence-led sustainability communication</w:t>
            </w:r>
          </w:p>
        </w:tc>
        <w:tc>
          <w:tcPr>
            <w:tcW w:w="2232" w:type="dxa"/>
          </w:tcPr>
          <w:p w14:paraId="08D7F63F" w14:textId="77777777" w:rsidR="00244E75" w:rsidRPr="00470C66" w:rsidRDefault="00000000" w:rsidP="00964DDE">
            <w:pPr>
              <w:spacing w:line="240" w:lineRule="auto"/>
              <w:jc w:val="both"/>
              <w:rPr>
                <w:szCs w:val="36"/>
              </w:rPr>
            </w:pPr>
            <w:r w:rsidRPr="00470C66">
              <w:rPr>
                <w:szCs w:val="36"/>
              </w:rPr>
              <w:t>Publish claim-level evidence for fuel economy, life-cycle emissions and infrastructure suitability on product pages and brochures.</w:t>
            </w:r>
          </w:p>
        </w:tc>
        <w:tc>
          <w:tcPr>
            <w:tcW w:w="2520" w:type="dxa"/>
          </w:tcPr>
          <w:p w14:paraId="600E941E" w14:textId="77777777" w:rsidR="00244E75" w:rsidRPr="00470C66" w:rsidRDefault="00000000" w:rsidP="00964DDE">
            <w:pPr>
              <w:spacing w:line="240" w:lineRule="auto"/>
              <w:jc w:val="both"/>
              <w:rPr>
                <w:szCs w:val="36"/>
              </w:rPr>
            </w:pPr>
            <w:r w:rsidRPr="00470C66">
              <w:rPr>
                <w:szCs w:val="36"/>
              </w:rPr>
              <w:t>Use evidence notes for all “electrified” and low-emission claims; make hybrid, plug-in and BEV emissions boundaries clear in ads and configurators.</w:t>
            </w:r>
          </w:p>
        </w:tc>
        <w:tc>
          <w:tcPr>
            <w:tcW w:w="2880" w:type="dxa"/>
          </w:tcPr>
          <w:p w14:paraId="2A553CCF" w14:textId="77777777" w:rsidR="00244E75" w:rsidRPr="00470C66" w:rsidRDefault="00000000" w:rsidP="00964DDE">
            <w:pPr>
              <w:spacing w:line="240" w:lineRule="auto"/>
              <w:jc w:val="both"/>
              <w:rPr>
                <w:szCs w:val="36"/>
              </w:rPr>
            </w:pPr>
            <w:r w:rsidRPr="00470C66">
              <w:rPr>
                <w:szCs w:val="36"/>
              </w:rPr>
              <w:t>This reduces greenwashing risk and aligns promotion with ethical responsibility. Use quarterly claim audits and customer comprehension checks.</w:t>
            </w:r>
          </w:p>
        </w:tc>
      </w:tr>
      <w:tr w:rsidR="006D5068" w:rsidRPr="00470C66" w14:paraId="465EA8CF" w14:textId="77777777" w:rsidTr="00470C66">
        <w:trPr>
          <w:cantSplit/>
        </w:trPr>
        <w:tc>
          <w:tcPr>
            <w:tcW w:w="2088" w:type="dxa"/>
          </w:tcPr>
          <w:p w14:paraId="689BAF78" w14:textId="77777777" w:rsidR="006D5068" w:rsidRPr="00470C66" w:rsidRDefault="00000000" w:rsidP="00964DDE">
            <w:pPr>
              <w:spacing w:line="240" w:lineRule="auto"/>
              <w:jc w:val="both"/>
              <w:rPr>
                <w:szCs w:val="36"/>
              </w:rPr>
            </w:pPr>
            <w:r w:rsidRPr="00470C66">
              <w:rPr>
                <w:szCs w:val="36"/>
              </w:rPr>
              <w:t>Localise portfolio without fragmenting the brand</w:t>
            </w:r>
          </w:p>
        </w:tc>
        <w:tc>
          <w:tcPr>
            <w:tcW w:w="2232" w:type="dxa"/>
          </w:tcPr>
          <w:p w14:paraId="37A78A14" w14:textId="77777777" w:rsidR="006D5068" w:rsidRPr="00470C66" w:rsidRDefault="00000000" w:rsidP="00964DDE">
            <w:pPr>
              <w:spacing w:line="240" w:lineRule="auto"/>
              <w:jc w:val="both"/>
              <w:rPr>
                <w:szCs w:val="36"/>
              </w:rPr>
            </w:pPr>
            <w:r w:rsidRPr="00470C66">
              <w:rPr>
                <w:szCs w:val="36"/>
              </w:rPr>
              <w:t>Prioritise compactness, safety, accessibility and elder-friendly features.</w:t>
            </w:r>
          </w:p>
        </w:tc>
        <w:tc>
          <w:tcPr>
            <w:tcW w:w="2520" w:type="dxa"/>
          </w:tcPr>
          <w:p w14:paraId="3168E1EE" w14:textId="77777777" w:rsidR="006D5068" w:rsidRPr="00470C66" w:rsidRDefault="00000000" w:rsidP="00964DDE">
            <w:pPr>
              <w:spacing w:line="240" w:lineRule="auto"/>
              <w:jc w:val="both"/>
              <w:rPr>
                <w:szCs w:val="36"/>
              </w:rPr>
            </w:pPr>
            <w:r w:rsidRPr="00470C66">
              <w:rPr>
                <w:szCs w:val="36"/>
              </w:rPr>
              <w:t>Prioritise SUVs, trucks, hybrids and value-focused family mobility while expanding BEV readiness.</w:t>
            </w:r>
          </w:p>
        </w:tc>
        <w:tc>
          <w:tcPr>
            <w:tcW w:w="2880" w:type="dxa"/>
          </w:tcPr>
          <w:p w14:paraId="1FB037F0" w14:textId="77777777" w:rsidR="006D5068" w:rsidRPr="00470C66" w:rsidRDefault="00000000" w:rsidP="00964DDE">
            <w:pPr>
              <w:spacing w:line="240" w:lineRule="auto"/>
              <w:jc w:val="both"/>
              <w:rPr>
                <w:szCs w:val="36"/>
              </w:rPr>
            </w:pPr>
            <w:r w:rsidRPr="00470C66">
              <w:rPr>
                <w:szCs w:val="36"/>
              </w:rPr>
              <w:t>Toyota should keep quality as the global core but localise product proof.</w:t>
            </w:r>
          </w:p>
        </w:tc>
      </w:tr>
      <w:tr w:rsidR="006D5068" w:rsidRPr="00470C66" w14:paraId="28FCE533" w14:textId="77777777" w:rsidTr="00470C66">
        <w:trPr>
          <w:cantSplit/>
        </w:trPr>
        <w:tc>
          <w:tcPr>
            <w:tcW w:w="2088" w:type="dxa"/>
          </w:tcPr>
          <w:p w14:paraId="387EF700" w14:textId="77777777" w:rsidR="006D5068" w:rsidRPr="00470C66" w:rsidRDefault="00000000" w:rsidP="00964DDE">
            <w:pPr>
              <w:spacing w:line="240" w:lineRule="auto"/>
              <w:jc w:val="both"/>
              <w:rPr>
                <w:szCs w:val="36"/>
              </w:rPr>
            </w:pPr>
            <w:r w:rsidRPr="00470C66">
              <w:rPr>
                <w:szCs w:val="36"/>
              </w:rPr>
              <w:lastRenderedPageBreak/>
              <w:t>Make safety transparency part of brand positioning</w:t>
            </w:r>
          </w:p>
        </w:tc>
        <w:tc>
          <w:tcPr>
            <w:tcW w:w="2232" w:type="dxa"/>
          </w:tcPr>
          <w:p w14:paraId="79D680C1" w14:textId="77777777" w:rsidR="00244E75" w:rsidRPr="00470C66" w:rsidRDefault="00000000" w:rsidP="00964DDE">
            <w:pPr>
              <w:spacing w:line="240" w:lineRule="auto"/>
              <w:jc w:val="both"/>
              <w:rPr>
                <w:szCs w:val="36"/>
              </w:rPr>
            </w:pPr>
            <w:r w:rsidRPr="00470C66">
              <w:rPr>
                <w:szCs w:val="36"/>
              </w:rPr>
              <w:t>Use service networks and dealer trust to communicate recall and safety improvements proactively, with plain-language customer notices.</w:t>
            </w:r>
          </w:p>
        </w:tc>
        <w:tc>
          <w:tcPr>
            <w:tcW w:w="2520" w:type="dxa"/>
          </w:tcPr>
          <w:p w14:paraId="35167070" w14:textId="77777777" w:rsidR="00244E75" w:rsidRPr="00470C66" w:rsidRDefault="00000000" w:rsidP="00964DDE">
            <w:pPr>
              <w:spacing w:line="240" w:lineRule="auto"/>
              <w:jc w:val="both"/>
              <w:rPr>
                <w:szCs w:val="36"/>
              </w:rPr>
            </w:pPr>
            <w:r w:rsidRPr="00470C66">
              <w:rPr>
                <w:szCs w:val="36"/>
              </w:rPr>
              <w:t>Develop highly visible recall dashboards, standard dealer scripts and 48-hour customer-update protocols after major safety incidents.</w:t>
            </w:r>
          </w:p>
        </w:tc>
        <w:tc>
          <w:tcPr>
            <w:tcW w:w="2880" w:type="dxa"/>
          </w:tcPr>
          <w:p w14:paraId="38E44A23" w14:textId="77777777" w:rsidR="00244E75" w:rsidRPr="00470C66" w:rsidRDefault="00000000" w:rsidP="00964DDE">
            <w:pPr>
              <w:spacing w:line="240" w:lineRule="auto"/>
              <w:jc w:val="both"/>
              <w:rPr>
                <w:szCs w:val="36"/>
              </w:rPr>
            </w:pPr>
            <w:r w:rsidRPr="00470C66">
              <w:rPr>
                <w:szCs w:val="36"/>
              </w:rPr>
              <w:t>This addresses the ethical lessons of the U.S. unintended acceleration crisis. KPIs should include recall completion rate, average customer notification time and dealer script compliance.</w:t>
            </w:r>
          </w:p>
        </w:tc>
      </w:tr>
      <w:tr w:rsidR="006D5068" w:rsidRPr="00470C66" w14:paraId="583BB621" w14:textId="77777777" w:rsidTr="00470C66">
        <w:trPr>
          <w:cantSplit/>
        </w:trPr>
        <w:tc>
          <w:tcPr>
            <w:tcW w:w="2088" w:type="dxa"/>
          </w:tcPr>
          <w:p w14:paraId="08F1B01F" w14:textId="77777777" w:rsidR="006D5068" w:rsidRPr="00470C66" w:rsidRDefault="00000000" w:rsidP="00964DDE">
            <w:pPr>
              <w:spacing w:line="240" w:lineRule="auto"/>
              <w:jc w:val="both"/>
              <w:rPr>
                <w:szCs w:val="36"/>
              </w:rPr>
            </w:pPr>
            <w:r w:rsidRPr="00470C66">
              <w:rPr>
                <w:szCs w:val="36"/>
              </w:rPr>
              <w:t>Build future mobility ecosystems</w:t>
            </w:r>
          </w:p>
        </w:tc>
        <w:tc>
          <w:tcPr>
            <w:tcW w:w="2232" w:type="dxa"/>
          </w:tcPr>
          <w:p w14:paraId="3AFE3987" w14:textId="77777777" w:rsidR="006D5068" w:rsidRPr="00470C66" w:rsidRDefault="00000000" w:rsidP="00964DDE">
            <w:pPr>
              <w:spacing w:line="240" w:lineRule="auto"/>
              <w:jc w:val="both"/>
              <w:rPr>
                <w:szCs w:val="36"/>
              </w:rPr>
            </w:pPr>
            <w:r w:rsidRPr="00470C66">
              <w:rPr>
                <w:szCs w:val="36"/>
              </w:rPr>
              <w:t>Connect vehicles with mobility services, urban partnerships and ageing-society mobility solutions.</w:t>
            </w:r>
          </w:p>
        </w:tc>
        <w:tc>
          <w:tcPr>
            <w:tcW w:w="2520" w:type="dxa"/>
          </w:tcPr>
          <w:p w14:paraId="45F1C696" w14:textId="77777777" w:rsidR="006D5068" w:rsidRPr="00470C66" w:rsidRDefault="00000000" w:rsidP="00964DDE">
            <w:pPr>
              <w:spacing w:line="240" w:lineRule="auto"/>
              <w:jc w:val="both"/>
              <w:rPr>
                <w:szCs w:val="36"/>
              </w:rPr>
            </w:pPr>
            <w:r w:rsidRPr="00470C66">
              <w:rPr>
                <w:szCs w:val="36"/>
              </w:rPr>
              <w:t>Link local battery production, charging partnerships and dealer education to future BEV adoption.</w:t>
            </w:r>
          </w:p>
        </w:tc>
        <w:tc>
          <w:tcPr>
            <w:tcW w:w="2880" w:type="dxa"/>
          </w:tcPr>
          <w:p w14:paraId="675C3A76" w14:textId="77777777" w:rsidR="006D5068" w:rsidRPr="00470C66" w:rsidRDefault="00000000" w:rsidP="00964DDE">
            <w:pPr>
              <w:spacing w:line="240" w:lineRule="auto"/>
              <w:jc w:val="both"/>
              <w:rPr>
                <w:szCs w:val="36"/>
              </w:rPr>
            </w:pPr>
            <w:r w:rsidRPr="00470C66">
              <w:rPr>
                <w:szCs w:val="36"/>
              </w:rPr>
              <w:t>Competitive advantage will depend on ecosystems, not only vehicle models.</w:t>
            </w:r>
          </w:p>
        </w:tc>
      </w:tr>
    </w:tbl>
    <w:p w14:paraId="05C6F419" w14:textId="77777777" w:rsidR="006D5068" w:rsidRDefault="006D5068" w:rsidP="00964DDE">
      <w:pPr>
        <w:spacing w:after="40"/>
        <w:jc w:val="both"/>
      </w:pPr>
    </w:p>
    <w:p w14:paraId="3C8F09F8" w14:textId="77777777" w:rsidR="006D5068" w:rsidRDefault="00000000" w:rsidP="00964DDE">
      <w:pPr>
        <w:pStyle w:val="SourceNote"/>
        <w:spacing w:after="120"/>
        <w:jc w:val="both"/>
      </w:pPr>
      <w:r>
        <w:rPr>
          <w:rFonts w:cs="Arial"/>
        </w:rPr>
        <w:t>Source: Author’s recommendations based on analysis of Toyota Motor Corporation (2025a), Toyota Motor North America (2026), Ministry of Economy, Trade and Industry (2024), U.S. Environmental Protection Agency (2024), International Energy Agency (2025), U.S. Department of Justice (2014), Pamidimukkala et al. (2024), and de Freitas Netto et al. (2020).</w:t>
      </w:r>
    </w:p>
    <w:p w14:paraId="567E5359" w14:textId="77777777" w:rsidR="00A932DF" w:rsidRDefault="00A932DF" w:rsidP="00964DDE">
      <w:pPr>
        <w:spacing w:after="120"/>
        <w:jc w:val="both"/>
      </w:pPr>
      <w:r w:rsidRPr="00A932DF">
        <w:t xml:space="preserve">More urgent is more evident electrification segmentation. Toyota’s current strength is that it can offer multiple technologies. Its weakness is that customers might be not aware of the strategic distinction of those technologies. Toyota must then deploy three-level message system to 2026-2028: hybrid immediate fuel efficiency and low infrastructure-dependence, plug-in hybrid mixed-commuting, and BEV customers with access to charging facilities and stronger values on zero-tailpipe-emission. This needs to be quantified online model- selector completion, dealer lead conversion and customer knowledge about HEV, PHEV and BEV differences. This would make the technology depth customer transparent. </w:t>
      </w:r>
    </w:p>
    <w:p w14:paraId="47505885" w14:textId="77777777" w:rsidR="00A932DF" w:rsidRDefault="00A932DF" w:rsidP="00964DDE">
      <w:pPr>
        <w:spacing w:after="120"/>
        <w:jc w:val="both"/>
      </w:pPr>
      <w:r w:rsidRPr="00A932DF">
        <w:t xml:space="preserve">The second suggestion is to consider the communication of safety as a marketing strategy and not compliance only. The U.S. ethical problem that Toyota faces demonstrates that brand trust may be antagonized in case of defensive or incomplete </w:t>
      </w:r>
      <w:r w:rsidRPr="00A932DF">
        <w:lastRenderedPageBreak/>
        <w:t xml:space="preserve">communication. The safety communication in the future must be quick, simple, evidence-based, and dealer-supported. Toyota ought to establish a goal of enabling customers to receive a 48-hour initial communication of key safety issues to them, it should have a public recall dashboard of completion by model and standardized both dealer scripts to discuss recalls. This is not just morally the best thing to do; it is safeguarding the brand since the positioning of Toyota is built on trust rather than novelty. The third is to retain brand core and varying the proof. Toyota must not give up its promise of quality, durability and reliability in the worldwide market. But in Japan, that assurance must be backed by household faith, tightness in movement and durability whereas in the United States, it must be backed by family worth, dealer support, safety indication and electrified decision. </w:t>
      </w:r>
    </w:p>
    <w:p w14:paraId="7060C253" w14:textId="77777777" w:rsidR="006D5068" w:rsidRDefault="00000000" w:rsidP="00964DDE">
      <w:pPr>
        <w:pStyle w:val="Heading1"/>
        <w:spacing w:before="200" w:after="120"/>
        <w:jc w:val="both"/>
      </w:pPr>
      <w:bookmarkStart w:id="24" w:name="_Toc233937258"/>
      <w:bookmarkStart w:id="25" w:name="_Toc234063791"/>
      <w:r>
        <w:rPr>
          <w:rFonts w:ascii="Arial" w:eastAsia="Arial" w:hAnsi="Arial" w:cs="Arial"/>
        </w:rPr>
        <w:t>10. Conclusion</w:t>
      </w:r>
      <w:bookmarkEnd w:id="24"/>
      <w:bookmarkEnd w:id="25"/>
    </w:p>
    <w:p w14:paraId="4B0BEC74" w14:textId="77777777" w:rsidR="00A932DF" w:rsidRDefault="00A932DF" w:rsidP="00964DDE">
      <w:pPr>
        <w:spacing w:after="120"/>
        <w:jc w:val="both"/>
      </w:pPr>
      <w:r w:rsidRPr="00A932DF">
        <w:t xml:space="preserve">The Toyota Japan and United States strategies demonstrate that effective international marketing is both not completely </w:t>
      </w:r>
      <w:proofErr w:type="spellStart"/>
      <w:r w:rsidRPr="00A932DF">
        <w:t>standardised</w:t>
      </w:r>
      <w:proofErr w:type="spellEnd"/>
      <w:r w:rsidRPr="00A932DF">
        <w:t xml:space="preserve"> and not completely </w:t>
      </w:r>
      <w:proofErr w:type="spellStart"/>
      <w:r w:rsidRPr="00A932DF">
        <w:t>localised</w:t>
      </w:r>
      <w:proofErr w:type="spellEnd"/>
      <w:r w:rsidRPr="00A932DF">
        <w:t>. This report thus dismisses the mere descriptive analysis of Toyota as a successful car company worldwide. Its winning is in the constant adaptation of the brand consistency and the market fit. It is also indicated in the analysis that selling more vehicles is not the only future challenge facing Toyota. The U.S. unintended acceleration case illustrates that the principle of trust positioning places excessive pressure of transparency. The transition to electrification presents a second weight, Toyota has to justify a decision in terms of technology, but not leave the feeling that the brand refuses to take a more definite stance on the environment. The best path to go is then disciplined adaptation which is backed up by clear evidence.</w:t>
      </w:r>
    </w:p>
    <w:p w14:paraId="237AF330" w14:textId="77777777" w:rsidR="006D5068" w:rsidRDefault="006D5068" w:rsidP="00964DDE">
      <w:pPr>
        <w:spacing w:after="120"/>
        <w:jc w:val="both"/>
      </w:pPr>
    </w:p>
    <w:p w14:paraId="3ED03222" w14:textId="77777777" w:rsidR="00A932DF" w:rsidRDefault="00A932DF" w:rsidP="00964DDE">
      <w:pPr>
        <w:spacing w:line="276" w:lineRule="auto"/>
        <w:jc w:val="both"/>
        <w:rPr>
          <w:b/>
          <w:bCs/>
          <w:color w:val="000000"/>
          <w:sz w:val="32"/>
          <w:szCs w:val="28"/>
        </w:rPr>
      </w:pPr>
      <w:bookmarkStart w:id="26" w:name="_Toc233937259"/>
      <w:r>
        <w:br w:type="page"/>
      </w:r>
    </w:p>
    <w:p w14:paraId="542016F2" w14:textId="77777777" w:rsidR="006D5068" w:rsidRDefault="00000000" w:rsidP="00964DDE">
      <w:pPr>
        <w:pStyle w:val="Heading1"/>
        <w:spacing w:before="200" w:after="120"/>
        <w:jc w:val="both"/>
      </w:pPr>
      <w:bookmarkStart w:id="27" w:name="_Toc234063792"/>
      <w:r>
        <w:rPr>
          <w:rFonts w:ascii="Arial" w:eastAsia="Arial" w:hAnsi="Arial" w:cs="Arial"/>
        </w:rPr>
        <w:lastRenderedPageBreak/>
        <w:t>11. Reflective Account Using Gibbs’ Reflective Cycle</w:t>
      </w:r>
      <w:bookmarkEnd w:id="26"/>
      <w:bookmarkEnd w:id="27"/>
    </w:p>
    <w:p w14:paraId="6E1D1E86" w14:textId="77777777" w:rsidR="00A932DF" w:rsidRDefault="00A932DF" w:rsidP="00964DDE">
      <w:pPr>
        <w:spacing w:after="120"/>
        <w:jc w:val="both"/>
      </w:pPr>
      <w:r w:rsidRPr="00A932DF">
        <w:t xml:space="preserve">The reflective cycle by Gibbs is applied to this section since it enables the research process to be assessed at a number of steps: description, feelings, evaluation, analysis, conclusion and action plan (Gibbs, 1988). The reflection focuses on how the report was researched, </w:t>
      </w:r>
      <w:proofErr w:type="spellStart"/>
      <w:r w:rsidRPr="00A932DF">
        <w:t>analysed</w:t>
      </w:r>
      <w:proofErr w:type="spellEnd"/>
      <w:r w:rsidRPr="00A932DF">
        <w:t xml:space="preserve"> and prepared, rather than repeating the findings.</w:t>
      </w:r>
    </w:p>
    <w:p w14:paraId="6E28E7FF" w14:textId="77777777" w:rsidR="006D5068" w:rsidRDefault="00000000" w:rsidP="00964DDE">
      <w:pPr>
        <w:spacing w:before="120" w:after="0"/>
        <w:jc w:val="both"/>
      </w:pPr>
      <w:r>
        <w:rPr>
          <w:b/>
        </w:rPr>
        <w:t>Description</w:t>
      </w:r>
    </w:p>
    <w:p w14:paraId="32592271" w14:textId="77777777" w:rsidR="00A932DF" w:rsidRDefault="00A932DF" w:rsidP="00964DDE">
      <w:pPr>
        <w:spacing w:after="120"/>
        <w:jc w:val="both"/>
      </w:pPr>
      <w:r w:rsidRPr="00A932DF">
        <w:t>The assignment involved a comparative international marketing report of a single brand between two countries. I have chosen Toyota, Japan and the United States as it provides sufficient evidence related to all the needed sections of the task: PESTEL, Hofstede, STP, 7Ps, entry strategy, ethical analysis and recommendations. The assignment requirements initiated the research process and were followed by the official sources of corporate data, international sources and scholarly literature in marketing. The sources that I used are Toyota financial summary, Toyota motor North America sales data, world bank country indicators, Hofstede cultural data, regulatory sources and literature on international marketing strategy. The objective was to not come up with a descriptive brand image, but rather a critical comparative data backed profile.</w:t>
      </w:r>
    </w:p>
    <w:p w14:paraId="208B05D2" w14:textId="77777777" w:rsidR="006D5068" w:rsidRDefault="00000000" w:rsidP="00964DDE">
      <w:pPr>
        <w:spacing w:before="120" w:after="0"/>
        <w:jc w:val="both"/>
      </w:pPr>
      <w:r>
        <w:rPr>
          <w:b/>
        </w:rPr>
        <w:t>Feelings</w:t>
      </w:r>
    </w:p>
    <w:p w14:paraId="106B08AE" w14:textId="77777777" w:rsidR="00A932DF" w:rsidRDefault="00A932DF" w:rsidP="00964DDE">
      <w:pPr>
        <w:spacing w:after="120"/>
        <w:jc w:val="both"/>
      </w:pPr>
      <w:r w:rsidRPr="00A932DF">
        <w:t xml:space="preserve">The scope of the task was the biggest problem at first. Toyota is an old company with very many products and therefore there was a danger that the report would be too general. Initially I was of the opinion that most of the details were pertinent and in particular; product models, sustainability strategy, U.S sales, Japanese market conditions and the recall crisis. I </w:t>
      </w:r>
      <w:proofErr w:type="spellStart"/>
      <w:r w:rsidRPr="00A932DF">
        <w:t>realised</w:t>
      </w:r>
      <w:proofErr w:type="spellEnd"/>
      <w:r w:rsidRPr="00A932DF">
        <w:t xml:space="preserve"> though that it would be imprudent to incorporate all the details in the analysis. To complete the assignment, comparison and critical judgement were needed, so I had to choose evidence which described strategic differences and not just demonstrated that Toyota is successful.</w:t>
      </w:r>
    </w:p>
    <w:p w14:paraId="7538C84F" w14:textId="77777777" w:rsidR="006D5068" w:rsidRDefault="00000000" w:rsidP="00964DDE">
      <w:pPr>
        <w:spacing w:before="120" w:after="0"/>
        <w:jc w:val="both"/>
      </w:pPr>
      <w:r>
        <w:rPr>
          <w:b/>
        </w:rPr>
        <w:t>Evaluation</w:t>
      </w:r>
    </w:p>
    <w:p w14:paraId="1E697B62" w14:textId="77777777" w:rsidR="00A932DF" w:rsidRDefault="00A932DF" w:rsidP="00964DDE">
      <w:pPr>
        <w:spacing w:after="120"/>
        <w:jc w:val="both"/>
      </w:pPr>
      <w:r w:rsidRPr="00A932DF">
        <w:t xml:space="preserve">The most effective aspect of the process was the utilization of credible data. The World Bank and the regulative sources facilitated the country comparison by providing Toyota with sales and strategy reports. The process however demonstrated also evidence is not </w:t>
      </w:r>
      <w:r w:rsidRPr="00A932DF">
        <w:lastRenderedPageBreak/>
        <w:t>necessarily analytical. A sales amount could represent the market size or as a critical question, whether the strategic risk is greater in North America due to size.</w:t>
      </w:r>
    </w:p>
    <w:p w14:paraId="4FAF1BAB" w14:textId="77777777" w:rsidR="006D5068" w:rsidRDefault="00000000" w:rsidP="00964DDE">
      <w:pPr>
        <w:spacing w:before="120" w:after="0"/>
        <w:jc w:val="both"/>
      </w:pPr>
      <w:r>
        <w:rPr>
          <w:b/>
        </w:rPr>
        <w:t xml:space="preserve"> Analysis</w:t>
      </w:r>
    </w:p>
    <w:p w14:paraId="0BC54A63" w14:textId="77777777" w:rsidR="00A932DF" w:rsidRDefault="00A932DF" w:rsidP="00964DDE">
      <w:pPr>
        <w:spacing w:after="120"/>
        <w:jc w:val="both"/>
      </w:pPr>
      <w:r w:rsidRPr="00A932DF">
        <w:t>The research process revealed that the critical analysis is based on comparison, contradiction and evidence. For example, Toyota’s hybrid strength appears positive when viewed through customer affordability and infrastructure readiness, but it becomes more complex when viewed through environmental expectations and BEV competition. This led me to understand that a high-quality report must not impose evidence in just one way or another to judgement, whether positive or negative. It is supposed to demonstrate in what situations a strategy will be effective and in which situations it will be risky. The awareness of the quality of sources also increased on my part. Company reports, however, although useful, are not impartial since they highlight the story that the company wants to tell. As such, I had balanced sources of Toyota and government, industry, and academic sources. The sources in the Department of Justice and Department of Transportation turned out to be particularly useful, since they established a kind of a balance to corporate self-presentation and provided the ethical assessment with a more critical tone.</w:t>
      </w:r>
    </w:p>
    <w:p w14:paraId="2AC37495" w14:textId="77777777" w:rsidR="006D5068" w:rsidRDefault="00000000" w:rsidP="00964DDE">
      <w:pPr>
        <w:spacing w:before="120" w:after="0"/>
        <w:jc w:val="both"/>
      </w:pPr>
      <w:r>
        <w:rPr>
          <w:b/>
        </w:rPr>
        <w:t xml:space="preserve"> Conclusion</w:t>
      </w:r>
    </w:p>
    <w:p w14:paraId="275C4FF2" w14:textId="77777777" w:rsidR="00A932DF" w:rsidRDefault="00A932DF" w:rsidP="00964DDE">
      <w:pPr>
        <w:spacing w:after="120"/>
        <w:jc w:val="both"/>
      </w:pPr>
      <w:r w:rsidRPr="00A932DF">
        <w:t xml:space="preserve">Substantial lessons of the process are that a sound international marketing report should describe strategic fit. It is not sufficient to declare that Toyota employs various products or ads in Japan and the United States. The report should provide reasons as to why there are said differences, whether such differences are reasonable and what risks still exist and how the company is supposed to act. This altered the work </w:t>
      </w:r>
      <w:r>
        <w:t xml:space="preserve">from </w:t>
      </w:r>
      <w:r w:rsidRPr="00A932DF">
        <w:t>descriptive to evaluation.</w:t>
      </w:r>
    </w:p>
    <w:p w14:paraId="1B73CC43" w14:textId="77777777" w:rsidR="006D5068" w:rsidRDefault="00000000" w:rsidP="00964DDE">
      <w:pPr>
        <w:spacing w:before="120" w:after="0"/>
        <w:jc w:val="both"/>
      </w:pPr>
      <w:r>
        <w:rPr>
          <w:b/>
        </w:rPr>
        <w:t xml:space="preserve"> Action Plan</w:t>
      </w:r>
    </w:p>
    <w:p w14:paraId="446FD58B" w14:textId="77777777" w:rsidR="00FF17BC" w:rsidRDefault="00FF17BC" w:rsidP="00964DDE">
      <w:pPr>
        <w:spacing w:after="120"/>
        <w:jc w:val="both"/>
      </w:pPr>
      <w:r w:rsidRPr="00FF17BC">
        <w:t>A more focused evidence map would have helped me to exclude unimportant information and focus on essential evidence in the future reports. I would also prepare recommendations sooner, since they have to be evolved on the basis of the analysis and do not emerge at the end. Finally, I would test each section with three questions: what does this evidence prove, what does it not prove and what judgement follows?</w:t>
      </w:r>
    </w:p>
    <w:p w14:paraId="11601FF9" w14:textId="77777777" w:rsidR="006D5068" w:rsidRDefault="00000000">
      <w:pPr>
        <w:pStyle w:val="Heading1"/>
        <w:pageBreakBefore/>
        <w:spacing w:before="200" w:after="120"/>
      </w:pPr>
      <w:bookmarkStart w:id="28" w:name="_Toc233937260"/>
      <w:bookmarkStart w:id="29" w:name="_Toc234063793"/>
      <w:r>
        <w:rPr>
          <w:rFonts w:ascii="Arial" w:eastAsia="Arial" w:hAnsi="Arial" w:cs="Arial"/>
        </w:rPr>
        <w:lastRenderedPageBreak/>
        <w:t>References</w:t>
      </w:r>
      <w:bookmarkEnd w:id="28"/>
      <w:bookmarkEnd w:id="29"/>
    </w:p>
    <w:p w14:paraId="2FB74B34" w14:textId="77777777" w:rsidR="00964DDE" w:rsidRPr="00964DDE" w:rsidRDefault="00964DDE" w:rsidP="0046798E">
      <w:pPr>
        <w:spacing w:before="240" w:line="276" w:lineRule="auto"/>
      </w:pPr>
      <w:r w:rsidRPr="00964DDE">
        <w:t xml:space="preserve">Booms, B.H. and Bitner, M.J. (1981) ‘Marketing strategies and organization structures for service firms’, in Donnelly, J.H. and George, W.R. (eds.) </w:t>
      </w:r>
      <w:r w:rsidRPr="00964DDE">
        <w:rPr>
          <w:i/>
          <w:iCs/>
        </w:rPr>
        <w:t>Marketing of Services</w:t>
      </w:r>
      <w:r w:rsidRPr="00964DDE">
        <w:t>. Chicago: American Marketing Association, pp. 47–51.</w:t>
      </w:r>
    </w:p>
    <w:p w14:paraId="25CCE920" w14:textId="77777777" w:rsidR="00964DDE" w:rsidRPr="00964DDE" w:rsidRDefault="00964DDE" w:rsidP="0046798E">
      <w:pPr>
        <w:spacing w:before="240" w:line="276" w:lineRule="auto"/>
      </w:pPr>
      <w:proofErr w:type="spellStart"/>
      <w:r w:rsidRPr="00964DDE">
        <w:t>Cavusgil</w:t>
      </w:r>
      <w:proofErr w:type="spellEnd"/>
      <w:r w:rsidRPr="00964DDE">
        <w:t xml:space="preserve">, S.T., Knight, G. and Riesenberger, J.R. (2020) </w:t>
      </w:r>
      <w:r w:rsidRPr="00964DDE">
        <w:rPr>
          <w:i/>
          <w:iCs/>
        </w:rPr>
        <w:t>International Business: The New Realities</w:t>
      </w:r>
      <w:r w:rsidRPr="00964DDE">
        <w:t xml:space="preserve">. 5th </w:t>
      </w:r>
      <w:proofErr w:type="spellStart"/>
      <w:r w:rsidRPr="00964DDE">
        <w:t>edn</w:t>
      </w:r>
      <w:proofErr w:type="spellEnd"/>
      <w:r w:rsidRPr="00964DDE">
        <w:t>. Harlow: Pearson.</w:t>
      </w:r>
    </w:p>
    <w:p w14:paraId="4118454B" w14:textId="77777777" w:rsidR="00964DDE" w:rsidRPr="00964DDE" w:rsidRDefault="00964DDE" w:rsidP="0046798E">
      <w:pPr>
        <w:spacing w:before="240" w:line="276" w:lineRule="auto"/>
      </w:pPr>
      <w:r w:rsidRPr="00964DDE">
        <w:t xml:space="preserve">de Freitas Netto, S.V., Sobral, M.F.F., Ribeiro, A.R.B. and Soares, G.R. da L. (2020) ‘Concepts and forms of greenwashing: a systematic review’, </w:t>
      </w:r>
      <w:r w:rsidRPr="00964DDE">
        <w:rPr>
          <w:i/>
          <w:iCs/>
        </w:rPr>
        <w:t>Environmental Sciences Europe</w:t>
      </w:r>
      <w:r w:rsidRPr="00964DDE">
        <w:t xml:space="preserve">, 32, article 19. Available at: </w:t>
      </w:r>
      <w:hyperlink r:id="rId11" w:tgtFrame="_new" w:history="1">
        <w:r w:rsidRPr="00964DDE">
          <w:rPr>
            <w:rStyle w:val="Hyperlink"/>
          </w:rPr>
          <w:t>https://doi.org/10.1186/s12302-020-0300-3</w:t>
        </w:r>
      </w:hyperlink>
      <w:r w:rsidRPr="00964DDE">
        <w:t xml:space="preserve"> (Accessed: 30 June 2026).</w:t>
      </w:r>
    </w:p>
    <w:p w14:paraId="5B2731D3" w14:textId="77777777" w:rsidR="00964DDE" w:rsidRPr="00964DDE" w:rsidRDefault="00964DDE" w:rsidP="0046798E">
      <w:pPr>
        <w:spacing w:before="240" w:line="276" w:lineRule="auto"/>
      </w:pPr>
      <w:r w:rsidRPr="00964DDE">
        <w:t xml:space="preserve">Douglas, S.P. and Craig, C.S. (2011) ‘Convergence and divergence: developing a semiglobal marketing strategy’, </w:t>
      </w:r>
      <w:r w:rsidRPr="00964DDE">
        <w:rPr>
          <w:i/>
          <w:iCs/>
        </w:rPr>
        <w:t>Journal of International Marketing</w:t>
      </w:r>
      <w:r w:rsidRPr="00964DDE">
        <w:t xml:space="preserve">, 19(1), pp. 82–101. Available at: </w:t>
      </w:r>
      <w:hyperlink r:id="rId12" w:tgtFrame="_new" w:history="1">
        <w:r w:rsidRPr="00964DDE">
          <w:rPr>
            <w:rStyle w:val="Hyperlink"/>
          </w:rPr>
          <w:t>https://doi.org/10.1509/jimk.19.1.82</w:t>
        </w:r>
      </w:hyperlink>
      <w:r w:rsidRPr="00964DDE">
        <w:t xml:space="preserve"> (Accessed: 30 June 2026).</w:t>
      </w:r>
    </w:p>
    <w:p w14:paraId="09AF54DB" w14:textId="77777777" w:rsidR="00964DDE" w:rsidRPr="00964DDE" w:rsidRDefault="00964DDE" w:rsidP="0046798E">
      <w:pPr>
        <w:spacing w:before="240" w:line="276" w:lineRule="auto"/>
      </w:pPr>
      <w:r w:rsidRPr="00964DDE">
        <w:t xml:space="preserve">Gibbs, G. (1988) </w:t>
      </w:r>
      <w:r w:rsidRPr="00964DDE">
        <w:rPr>
          <w:i/>
          <w:iCs/>
        </w:rPr>
        <w:t>Learning by Doing: A Guide to Teaching and Learning Methods</w:t>
      </w:r>
      <w:r w:rsidRPr="00964DDE">
        <w:t>. Oxford: Further Education Unit.</w:t>
      </w:r>
    </w:p>
    <w:p w14:paraId="265709EF" w14:textId="77777777" w:rsidR="00964DDE" w:rsidRPr="00964DDE" w:rsidRDefault="00964DDE" w:rsidP="0046798E">
      <w:pPr>
        <w:spacing w:before="240" w:line="276" w:lineRule="auto"/>
      </w:pPr>
      <w:r w:rsidRPr="00964DDE">
        <w:t xml:space="preserve">Griffith, D.A. (2021) ‘Connecting sustainable marketing and international marketing strategy standardization/adaptation: research opportunities’, </w:t>
      </w:r>
      <w:r w:rsidRPr="00964DDE">
        <w:rPr>
          <w:i/>
          <w:iCs/>
        </w:rPr>
        <w:t>Journal of Sustainable Marketing</w:t>
      </w:r>
      <w:r w:rsidRPr="00964DDE">
        <w:t xml:space="preserve">, 2(2), pp. 47–51. Available at: </w:t>
      </w:r>
      <w:hyperlink r:id="rId13" w:tgtFrame="_new" w:history="1">
        <w:r w:rsidRPr="00964DDE">
          <w:rPr>
            <w:rStyle w:val="Hyperlink"/>
          </w:rPr>
          <w:t>https://doi.org/10.51300/jsm-2021-40</w:t>
        </w:r>
      </w:hyperlink>
      <w:r w:rsidRPr="00964DDE">
        <w:t xml:space="preserve"> (Accessed: 30 June 2026).</w:t>
      </w:r>
    </w:p>
    <w:p w14:paraId="7424EE63" w14:textId="77777777" w:rsidR="00964DDE" w:rsidRPr="00964DDE" w:rsidRDefault="00964DDE" w:rsidP="0046798E">
      <w:pPr>
        <w:spacing w:before="240" w:line="276" w:lineRule="auto"/>
      </w:pPr>
      <w:r w:rsidRPr="00964DDE">
        <w:t xml:space="preserve">Hofstede, G., Hofstede, G.J. and Minkov, M. (2010) </w:t>
      </w:r>
      <w:r w:rsidRPr="00964DDE">
        <w:rPr>
          <w:i/>
          <w:iCs/>
        </w:rPr>
        <w:t>Cultures and Organizations: Software of the Mind</w:t>
      </w:r>
      <w:r w:rsidRPr="00964DDE">
        <w:t xml:space="preserve">. 3rd </w:t>
      </w:r>
      <w:proofErr w:type="spellStart"/>
      <w:r w:rsidRPr="00964DDE">
        <w:t>edn</w:t>
      </w:r>
      <w:proofErr w:type="spellEnd"/>
      <w:r w:rsidRPr="00964DDE">
        <w:t>. New York: McGraw-Hill.</w:t>
      </w:r>
    </w:p>
    <w:p w14:paraId="47DA40A1" w14:textId="77777777" w:rsidR="00964DDE" w:rsidRPr="00964DDE" w:rsidRDefault="00964DDE" w:rsidP="0046798E">
      <w:pPr>
        <w:spacing w:before="240" w:line="276" w:lineRule="auto"/>
      </w:pPr>
      <w:r w:rsidRPr="00964DDE">
        <w:t xml:space="preserve">Hollensen, S. (2020) </w:t>
      </w:r>
      <w:r w:rsidRPr="00964DDE">
        <w:rPr>
          <w:i/>
          <w:iCs/>
        </w:rPr>
        <w:t>Global Marketing</w:t>
      </w:r>
      <w:r w:rsidRPr="00964DDE">
        <w:t xml:space="preserve">. 8th </w:t>
      </w:r>
      <w:proofErr w:type="spellStart"/>
      <w:r w:rsidRPr="00964DDE">
        <w:t>edn</w:t>
      </w:r>
      <w:proofErr w:type="spellEnd"/>
      <w:r w:rsidRPr="00964DDE">
        <w:t>. Harlow: Pearson.</w:t>
      </w:r>
    </w:p>
    <w:p w14:paraId="1AEE3349" w14:textId="77777777" w:rsidR="00964DDE" w:rsidRPr="00964DDE" w:rsidRDefault="00964DDE" w:rsidP="0046798E">
      <w:pPr>
        <w:spacing w:before="240" w:line="276" w:lineRule="auto"/>
      </w:pPr>
      <w:r w:rsidRPr="00964DDE">
        <w:t xml:space="preserve">International Energy Agency (2025) </w:t>
      </w:r>
      <w:r w:rsidRPr="00964DDE">
        <w:rPr>
          <w:i/>
          <w:iCs/>
        </w:rPr>
        <w:t>Global EV Outlook 2025: Executive Summary</w:t>
      </w:r>
      <w:r w:rsidRPr="00964DDE">
        <w:t xml:space="preserve">. Available at: </w:t>
      </w:r>
      <w:hyperlink r:id="rId14" w:tgtFrame="_new" w:history="1">
        <w:r w:rsidRPr="00964DDE">
          <w:rPr>
            <w:rStyle w:val="Hyperlink"/>
          </w:rPr>
          <w:t>https://www.iea.org/reports/global-ev-outlook-2025/executive-summary</w:t>
        </w:r>
      </w:hyperlink>
      <w:r w:rsidRPr="00964DDE">
        <w:t xml:space="preserve"> (Accessed: 30 June 2026).</w:t>
      </w:r>
    </w:p>
    <w:p w14:paraId="3F324658" w14:textId="77777777" w:rsidR="00964DDE" w:rsidRPr="00964DDE" w:rsidRDefault="00964DDE" w:rsidP="0046798E">
      <w:pPr>
        <w:spacing w:before="240" w:line="276" w:lineRule="auto"/>
      </w:pPr>
      <w:r w:rsidRPr="00964DDE">
        <w:t xml:space="preserve">Kotler, P., Keller, K.L. and Chernev, A. (2022) </w:t>
      </w:r>
      <w:r w:rsidRPr="00964DDE">
        <w:rPr>
          <w:i/>
          <w:iCs/>
        </w:rPr>
        <w:t>Marketing Management</w:t>
      </w:r>
      <w:r w:rsidRPr="00964DDE">
        <w:t xml:space="preserve">. 16th </w:t>
      </w:r>
      <w:proofErr w:type="spellStart"/>
      <w:r w:rsidRPr="00964DDE">
        <w:t>edn</w:t>
      </w:r>
      <w:proofErr w:type="spellEnd"/>
      <w:r w:rsidRPr="00964DDE">
        <w:t>. Harlow: Pearson.</w:t>
      </w:r>
    </w:p>
    <w:p w14:paraId="06C17B1C" w14:textId="77777777" w:rsidR="00964DDE" w:rsidRPr="00964DDE" w:rsidRDefault="00964DDE" w:rsidP="0046798E">
      <w:pPr>
        <w:spacing w:before="240" w:line="276" w:lineRule="auto"/>
      </w:pPr>
      <w:r w:rsidRPr="00964DDE">
        <w:t xml:space="preserve">Mandler, T., Sezen, B., Chen, J. and </w:t>
      </w:r>
      <w:proofErr w:type="spellStart"/>
      <w:r w:rsidRPr="00964DDE">
        <w:t>Özsomer</w:t>
      </w:r>
      <w:proofErr w:type="spellEnd"/>
      <w:r w:rsidRPr="00964DDE">
        <w:t xml:space="preserve">, A. (2021) ‘Performance consequences of marketing standardization/adaptation: a systematic literature review and future research agenda’, </w:t>
      </w:r>
      <w:r w:rsidRPr="00964DDE">
        <w:rPr>
          <w:i/>
          <w:iCs/>
        </w:rPr>
        <w:t>Journal of Business Research</w:t>
      </w:r>
      <w:r w:rsidRPr="00964DDE">
        <w:t xml:space="preserve">, 125, pp. 416–435. Available at: </w:t>
      </w:r>
      <w:hyperlink r:id="rId15" w:tgtFrame="_new" w:history="1">
        <w:r w:rsidRPr="00964DDE">
          <w:rPr>
            <w:rStyle w:val="Hyperlink"/>
          </w:rPr>
          <w:t>https://doi.org/10.1016/j.jbusres.2020.12.023</w:t>
        </w:r>
      </w:hyperlink>
      <w:r w:rsidRPr="00964DDE">
        <w:t xml:space="preserve"> (Accessed: 30 June 2026).</w:t>
      </w:r>
    </w:p>
    <w:p w14:paraId="479C8C2E" w14:textId="77777777" w:rsidR="00964DDE" w:rsidRPr="00964DDE" w:rsidRDefault="00964DDE" w:rsidP="0046798E">
      <w:pPr>
        <w:spacing w:before="240" w:line="276" w:lineRule="auto"/>
      </w:pPr>
      <w:r w:rsidRPr="00964DDE">
        <w:lastRenderedPageBreak/>
        <w:t xml:space="preserve">Ministry of Economy, Trade and Industry (2024) </w:t>
      </w:r>
      <w:r w:rsidRPr="00964DDE">
        <w:rPr>
          <w:i/>
          <w:iCs/>
        </w:rPr>
        <w:t>Subsidies Upgraded for the Purchase of Clean Energy Vehicles</w:t>
      </w:r>
      <w:r w:rsidRPr="00964DDE">
        <w:t xml:space="preserve">. Available at: </w:t>
      </w:r>
      <w:hyperlink r:id="rId16" w:tgtFrame="_new" w:history="1">
        <w:r w:rsidRPr="00964DDE">
          <w:rPr>
            <w:rStyle w:val="Hyperlink"/>
          </w:rPr>
          <w:t>https://www.enecho.meti.go.jp/en/category/special/article/detail_199.html</w:t>
        </w:r>
      </w:hyperlink>
      <w:r w:rsidRPr="00964DDE">
        <w:t xml:space="preserve"> (Accessed: 30 June 2026).</w:t>
      </w:r>
    </w:p>
    <w:p w14:paraId="5BBAA497" w14:textId="77777777" w:rsidR="00964DDE" w:rsidRPr="00964DDE" w:rsidRDefault="00964DDE" w:rsidP="0046798E">
      <w:pPr>
        <w:spacing w:before="240" w:line="276" w:lineRule="auto"/>
      </w:pPr>
      <w:r w:rsidRPr="00964DDE">
        <w:t xml:space="preserve">National Automobile Dealers Association (2025) </w:t>
      </w:r>
      <w:r w:rsidRPr="00964DDE">
        <w:rPr>
          <w:i/>
          <w:iCs/>
        </w:rPr>
        <w:t xml:space="preserve">December 2025 Market Beat: New Light-Vehicle Sales Totaled 16.2 </w:t>
      </w:r>
      <w:proofErr w:type="gramStart"/>
      <w:r w:rsidRPr="00964DDE">
        <w:rPr>
          <w:i/>
          <w:iCs/>
        </w:rPr>
        <w:t>Million</w:t>
      </w:r>
      <w:proofErr w:type="gramEnd"/>
      <w:r w:rsidRPr="00964DDE">
        <w:rPr>
          <w:i/>
          <w:iCs/>
        </w:rPr>
        <w:t xml:space="preserve"> Units in 2025</w:t>
      </w:r>
      <w:r w:rsidRPr="00964DDE">
        <w:t xml:space="preserve">. Available at: </w:t>
      </w:r>
      <w:hyperlink r:id="rId17" w:tgtFrame="_new" w:history="1">
        <w:r w:rsidRPr="00964DDE">
          <w:rPr>
            <w:rStyle w:val="Hyperlink"/>
          </w:rPr>
          <w:t>https://www.nada.org/nada/nada-headlines/december-2025-market-beat-new-light-vehicle-sales-totaled-162-million-units</w:t>
        </w:r>
      </w:hyperlink>
      <w:r w:rsidRPr="00964DDE">
        <w:t xml:space="preserve"> (Accessed: 30 June 2026).</w:t>
      </w:r>
    </w:p>
    <w:p w14:paraId="22491391" w14:textId="77777777" w:rsidR="00964DDE" w:rsidRPr="00964DDE" w:rsidRDefault="00964DDE" w:rsidP="0046798E">
      <w:pPr>
        <w:spacing w:before="240" w:line="276" w:lineRule="auto"/>
      </w:pPr>
      <w:r w:rsidRPr="00964DDE">
        <w:t xml:space="preserve">Nippon.com (2026) </w:t>
      </w:r>
      <w:r w:rsidRPr="00964DDE">
        <w:rPr>
          <w:i/>
          <w:iCs/>
        </w:rPr>
        <w:t>Japan’s New Car Sales Rise by 3.3% in 2025</w:t>
      </w:r>
      <w:r w:rsidRPr="00964DDE">
        <w:t xml:space="preserve">. Available at: </w:t>
      </w:r>
      <w:hyperlink r:id="rId18" w:tgtFrame="_new" w:history="1">
        <w:r w:rsidRPr="00964DDE">
          <w:rPr>
            <w:rStyle w:val="Hyperlink"/>
          </w:rPr>
          <w:t>https://www.nippon.com/en/japan-data/h02659/</w:t>
        </w:r>
      </w:hyperlink>
      <w:r w:rsidRPr="00964DDE">
        <w:t xml:space="preserve"> (Accessed: 30 June 2026).</w:t>
      </w:r>
    </w:p>
    <w:p w14:paraId="68806BED" w14:textId="77777777" w:rsidR="00964DDE" w:rsidRPr="00964DDE" w:rsidRDefault="00964DDE" w:rsidP="0046798E">
      <w:pPr>
        <w:spacing w:before="240" w:line="276" w:lineRule="auto"/>
      </w:pPr>
      <w:proofErr w:type="spellStart"/>
      <w:r w:rsidRPr="00964DDE">
        <w:t>Pamidimukkala</w:t>
      </w:r>
      <w:proofErr w:type="spellEnd"/>
      <w:r w:rsidRPr="00964DDE">
        <w:t xml:space="preserve">, A., </w:t>
      </w:r>
      <w:proofErr w:type="spellStart"/>
      <w:r w:rsidRPr="00964DDE">
        <w:t>Kermanshachi</w:t>
      </w:r>
      <w:proofErr w:type="spellEnd"/>
      <w:r w:rsidRPr="00964DDE">
        <w:t xml:space="preserve">, S., Rosenberger, J.M. and Hladik, G. (2024) ‘Barriers and motivators to the adoption of electric vehicles: a global review’, </w:t>
      </w:r>
      <w:r w:rsidRPr="00964DDE">
        <w:rPr>
          <w:i/>
          <w:iCs/>
        </w:rPr>
        <w:t>Green Energy and Intelligent Transportation</w:t>
      </w:r>
      <w:r w:rsidRPr="00964DDE">
        <w:t xml:space="preserve">, 3(2), article 100153. Available at: </w:t>
      </w:r>
      <w:hyperlink r:id="rId19" w:tgtFrame="_new" w:history="1">
        <w:r w:rsidRPr="00964DDE">
          <w:rPr>
            <w:rStyle w:val="Hyperlink"/>
          </w:rPr>
          <w:t>https://doi.org/10.1016/j.geits.2024.100153</w:t>
        </w:r>
      </w:hyperlink>
      <w:r w:rsidRPr="00964DDE">
        <w:t xml:space="preserve"> (Accessed: 30 June 2026).</w:t>
      </w:r>
    </w:p>
    <w:p w14:paraId="21B96387" w14:textId="77777777" w:rsidR="00964DDE" w:rsidRPr="00964DDE" w:rsidRDefault="00964DDE" w:rsidP="0046798E">
      <w:pPr>
        <w:spacing w:before="240" w:line="276" w:lineRule="auto"/>
      </w:pPr>
      <w:r w:rsidRPr="00964DDE">
        <w:t xml:space="preserve">Poulis, K. (2024) ‘Standardization and adaptation as a </w:t>
      </w:r>
      <w:proofErr w:type="spellStart"/>
      <w:r w:rsidRPr="00964DDE">
        <w:t>coconstituted</w:t>
      </w:r>
      <w:proofErr w:type="spellEnd"/>
      <w:r w:rsidRPr="00964DDE">
        <w:t xml:space="preserve"> process: the pursuit of relational fit in international markets’, </w:t>
      </w:r>
      <w:r w:rsidRPr="00964DDE">
        <w:rPr>
          <w:i/>
          <w:iCs/>
        </w:rPr>
        <w:t>Journal of International Marketing</w:t>
      </w:r>
      <w:r w:rsidRPr="00964DDE">
        <w:t xml:space="preserve">, 32(2), pp. 12–32. Available at: </w:t>
      </w:r>
      <w:hyperlink r:id="rId20" w:tgtFrame="_new" w:history="1">
        <w:r w:rsidRPr="00964DDE">
          <w:rPr>
            <w:rStyle w:val="Hyperlink"/>
          </w:rPr>
          <w:t>https://doi.org/10.1177/1069031X231212414</w:t>
        </w:r>
      </w:hyperlink>
      <w:r w:rsidRPr="00964DDE">
        <w:t xml:space="preserve"> (Accessed: 30 June 2026).</w:t>
      </w:r>
    </w:p>
    <w:p w14:paraId="602BF241" w14:textId="77777777" w:rsidR="00964DDE" w:rsidRPr="00964DDE" w:rsidRDefault="00964DDE" w:rsidP="0046798E">
      <w:pPr>
        <w:spacing w:before="240" w:line="276" w:lineRule="auto"/>
      </w:pPr>
      <w:r w:rsidRPr="00964DDE">
        <w:t xml:space="preserve">Spaniol, M.J., Danilova-Jensen, E., Nielsen, M., Rosdahl, C.G. and Schmidt, C.J. (2024) ‘Defining greenwashing: a concept analysis’, </w:t>
      </w:r>
      <w:r w:rsidRPr="00964DDE">
        <w:rPr>
          <w:i/>
          <w:iCs/>
        </w:rPr>
        <w:t>Sustainability</w:t>
      </w:r>
      <w:r w:rsidRPr="00964DDE">
        <w:t xml:space="preserve">, 16(20), article 9055. Available at: </w:t>
      </w:r>
      <w:hyperlink r:id="rId21" w:tgtFrame="_new" w:history="1">
        <w:r w:rsidRPr="00964DDE">
          <w:rPr>
            <w:rStyle w:val="Hyperlink"/>
          </w:rPr>
          <w:t>https://doi.org/10.3390/su16209055</w:t>
        </w:r>
      </w:hyperlink>
      <w:r w:rsidRPr="00964DDE">
        <w:t xml:space="preserve"> (Accessed: 30 June 2026).</w:t>
      </w:r>
    </w:p>
    <w:p w14:paraId="10F99B02" w14:textId="77777777" w:rsidR="00964DDE" w:rsidRPr="00964DDE" w:rsidRDefault="00964DDE" w:rsidP="0046798E">
      <w:pPr>
        <w:spacing w:before="240" w:line="276" w:lineRule="auto"/>
      </w:pPr>
      <w:r w:rsidRPr="00964DDE">
        <w:t xml:space="preserve">The Culture Factor Group (n.d.) </w:t>
      </w:r>
      <w:r w:rsidRPr="00964DDE">
        <w:rPr>
          <w:i/>
          <w:iCs/>
        </w:rPr>
        <w:t>Country Comparison Tool</w:t>
      </w:r>
      <w:r w:rsidRPr="00964DDE">
        <w:t xml:space="preserve">. Available at: </w:t>
      </w:r>
      <w:hyperlink r:id="rId22" w:tgtFrame="_new" w:history="1">
        <w:r w:rsidRPr="00964DDE">
          <w:rPr>
            <w:rStyle w:val="Hyperlink"/>
          </w:rPr>
          <w:t>https://www.theculturefactor.com/country-comparison-tool</w:t>
        </w:r>
      </w:hyperlink>
      <w:r w:rsidRPr="00964DDE">
        <w:t xml:space="preserve"> (Accessed: 30 June 2026).</w:t>
      </w:r>
    </w:p>
    <w:p w14:paraId="52BC44B6" w14:textId="77777777" w:rsidR="00964DDE" w:rsidRPr="00964DDE" w:rsidRDefault="00964DDE" w:rsidP="0046798E">
      <w:pPr>
        <w:spacing w:before="240" w:line="276" w:lineRule="auto"/>
      </w:pPr>
      <w:r w:rsidRPr="00964DDE">
        <w:t xml:space="preserve">Theodosiou, M. and </w:t>
      </w:r>
      <w:proofErr w:type="spellStart"/>
      <w:r w:rsidRPr="00964DDE">
        <w:t>Leonidou</w:t>
      </w:r>
      <w:proofErr w:type="spellEnd"/>
      <w:r w:rsidRPr="00964DDE">
        <w:t xml:space="preserve">, L.C. (2003) ‘Standardization versus adaptation of international marketing strategy: an integrative assessment of the empirical research’, </w:t>
      </w:r>
      <w:r w:rsidRPr="00964DDE">
        <w:rPr>
          <w:i/>
          <w:iCs/>
        </w:rPr>
        <w:t>International Business Review</w:t>
      </w:r>
      <w:r w:rsidRPr="00964DDE">
        <w:t xml:space="preserve">, 12(2), pp. 141–171. Available at: </w:t>
      </w:r>
      <w:hyperlink r:id="rId23" w:tgtFrame="_new" w:history="1">
        <w:r w:rsidRPr="00964DDE">
          <w:rPr>
            <w:rStyle w:val="Hyperlink"/>
          </w:rPr>
          <w:t>https://doi.org/10.1016/S0969-5931(02)00094-X</w:t>
        </w:r>
      </w:hyperlink>
      <w:r w:rsidRPr="00964DDE">
        <w:t xml:space="preserve"> (Accessed: 30 June 2026).</w:t>
      </w:r>
    </w:p>
    <w:p w14:paraId="1BA4E1AC" w14:textId="77777777" w:rsidR="00964DDE" w:rsidRPr="00964DDE" w:rsidRDefault="00964DDE" w:rsidP="0046798E">
      <w:pPr>
        <w:spacing w:before="240" w:line="276" w:lineRule="auto"/>
      </w:pPr>
      <w:r w:rsidRPr="00964DDE">
        <w:t xml:space="preserve">Toyota Motor Corporation (2025a) </w:t>
      </w:r>
      <w:r w:rsidRPr="00964DDE">
        <w:rPr>
          <w:i/>
          <w:iCs/>
        </w:rPr>
        <w:t>FY2025 Financial Summary</w:t>
      </w:r>
      <w:r w:rsidRPr="00964DDE">
        <w:t xml:space="preserve">. Available at: </w:t>
      </w:r>
      <w:hyperlink r:id="rId24" w:tgtFrame="_new" w:history="1">
        <w:r w:rsidRPr="00964DDE">
          <w:rPr>
            <w:rStyle w:val="Hyperlink"/>
          </w:rPr>
          <w:t>https://global.toyota/pages/global_toyota/ir/financial-results/2025_4q_summary_en.pdf</w:t>
        </w:r>
      </w:hyperlink>
      <w:r w:rsidRPr="00964DDE">
        <w:t xml:space="preserve"> (Accessed: 30 June 2026).</w:t>
      </w:r>
    </w:p>
    <w:p w14:paraId="1F723803" w14:textId="77777777" w:rsidR="00964DDE" w:rsidRPr="00964DDE" w:rsidRDefault="00964DDE" w:rsidP="0046798E">
      <w:pPr>
        <w:spacing w:before="240" w:line="276" w:lineRule="auto"/>
      </w:pPr>
      <w:r w:rsidRPr="00964DDE">
        <w:t xml:space="preserve">Toyota Motor North America (2025) </w:t>
      </w:r>
      <w:r w:rsidRPr="00964DDE">
        <w:rPr>
          <w:i/>
          <w:iCs/>
        </w:rPr>
        <w:t>North American Environmental Sustainability Report 2025</w:t>
      </w:r>
      <w:r w:rsidRPr="00964DDE">
        <w:t xml:space="preserve">. Available at: </w:t>
      </w:r>
      <w:hyperlink r:id="rId25" w:tgtFrame="_new" w:history="1">
        <w:r w:rsidRPr="00964DDE">
          <w:rPr>
            <w:rStyle w:val="Hyperlink"/>
          </w:rPr>
          <w:t>https://www.toyota.com/content/dam/tusa/environmentreport/downloads/2025NAER_Final_2.pdf</w:t>
        </w:r>
      </w:hyperlink>
      <w:r w:rsidRPr="00964DDE">
        <w:t xml:space="preserve"> (Accessed: 30 June 2026).</w:t>
      </w:r>
    </w:p>
    <w:p w14:paraId="7BDB8B3A" w14:textId="77777777" w:rsidR="00964DDE" w:rsidRPr="00964DDE" w:rsidRDefault="00964DDE" w:rsidP="0046798E">
      <w:pPr>
        <w:spacing w:before="240" w:line="276" w:lineRule="auto"/>
      </w:pPr>
      <w:r w:rsidRPr="00964DDE">
        <w:lastRenderedPageBreak/>
        <w:t xml:space="preserve">Toyota Motor North America (2026) </w:t>
      </w:r>
      <w:r w:rsidRPr="00964DDE">
        <w:rPr>
          <w:i/>
          <w:iCs/>
        </w:rPr>
        <w:t>Toyota Motor North America Reports 2025 U.S. Sales Results</w:t>
      </w:r>
      <w:r w:rsidRPr="00964DDE">
        <w:t xml:space="preserve">. Available at: </w:t>
      </w:r>
      <w:hyperlink r:id="rId26" w:tgtFrame="_new" w:history="1">
        <w:r w:rsidRPr="00964DDE">
          <w:rPr>
            <w:rStyle w:val="Hyperlink"/>
          </w:rPr>
          <w:t>https://pressroom.toyota.com/toyota-motor-north-america-reports-2025-u-s-sales-results/</w:t>
        </w:r>
      </w:hyperlink>
      <w:r w:rsidRPr="00964DDE">
        <w:t xml:space="preserve"> (Accessed: 30 June 2026).</w:t>
      </w:r>
    </w:p>
    <w:p w14:paraId="30791C7E" w14:textId="77777777" w:rsidR="00964DDE" w:rsidRPr="00964DDE" w:rsidRDefault="00964DDE" w:rsidP="0046798E">
      <w:pPr>
        <w:spacing w:before="240" w:line="276" w:lineRule="auto"/>
      </w:pPr>
      <w:r w:rsidRPr="00964DDE">
        <w:t xml:space="preserve">Toyota USA Newsroom (n.d.) </w:t>
      </w:r>
      <w:r w:rsidRPr="00964DDE">
        <w:rPr>
          <w:i/>
          <w:iCs/>
        </w:rPr>
        <w:t>Company History</w:t>
      </w:r>
      <w:r w:rsidRPr="00964DDE">
        <w:t xml:space="preserve">. Available at: </w:t>
      </w:r>
      <w:hyperlink r:id="rId27" w:tgtFrame="_new" w:history="1">
        <w:r w:rsidRPr="00964DDE">
          <w:rPr>
            <w:rStyle w:val="Hyperlink"/>
          </w:rPr>
          <w:t>https://pressroom.toyota.com/company-history/</w:t>
        </w:r>
      </w:hyperlink>
      <w:r w:rsidRPr="00964DDE">
        <w:t xml:space="preserve"> (Accessed: 30 June 2026).</w:t>
      </w:r>
    </w:p>
    <w:p w14:paraId="3146E152" w14:textId="77777777" w:rsidR="00964DDE" w:rsidRPr="00964DDE" w:rsidRDefault="00964DDE" w:rsidP="0046798E">
      <w:pPr>
        <w:spacing w:before="240" w:line="276" w:lineRule="auto"/>
      </w:pPr>
      <w:r w:rsidRPr="00964DDE">
        <w:t xml:space="preserve">U.S. Department of Justice (2014) </w:t>
      </w:r>
      <w:r w:rsidRPr="00964DDE">
        <w:rPr>
          <w:i/>
          <w:iCs/>
        </w:rPr>
        <w:t>Justice Department Announces Criminal Charge Against Toyota Motor Corporation and Deferred Prosecution Agreement with $1.2 Billion Financial Penalty</w:t>
      </w:r>
      <w:r w:rsidRPr="00964DDE">
        <w:t xml:space="preserve">. Available at: </w:t>
      </w:r>
      <w:hyperlink r:id="rId28" w:tgtFrame="_new" w:history="1">
        <w:r w:rsidRPr="00964DDE">
          <w:rPr>
            <w:rStyle w:val="Hyperlink"/>
          </w:rPr>
          <w:t>https://www.justice.gov/archives/opa/pr/justice-department-announces-criminal-charge-against-toyota-motor-corporation-and-deferred</w:t>
        </w:r>
      </w:hyperlink>
      <w:r w:rsidRPr="00964DDE">
        <w:t xml:space="preserve"> (Accessed: 30 June 2026).</w:t>
      </w:r>
    </w:p>
    <w:p w14:paraId="073ECE93" w14:textId="77777777" w:rsidR="00964DDE" w:rsidRPr="00964DDE" w:rsidRDefault="00964DDE" w:rsidP="0046798E">
      <w:pPr>
        <w:spacing w:before="240" w:line="276" w:lineRule="auto"/>
      </w:pPr>
      <w:r w:rsidRPr="00964DDE">
        <w:t xml:space="preserve">U.S. Department of Transportation (2011) </w:t>
      </w:r>
      <w:r w:rsidRPr="00964DDE">
        <w:rPr>
          <w:i/>
          <w:iCs/>
        </w:rPr>
        <w:t>U.S. Department of Transportation Releases Results from NHTSA-NASA Study of Unintended Acceleration in Toyota Vehicles</w:t>
      </w:r>
      <w:r w:rsidRPr="00964DDE">
        <w:t xml:space="preserve">. Available at: </w:t>
      </w:r>
      <w:hyperlink r:id="rId29" w:tgtFrame="_new" w:history="1">
        <w:r w:rsidRPr="00964DDE">
          <w:rPr>
            <w:rStyle w:val="Hyperlink"/>
          </w:rPr>
          <w:t>https://www.transportation.gov/briefing-room/us-department-transportation-releases-results-nhtsa-nasa-study-unintended-acceleration</w:t>
        </w:r>
      </w:hyperlink>
      <w:r w:rsidRPr="00964DDE">
        <w:t xml:space="preserve"> (Accessed: 30 June 2026).</w:t>
      </w:r>
    </w:p>
    <w:p w14:paraId="0F879155" w14:textId="77777777" w:rsidR="00964DDE" w:rsidRPr="00964DDE" w:rsidRDefault="00964DDE" w:rsidP="0046798E">
      <w:pPr>
        <w:spacing w:before="240" w:line="276" w:lineRule="auto"/>
      </w:pPr>
      <w:r w:rsidRPr="00964DDE">
        <w:t xml:space="preserve">U.S. Environmental Protection Agency (2024) </w:t>
      </w:r>
      <w:r w:rsidRPr="00964DDE">
        <w:rPr>
          <w:i/>
          <w:iCs/>
        </w:rPr>
        <w:t>Final Rule: Multi-Pollutant Emissions Standards for Model Years 2027 and Later Light-Duty and Medium-Duty Vehicles</w:t>
      </w:r>
      <w:r w:rsidRPr="00964DDE">
        <w:t xml:space="preserve">. Available at: </w:t>
      </w:r>
      <w:hyperlink r:id="rId30" w:tgtFrame="_new" w:history="1">
        <w:r w:rsidRPr="00964DDE">
          <w:rPr>
            <w:rStyle w:val="Hyperlink"/>
          </w:rPr>
          <w:t>https://www.epa.gov/regulations-emissions-vehicles-and-engines/final-rule-multi-pollutant-emissions-standards-model</w:t>
        </w:r>
      </w:hyperlink>
      <w:r w:rsidRPr="00964DDE">
        <w:t xml:space="preserve"> (Accessed: 30 June 2026).</w:t>
      </w:r>
    </w:p>
    <w:p w14:paraId="5EDF18A2" w14:textId="77777777" w:rsidR="00964DDE" w:rsidRPr="00964DDE" w:rsidRDefault="00964DDE" w:rsidP="0046798E">
      <w:pPr>
        <w:spacing w:before="240" w:line="276" w:lineRule="auto"/>
      </w:pPr>
      <w:r w:rsidRPr="00964DDE">
        <w:t xml:space="preserve">World Bank (n.d.-a) </w:t>
      </w:r>
      <w:r w:rsidRPr="00964DDE">
        <w:rPr>
          <w:i/>
          <w:iCs/>
        </w:rPr>
        <w:t>Japan: Data</w:t>
      </w:r>
      <w:r w:rsidRPr="00964DDE">
        <w:t xml:space="preserve">. Available at: </w:t>
      </w:r>
      <w:hyperlink r:id="rId31" w:tgtFrame="_new" w:history="1">
        <w:r w:rsidRPr="00964DDE">
          <w:rPr>
            <w:rStyle w:val="Hyperlink"/>
          </w:rPr>
          <w:t>https://data.worldbank.org/country/japan</w:t>
        </w:r>
      </w:hyperlink>
      <w:r w:rsidRPr="00964DDE">
        <w:t xml:space="preserve"> (Accessed: 30 June 2026).</w:t>
      </w:r>
    </w:p>
    <w:p w14:paraId="2FC0E5E1" w14:textId="77777777" w:rsidR="00964DDE" w:rsidRPr="00964DDE" w:rsidRDefault="00964DDE" w:rsidP="0046798E">
      <w:pPr>
        <w:spacing w:before="240" w:line="276" w:lineRule="auto"/>
      </w:pPr>
      <w:r w:rsidRPr="00964DDE">
        <w:t xml:space="preserve">World Bank (n.d.-b) </w:t>
      </w:r>
      <w:r w:rsidRPr="00964DDE">
        <w:rPr>
          <w:i/>
          <w:iCs/>
        </w:rPr>
        <w:t>United States: Data</w:t>
      </w:r>
      <w:r w:rsidRPr="00964DDE">
        <w:t xml:space="preserve">. Available at: </w:t>
      </w:r>
      <w:hyperlink r:id="rId32" w:tgtFrame="_new" w:history="1">
        <w:r w:rsidRPr="00964DDE">
          <w:rPr>
            <w:rStyle w:val="Hyperlink"/>
          </w:rPr>
          <w:t>https://data.worldbank.org/country/united-states</w:t>
        </w:r>
      </w:hyperlink>
      <w:r w:rsidRPr="00964DDE">
        <w:t xml:space="preserve"> (Accessed: 30 June 2026).</w:t>
      </w:r>
    </w:p>
    <w:p w14:paraId="163FB937" w14:textId="77777777" w:rsidR="006D5068" w:rsidRDefault="00000000">
      <w:pPr>
        <w:pStyle w:val="Heading1"/>
        <w:pageBreakBefore/>
        <w:spacing w:before="200" w:after="120"/>
      </w:pPr>
      <w:bookmarkStart w:id="30" w:name="_Toc234063794"/>
      <w:r>
        <w:rPr>
          <w:rFonts w:ascii="Arial" w:eastAsia="Arial" w:hAnsi="Arial" w:cs="Arial"/>
        </w:rPr>
        <w:lastRenderedPageBreak/>
        <w:t>Appendix A: Source and Data Notes</w:t>
      </w:r>
      <w:bookmarkEnd w:id="30"/>
    </w:p>
    <w:p w14:paraId="25B1299B" w14:textId="77777777" w:rsidR="00964DDE" w:rsidRDefault="00964DDE" w:rsidP="00964DDE">
      <w:pPr>
        <w:spacing w:after="120"/>
        <w:jc w:val="both"/>
      </w:pPr>
      <w:r w:rsidRPr="00964DDE">
        <w:t>The report has figures and tables that are based on the publicly available information of the official company, government, intergovernmental and industry sources. Where the report includes analytical tables, the table content is the author’s interpretation based on the cited sources. Toyota regional sales figures are taken from Toyota’s FY2025 Financial Summary and are presented in thousands of units. GDP and population estimates for 2024 are obtained from the World Bank country pages. Toyota Motor North America and the National Automobile Dealers Association are used as sources for U.S. 2025 sales. Japan 2025 motor-market data are borrowed or provided by Nippon.com which publishes industry sources of sales. Hofstede scores are borrowed off of The Culture Factor country comparison tool.</w:t>
      </w:r>
    </w:p>
    <w:p w14:paraId="1895E2BF" w14:textId="77777777" w:rsidR="006D5068" w:rsidRDefault="006D5068" w:rsidP="00964DDE">
      <w:pPr>
        <w:spacing w:after="120"/>
        <w:jc w:val="both"/>
      </w:pPr>
    </w:p>
    <w:sectPr w:rsidR="006D5068" w:rsidSect="00034616">
      <w:footerReference w:type="default" r:id="rId33"/>
      <w:footerReference w:type="first" r:id="rId3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B87485" w14:textId="77777777" w:rsidR="006052E7" w:rsidRDefault="006052E7">
      <w:pPr>
        <w:spacing w:after="0" w:line="240" w:lineRule="auto"/>
      </w:pPr>
      <w:r>
        <w:separator/>
      </w:r>
    </w:p>
  </w:endnote>
  <w:endnote w:type="continuationSeparator" w:id="0">
    <w:p w14:paraId="04065008" w14:textId="77777777" w:rsidR="006052E7" w:rsidRDefault="006052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3C9897" w14:textId="77777777" w:rsidR="006D5068" w:rsidRDefault="00000000">
    <w:pPr>
      <w:pStyle w:val="Footer"/>
      <w:jc w:val="center"/>
    </w:pPr>
    <w:r>
      <w:t xml:space="preserve">Page </w:t>
    </w:r>
    <w:r>
      <w:fldChar w:fldCharType="begin"/>
    </w:r>
    <w:r>
      <w:instrText>PAGE</w:instrText>
    </w:r>
    <w:r>
      <w:fldChar w:fldCharType="separate"/>
    </w:r>
    <w:r w:rsidR="007F271F">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71A7B4" w14:textId="77777777" w:rsidR="00306009" w:rsidRDefault="00000000">
    <w:pPr>
      <w:jc w:val="center"/>
    </w:pPr>
    <w:r>
      <w:rPr>
        <w:sz w:val="22"/>
      </w:rPr>
      <w:fldChar w:fldCharType="begin"/>
    </w:r>
    <w:r>
      <w:rPr>
        <w:sz w:val="22"/>
      </w:rPr>
      <w:instrText xml:space="preserve"> PAGE </w:instrText>
    </w:r>
    <w:r>
      <w:rPr>
        <w:sz w:val="22"/>
      </w:rPr>
      <w:fldChar w:fldCharType="separate"/>
    </w:r>
    <w:r>
      <w:rPr>
        <w:sz w:val="22"/>
      </w:rPr>
      <w:t>1</w:t>
    </w:r>
    <w:r>
      <w:rPr>
        <w:sz w:val="22"/>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186843" w14:textId="77777777" w:rsidR="006052E7" w:rsidRDefault="006052E7">
      <w:pPr>
        <w:spacing w:after="0" w:line="240" w:lineRule="auto"/>
      </w:pPr>
      <w:r>
        <w:separator/>
      </w:r>
    </w:p>
  </w:footnote>
  <w:footnote w:type="continuationSeparator" w:id="0">
    <w:p w14:paraId="7F6B3DB4" w14:textId="77777777" w:rsidR="006052E7" w:rsidRDefault="006052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497119421">
    <w:abstractNumId w:val="8"/>
  </w:num>
  <w:num w:numId="2" w16cid:durableId="1989941473">
    <w:abstractNumId w:val="6"/>
  </w:num>
  <w:num w:numId="3" w16cid:durableId="709232348">
    <w:abstractNumId w:val="5"/>
  </w:num>
  <w:num w:numId="4" w16cid:durableId="1937473454">
    <w:abstractNumId w:val="4"/>
  </w:num>
  <w:num w:numId="5" w16cid:durableId="1109397689">
    <w:abstractNumId w:val="7"/>
  </w:num>
  <w:num w:numId="6" w16cid:durableId="1891990535">
    <w:abstractNumId w:val="3"/>
  </w:num>
  <w:num w:numId="7" w16cid:durableId="1226834988">
    <w:abstractNumId w:val="2"/>
  </w:num>
  <w:num w:numId="8" w16cid:durableId="1232426495">
    <w:abstractNumId w:val="1"/>
  </w:num>
  <w:num w:numId="9" w16cid:durableId="5435680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5FD1"/>
    <w:rsid w:val="00034616"/>
    <w:rsid w:val="0006063C"/>
    <w:rsid w:val="000B2C56"/>
    <w:rsid w:val="000F6F0B"/>
    <w:rsid w:val="0015074B"/>
    <w:rsid w:val="00244E75"/>
    <w:rsid w:val="0029639D"/>
    <w:rsid w:val="00306009"/>
    <w:rsid w:val="0032629B"/>
    <w:rsid w:val="00326F90"/>
    <w:rsid w:val="003B4F69"/>
    <w:rsid w:val="00463F74"/>
    <w:rsid w:val="0046798E"/>
    <w:rsid w:val="00470C66"/>
    <w:rsid w:val="00484A67"/>
    <w:rsid w:val="005963D2"/>
    <w:rsid w:val="006052E7"/>
    <w:rsid w:val="00657725"/>
    <w:rsid w:val="0066701B"/>
    <w:rsid w:val="006C4DE4"/>
    <w:rsid w:val="006C7655"/>
    <w:rsid w:val="006D5068"/>
    <w:rsid w:val="00763F3C"/>
    <w:rsid w:val="007F271F"/>
    <w:rsid w:val="008E447F"/>
    <w:rsid w:val="00962C59"/>
    <w:rsid w:val="00964DDE"/>
    <w:rsid w:val="009C0DC5"/>
    <w:rsid w:val="009F5429"/>
    <w:rsid w:val="00A6244E"/>
    <w:rsid w:val="00A932DF"/>
    <w:rsid w:val="00AA1D8D"/>
    <w:rsid w:val="00B220DC"/>
    <w:rsid w:val="00B47730"/>
    <w:rsid w:val="00B5661B"/>
    <w:rsid w:val="00BC58B3"/>
    <w:rsid w:val="00C61D20"/>
    <w:rsid w:val="00CB0664"/>
    <w:rsid w:val="00CF0FCA"/>
    <w:rsid w:val="00D273B5"/>
    <w:rsid w:val="00DD6949"/>
    <w:rsid w:val="00F84356"/>
    <w:rsid w:val="00F93BB9"/>
    <w:rsid w:val="00FC693F"/>
    <w:rsid w:val="00FF17B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CFFCB75"/>
  <w14:defaultImageDpi w14:val="300"/>
  <w15:docId w15:val="{7614EABF-669D-4677-8C34-12CF0175D9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line="360" w:lineRule="auto"/>
    </w:pPr>
    <w:rPr>
      <w:rFonts w:ascii="Arial" w:eastAsia="Arial" w:hAnsi="Arial" w:cs="Arial"/>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000000"/>
      <w:sz w:val="32"/>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000000"/>
      <w:sz w:val="28"/>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000000"/>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000000"/>
      <w:spacing w:val="5"/>
      <w:kern w:val="28"/>
      <w:sz w:val="36"/>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CaptionText">
    <w:name w:val="CaptionText"/>
    <w:pPr>
      <w:spacing w:line="360" w:lineRule="auto"/>
    </w:pPr>
    <w:rPr>
      <w:rFonts w:ascii="Arial" w:eastAsia="Arial" w:hAnsi="Arial"/>
      <w:i/>
      <w:sz w:val="24"/>
    </w:rPr>
  </w:style>
  <w:style w:type="paragraph" w:customStyle="1" w:styleId="SourceNote">
    <w:name w:val="SourceNote"/>
    <w:pPr>
      <w:spacing w:line="360" w:lineRule="auto"/>
    </w:pPr>
    <w:rPr>
      <w:rFonts w:ascii="Arial" w:eastAsia="Arial" w:hAnsi="Arial"/>
      <w:i/>
      <w:sz w:val="24"/>
    </w:rPr>
  </w:style>
  <w:style w:type="paragraph" w:styleId="TOC1">
    <w:name w:val="toc 1"/>
    <w:basedOn w:val="Normal"/>
    <w:next w:val="Normal"/>
    <w:autoRedefine/>
    <w:uiPriority w:val="39"/>
    <w:unhideWhenUsed/>
    <w:rsid w:val="00F84356"/>
    <w:pPr>
      <w:spacing w:after="100"/>
    </w:pPr>
  </w:style>
  <w:style w:type="paragraph" w:styleId="TOC2">
    <w:name w:val="toc 2"/>
    <w:basedOn w:val="Normal"/>
    <w:next w:val="Normal"/>
    <w:autoRedefine/>
    <w:uiPriority w:val="39"/>
    <w:unhideWhenUsed/>
    <w:rsid w:val="00F84356"/>
    <w:pPr>
      <w:spacing w:after="100"/>
      <w:ind w:left="240"/>
    </w:pPr>
  </w:style>
  <w:style w:type="character" w:styleId="Hyperlink">
    <w:name w:val="Hyperlink"/>
    <w:basedOn w:val="DefaultParagraphFont"/>
    <w:uiPriority w:val="99"/>
    <w:unhideWhenUsed/>
    <w:rsid w:val="00F84356"/>
    <w:rPr>
      <w:color w:val="0000FF" w:themeColor="hyperlink"/>
      <w:u w:val="single"/>
    </w:rPr>
  </w:style>
  <w:style w:type="character" w:styleId="UnresolvedMention">
    <w:name w:val="Unresolved Mention"/>
    <w:basedOn w:val="DefaultParagraphFont"/>
    <w:uiPriority w:val="99"/>
    <w:semiHidden/>
    <w:unhideWhenUsed/>
    <w:rsid w:val="00964D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51300/jsm-2021-40" TargetMode="External"/><Relationship Id="rId18" Type="http://schemas.openxmlformats.org/officeDocument/2006/relationships/hyperlink" Target="https://www.nippon.com/en/japan-data/h02659/" TargetMode="External"/><Relationship Id="rId26" Type="http://schemas.openxmlformats.org/officeDocument/2006/relationships/hyperlink" Target="https://pressroom.toyota.com/toyota-motor-north-america-reports-2025-u-s-sales-results/" TargetMode="External"/><Relationship Id="rId3" Type="http://schemas.openxmlformats.org/officeDocument/2006/relationships/styles" Target="styles.xml"/><Relationship Id="rId21" Type="http://schemas.openxmlformats.org/officeDocument/2006/relationships/hyperlink" Target="https://doi.org/10.3390/su16209055" TargetMode="External"/><Relationship Id="rId34"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doi.org/10.1509/jimk.19.1.82" TargetMode="External"/><Relationship Id="rId17" Type="http://schemas.openxmlformats.org/officeDocument/2006/relationships/hyperlink" Target="https://www.nada.org/nada/nada-headlines/december-2025-market-beat-new-light-vehicle-sales-totaled-162-million-units" TargetMode="External"/><Relationship Id="rId25" Type="http://schemas.openxmlformats.org/officeDocument/2006/relationships/hyperlink" Target="https://www.toyota.com/content/dam/tusa/environmentreport/downloads/2025NAER_Final_2.pdf"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enecho.meti.go.jp/en/category/special/article/detail_199.html" TargetMode="External"/><Relationship Id="rId20" Type="http://schemas.openxmlformats.org/officeDocument/2006/relationships/hyperlink" Target="https://doi.org/10.1177/1069031X231212414" TargetMode="External"/><Relationship Id="rId29" Type="http://schemas.openxmlformats.org/officeDocument/2006/relationships/hyperlink" Target="https://www.transportation.gov/briefing-room/us-department-transportation-releases-results-nhtsa-nasa-study-unintended-acceler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86/s12302-020-0300-3" TargetMode="External"/><Relationship Id="rId24" Type="http://schemas.openxmlformats.org/officeDocument/2006/relationships/hyperlink" Target="https://global.toyota/pages/global_toyota/ir/financial-results/2025_4q_summary_en.pdf" TargetMode="External"/><Relationship Id="rId32" Type="http://schemas.openxmlformats.org/officeDocument/2006/relationships/hyperlink" Target="https://data.worldbank.org/country/united-states" TargetMode="External"/><Relationship Id="rId5" Type="http://schemas.openxmlformats.org/officeDocument/2006/relationships/webSettings" Target="webSettings.xml"/><Relationship Id="rId15" Type="http://schemas.openxmlformats.org/officeDocument/2006/relationships/hyperlink" Target="https://doi.org/10.1016/j.jbusres.2020.12.023" TargetMode="External"/><Relationship Id="rId23" Type="http://schemas.openxmlformats.org/officeDocument/2006/relationships/hyperlink" Target="https://doi.org/10.1016/S0969-5931(02)00094-X" TargetMode="External"/><Relationship Id="rId28" Type="http://schemas.openxmlformats.org/officeDocument/2006/relationships/hyperlink" Target="https://www.justice.gov/archives/opa/pr/justice-department-announces-criminal-charge-against-toyota-motor-corporation-and-deferred"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doi.org/10.1016/j.geits.2024.100153" TargetMode="External"/><Relationship Id="rId31" Type="http://schemas.openxmlformats.org/officeDocument/2006/relationships/hyperlink" Target="https://data.worldbank.org/country/japa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ea.org/reports/global-ev-outlook-2025/executive-summary" TargetMode="External"/><Relationship Id="rId22" Type="http://schemas.openxmlformats.org/officeDocument/2006/relationships/hyperlink" Target="https://www.theculturefactor.com/country-comparison-tool" TargetMode="External"/><Relationship Id="rId27" Type="http://schemas.openxmlformats.org/officeDocument/2006/relationships/hyperlink" Target="https://pressroom.toyota.com/company-history/" TargetMode="External"/><Relationship Id="rId30" Type="http://schemas.openxmlformats.org/officeDocument/2006/relationships/hyperlink" Target="https://www.epa.gov/regulations-emissions-vehicles-and-engines/final-rule-multi-pollutant-emissions-standards-model" TargetMode="Externa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26</Pages>
  <Words>7327</Words>
  <Characters>41764</Characters>
  <Application>Microsoft Office Word</Application>
  <DocSecurity>0</DocSecurity>
  <Lines>348</Lines>
  <Paragraphs>97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48994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Ritu Panna Saha</cp:lastModifiedBy>
  <cp:revision>4</cp:revision>
  <dcterms:created xsi:type="dcterms:W3CDTF">2026-07-21T19:53:00Z</dcterms:created>
  <dcterms:modified xsi:type="dcterms:W3CDTF">2026-07-21T20:00:00Z</dcterms:modified>
  <cp:category/>
</cp:coreProperties>
</file>