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387E00B0" w:rsidR="00AD6D75" w:rsidRPr="00BB05A0" w:rsidRDefault="00381417" w:rsidP="009F4F9E">
      <w:pPr>
        <w:pStyle w:val="COVERPAGETEXT"/>
      </w:pPr>
      <w:r>
        <w:t>Ellie Martin</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0E601D09" w:rsidR="00AD6D75" w:rsidRPr="00BB05A0" w:rsidRDefault="001E3B1A" w:rsidP="009F4F9E">
      <w:pPr>
        <w:pStyle w:val="COVERPAGETEXT"/>
      </w:pPr>
      <w:r>
        <w:t>Hazard and safety assessment ACDB5013</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159E950C" w:rsidR="00AD6D75" w:rsidRPr="00BB05A0" w:rsidRDefault="00076366" w:rsidP="009F4F9E">
      <w:pPr>
        <w:pStyle w:val="COVERPAGETEXT"/>
      </w:pPr>
      <w:r>
        <w:t>UWTSD</w:t>
      </w:r>
    </w:p>
    <w:p w14:paraId="04815D3F" w14:textId="77777777" w:rsidR="00AD6D75" w:rsidRPr="00BB05A0" w:rsidRDefault="00AD6D75" w:rsidP="009F4F9E">
      <w:pPr>
        <w:pStyle w:val="COVERPAGETEXT"/>
      </w:pPr>
    </w:p>
    <w:p w14:paraId="71E2DB74" w14:textId="73313F4B" w:rsidR="00AD6D75" w:rsidRPr="00BB05A0" w:rsidRDefault="00D26D21" w:rsidP="009F4F9E">
      <w:pPr>
        <w:pStyle w:val="COVERPAGETEXT"/>
      </w:pPr>
      <w:r>
        <w:t>BEng</w:t>
      </w:r>
    </w:p>
    <w:p w14:paraId="2709D95E" w14:textId="2ECD1900" w:rsidR="00AD6D75" w:rsidRPr="00BB05A0" w:rsidRDefault="00AD6D75" w:rsidP="009F4F9E">
      <w:pPr>
        <w:pStyle w:val="COVERPAGETEXT"/>
      </w:pPr>
      <w:r>
        <w:t xml:space="preserve">Academic Year: </w:t>
      </w:r>
      <w:r w:rsidR="00D26D21">
        <w:t>2025</w:t>
      </w:r>
      <w:r>
        <w:t xml:space="preserve"> -</w:t>
      </w:r>
      <w:r w:rsidRPr="00931620">
        <w:t xml:space="preserve"> </w:t>
      </w:r>
      <w:r w:rsidR="00D26D21">
        <w:t>2026</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4141C93E" w14:textId="2C989576" w:rsidR="00B96699" w:rsidRDefault="00AD6D75" w:rsidP="00CA2E75">
      <w:pPr>
        <w:pStyle w:val="COVERPAGETEXT"/>
      </w:pPr>
      <w:r w:rsidRPr="00BB05A0">
        <w:t>Supervisor:</w:t>
      </w:r>
      <w:r w:rsidRPr="00BB05A0">
        <w:tab/>
      </w:r>
      <w:r>
        <w:t xml:space="preserve"> </w:t>
      </w:r>
      <w:r w:rsidR="00844E1C">
        <w:t>Austin Clark</w:t>
      </w:r>
      <w:r w:rsidR="00CA2E75">
        <w:t xml:space="preserve"> (SSO)</w:t>
      </w:r>
    </w:p>
    <w:p w14:paraId="52B1F4ED" w14:textId="3F86C25F" w:rsidR="00DA28B2" w:rsidRDefault="00DA28B2" w:rsidP="00D26D21">
      <w:pPr>
        <w:pStyle w:val="COVERPAGETEXT"/>
        <w:sectPr w:rsidR="00DA28B2" w:rsidSect="00623A81">
          <w:headerReference w:type="even" r:id="rId12"/>
          <w:footerReference w:type="even" r:id="rId13"/>
          <w:footerReference w:type="default" r:id="rId14"/>
          <w:headerReference w:type="first" r:id="rId15"/>
          <w:footerReference w:type="first" r:id="rId16"/>
          <w:pgSz w:w="11906" w:h="16838" w:code="9"/>
          <w:pgMar w:top="1701" w:right="1701" w:bottom="1701" w:left="1701" w:header="709" w:footer="851" w:gutter="0"/>
          <w:pgNumType w:fmt="lowerRoman" w:start="1"/>
          <w:cols w:space="708"/>
          <w:docGrid w:linePitch="360"/>
        </w:sectPr>
      </w:pPr>
    </w:p>
    <w:p w14:paraId="75F08DD5" w14:textId="474A0FE4" w:rsidR="0088087A" w:rsidRPr="007E0919" w:rsidRDefault="005C6FA2" w:rsidP="000D2862">
      <w:pPr>
        <w:rPr>
          <w:b/>
          <w:bCs/>
          <w:sz w:val="32"/>
          <w:szCs w:val="32"/>
        </w:rP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r w:rsidRPr="007E0919">
        <w:rPr>
          <w:b/>
          <w:bCs/>
          <w:sz w:val="32"/>
          <w:szCs w:val="32"/>
        </w:rPr>
        <w:lastRenderedPageBreak/>
        <w:t>A</w:t>
      </w:r>
      <w:r w:rsidR="005E3ACA" w:rsidRPr="007E0919">
        <w:rPr>
          <w:b/>
          <w:bCs/>
          <w:sz w:val="32"/>
          <w:szCs w:val="32"/>
        </w:rPr>
        <w:t>cademic integrity declaration</w:t>
      </w:r>
      <w:bookmarkEnd w:id="0"/>
    </w:p>
    <w:p w14:paraId="287E2C73" w14:textId="77777777" w:rsidR="0088087A" w:rsidRDefault="0088087A" w:rsidP="0088087A">
      <w:r w:rsidRPr="000B034E">
        <w:t>I declare that</w:t>
      </w:r>
      <w:r>
        <w:t>:</w:t>
      </w:r>
    </w:p>
    <w:p w14:paraId="0B7C0C3A" w14:textId="77777777" w:rsidR="0088087A" w:rsidRDefault="0088087A">
      <w:pPr>
        <w:pStyle w:val="ListParagraph"/>
        <w:numPr>
          <w:ilvl w:val="0"/>
          <w:numId w:val="4"/>
        </w:numPr>
      </w:pPr>
      <w:r>
        <w:t>t</w:t>
      </w:r>
      <w:r w:rsidRPr="000B034E">
        <w:t xml:space="preserve">he thesis submitted has been written by </w:t>
      </w:r>
      <w:r>
        <w:t>me</w:t>
      </w:r>
      <w:r w:rsidRPr="000B034E">
        <w:t xml:space="preserve"> alone</w:t>
      </w:r>
      <w:r>
        <w:t>.</w:t>
      </w:r>
    </w:p>
    <w:p w14:paraId="30EDB562" w14:textId="77777777" w:rsidR="0088087A" w:rsidRDefault="0088087A">
      <w:pPr>
        <w:pStyle w:val="ListParagraph"/>
        <w:numPr>
          <w:ilvl w:val="0"/>
          <w:numId w:val="4"/>
        </w:numPr>
      </w:pPr>
      <w:r>
        <w:t>t</w:t>
      </w:r>
      <w:r w:rsidRPr="000B034E">
        <w:t>he thesis submitted has not been previously submitted to this university or any other</w:t>
      </w:r>
      <w:r>
        <w:t>.</w:t>
      </w:r>
    </w:p>
    <w:p w14:paraId="2A543FCD" w14:textId="77777777" w:rsidR="0088087A" w:rsidRDefault="0088087A">
      <w:pPr>
        <w:pStyle w:val="ListParagraph"/>
        <w:numPr>
          <w:ilvl w:val="0"/>
          <w:numId w:val="4"/>
        </w:numPr>
      </w:pPr>
      <w:r w:rsidRPr="000B034E">
        <w:t>that all content, including primary and/or secondary data, is true to the best of my knowledge</w:t>
      </w:r>
      <w:r>
        <w:t>.</w:t>
      </w:r>
    </w:p>
    <w:p w14:paraId="7D207515" w14:textId="77777777" w:rsidR="0088087A" w:rsidRDefault="0088087A">
      <w:pPr>
        <w:pStyle w:val="ListParagraph"/>
        <w:numPr>
          <w:ilvl w:val="0"/>
          <w:numId w:val="4"/>
        </w:numPr>
      </w:pPr>
      <w:r w:rsidRPr="000B034E">
        <w:t>that all quotations and references have been duly acknowledged according to the requirements of academic research.</w:t>
      </w:r>
    </w:p>
    <w:p w14:paraId="002A004E" w14:textId="3A90B183" w:rsidR="001B0633" w:rsidRDefault="0088087A" w:rsidP="001B0633">
      <w:pPr>
        <w:sectPr w:rsidR="001B0633" w:rsidSect="00623A81">
          <w:footerReference w:type="default" r:id="rId17"/>
          <w:pgSz w:w="11906" w:h="16838" w:code="9"/>
          <w:pgMar w:top="1701" w:right="1701" w:bottom="1701" w:left="1701" w:header="709" w:footer="851" w:gutter="0"/>
          <w:pgNumType w:fmt="lowerRoman" w:start="1"/>
          <w:cols w:space="708"/>
          <w:docGrid w:linePitch="360"/>
        </w:sectPr>
      </w:pPr>
      <w:r w:rsidRPr="000B034E">
        <w:t>I understand that to knowingly submit work in violation of the above statement will be considered by examiners as academic misconduct.</w:t>
      </w:r>
    </w:p>
    <w:p w14:paraId="6F74B32E" w14:textId="77777777" w:rsidR="009260ED" w:rsidRPr="007E0919" w:rsidRDefault="009260ED" w:rsidP="000D2862">
      <w:pPr>
        <w:rPr>
          <w:b/>
          <w:bCs/>
          <w:sz w:val="32"/>
          <w:szCs w:val="32"/>
        </w:rPr>
      </w:pPr>
      <w:bookmarkStart w:id="7" w:name="_Toc290554219"/>
      <w:bookmarkStart w:id="8" w:name="_Toc299621184"/>
      <w:bookmarkStart w:id="9" w:name="_Toc299631412"/>
      <w:bookmarkStart w:id="10" w:name="_Toc299631472"/>
      <w:bookmarkStart w:id="11" w:name="_Toc299631562"/>
      <w:bookmarkStart w:id="12" w:name="_Toc299631639"/>
      <w:bookmarkEnd w:id="1"/>
      <w:bookmarkEnd w:id="2"/>
      <w:bookmarkEnd w:id="3"/>
      <w:bookmarkEnd w:id="4"/>
      <w:bookmarkEnd w:id="5"/>
      <w:bookmarkEnd w:id="6"/>
    </w:p>
    <w:bookmarkEnd w:id="7"/>
    <w:bookmarkEnd w:id="8"/>
    <w:bookmarkEnd w:id="9"/>
    <w:bookmarkEnd w:id="10"/>
    <w:bookmarkEnd w:id="11"/>
    <w:bookmarkEnd w:id="12"/>
    <w:p w14:paraId="348ECC03" w14:textId="43730598" w:rsidR="00DA28B2" w:rsidRPr="007E0919" w:rsidRDefault="009260ED" w:rsidP="000D2862">
      <w:pPr>
        <w:rPr>
          <w:b/>
          <w:bCs/>
          <w:sz w:val="32"/>
          <w:szCs w:val="32"/>
        </w:rPr>
      </w:pPr>
      <w:r w:rsidRPr="007E0919">
        <w:rPr>
          <w:b/>
          <w:bCs/>
          <w:sz w:val="32"/>
          <w:szCs w:val="32"/>
        </w:rPr>
        <w:t>T</w:t>
      </w:r>
      <w:r w:rsidR="00F65825" w:rsidRPr="007E0919">
        <w:rPr>
          <w:b/>
          <w:bCs/>
          <w:sz w:val="32"/>
          <w:szCs w:val="32"/>
        </w:rPr>
        <w:t>able of Contents</w:t>
      </w:r>
    </w:p>
    <w:p w14:paraId="2652FD02" w14:textId="2EAF091F" w:rsidR="007E0919"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35200354" w:history="1">
        <w:r w:rsidR="007E0919" w:rsidRPr="00856D8A">
          <w:rPr>
            <w:rStyle w:val="Hyperlink"/>
          </w:rPr>
          <w:t>1 Scope and system description</w:t>
        </w:r>
        <w:r w:rsidR="007E0919">
          <w:rPr>
            <w:webHidden/>
          </w:rPr>
          <w:tab/>
        </w:r>
        <w:r w:rsidR="007E0919">
          <w:rPr>
            <w:webHidden/>
          </w:rPr>
          <w:fldChar w:fldCharType="begin"/>
        </w:r>
        <w:r w:rsidR="007E0919">
          <w:rPr>
            <w:webHidden/>
          </w:rPr>
          <w:instrText xml:space="preserve"> PAGEREF _Toc235200354 \h </w:instrText>
        </w:r>
        <w:r w:rsidR="007E0919">
          <w:rPr>
            <w:webHidden/>
          </w:rPr>
        </w:r>
        <w:r w:rsidR="007E0919">
          <w:rPr>
            <w:webHidden/>
          </w:rPr>
          <w:fldChar w:fldCharType="separate"/>
        </w:r>
        <w:r w:rsidR="007E0919">
          <w:rPr>
            <w:webHidden/>
          </w:rPr>
          <w:t>1</w:t>
        </w:r>
        <w:r w:rsidR="007E0919">
          <w:rPr>
            <w:webHidden/>
          </w:rPr>
          <w:fldChar w:fldCharType="end"/>
        </w:r>
      </w:hyperlink>
    </w:p>
    <w:p w14:paraId="58C0F56A" w14:textId="1D4E19AD" w:rsidR="007E0919" w:rsidRDefault="007E0919">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5200355" w:history="1">
        <w:r w:rsidRPr="00856D8A">
          <w:rPr>
            <w:rStyle w:val="Hyperlink"/>
            <w:noProof/>
          </w:rPr>
          <w:t>1.1.1 Scope</w:t>
        </w:r>
        <w:r>
          <w:rPr>
            <w:noProof/>
            <w:webHidden/>
          </w:rPr>
          <w:tab/>
        </w:r>
        <w:r>
          <w:rPr>
            <w:noProof/>
            <w:webHidden/>
          </w:rPr>
          <w:fldChar w:fldCharType="begin"/>
        </w:r>
        <w:r>
          <w:rPr>
            <w:noProof/>
            <w:webHidden/>
          </w:rPr>
          <w:instrText xml:space="preserve"> PAGEREF _Toc235200355 \h </w:instrText>
        </w:r>
        <w:r>
          <w:rPr>
            <w:noProof/>
            <w:webHidden/>
          </w:rPr>
        </w:r>
        <w:r>
          <w:rPr>
            <w:noProof/>
            <w:webHidden/>
          </w:rPr>
          <w:fldChar w:fldCharType="separate"/>
        </w:r>
        <w:r>
          <w:rPr>
            <w:noProof/>
            <w:webHidden/>
          </w:rPr>
          <w:t>1</w:t>
        </w:r>
        <w:r>
          <w:rPr>
            <w:noProof/>
            <w:webHidden/>
          </w:rPr>
          <w:fldChar w:fldCharType="end"/>
        </w:r>
      </w:hyperlink>
    </w:p>
    <w:p w14:paraId="7D93CC7B" w14:textId="0973971E" w:rsidR="007E0919" w:rsidRDefault="007E0919">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35200356" w:history="1">
        <w:r w:rsidRPr="00856D8A">
          <w:rPr>
            <w:rStyle w:val="Hyperlink"/>
            <w:noProof/>
          </w:rPr>
          <w:t>1.1.2 System description</w:t>
        </w:r>
        <w:r>
          <w:rPr>
            <w:noProof/>
            <w:webHidden/>
          </w:rPr>
          <w:tab/>
        </w:r>
        <w:r>
          <w:rPr>
            <w:noProof/>
            <w:webHidden/>
          </w:rPr>
          <w:fldChar w:fldCharType="begin"/>
        </w:r>
        <w:r>
          <w:rPr>
            <w:noProof/>
            <w:webHidden/>
          </w:rPr>
          <w:instrText xml:space="preserve"> PAGEREF _Toc235200356 \h </w:instrText>
        </w:r>
        <w:r>
          <w:rPr>
            <w:noProof/>
            <w:webHidden/>
          </w:rPr>
        </w:r>
        <w:r>
          <w:rPr>
            <w:noProof/>
            <w:webHidden/>
          </w:rPr>
          <w:fldChar w:fldCharType="separate"/>
        </w:r>
        <w:r>
          <w:rPr>
            <w:noProof/>
            <w:webHidden/>
          </w:rPr>
          <w:t>1</w:t>
        </w:r>
        <w:r>
          <w:rPr>
            <w:noProof/>
            <w:webHidden/>
          </w:rPr>
          <w:fldChar w:fldCharType="end"/>
        </w:r>
      </w:hyperlink>
    </w:p>
    <w:p w14:paraId="2A1876E2" w14:textId="672B82C1" w:rsidR="007E0919" w:rsidRDefault="007E0919">
      <w:pPr>
        <w:pStyle w:val="TOC1"/>
        <w:rPr>
          <w:rFonts w:asciiTheme="minorHAnsi" w:eastAsiaTheme="minorEastAsia" w:hAnsiTheme="minorHAnsi" w:cstheme="minorBidi"/>
          <w:kern w:val="2"/>
          <w:lang w:eastAsia="en-GB"/>
          <w14:ligatures w14:val="standardContextual"/>
        </w:rPr>
      </w:pPr>
      <w:hyperlink w:anchor="_Toc235200357" w:history="1">
        <w:r w:rsidRPr="00856D8A">
          <w:rPr>
            <w:rStyle w:val="Hyperlink"/>
          </w:rPr>
          <w:t>2 Risk assessment</w:t>
        </w:r>
        <w:r>
          <w:rPr>
            <w:webHidden/>
          </w:rPr>
          <w:tab/>
        </w:r>
        <w:r>
          <w:rPr>
            <w:webHidden/>
          </w:rPr>
          <w:fldChar w:fldCharType="begin"/>
        </w:r>
        <w:r>
          <w:rPr>
            <w:webHidden/>
          </w:rPr>
          <w:instrText xml:space="preserve"> PAGEREF _Toc235200357 \h </w:instrText>
        </w:r>
        <w:r>
          <w:rPr>
            <w:webHidden/>
          </w:rPr>
        </w:r>
        <w:r>
          <w:rPr>
            <w:webHidden/>
          </w:rPr>
          <w:fldChar w:fldCharType="separate"/>
        </w:r>
        <w:r>
          <w:rPr>
            <w:webHidden/>
          </w:rPr>
          <w:t>2</w:t>
        </w:r>
        <w:r>
          <w:rPr>
            <w:webHidden/>
          </w:rPr>
          <w:fldChar w:fldCharType="end"/>
        </w:r>
      </w:hyperlink>
    </w:p>
    <w:p w14:paraId="07957AAC" w14:textId="4E3A1D39" w:rsidR="007E0919" w:rsidRDefault="007E0919">
      <w:pPr>
        <w:pStyle w:val="TOC1"/>
        <w:rPr>
          <w:rFonts w:asciiTheme="minorHAnsi" w:eastAsiaTheme="minorEastAsia" w:hAnsiTheme="minorHAnsi" w:cstheme="minorBidi"/>
          <w:kern w:val="2"/>
          <w:lang w:eastAsia="en-GB"/>
          <w14:ligatures w14:val="standardContextual"/>
        </w:rPr>
      </w:pPr>
      <w:hyperlink w:anchor="_Toc235200358" w:history="1">
        <w:r w:rsidRPr="00856D8A">
          <w:rPr>
            <w:rStyle w:val="Hyperlink"/>
          </w:rPr>
          <w:t>3 ALARP Justification - Misfire</w:t>
        </w:r>
        <w:r>
          <w:rPr>
            <w:webHidden/>
          </w:rPr>
          <w:tab/>
        </w:r>
        <w:r>
          <w:rPr>
            <w:webHidden/>
          </w:rPr>
          <w:fldChar w:fldCharType="begin"/>
        </w:r>
        <w:r>
          <w:rPr>
            <w:webHidden/>
          </w:rPr>
          <w:instrText xml:space="preserve"> PAGEREF _Toc235200358 \h </w:instrText>
        </w:r>
        <w:r>
          <w:rPr>
            <w:webHidden/>
          </w:rPr>
        </w:r>
        <w:r>
          <w:rPr>
            <w:webHidden/>
          </w:rPr>
          <w:fldChar w:fldCharType="separate"/>
        </w:r>
        <w:r>
          <w:rPr>
            <w:webHidden/>
          </w:rPr>
          <w:t>7</w:t>
        </w:r>
        <w:r>
          <w:rPr>
            <w:webHidden/>
          </w:rPr>
          <w:fldChar w:fldCharType="end"/>
        </w:r>
      </w:hyperlink>
    </w:p>
    <w:p w14:paraId="0C8FBF4D" w14:textId="12FCFA3A" w:rsidR="007E0919" w:rsidRDefault="007E0919">
      <w:pPr>
        <w:pStyle w:val="TOC2"/>
        <w:rPr>
          <w:rFonts w:asciiTheme="minorHAnsi" w:eastAsiaTheme="minorEastAsia" w:hAnsiTheme="minorHAnsi" w:cstheme="minorBidi"/>
          <w:noProof/>
          <w:kern w:val="2"/>
          <w:lang w:eastAsia="en-GB"/>
          <w14:ligatures w14:val="standardContextual"/>
        </w:rPr>
      </w:pPr>
      <w:hyperlink w:anchor="_Toc235200359" w:history="1">
        <w:r w:rsidRPr="00856D8A">
          <w:rPr>
            <w:rStyle w:val="Hyperlink"/>
            <w:noProof/>
          </w:rPr>
          <w:t>3.1 Consequences</w:t>
        </w:r>
        <w:r>
          <w:rPr>
            <w:noProof/>
            <w:webHidden/>
          </w:rPr>
          <w:tab/>
        </w:r>
        <w:r>
          <w:rPr>
            <w:noProof/>
            <w:webHidden/>
          </w:rPr>
          <w:fldChar w:fldCharType="begin"/>
        </w:r>
        <w:r>
          <w:rPr>
            <w:noProof/>
            <w:webHidden/>
          </w:rPr>
          <w:instrText xml:space="preserve"> PAGEREF _Toc235200359 \h </w:instrText>
        </w:r>
        <w:r>
          <w:rPr>
            <w:noProof/>
            <w:webHidden/>
          </w:rPr>
        </w:r>
        <w:r>
          <w:rPr>
            <w:noProof/>
            <w:webHidden/>
          </w:rPr>
          <w:fldChar w:fldCharType="separate"/>
        </w:r>
        <w:r>
          <w:rPr>
            <w:noProof/>
            <w:webHidden/>
          </w:rPr>
          <w:t>7</w:t>
        </w:r>
        <w:r>
          <w:rPr>
            <w:noProof/>
            <w:webHidden/>
          </w:rPr>
          <w:fldChar w:fldCharType="end"/>
        </w:r>
      </w:hyperlink>
    </w:p>
    <w:p w14:paraId="01AAA3E6" w14:textId="52F41EE4" w:rsidR="007E0919" w:rsidRDefault="007E0919">
      <w:pPr>
        <w:pStyle w:val="TOC2"/>
        <w:rPr>
          <w:rFonts w:asciiTheme="minorHAnsi" w:eastAsiaTheme="minorEastAsia" w:hAnsiTheme="minorHAnsi" w:cstheme="minorBidi"/>
          <w:noProof/>
          <w:kern w:val="2"/>
          <w:lang w:eastAsia="en-GB"/>
          <w14:ligatures w14:val="standardContextual"/>
        </w:rPr>
      </w:pPr>
      <w:hyperlink w:anchor="_Toc235200360" w:history="1">
        <w:r w:rsidRPr="00856D8A">
          <w:rPr>
            <w:rStyle w:val="Hyperlink"/>
            <w:noProof/>
          </w:rPr>
          <w:t>3.2 Controls and justification</w:t>
        </w:r>
        <w:r>
          <w:rPr>
            <w:noProof/>
            <w:webHidden/>
          </w:rPr>
          <w:tab/>
        </w:r>
        <w:r>
          <w:rPr>
            <w:noProof/>
            <w:webHidden/>
          </w:rPr>
          <w:fldChar w:fldCharType="begin"/>
        </w:r>
        <w:r>
          <w:rPr>
            <w:noProof/>
            <w:webHidden/>
          </w:rPr>
          <w:instrText xml:space="preserve"> PAGEREF _Toc235200360 \h </w:instrText>
        </w:r>
        <w:r>
          <w:rPr>
            <w:noProof/>
            <w:webHidden/>
          </w:rPr>
        </w:r>
        <w:r>
          <w:rPr>
            <w:noProof/>
            <w:webHidden/>
          </w:rPr>
          <w:fldChar w:fldCharType="separate"/>
        </w:r>
        <w:r>
          <w:rPr>
            <w:noProof/>
            <w:webHidden/>
          </w:rPr>
          <w:t>8</w:t>
        </w:r>
        <w:r>
          <w:rPr>
            <w:noProof/>
            <w:webHidden/>
          </w:rPr>
          <w:fldChar w:fldCharType="end"/>
        </w:r>
      </w:hyperlink>
    </w:p>
    <w:p w14:paraId="0A5E6781" w14:textId="357BDE96" w:rsidR="007E0919" w:rsidRDefault="007E0919">
      <w:pPr>
        <w:pStyle w:val="TOC1"/>
        <w:rPr>
          <w:rFonts w:asciiTheme="minorHAnsi" w:eastAsiaTheme="minorEastAsia" w:hAnsiTheme="minorHAnsi" w:cstheme="minorBidi"/>
          <w:kern w:val="2"/>
          <w:lang w:eastAsia="en-GB"/>
          <w14:ligatures w14:val="standardContextual"/>
        </w:rPr>
      </w:pPr>
      <w:hyperlink w:anchor="_Toc235200361" w:history="1">
        <w:r w:rsidRPr="00856D8A">
          <w:rPr>
            <w:rStyle w:val="Hyperlink"/>
          </w:rPr>
          <w:t>4 References</w:t>
        </w:r>
        <w:r>
          <w:rPr>
            <w:webHidden/>
          </w:rPr>
          <w:tab/>
        </w:r>
        <w:r>
          <w:rPr>
            <w:webHidden/>
          </w:rPr>
          <w:fldChar w:fldCharType="begin"/>
        </w:r>
        <w:r>
          <w:rPr>
            <w:webHidden/>
          </w:rPr>
          <w:instrText xml:space="preserve"> PAGEREF _Toc235200361 \h </w:instrText>
        </w:r>
        <w:r>
          <w:rPr>
            <w:webHidden/>
          </w:rPr>
        </w:r>
        <w:r>
          <w:rPr>
            <w:webHidden/>
          </w:rPr>
          <w:fldChar w:fldCharType="separate"/>
        </w:r>
        <w:r>
          <w:rPr>
            <w:webHidden/>
          </w:rPr>
          <w:t>13</w:t>
        </w:r>
        <w:r>
          <w:rPr>
            <w:webHidden/>
          </w:rPr>
          <w:fldChar w:fldCharType="end"/>
        </w:r>
      </w:hyperlink>
    </w:p>
    <w:p w14:paraId="62B57523" w14:textId="44F689EF" w:rsidR="007E0919" w:rsidRDefault="007E0919">
      <w:pPr>
        <w:pStyle w:val="TOC2"/>
        <w:rPr>
          <w:rFonts w:asciiTheme="minorHAnsi" w:eastAsiaTheme="minorEastAsia" w:hAnsiTheme="minorHAnsi" w:cstheme="minorBidi"/>
          <w:noProof/>
          <w:kern w:val="2"/>
          <w:lang w:eastAsia="en-GB"/>
          <w14:ligatures w14:val="standardContextual"/>
        </w:rPr>
      </w:pPr>
      <w:hyperlink w:anchor="_Toc235200362" w:history="1">
        <w:r w:rsidRPr="00856D8A">
          <w:rPr>
            <w:rStyle w:val="Hyperlink"/>
            <w:noProof/>
          </w:rPr>
          <w:t>Appendix A Risk Matrix</w:t>
        </w:r>
        <w:r>
          <w:rPr>
            <w:noProof/>
            <w:webHidden/>
          </w:rPr>
          <w:tab/>
        </w:r>
        <w:r>
          <w:rPr>
            <w:noProof/>
            <w:webHidden/>
          </w:rPr>
          <w:fldChar w:fldCharType="begin"/>
        </w:r>
        <w:r>
          <w:rPr>
            <w:noProof/>
            <w:webHidden/>
          </w:rPr>
          <w:instrText xml:space="preserve"> PAGEREF _Toc235200362 \h </w:instrText>
        </w:r>
        <w:r>
          <w:rPr>
            <w:noProof/>
            <w:webHidden/>
          </w:rPr>
        </w:r>
        <w:r>
          <w:rPr>
            <w:noProof/>
            <w:webHidden/>
          </w:rPr>
          <w:fldChar w:fldCharType="separate"/>
        </w:r>
        <w:r>
          <w:rPr>
            <w:noProof/>
            <w:webHidden/>
          </w:rPr>
          <w:t>16</w:t>
        </w:r>
        <w:r>
          <w:rPr>
            <w:noProof/>
            <w:webHidden/>
          </w:rPr>
          <w:fldChar w:fldCharType="end"/>
        </w:r>
      </w:hyperlink>
    </w:p>
    <w:p w14:paraId="665BB62A" w14:textId="16E3061F" w:rsidR="007E0919" w:rsidRDefault="007E0919">
      <w:pPr>
        <w:pStyle w:val="TOC2"/>
        <w:rPr>
          <w:rFonts w:asciiTheme="minorHAnsi" w:eastAsiaTheme="minorEastAsia" w:hAnsiTheme="minorHAnsi" w:cstheme="minorBidi"/>
          <w:noProof/>
          <w:kern w:val="2"/>
          <w:lang w:eastAsia="en-GB"/>
          <w14:ligatures w14:val="standardContextual"/>
        </w:rPr>
      </w:pPr>
      <w:hyperlink w:anchor="_Toc235200363" w:history="1">
        <w:r w:rsidRPr="00856D8A">
          <w:rPr>
            <w:rStyle w:val="Hyperlink"/>
            <w:noProof/>
          </w:rPr>
          <w:t>Appendix B – Control measures</w:t>
        </w:r>
        <w:r>
          <w:rPr>
            <w:noProof/>
            <w:webHidden/>
          </w:rPr>
          <w:tab/>
        </w:r>
        <w:r>
          <w:rPr>
            <w:noProof/>
            <w:webHidden/>
          </w:rPr>
          <w:fldChar w:fldCharType="begin"/>
        </w:r>
        <w:r>
          <w:rPr>
            <w:noProof/>
            <w:webHidden/>
          </w:rPr>
          <w:instrText xml:space="preserve"> PAGEREF _Toc235200363 \h </w:instrText>
        </w:r>
        <w:r>
          <w:rPr>
            <w:noProof/>
            <w:webHidden/>
          </w:rPr>
        </w:r>
        <w:r>
          <w:rPr>
            <w:noProof/>
            <w:webHidden/>
          </w:rPr>
          <w:fldChar w:fldCharType="separate"/>
        </w:r>
        <w:r>
          <w:rPr>
            <w:noProof/>
            <w:webHidden/>
          </w:rPr>
          <w:t>18</w:t>
        </w:r>
        <w:r>
          <w:rPr>
            <w:noProof/>
            <w:webHidden/>
          </w:rPr>
          <w:fldChar w:fldCharType="end"/>
        </w:r>
      </w:hyperlink>
    </w:p>
    <w:p w14:paraId="1E0A1994" w14:textId="676860D7" w:rsidR="00DA28B2" w:rsidRDefault="00B765F2" w:rsidP="00941D35">
      <w:r>
        <w:fldChar w:fldCharType="end"/>
      </w:r>
    </w:p>
    <w:p w14:paraId="0483FE1D" w14:textId="77777777" w:rsidR="00DA28B2" w:rsidRPr="007E0919" w:rsidRDefault="00DA28B2" w:rsidP="007E0919">
      <w:pPr>
        <w:rPr>
          <w:b/>
          <w:bCs/>
          <w:sz w:val="32"/>
          <w:szCs w:val="32"/>
        </w:rPr>
      </w:pPr>
    </w:p>
    <w:p w14:paraId="4B7ABF9F" w14:textId="48C8D9FC" w:rsidR="00DA28B2" w:rsidRPr="007E0919" w:rsidRDefault="005E3ACA" w:rsidP="007E0919">
      <w:pPr>
        <w:rPr>
          <w:b/>
          <w:bCs/>
          <w:sz w:val="32"/>
          <w:szCs w:val="32"/>
        </w:rPr>
      </w:pPr>
      <w:bookmarkStart w:id="13" w:name="_Toc51833372"/>
      <w:bookmarkStart w:id="14" w:name="_Toc290554221"/>
      <w:bookmarkStart w:id="15" w:name="_Toc299621186"/>
      <w:bookmarkStart w:id="16" w:name="_Toc299631414"/>
      <w:bookmarkStart w:id="17" w:name="_Toc299631474"/>
      <w:bookmarkStart w:id="18" w:name="_Toc299631564"/>
      <w:bookmarkStart w:id="19" w:name="_Toc299631641"/>
      <w:r w:rsidRPr="007E0919">
        <w:rPr>
          <w:b/>
          <w:bCs/>
          <w:sz w:val="32"/>
          <w:szCs w:val="32"/>
        </w:rPr>
        <w:t xml:space="preserve">List of </w:t>
      </w:r>
      <w:r w:rsidR="004C2C9C" w:rsidRPr="007E0919">
        <w:rPr>
          <w:b/>
          <w:bCs/>
          <w:sz w:val="32"/>
          <w:szCs w:val="32"/>
        </w:rPr>
        <w:t>T</w:t>
      </w:r>
      <w:r w:rsidRPr="007E0919">
        <w:rPr>
          <w:b/>
          <w:bCs/>
          <w:sz w:val="32"/>
          <w:szCs w:val="32"/>
        </w:rPr>
        <w:t>ables</w:t>
      </w:r>
      <w:bookmarkEnd w:id="13"/>
      <w:bookmarkEnd w:id="14"/>
      <w:bookmarkEnd w:id="15"/>
      <w:bookmarkEnd w:id="16"/>
      <w:bookmarkEnd w:id="17"/>
      <w:bookmarkEnd w:id="18"/>
      <w:bookmarkEnd w:id="19"/>
    </w:p>
    <w:p w14:paraId="38F32E69" w14:textId="38DC73FC" w:rsidR="000D2862"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235200269" w:history="1">
        <w:r w:rsidR="000D2862" w:rsidRPr="000F7E38">
          <w:rPr>
            <w:rStyle w:val="Hyperlink"/>
            <w:noProof/>
          </w:rPr>
          <w:t>Table 1- AK-47 Hazop</w:t>
        </w:r>
        <w:r w:rsidR="000D2862">
          <w:rPr>
            <w:noProof/>
            <w:webHidden/>
          </w:rPr>
          <w:tab/>
        </w:r>
        <w:r w:rsidR="000D2862">
          <w:rPr>
            <w:noProof/>
            <w:webHidden/>
          </w:rPr>
          <w:fldChar w:fldCharType="begin"/>
        </w:r>
        <w:r w:rsidR="000D2862">
          <w:rPr>
            <w:noProof/>
            <w:webHidden/>
          </w:rPr>
          <w:instrText xml:space="preserve"> PAGEREF _Toc235200269 \h </w:instrText>
        </w:r>
        <w:r w:rsidR="000D2862">
          <w:rPr>
            <w:noProof/>
            <w:webHidden/>
          </w:rPr>
        </w:r>
        <w:r w:rsidR="000D2862">
          <w:rPr>
            <w:noProof/>
            <w:webHidden/>
          </w:rPr>
          <w:fldChar w:fldCharType="separate"/>
        </w:r>
        <w:r w:rsidR="000D2862">
          <w:rPr>
            <w:noProof/>
            <w:webHidden/>
          </w:rPr>
          <w:t>2</w:t>
        </w:r>
        <w:r w:rsidR="000D2862">
          <w:rPr>
            <w:noProof/>
            <w:webHidden/>
          </w:rPr>
          <w:fldChar w:fldCharType="end"/>
        </w:r>
      </w:hyperlink>
    </w:p>
    <w:p w14:paraId="4B7981C6" w14:textId="6448410B" w:rsidR="00DA28B2" w:rsidRDefault="00B765F2" w:rsidP="00941D35">
      <w:r>
        <w:fldChar w:fldCharType="end"/>
      </w:r>
    </w:p>
    <w:p w14:paraId="0F746612" w14:textId="77777777" w:rsidR="00DA28B2" w:rsidRDefault="00DA28B2" w:rsidP="00941D35">
      <w:bookmarkStart w:id="20" w:name="_Toc51833373"/>
    </w:p>
    <w:p w14:paraId="7F7C6B8B" w14:textId="77777777" w:rsidR="005C0AF1" w:rsidRDefault="005C0AF1" w:rsidP="00AE480E">
      <w:bookmarkStart w:id="21" w:name="_Toc290554222"/>
      <w:bookmarkStart w:id="22" w:name="_Toc299621187"/>
      <w:bookmarkStart w:id="23" w:name="_Toc299631415"/>
      <w:bookmarkStart w:id="24" w:name="_Toc299631475"/>
      <w:bookmarkStart w:id="25" w:name="_Toc299631565"/>
      <w:bookmarkStart w:id="26" w:name="_Toc299631642"/>
      <w:r>
        <w:br w:type="page"/>
      </w:r>
    </w:p>
    <w:bookmarkEnd w:id="20"/>
    <w:bookmarkEnd w:id="21"/>
    <w:bookmarkEnd w:id="22"/>
    <w:bookmarkEnd w:id="23"/>
    <w:bookmarkEnd w:id="24"/>
    <w:bookmarkEnd w:id="25"/>
    <w:bookmarkEnd w:id="26"/>
    <w:p w14:paraId="22E55604" w14:textId="45CE89BC" w:rsidR="008D5D5E" w:rsidRPr="008D5D5E" w:rsidRDefault="008D5D5E" w:rsidP="008D5D5E">
      <w:pPr>
        <w:tabs>
          <w:tab w:val="center" w:pos="4252"/>
        </w:tabs>
        <w:sectPr w:rsidR="008D5D5E" w:rsidRPr="008D5D5E" w:rsidSect="003B1C9F">
          <w:pgSz w:w="11906" w:h="16838" w:code="9"/>
          <w:pgMar w:top="1701" w:right="1701" w:bottom="1701" w:left="1701" w:header="709" w:footer="851" w:gutter="0"/>
          <w:pgNumType w:fmt="lowerRoman"/>
          <w:cols w:space="708"/>
          <w:docGrid w:linePitch="360"/>
        </w:sectPr>
      </w:pPr>
    </w:p>
    <w:p w14:paraId="1FB6E625" w14:textId="17304E21" w:rsidR="00F10966" w:rsidRPr="008911DA" w:rsidRDefault="00054750" w:rsidP="007E0919">
      <w:pPr>
        <w:pStyle w:val="Heading1"/>
      </w:pPr>
      <w:bookmarkStart w:id="27" w:name="_Toc235200354"/>
      <w:r>
        <w:lastRenderedPageBreak/>
        <w:t>S</w:t>
      </w:r>
      <w:r w:rsidR="003049F4">
        <w:t>cope</w:t>
      </w:r>
      <w:r>
        <w:t xml:space="preserve"> and sys</w:t>
      </w:r>
      <w:r w:rsidR="00F22201">
        <w:t>tem description</w:t>
      </w:r>
      <w:bookmarkEnd w:id="27"/>
    </w:p>
    <w:p w14:paraId="75624643" w14:textId="77777777" w:rsidR="00CA7BA3" w:rsidRPr="00F8034E" w:rsidRDefault="005A510B" w:rsidP="00F8034E">
      <w:pPr>
        <w:pStyle w:val="Heading3"/>
        <w:rPr>
          <w:sz w:val="22"/>
          <w:szCs w:val="22"/>
        </w:rPr>
      </w:pPr>
      <w:bookmarkStart w:id="28" w:name="_Toc235200355"/>
      <w:r w:rsidRPr="00F8034E">
        <w:rPr>
          <w:sz w:val="22"/>
          <w:szCs w:val="22"/>
        </w:rPr>
        <w:t>Scope</w:t>
      </w:r>
      <w:bookmarkEnd w:id="28"/>
    </w:p>
    <w:p w14:paraId="13C8882A" w14:textId="654F7BE5" w:rsidR="005A510B" w:rsidRPr="00F8034E" w:rsidRDefault="005A510B" w:rsidP="005A510B">
      <w:pPr>
        <w:rPr>
          <w:sz w:val="22"/>
          <w:szCs w:val="22"/>
        </w:rPr>
      </w:pPr>
      <w:r w:rsidRPr="00F8034E">
        <w:rPr>
          <w:sz w:val="22"/>
          <w:szCs w:val="22"/>
        </w:rPr>
        <w:t>This risk assessment considers the AK</w:t>
      </w:r>
      <w:r w:rsidRPr="00F8034E">
        <w:rPr>
          <w:sz w:val="22"/>
          <w:szCs w:val="22"/>
        </w:rPr>
        <w:noBreakHyphen/>
        <w:t xml:space="preserve">47 rifle and its associated ammunition </w:t>
      </w:r>
      <w:r w:rsidR="00D90DC1" w:rsidRPr="00F8034E">
        <w:rPr>
          <w:sz w:val="22"/>
          <w:szCs w:val="22"/>
        </w:rPr>
        <w:t>in relation</w:t>
      </w:r>
      <w:r w:rsidR="000412B6" w:rsidRPr="00F8034E">
        <w:rPr>
          <w:sz w:val="22"/>
          <w:szCs w:val="22"/>
        </w:rPr>
        <w:t xml:space="preserve"> to</w:t>
      </w:r>
      <w:r w:rsidR="00D90DC1" w:rsidRPr="00F8034E">
        <w:rPr>
          <w:sz w:val="22"/>
          <w:szCs w:val="22"/>
        </w:rPr>
        <w:t xml:space="preserve"> normal </w:t>
      </w:r>
      <w:r w:rsidRPr="00F8034E">
        <w:rPr>
          <w:sz w:val="22"/>
          <w:szCs w:val="22"/>
        </w:rPr>
        <w:t>operating conditions</w:t>
      </w:r>
      <w:r w:rsidR="00D90DC1" w:rsidRPr="00F8034E">
        <w:rPr>
          <w:sz w:val="22"/>
          <w:szCs w:val="22"/>
        </w:rPr>
        <w:t>. This</w:t>
      </w:r>
      <w:r w:rsidRPr="00F8034E">
        <w:rPr>
          <w:sz w:val="22"/>
          <w:szCs w:val="22"/>
        </w:rPr>
        <w:t xml:space="preserve"> includ</w:t>
      </w:r>
      <w:r w:rsidR="00D90DC1" w:rsidRPr="00F8034E">
        <w:rPr>
          <w:sz w:val="22"/>
          <w:szCs w:val="22"/>
        </w:rPr>
        <w:t>es</w:t>
      </w:r>
      <w:r w:rsidRPr="00F8034E">
        <w:rPr>
          <w:sz w:val="22"/>
          <w:szCs w:val="22"/>
        </w:rPr>
        <w:t xml:space="preserve"> handling, loading, firing, misfire drills, and routine cleaning/maintenance. The assessment covers the relevant stages of the Manufacture to Target Disposal Sequence (MTDS) from the point at which ammunition is issued to </w:t>
      </w:r>
      <w:r w:rsidR="004557D4" w:rsidRPr="00F8034E">
        <w:rPr>
          <w:sz w:val="22"/>
          <w:szCs w:val="22"/>
        </w:rPr>
        <w:t>the</w:t>
      </w:r>
      <w:r w:rsidRPr="00F8034E">
        <w:rPr>
          <w:sz w:val="22"/>
          <w:szCs w:val="22"/>
        </w:rPr>
        <w:t xml:space="preserve"> operator and loaded into a magazine, through operational use in a range or field environment, and ending when the weapon has been unloaded, cleared, and returned to safe storage.</w:t>
      </w:r>
    </w:p>
    <w:p w14:paraId="3A2D2AA1" w14:textId="324EFD8F" w:rsidR="005A510B" w:rsidRPr="00F8034E" w:rsidRDefault="005A510B" w:rsidP="005A510B">
      <w:pPr>
        <w:rPr>
          <w:sz w:val="22"/>
          <w:szCs w:val="22"/>
        </w:rPr>
      </w:pPr>
      <w:r w:rsidRPr="00F8034E">
        <w:rPr>
          <w:sz w:val="22"/>
          <w:szCs w:val="22"/>
        </w:rPr>
        <w:t>The operating environment includes high</w:t>
      </w:r>
      <w:r w:rsidRPr="00F8034E">
        <w:rPr>
          <w:sz w:val="22"/>
          <w:szCs w:val="22"/>
        </w:rPr>
        <w:noBreakHyphen/>
        <w:t xml:space="preserve"> and low</w:t>
      </w:r>
      <w:r w:rsidRPr="00F8034E">
        <w:rPr>
          <w:sz w:val="22"/>
          <w:szCs w:val="22"/>
        </w:rPr>
        <w:noBreakHyphen/>
        <w:t>temperature climates, varying humidity, and conditions where particulate or water ingress is likely. Ammunition is considered only while housed within the magazine or chamber during normal use. Tactical employment, weapon modification, and ammunition manufacture are explicitly excluded. The intended audience for this assessment is armourers, range staff, and safety managers responsible for small</w:t>
      </w:r>
      <w:r w:rsidRPr="00F8034E">
        <w:rPr>
          <w:sz w:val="22"/>
          <w:szCs w:val="22"/>
        </w:rPr>
        <w:noBreakHyphen/>
        <w:t>arms safety.</w:t>
      </w:r>
    </w:p>
    <w:p w14:paraId="0A538DF2" w14:textId="77777777" w:rsidR="00D27678" w:rsidRPr="00F8034E" w:rsidRDefault="00D27678" w:rsidP="00F8034E">
      <w:pPr>
        <w:pStyle w:val="Heading3"/>
        <w:rPr>
          <w:sz w:val="22"/>
          <w:szCs w:val="22"/>
        </w:rPr>
      </w:pPr>
      <w:bookmarkStart w:id="29" w:name="_Toc235200356"/>
      <w:r w:rsidRPr="00F8034E">
        <w:rPr>
          <w:sz w:val="22"/>
          <w:szCs w:val="22"/>
        </w:rPr>
        <w:t>System description</w:t>
      </w:r>
      <w:bookmarkEnd w:id="29"/>
      <w:r w:rsidRPr="00F8034E">
        <w:rPr>
          <w:sz w:val="22"/>
          <w:szCs w:val="22"/>
        </w:rPr>
        <w:t xml:space="preserve"> </w:t>
      </w:r>
    </w:p>
    <w:p w14:paraId="2A51F137" w14:textId="09A86F32" w:rsidR="00300AB4" w:rsidRPr="00F8034E" w:rsidRDefault="00300AB4">
      <w:pPr>
        <w:rPr>
          <w:kern w:val="2"/>
          <w:sz w:val="22"/>
          <w:szCs w:val="22"/>
          <w:lang w:eastAsia="en-GB"/>
          <w14:ligatures w14:val="standardContextual"/>
        </w:rPr>
      </w:pPr>
      <w:r w:rsidRPr="00F8034E">
        <w:rPr>
          <w:sz w:val="22"/>
          <w:szCs w:val="22"/>
        </w:rPr>
        <w:t>The assessed system comprises the AK</w:t>
      </w:r>
      <w:r w:rsidRPr="00F8034E">
        <w:rPr>
          <w:sz w:val="22"/>
          <w:szCs w:val="22"/>
        </w:rPr>
        <w:noBreakHyphen/>
        <w:t>47 rifle and compatible 7.62×39 mm ammunition</w:t>
      </w:r>
      <w:r w:rsidR="00944EC8">
        <w:rPr>
          <w:sz w:val="22"/>
          <w:szCs w:val="22"/>
        </w:rPr>
        <w:t xml:space="preserve"> [32]</w:t>
      </w:r>
      <w:r w:rsidRPr="00F8034E">
        <w:rPr>
          <w:sz w:val="22"/>
          <w:szCs w:val="22"/>
        </w:rPr>
        <w:t>. The AK</w:t>
      </w:r>
      <w:r w:rsidRPr="00F8034E">
        <w:rPr>
          <w:sz w:val="22"/>
          <w:szCs w:val="22"/>
        </w:rPr>
        <w:noBreakHyphen/>
        <w:t>47 is a gas</w:t>
      </w:r>
      <w:r w:rsidRPr="00F8034E">
        <w:rPr>
          <w:sz w:val="22"/>
          <w:szCs w:val="22"/>
        </w:rPr>
        <w:noBreakHyphen/>
        <w:t>operated, rotating</w:t>
      </w:r>
      <w:r w:rsidRPr="00F8034E">
        <w:rPr>
          <w:sz w:val="22"/>
          <w:szCs w:val="22"/>
        </w:rPr>
        <w:noBreakHyphen/>
        <w:t>bolt rifle, and the safety-relevant elements of the system include the firing mechanism, gas system, magazine, chamber/barrel assembly and safety selector</w:t>
      </w:r>
      <w:r w:rsidR="00944EC8">
        <w:rPr>
          <w:sz w:val="22"/>
          <w:szCs w:val="22"/>
        </w:rPr>
        <w:t xml:space="preserve"> [1,2]</w:t>
      </w:r>
      <w:r w:rsidRPr="00F8034E">
        <w:rPr>
          <w:sz w:val="22"/>
          <w:szCs w:val="22"/>
        </w:rPr>
        <w:t>. The ammunition is considered at a high level as a metallic cartridge containing a primer, propellant and projectile. These energetic components are relevant to the hazard log because they introduce hazards associated with ignition, pressure generation, heat, impact, corrosion and environmental degradation.The system interfaces with trained operators, range staff, armourers, ammunition handling arrangements, cleaning and maintenance processes, and the surrounding environment. Safety-relevant system functions include loading, chambering, firing, extraction, ejection, misfire or stoppage response, unloading, cleaning and routine maintenance. These functions are relevant to the hazard log because failures or deviations within them may contribute to hazards such as misfire, unintended fire, breech failure, hot cartridge ejection or noise exposure. The system boundary is therefore limited to the rifle, compatible ammunition, immediate user interactions and the supporting controls required for safe use.</w:t>
      </w:r>
    </w:p>
    <w:p w14:paraId="31DC5D99" w14:textId="590997B3" w:rsidR="008911DA" w:rsidRPr="00D27678" w:rsidRDefault="008911DA" w:rsidP="00D27678">
      <w:pPr>
        <w:pStyle w:val="NormalWeb"/>
        <w:sectPr w:rsidR="008911DA" w:rsidRPr="00D27678" w:rsidSect="00623A81">
          <w:headerReference w:type="default" r:id="rId18"/>
          <w:pgSz w:w="11906" w:h="16838" w:code="9"/>
          <w:pgMar w:top="1701" w:right="1701" w:bottom="1701" w:left="1701" w:header="709" w:footer="851" w:gutter="0"/>
          <w:pgNumType w:start="1"/>
          <w:cols w:space="708"/>
          <w:docGrid w:linePitch="360"/>
        </w:sectPr>
      </w:pPr>
    </w:p>
    <w:p w14:paraId="0FEBEB1A" w14:textId="7334BCCB" w:rsidR="002460CF" w:rsidRPr="002460CF" w:rsidRDefault="00D4775E" w:rsidP="002460CF">
      <w:pPr>
        <w:pStyle w:val="Heading1"/>
      </w:pPr>
      <w:r w:rsidRPr="002460CF">
        <w:lastRenderedPageBreak/>
        <w:t xml:space="preserve"> </w:t>
      </w:r>
      <w:bookmarkStart w:id="30" w:name="_Toc235200357"/>
      <w:r w:rsidRPr="002460CF">
        <w:t>Risk assessment</w:t>
      </w:r>
      <w:bookmarkEnd w:id="30"/>
    </w:p>
    <w:p w14:paraId="134BF42F" w14:textId="23B0E497" w:rsidR="002460CF" w:rsidRPr="002460CF" w:rsidRDefault="002460CF" w:rsidP="002460CF">
      <w:pPr>
        <w:pStyle w:val="Caption"/>
        <w:jc w:val="center"/>
        <w:rPr>
          <w:b w:val="0"/>
          <w:bCs w:val="0"/>
        </w:rPr>
      </w:pPr>
      <w:bookmarkStart w:id="31" w:name="_Ref234155139"/>
      <w:bookmarkStart w:id="32" w:name="_Toc235200269"/>
      <w:r w:rsidRPr="002460CF">
        <w:rPr>
          <w:b w:val="0"/>
          <w:bCs w:val="0"/>
        </w:rPr>
        <w:t xml:space="preserve">Table </w:t>
      </w:r>
      <w:r w:rsidRPr="002460CF">
        <w:rPr>
          <w:b w:val="0"/>
          <w:bCs w:val="0"/>
        </w:rPr>
        <w:fldChar w:fldCharType="begin"/>
      </w:r>
      <w:r w:rsidRPr="002460CF">
        <w:rPr>
          <w:b w:val="0"/>
          <w:bCs w:val="0"/>
        </w:rPr>
        <w:instrText xml:space="preserve"> SEQ Table \* ARABIC </w:instrText>
      </w:r>
      <w:r w:rsidRPr="002460CF">
        <w:rPr>
          <w:b w:val="0"/>
          <w:bCs w:val="0"/>
        </w:rPr>
        <w:fldChar w:fldCharType="separate"/>
      </w:r>
      <w:r w:rsidRPr="002460CF">
        <w:rPr>
          <w:b w:val="0"/>
          <w:bCs w:val="0"/>
          <w:noProof/>
        </w:rPr>
        <w:t>1</w:t>
      </w:r>
      <w:r w:rsidRPr="002460CF">
        <w:rPr>
          <w:b w:val="0"/>
          <w:bCs w:val="0"/>
        </w:rPr>
        <w:fldChar w:fldCharType="end"/>
      </w:r>
      <w:bookmarkEnd w:id="31"/>
      <w:r w:rsidRPr="002460CF">
        <w:rPr>
          <w:b w:val="0"/>
          <w:bCs w:val="0"/>
        </w:rPr>
        <w:t>- AK-47 Hazop</w:t>
      </w:r>
      <w:bookmarkEnd w:id="32"/>
    </w:p>
    <w:tbl>
      <w:tblPr>
        <w:tblStyle w:val="TableGrid"/>
        <w:tblW w:w="16586" w:type="dxa"/>
        <w:tblInd w:w="-1565" w:type="dxa"/>
        <w:tblLook w:val="04A0" w:firstRow="1" w:lastRow="0" w:firstColumn="1" w:lastColumn="0" w:noHBand="0" w:noVBand="1"/>
      </w:tblPr>
      <w:tblGrid>
        <w:gridCol w:w="950"/>
        <w:gridCol w:w="1240"/>
        <w:gridCol w:w="1662"/>
        <w:gridCol w:w="2320"/>
        <w:gridCol w:w="2322"/>
        <w:gridCol w:w="1316"/>
        <w:gridCol w:w="1073"/>
        <w:gridCol w:w="804"/>
        <w:gridCol w:w="1377"/>
        <w:gridCol w:w="1316"/>
        <w:gridCol w:w="1073"/>
        <w:gridCol w:w="1133"/>
      </w:tblGrid>
      <w:tr w:rsidR="00B641FE" w14:paraId="6AE8D974" w14:textId="77777777" w:rsidTr="003F764C">
        <w:tc>
          <w:tcPr>
            <w:tcW w:w="950" w:type="dxa"/>
            <w:shd w:val="clear" w:color="auto" w:fill="E5DFEC" w:themeFill="accent4" w:themeFillTint="33"/>
          </w:tcPr>
          <w:p w14:paraId="43649542" w14:textId="77777777" w:rsidR="00B641FE" w:rsidRPr="00275838" w:rsidRDefault="00B641FE">
            <w:pPr>
              <w:spacing w:before="0" w:line="240" w:lineRule="auto"/>
              <w:jc w:val="left"/>
              <w:rPr>
                <w:rFonts w:cs="Arial"/>
                <w:b/>
                <w:bCs/>
                <w:sz w:val="22"/>
                <w:szCs w:val="22"/>
              </w:rPr>
            </w:pPr>
            <w:r w:rsidRPr="00275838">
              <w:rPr>
                <w:rFonts w:cs="Arial"/>
                <w:b/>
                <w:bCs/>
                <w:sz w:val="22"/>
                <w:szCs w:val="22"/>
              </w:rPr>
              <w:t>Hazard ID</w:t>
            </w:r>
          </w:p>
        </w:tc>
        <w:tc>
          <w:tcPr>
            <w:tcW w:w="1240" w:type="dxa"/>
            <w:shd w:val="clear" w:color="auto" w:fill="E5DFEC" w:themeFill="accent4" w:themeFillTint="33"/>
          </w:tcPr>
          <w:p w14:paraId="04BEE44A" w14:textId="77777777" w:rsidR="00B641FE" w:rsidRPr="00275838" w:rsidRDefault="00B641FE">
            <w:pPr>
              <w:spacing w:before="0" w:line="240" w:lineRule="auto"/>
              <w:jc w:val="left"/>
              <w:rPr>
                <w:rFonts w:cs="Arial"/>
                <w:b/>
                <w:bCs/>
                <w:sz w:val="22"/>
                <w:szCs w:val="22"/>
              </w:rPr>
            </w:pPr>
            <w:r w:rsidRPr="00275838">
              <w:rPr>
                <w:rFonts w:cs="Arial"/>
                <w:b/>
                <w:bCs/>
                <w:sz w:val="22"/>
                <w:szCs w:val="22"/>
              </w:rPr>
              <w:t>Hazard</w:t>
            </w:r>
          </w:p>
        </w:tc>
        <w:tc>
          <w:tcPr>
            <w:tcW w:w="1662" w:type="dxa"/>
            <w:shd w:val="clear" w:color="auto" w:fill="E5DFEC" w:themeFill="accent4" w:themeFillTint="33"/>
          </w:tcPr>
          <w:p w14:paraId="2A48A029"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Hazard Description</w:t>
            </w:r>
          </w:p>
        </w:tc>
        <w:tc>
          <w:tcPr>
            <w:tcW w:w="2320" w:type="dxa"/>
            <w:shd w:val="clear" w:color="auto" w:fill="E5DFEC" w:themeFill="accent4" w:themeFillTint="33"/>
          </w:tcPr>
          <w:p w14:paraId="3F34FDFE" w14:textId="77777777" w:rsidR="00B641FE" w:rsidRPr="00275838" w:rsidRDefault="00B641FE">
            <w:pPr>
              <w:spacing w:before="0" w:line="240" w:lineRule="auto"/>
              <w:jc w:val="left"/>
              <w:rPr>
                <w:rFonts w:cs="Arial"/>
                <w:b/>
                <w:bCs/>
                <w:sz w:val="22"/>
                <w:szCs w:val="22"/>
              </w:rPr>
            </w:pPr>
            <w:r w:rsidRPr="00275838">
              <w:rPr>
                <w:rFonts w:cs="Arial"/>
                <w:b/>
                <w:bCs/>
                <w:sz w:val="22"/>
                <w:szCs w:val="22"/>
              </w:rPr>
              <w:t>Accidents/ consequences</w:t>
            </w:r>
          </w:p>
        </w:tc>
        <w:tc>
          <w:tcPr>
            <w:tcW w:w="2322" w:type="dxa"/>
            <w:shd w:val="clear" w:color="auto" w:fill="E5DFEC" w:themeFill="accent4" w:themeFillTint="33"/>
          </w:tcPr>
          <w:p w14:paraId="6F00BC7B"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 xml:space="preserve">Causes/ threats </w:t>
            </w:r>
          </w:p>
          <w:p w14:paraId="0A4BB844" w14:textId="77777777" w:rsidR="00B641FE" w:rsidRPr="00275838" w:rsidRDefault="00B641FE">
            <w:pPr>
              <w:spacing w:before="0" w:line="240" w:lineRule="auto"/>
              <w:jc w:val="left"/>
              <w:rPr>
                <w:rFonts w:cs="Arial"/>
                <w:b/>
                <w:bCs/>
                <w:sz w:val="22"/>
                <w:szCs w:val="22"/>
              </w:rPr>
            </w:pPr>
          </w:p>
        </w:tc>
        <w:tc>
          <w:tcPr>
            <w:tcW w:w="1316" w:type="dxa"/>
            <w:shd w:val="clear" w:color="auto" w:fill="E5DFEC" w:themeFill="accent4" w:themeFillTint="33"/>
          </w:tcPr>
          <w:p w14:paraId="15E8CCAA"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Likelihood</w:t>
            </w:r>
          </w:p>
          <w:p w14:paraId="1F0065EF" w14:textId="77777777" w:rsidR="00B641FE" w:rsidRPr="00275838" w:rsidRDefault="00B641FE">
            <w:pPr>
              <w:spacing w:before="0" w:line="240" w:lineRule="auto"/>
              <w:jc w:val="left"/>
              <w:rPr>
                <w:rFonts w:cs="Arial"/>
                <w:b/>
                <w:bCs/>
                <w:sz w:val="22"/>
                <w:szCs w:val="22"/>
              </w:rPr>
            </w:pPr>
          </w:p>
        </w:tc>
        <w:tc>
          <w:tcPr>
            <w:tcW w:w="1073" w:type="dxa"/>
            <w:shd w:val="clear" w:color="auto" w:fill="E5DFEC" w:themeFill="accent4" w:themeFillTint="33"/>
          </w:tcPr>
          <w:p w14:paraId="6D5342EF"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Severity</w:t>
            </w:r>
          </w:p>
          <w:p w14:paraId="2E3BC51C" w14:textId="77777777" w:rsidR="00B641FE" w:rsidRPr="00275838" w:rsidRDefault="00B641FE">
            <w:pPr>
              <w:spacing w:before="0" w:line="240" w:lineRule="auto"/>
              <w:jc w:val="left"/>
              <w:rPr>
                <w:rFonts w:cs="Arial"/>
                <w:b/>
                <w:bCs/>
                <w:sz w:val="22"/>
                <w:szCs w:val="22"/>
              </w:rPr>
            </w:pPr>
          </w:p>
        </w:tc>
        <w:tc>
          <w:tcPr>
            <w:tcW w:w="804" w:type="dxa"/>
            <w:shd w:val="clear" w:color="auto" w:fill="E5DFEC" w:themeFill="accent4" w:themeFillTint="33"/>
          </w:tcPr>
          <w:p w14:paraId="4605876E"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Risk Class</w:t>
            </w:r>
          </w:p>
          <w:p w14:paraId="5D297302" w14:textId="77777777" w:rsidR="00B641FE" w:rsidRPr="00275838" w:rsidRDefault="00B641FE">
            <w:pPr>
              <w:spacing w:before="0" w:line="240" w:lineRule="auto"/>
              <w:jc w:val="left"/>
              <w:rPr>
                <w:rFonts w:cs="Arial"/>
                <w:b/>
                <w:bCs/>
                <w:sz w:val="22"/>
                <w:szCs w:val="22"/>
              </w:rPr>
            </w:pPr>
          </w:p>
        </w:tc>
        <w:tc>
          <w:tcPr>
            <w:tcW w:w="1377" w:type="dxa"/>
            <w:shd w:val="clear" w:color="auto" w:fill="E5DFEC" w:themeFill="accent4" w:themeFillTint="33"/>
          </w:tcPr>
          <w:p w14:paraId="1A2DEAB9"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Risk Reduction (Controls)</w:t>
            </w:r>
          </w:p>
          <w:p w14:paraId="6E926A42" w14:textId="77777777" w:rsidR="00B641FE" w:rsidRPr="00275838" w:rsidRDefault="00B641FE">
            <w:pPr>
              <w:spacing w:before="0" w:line="240" w:lineRule="auto"/>
              <w:jc w:val="left"/>
              <w:rPr>
                <w:rFonts w:cs="Arial"/>
                <w:b/>
                <w:bCs/>
                <w:sz w:val="22"/>
                <w:szCs w:val="22"/>
              </w:rPr>
            </w:pPr>
          </w:p>
        </w:tc>
        <w:tc>
          <w:tcPr>
            <w:tcW w:w="1316" w:type="dxa"/>
            <w:shd w:val="clear" w:color="auto" w:fill="E5DFEC" w:themeFill="accent4" w:themeFillTint="33"/>
          </w:tcPr>
          <w:p w14:paraId="020368E1"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Likelihood</w:t>
            </w:r>
          </w:p>
          <w:p w14:paraId="57DB3FCD" w14:textId="77777777" w:rsidR="00B641FE" w:rsidRPr="00275838" w:rsidRDefault="00B641FE">
            <w:pPr>
              <w:spacing w:before="0" w:line="240" w:lineRule="auto"/>
              <w:jc w:val="left"/>
              <w:rPr>
                <w:rFonts w:cs="Arial"/>
                <w:b/>
                <w:bCs/>
                <w:sz w:val="22"/>
                <w:szCs w:val="22"/>
              </w:rPr>
            </w:pPr>
          </w:p>
        </w:tc>
        <w:tc>
          <w:tcPr>
            <w:tcW w:w="1073" w:type="dxa"/>
            <w:shd w:val="clear" w:color="auto" w:fill="E5DFEC" w:themeFill="accent4" w:themeFillTint="33"/>
          </w:tcPr>
          <w:p w14:paraId="112B80EE"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Severity</w:t>
            </w:r>
          </w:p>
          <w:p w14:paraId="4CFDF2B1" w14:textId="77777777" w:rsidR="00B641FE" w:rsidRPr="00275838" w:rsidRDefault="00B641FE">
            <w:pPr>
              <w:spacing w:before="0" w:line="240" w:lineRule="auto"/>
              <w:jc w:val="left"/>
              <w:rPr>
                <w:rFonts w:cs="Arial"/>
                <w:b/>
                <w:bCs/>
                <w:sz w:val="22"/>
                <w:szCs w:val="22"/>
              </w:rPr>
            </w:pPr>
          </w:p>
        </w:tc>
        <w:tc>
          <w:tcPr>
            <w:tcW w:w="1133" w:type="dxa"/>
            <w:shd w:val="clear" w:color="auto" w:fill="E5DFEC" w:themeFill="accent4" w:themeFillTint="33"/>
          </w:tcPr>
          <w:p w14:paraId="45544E09" w14:textId="77777777" w:rsidR="00B641FE" w:rsidRPr="00275838" w:rsidRDefault="00B641FE">
            <w:pPr>
              <w:spacing w:before="0" w:line="240" w:lineRule="auto"/>
              <w:jc w:val="left"/>
              <w:rPr>
                <w:rFonts w:cs="Arial"/>
                <w:b/>
                <w:bCs/>
                <w:color w:val="0E2841"/>
                <w:sz w:val="22"/>
                <w:szCs w:val="22"/>
              </w:rPr>
            </w:pPr>
            <w:r w:rsidRPr="00275838">
              <w:rPr>
                <w:rFonts w:cs="Arial"/>
                <w:b/>
                <w:bCs/>
                <w:color w:val="0E2841"/>
                <w:sz w:val="22"/>
                <w:szCs w:val="22"/>
              </w:rPr>
              <w:t xml:space="preserve">Residual risk </w:t>
            </w:r>
          </w:p>
          <w:p w14:paraId="4E429206" w14:textId="77777777" w:rsidR="00B641FE" w:rsidRPr="00275838" w:rsidRDefault="00B641FE">
            <w:pPr>
              <w:spacing w:before="0" w:line="240" w:lineRule="auto"/>
              <w:jc w:val="left"/>
              <w:rPr>
                <w:rFonts w:cs="Arial"/>
                <w:b/>
                <w:bCs/>
                <w:sz w:val="22"/>
                <w:szCs w:val="22"/>
              </w:rPr>
            </w:pPr>
          </w:p>
        </w:tc>
      </w:tr>
      <w:tr w:rsidR="00B641FE" w14:paraId="3F1381CB" w14:textId="77777777" w:rsidTr="003F764C">
        <w:trPr>
          <w:trHeight w:val="2810"/>
        </w:trPr>
        <w:tc>
          <w:tcPr>
            <w:tcW w:w="950" w:type="dxa"/>
            <w:shd w:val="clear" w:color="auto" w:fill="E5DFEC" w:themeFill="accent4" w:themeFillTint="33"/>
          </w:tcPr>
          <w:p w14:paraId="01EB18DA" w14:textId="77777777" w:rsidR="00B641FE" w:rsidRPr="002E1329" w:rsidRDefault="00B641FE">
            <w:pPr>
              <w:spacing w:before="0" w:line="240" w:lineRule="auto"/>
              <w:jc w:val="left"/>
              <w:rPr>
                <w:b/>
                <w:bCs/>
              </w:rPr>
            </w:pPr>
            <w:r w:rsidRPr="002E1329">
              <w:rPr>
                <w:b/>
                <w:bCs/>
              </w:rPr>
              <w:t>H1</w:t>
            </w:r>
          </w:p>
        </w:tc>
        <w:tc>
          <w:tcPr>
            <w:tcW w:w="1240" w:type="dxa"/>
          </w:tcPr>
          <w:p w14:paraId="33251147"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Ejected hot cartridge case</w:t>
            </w:r>
          </w:p>
        </w:tc>
        <w:tc>
          <w:tcPr>
            <w:tcW w:w="1662" w:type="dxa"/>
          </w:tcPr>
          <w:p w14:paraId="4AF1BBBF" w14:textId="77777777" w:rsidR="00300AB4" w:rsidRPr="00944EC8" w:rsidRDefault="00300AB4" w:rsidP="00300AB4">
            <w:pPr>
              <w:spacing w:before="0" w:line="240" w:lineRule="auto"/>
              <w:jc w:val="left"/>
              <w:rPr>
                <w:rFonts w:cs="Arial"/>
                <w:sz w:val="20"/>
                <w:szCs w:val="20"/>
              </w:rPr>
            </w:pPr>
            <w:r w:rsidRPr="00944EC8">
              <w:rPr>
                <w:rFonts w:cs="Arial"/>
                <w:sz w:val="20"/>
                <w:szCs w:val="20"/>
              </w:rPr>
              <w:t>Potential for a hot spent cartridge case to be ejected from the weapon and contact personnel, clothing, combustible material or sensitive equipment.</w:t>
            </w:r>
          </w:p>
          <w:p w14:paraId="30149F79" w14:textId="77777777" w:rsidR="00B641FE" w:rsidRPr="00FC60F1" w:rsidRDefault="00B641FE">
            <w:pPr>
              <w:spacing w:before="0" w:line="240" w:lineRule="auto"/>
              <w:jc w:val="left"/>
              <w:rPr>
                <w:rFonts w:cs="Arial"/>
                <w:color w:val="000000" w:themeColor="text1"/>
                <w:sz w:val="20"/>
                <w:szCs w:val="20"/>
              </w:rPr>
            </w:pPr>
          </w:p>
        </w:tc>
        <w:tc>
          <w:tcPr>
            <w:tcW w:w="2320" w:type="dxa"/>
          </w:tcPr>
          <w:p w14:paraId="2236A4CC" w14:textId="77777777" w:rsidR="00B641FE" w:rsidRPr="00FC60F1" w:rsidRDefault="00B641FE">
            <w:pPr>
              <w:pStyle w:val="ListParagraph"/>
              <w:numPr>
                <w:ilvl w:val="0"/>
                <w:numId w:val="9"/>
              </w:numPr>
              <w:spacing w:before="0" w:line="240" w:lineRule="auto"/>
              <w:jc w:val="left"/>
              <w:rPr>
                <w:rFonts w:cs="Arial"/>
                <w:color w:val="000000" w:themeColor="text1"/>
                <w:sz w:val="20"/>
                <w:szCs w:val="20"/>
              </w:rPr>
            </w:pPr>
            <w:r w:rsidRPr="00FC60F1">
              <w:rPr>
                <w:rFonts w:cs="Arial"/>
                <w:color w:val="000000" w:themeColor="text1"/>
                <w:sz w:val="20"/>
                <w:szCs w:val="20"/>
              </w:rPr>
              <w:t>Burns</w:t>
            </w:r>
          </w:p>
          <w:p w14:paraId="255CF6A9" w14:textId="77777777" w:rsidR="00B641FE" w:rsidRPr="00FC60F1" w:rsidRDefault="00B641FE">
            <w:pPr>
              <w:pStyle w:val="ListParagraph"/>
              <w:numPr>
                <w:ilvl w:val="0"/>
                <w:numId w:val="9"/>
              </w:numPr>
              <w:spacing w:before="0" w:line="240" w:lineRule="auto"/>
              <w:jc w:val="left"/>
              <w:rPr>
                <w:rFonts w:cs="Arial"/>
                <w:color w:val="000000" w:themeColor="text1"/>
                <w:sz w:val="20"/>
                <w:szCs w:val="20"/>
              </w:rPr>
            </w:pPr>
            <w:r w:rsidRPr="00FC60F1">
              <w:rPr>
                <w:rFonts w:cs="Arial"/>
                <w:color w:val="000000" w:themeColor="text1"/>
                <w:sz w:val="20"/>
                <w:szCs w:val="20"/>
              </w:rPr>
              <w:t>Barrel wear</w:t>
            </w:r>
          </w:p>
          <w:p w14:paraId="7A6F6EFB" w14:textId="77777777" w:rsidR="00B641FE" w:rsidRPr="00FC60F1" w:rsidRDefault="00B641FE">
            <w:pPr>
              <w:pStyle w:val="ListParagraph"/>
              <w:numPr>
                <w:ilvl w:val="0"/>
                <w:numId w:val="9"/>
              </w:numPr>
              <w:spacing w:before="0" w:line="240" w:lineRule="auto"/>
              <w:jc w:val="left"/>
              <w:rPr>
                <w:rFonts w:cs="Arial"/>
                <w:color w:val="000000" w:themeColor="text1"/>
                <w:sz w:val="20"/>
                <w:szCs w:val="20"/>
              </w:rPr>
            </w:pPr>
            <w:r w:rsidRPr="00FC60F1">
              <w:rPr>
                <w:rFonts w:cs="Arial"/>
                <w:color w:val="000000" w:themeColor="text1"/>
                <w:sz w:val="20"/>
                <w:szCs w:val="20"/>
              </w:rPr>
              <w:t>Clothing damage</w:t>
            </w:r>
          </w:p>
          <w:p w14:paraId="20019F3A" w14:textId="77777777" w:rsidR="00B641FE" w:rsidRPr="00FC60F1" w:rsidRDefault="00B641FE">
            <w:pPr>
              <w:pStyle w:val="ListParagraph"/>
              <w:numPr>
                <w:ilvl w:val="0"/>
                <w:numId w:val="9"/>
              </w:numPr>
              <w:spacing w:before="0" w:line="240" w:lineRule="auto"/>
              <w:jc w:val="left"/>
              <w:rPr>
                <w:rFonts w:cs="Arial"/>
                <w:color w:val="000000" w:themeColor="text1"/>
                <w:sz w:val="20"/>
                <w:szCs w:val="20"/>
              </w:rPr>
            </w:pPr>
            <w:r w:rsidRPr="00FC60F1">
              <w:rPr>
                <w:rFonts w:cs="Arial"/>
                <w:color w:val="000000" w:themeColor="text1"/>
                <w:sz w:val="20"/>
                <w:szCs w:val="20"/>
              </w:rPr>
              <w:t>Fire</w:t>
            </w:r>
          </w:p>
          <w:p w14:paraId="79463A46" w14:textId="77777777" w:rsidR="00B641FE" w:rsidRPr="00FC60F1" w:rsidRDefault="00B641FE">
            <w:pPr>
              <w:pStyle w:val="ListParagraph"/>
              <w:numPr>
                <w:ilvl w:val="0"/>
                <w:numId w:val="9"/>
              </w:numPr>
              <w:spacing w:before="0" w:line="240" w:lineRule="auto"/>
              <w:jc w:val="left"/>
              <w:rPr>
                <w:rFonts w:cs="Arial"/>
                <w:color w:val="000000" w:themeColor="text1"/>
                <w:sz w:val="20"/>
                <w:szCs w:val="20"/>
              </w:rPr>
            </w:pPr>
            <w:r w:rsidRPr="00FC60F1">
              <w:rPr>
                <w:rFonts w:cs="Arial"/>
                <w:color w:val="000000" w:themeColor="text1"/>
                <w:sz w:val="20"/>
                <w:szCs w:val="20"/>
              </w:rPr>
              <w:t>Impact from casing to sensitive body part</w:t>
            </w:r>
          </w:p>
        </w:tc>
        <w:tc>
          <w:tcPr>
            <w:tcW w:w="2322" w:type="dxa"/>
          </w:tcPr>
          <w:p w14:paraId="16369734"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Gun firing</w:t>
            </w:r>
          </w:p>
          <w:p w14:paraId="47535E76"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Casing ejection</w:t>
            </w:r>
          </w:p>
        </w:tc>
        <w:tc>
          <w:tcPr>
            <w:tcW w:w="1316" w:type="dxa"/>
          </w:tcPr>
          <w:p w14:paraId="645BB406"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1073" w:type="dxa"/>
          </w:tcPr>
          <w:p w14:paraId="2D163E3F"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4</w:t>
            </w:r>
          </w:p>
        </w:tc>
        <w:tc>
          <w:tcPr>
            <w:tcW w:w="804" w:type="dxa"/>
            <w:shd w:val="clear" w:color="auto" w:fill="EE0000"/>
          </w:tcPr>
          <w:p w14:paraId="495EB839"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A</w:t>
            </w:r>
          </w:p>
        </w:tc>
        <w:tc>
          <w:tcPr>
            <w:tcW w:w="1377" w:type="dxa"/>
          </w:tcPr>
          <w:p w14:paraId="51CE4B88" w14:textId="77777777" w:rsidR="00B641FE" w:rsidRPr="009866A6" w:rsidRDefault="00B641FE">
            <w:pPr>
              <w:spacing w:before="0" w:line="240" w:lineRule="auto"/>
              <w:jc w:val="left"/>
              <w:rPr>
                <w:rFonts w:cs="Arial"/>
                <w:color w:val="000000" w:themeColor="text1"/>
                <w:sz w:val="18"/>
                <w:szCs w:val="18"/>
              </w:rPr>
            </w:pPr>
            <w:r w:rsidRPr="009866A6">
              <w:rPr>
                <w:rFonts w:cs="Arial"/>
                <w:color w:val="000000" w:themeColor="text1"/>
                <w:sz w:val="18"/>
                <w:szCs w:val="18"/>
              </w:rPr>
              <w:t xml:space="preserve">C1 -Controlled number of trained personnel in the vicinity </w:t>
            </w:r>
            <w:r w:rsidRPr="009866A6">
              <w:rPr>
                <w:rFonts w:cs="Arial"/>
                <w:color w:val="000000" w:themeColor="text1"/>
                <w:sz w:val="18"/>
                <w:szCs w:val="18"/>
              </w:rPr>
              <w:br/>
              <w:t>C3- Training</w:t>
            </w:r>
            <w:r w:rsidRPr="009866A6">
              <w:rPr>
                <w:rFonts w:cs="Arial"/>
                <w:color w:val="000000" w:themeColor="text1"/>
                <w:sz w:val="18"/>
                <w:szCs w:val="18"/>
              </w:rPr>
              <w:br/>
              <w:t>C4- Weapons handling procedures</w:t>
            </w:r>
            <w:r w:rsidRPr="009866A6">
              <w:rPr>
                <w:rFonts w:cs="Arial"/>
                <w:color w:val="000000" w:themeColor="text1"/>
                <w:sz w:val="18"/>
                <w:szCs w:val="18"/>
              </w:rPr>
              <w:br/>
              <w:t xml:space="preserve">C6- Cleaning procedures </w:t>
            </w:r>
            <w:r w:rsidRPr="009866A6">
              <w:rPr>
                <w:rFonts w:cs="Arial"/>
                <w:color w:val="000000" w:themeColor="text1"/>
                <w:sz w:val="18"/>
                <w:szCs w:val="18"/>
              </w:rPr>
              <w:br/>
              <w:t xml:space="preserve">C7-Examination of equipment </w:t>
            </w:r>
            <w:r w:rsidRPr="009866A6">
              <w:rPr>
                <w:rFonts w:cs="Arial"/>
                <w:color w:val="000000" w:themeColor="text1"/>
                <w:sz w:val="18"/>
                <w:szCs w:val="18"/>
              </w:rPr>
              <w:br/>
              <w:t>C8- SME advice</w:t>
            </w:r>
            <w:r w:rsidRPr="009866A6">
              <w:rPr>
                <w:rFonts w:cs="Arial"/>
                <w:color w:val="000000" w:themeColor="text1"/>
                <w:sz w:val="18"/>
                <w:szCs w:val="18"/>
              </w:rPr>
              <w:br/>
              <w:t>C10- PPE/ CPE</w:t>
            </w:r>
            <w:r w:rsidRPr="009866A6">
              <w:rPr>
                <w:rFonts w:cs="Arial"/>
                <w:color w:val="000000" w:themeColor="text1"/>
                <w:sz w:val="18"/>
                <w:szCs w:val="18"/>
              </w:rPr>
              <w:br/>
              <w:t xml:space="preserve">C11- Range safety procedures </w:t>
            </w:r>
            <w:r w:rsidRPr="009866A6">
              <w:rPr>
                <w:rFonts w:cs="Arial"/>
                <w:color w:val="000000" w:themeColor="text1"/>
                <w:sz w:val="18"/>
                <w:szCs w:val="18"/>
              </w:rPr>
              <w:br/>
              <w:t>C14- Environmental considerations</w:t>
            </w:r>
            <w:r w:rsidRPr="009866A6">
              <w:rPr>
                <w:rFonts w:cs="Arial"/>
                <w:color w:val="000000" w:themeColor="text1"/>
                <w:sz w:val="18"/>
                <w:szCs w:val="18"/>
              </w:rPr>
              <w:br/>
              <w:t xml:space="preserve">C15- Fatigue/ stress management </w:t>
            </w:r>
          </w:p>
          <w:p w14:paraId="72347EAA" w14:textId="77777777" w:rsidR="00B641FE" w:rsidRPr="009866A6" w:rsidRDefault="00B641FE">
            <w:pPr>
              <w:spacing w:before="0" w:line="240" w:lineRule="auto"/>
              <w:jc w:val="left"/>
              <w:rPr>
                <w:rFonts w:cs="Arial"/>
                <w:color w:val="000000" w:themeColor="text1"/>
                <w:sz w:val="18"/>
                <w:szCs w:val="18"/>
              </w:rPr>
            </w:pPr>
          </w:p>
        </w:tc>
        <w:tc>
          <w:tcPr>
            <w:tcW w:w="1316" w:type="dxa"/>
          </w:tcPr>
          <w:p w14:paraId="62EC2CED"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3</w:t>
            </w:r>
          </w:p>
        </w:tc>
        <w:tc>
          <w:tcPr>
            <w:tcW w:w="1073" w:type="dxa"/>
          </w:tcPr>
          <w:p w14:paraId="198472F7"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3</w:t>
            </w:r>
          </w:p>
        </w:tc>
        <w:tc>
          <w:tcPr>
            <w:tcW w:w="1133" w:type="dxa"/>
            <w:shd w:val="clear" w:color="auto" w:fill="FFFF00"/>
          </w:tcPr>
          <w:p w14:paraId="093B32AB"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C</w:t>
            </w:r>
          </w:p>
        </w:tc>
      </w:tr>
      <w:tr w:rsidR="00B641FE" w14:paraId="43758E71" w14:textId="77777777" w:rsidTr="003F764C">
        <w:trPr>
          <w:trHeight w:val="1390"/>
        </w:trPr>
        <w:tc>
          <w:tcPr>
            <w:tcW w:w="950" w:type="dxa"/>
            <w:shd w:val="clear" w:color="auto" w:fill="E5DFEC" w:themeFill="accent4" w:themeFillTint="33"/>
          </w:tcPr>
          <w:p w14:paraId="6A672102" w14:textId="77777777" w:rsidR="00B641FE" w:rsidRPr="002E1329" w:rsidRDefault="00B641FE">
            <w:pPr>
              <w:spacing w:before="0" w:line="240" w:lineRule="auto"/>
              <w:jc w:val="left"/>
              <w:rPr>
                <w:b/>
                <w:bCs/>
              </w:rPr>
            </w:pPr>
            <w:r w:rsidRPr="002E1329">
              <w:rPr>
                <w:b/>
                <w:bCs/>
              </w:rPr>
              <w:lastRenderedPageBreak/>
              <w:t>H2</w:t>
            </w:r>
          </w:p>
        </w:tc>
        <w:tc>
          <w:tcPr>
            <w:tcW w:w="1240" w:type="dxa"/>
          </w:tcPr>
          <w:p w14:paraId="116A48E2" w14:textId="47DED2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Bre</w:t>
            </w:r>
            <w:r w:rsidR="00805C1C">
              <w:rPr>
                <w:rFonts w:cs="Arial"/>
                <w:color w:val="000000" w:themeColor="text1"/>
                <w:sz w:val="20"/>
                <w:szCs w:val="20"/>
              </w:rPr>
              <w:t>a</w:t>
            </w:r>
            <w:r w:rsidRPr="00FC60F1">
              <w:rPr>
                <w:rFonts w:cs="Arial"/>
                <w:color w:val="000000" w:themeColor="text1"/>
                <w:sz w:val="20"/>
                <w:szCs w:val="20"/>
              </w:rPr>
              <w:t>ch explosion</w:t>
            </w:r>
          </w:p>
          <w:p w14:paraId="357AC2F2" w14:textId="77777777" w:rsidR="00B641FE" w:rsidRPr="00FC60F1" w:rsidRDefault="00B641FE">
            <w:pPr>
              <w:spacing w:before="0" w:line="240" w:lineRule="auto"/>
              <w:jc w:val="left"/>
              <w:rPr>
                <w:rFonts w:cs="Arial"/>
                <w:color w:val="000000" w:themeColor="text1"/>
                <w:sz w:val="20"/>
                <w:szCs w:val="20"/>
              </w:rPr>
            </w:pPr>
          </w:p>
        </w:tc>
        <w:tc>
          <w:tcPr>
            <w:tcW w:w="1662" w:type="dxa"/>
          </w:tcPr>
          <w:p w14:paraId="0E4E2A49" w14:textId="55322690" w:rsidR="00300AB4" w:rsidRPr="00944EC8" w:rsidRDefault="00300AB4" w:rsidP="00300AB4">
            <w:pPr>
              <w:spacing w:before="0" w:line="240" w:lineRule="auto"/>
              <w:jc w:val="left"/>
              <w:rPr>
                <w:rFonts w:cs="Arial"/>
                <w:sz w:val="20"/>
                <w:szCs w:val="20"/>
              </w:rPr>
            </w:pPr>
            <w:r w:rsidRPr="00944EC8">
              <w:rPr>
                <w:rFonts w:cs="Arial"/>
                <w:sz w:val="20"/>
                <w:szCs w:val="20"/>
              </w:rPr>
              <w:t xml:space="preserve">Potential for uncontrolled pressure release or structural failure at the breech/chamber during firing, resulting in blast, fragmentation, weapon damage or injury to nearby </w:t>
            </w:r>
            <w:proofErr w:type="gramStart"/>
            <w:r w:rsidRPr="00944EC8">
              <w:rPr>
                <w:rFonts w:cs="Arial"/>
                <w:sz w:val="20"/>
                <w:szCs w:val="20"/>
              </w:rPr>
              <w:t>personnel</w:t>
            </w:r>
            <w:r w:rsidR="00805C1C">
              <w:rPr>
                <w:rFonts w:cs="Arial"/>
                <w:sz w:val="20"/>
                <w:szCs w:val="20"/>
              </w:rPr>
              <w:t>[</w:t>
            </w:r>
            <w:proofErr w:type="gramEnd"/>
            <w:r w:rsidR="00805C1C">
              <w:rPr>
                <w:rFonts w:cs="Arial"/>
                <w:sz w:val="20"/>
                <w:szCs w:val="20"/>
              </w:rPr>
              <w:t>8]</w:t>
            </w:r>
            <w:r w:rsidRPr="00944EC8">
              <w:rPr>
                <w:rFonts w:cs="Arial"/>
                <w:sz w:val="20"/>
                <w:szCs w:val="20"/>
              </w:rPr>
              <w:t>.</w:t>
            </w:r>
          </w:p>
          <w:p w14:paraId="41958446" w14:textId="77777777" w:rsidR="00B641FE" w:rsidRPr="00944EC8" w:rsidRDefault="00B641FE">
            <w:pPr>
              <w:spacing w:before="0" w:line="240" w:lineRule="auto"/>
              <w:jc w:val="left"/>
              <w:rPr>
                <w:rFonts w:cs="Arial"/>
                <w:sz w:val="20"/>
                <w:szCs w:val="20"/>
              </w:rPr>
            </w:pPr>
          </w:p>
        </w:tc>
        <w:tc>
          <w:tcPr>
            <w:tcW w:w="2320" w:type="dxa"/>
          </w:tcPr>
          <w:p w14:paraId="20003A6A"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Blast Injuries- Fragmentation, blast</w:t>
            </w:r>
          </w:p>
          <w:p w14:paraId="43CDA4D6"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Noise of an explosion</w:t>
            </w:r>
          </w:p>
        </w:tc>
        <w:tc>
          <w:tcPr>
            <w:tcW w:w="2322" w:type="dxa"/>
          </w:tcPr>
          <w:p w14:paraId="433985A7"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Out-of-Battery Detonation</w:t>
            </w:r>
          </w:p>
          <w:p w14:paraId="10C91E54"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Squib Load</w:t>
            </w:r>
          </w:p>
          <w:p w14:paraId="0E9D3B02"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Overpressured ammunition</w:t>
            </w:r>
          </w:p>
          <w:p w14:paraId="40ED81EF"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Barrel obstruction</w:t>
            </w:r>
          </w:p>
          <w:p w14:paraId="729E8F3A"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Wrong ammunition used</w:t>
            </w:r>
          </w:p>
          <w:p w14:paraId="47E9A95E"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Hot ammunition jamming chamber</w:t>
            </w:r>
          </w:p>
          <w:p w14:paraId="6A135A61" w14:textId="77777777" w:rsidR="00B641FE" w:rsidRPr="00FC60F1" w:rsidRDefault="00B641FE">
            <w:pPr>
              <w:pStyle w:val="ListParagraph"/>
              <w:numPr>
                <w:ilvl w:val="0"/>
                <w:numId w:val="8"/>
              </w:numPr>
              <w:spacing w:before="0" w:line="240" w:lineRule="auto"/>
              <w:jc w:val="left"/>
              <w:rPr>
                <w:rFonts w:cs="Arial"/>
                <w:color w:val="000000" w:themeColor="text1"/>
                <w:sz w:val="20"/>
                <w:szCs w:val="20"/>
              </w:rPr>
            </w:pPr>
            <w:r w:rsidRPr="00FC60F1">
              <w:rPr>
                <w:rFonts w:cs="Arial"/>
                <w:color w:val="000000" w:themeColor="text1"/>
                <w:sz w:val="20"/>
                <w:szCs w:val="20"/>
              </w:rPr>
              <w:t>Poorly manufactured ammunition</w:t>
            </w:r>
          </w:p>
        </w:tc>
        <w:tc>
          <w:tcPr>
            <w:tcW w:w="1316" w:type="dxa"/>
          </w:tcPr>
          <w:p w14:paraId="037F3646"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2</w:t>
            </w:r>
          </w:p>
        </w:tc>
        <w:tc>
          <w:tcPr>
            <w:tcW w:w="1073" w:type="dxa"/>
          </w:tcPr>
          <w:p w14:paraId="4251D8A5"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804" w:type="dxa"/>
            <w:shd w:val="clear" w:color="auto" w:fill="EE0000"/>
          </w:tcPr>
          <w:p w14:paraId="58F11B24"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A</w:t>
            </w:r>
          </w:p>
        </w:tc>
        <w:tc>
          <w:tcPr>
            <w:tcW w:w="1377" w:type="dxa"/>
          </w:tcPr>
          <w:p w14:paraId="34AB0ED1" w14:textId="77777777" w:rsidR="00B641FE" w:rsidRPr="009866A6" w:rsidRDefault="00B641FE">
            <w:pPr>
              <w:spacing w:before="0" w:line="240" w:lineRule="auto"/>
              <w:jc w:val="left"/>
              <w:rPr>
                <w:rFonts w:cs="Arial"/>
                <w:color w:val="000000" w:themeColor="text1"/>
                <w:sz w:val="18"/>
                <w:szCs w:val="18"/>
              </w:rPr>
            </w:pPr>
            <w:r w:rsidRPr="009866A6">
              <w:rPr>
                <w:rFonts w:cs="Arial"/>
                <w:color w:val="000000" w:themeColor="text1"/>
                <w:sz w:val="18"/>
                <w:szCs w:val="18"/>
              </w:rPr>
              <w:t xml:space="preserve">C1 -Controlled number of trained personnel in the vicinity </w:t>
            </w:r>
            <w:r w:rsidRPr="009866A6">
              <w:rPr>
                <w:rFonts w:cs="Arial"/>
                <w:color w:val="000000" w:themeColor="text1"/>
                <w:sz w:val="18"/>
                <w:szCs w:val="18"/>
              </w:rPr>
              <w:br/>
              <w:t>C2-Scheduled maintenance</w:t>
            </w:r>
            <w:r w:rsidRPr="009866A6">
              <w:rPr>
                <w:rFonts w:cs="Arial"/>
                <w:color w:val="000000" w:themeColor="text1"/>
                <w:sz w:val="18"/>
                <w:szCs w:val="18"/>
              </w:rPr>
              <w:br/>
              <w:t>C3- Training</w:t>
            </w:r>
            <w:r w:rsidRPr="009866A6">
              <w:rPr>
                <w:rFonts w:cs="Arial"/>
                <w:color w:val="000000" w:themeColor="text1"/>
                <w:sz w:val="18"/>
                <w:szCs w:val="18"/>
              </w:rPr>
              <w:br/>
              <w:t>C4- Weapons handling procedures</w:t>
            </w:r>
            <w:r w:rsidRPr="009866A6">
              <w:rPr>
                <w:rFonts w:cs="Arial"/>
                <w:color w:val="000000" w:themeColor="text1"/>
                <w:sz w:val="18"/>
                <w:szCs w:val="18"/>
              </w:rPr>
              <w:br/>
              <w:t>C5- Test &amp; trials</w:t>
            </w:r>
            <w:r w:rsidRPr="009866A6">
              <w:rPr>
                <w:rFonts w:cs="Arial"/>
                <w:color w:val="000000" w:themeColor="text1"/>
                <w:sz w:val="18"/>
                <w:szCs w:val="18"/>
              </w:rPr>
              <w:br/>
              <w:t xml:space="preserve">C6- Cleaning procedures  </w:t>
            </w:r>
            <w:r w:rsidRPr="009866A6">
              <w:rPr>
                <w:rFonts w:cs="Arial"/>
                <w:color w:val="000000" w:themeColor="text1"/>
                <w:sz w:val="18"/>
                <w:szCs w:val="18"/>
              </w:rPr>
              <w:br/>
              <w:t xml:space="preserve">C7-Examination of equipment </w:t>
            </w:r>
            <w:r w:rsidRPr="009866A6">
              <w:rPr>
                <w:rFonts w:cs="Arial"/>
                <w:color w:val="000000" w:themeColor="text1"/>
                <w:sz w:val="18"/>
                <w:szCs w:val="18"/>
              </w:rPr>
              <w:br/>
              <w:t>C8- SME advice</w:t>
            </w:r>
            <w:r w:rsidRPr="009866A6">
              <w:rPr>
                <w:rFonts w:cs="Arial"/>
                <w:color w:val="000000" w:themeColor="text1"/>
                <w:sz w:val="18"/>
                <w:szCs w:val="18"/>
              </w:rPr>
              <w:br/>
              <w:t>C10- PPE/ CPE</w:t>
            </w:r>
            <w:r w:rsidRPr="009866A6">
              <w:rPr>
                <w:rFonts w:cs="Arial"/>
                <w:color w:val="000000" w:themeColor="text1"/>
                <w:sz w:val="18"/>
                <w:szCs w:val="18"/>
              </w:rPr>
              <w:br/>
              <w:t xml:space="preserve">C11- Range safety procedures </w:t>
            </w:r>
            <w:r w:rsidRPr="009866A6">
              <w:rPr>
                <w:rFonts w:cs="Arial"/>
                <w:color w:val="000000" w:themeColor="text1"/>
                <w:sz w:val="18"/>
                <w:szCs w:val="18"/>
              </w:rPr>
              <w:br/>
              <w:t xml:space="preserve">C12-Use of approved equipment </w:t>
            </w:r>
            <w:r w:rsidRPr="009866A6">
              <w:rPr>
                <w:rFonts w:cs="Arial"/>
                <w:color w:val="000000" w:themeColor="text1"/>
                <w:sz w:val="18"/>
                <w:szCs w:val="18"/>
              </w:rPr>
              <w:br/>
              <w:t xml:space="preserve">C13-Risk assessment </w:t>
            </w:r>
            <w:r w:rsidRPr="009866A6">
              <w:rPr>
                <w:rFonts w:cs="Arial"/>
                <w:color w:val="000000" w:themeColor="text1"/>
                <w:sz w:val="18"/>
                <w:szCs w:val="18"/>
              </w:rPr>
              <w:br/>
              <w:t>C14- Environmental considerations</w:t>
            </w:r>
            <w:r w:rsidRPr="009866A6">
              <w:rPr>
                <w:rFonts w:cs="Arial"/>
                <w:color w:val="000000" w:themeColor="text1"/>
                <w:sz w:val="18"/>
                <w:szCs w:val="18"/>
              </w:rPr>
              <w:br/>
              <w:t xml:space="preserve">C15- Fatigue/ stress management  </w:t>
            </w:r>
            <w:r w:rsidRPr="009866A6">
              <w:rPr>
                <w:rFonts w:cs="Arial"/>
                <w:color w:val="000000" w:themeColor="text1"/>
                <w:sz w:val="18"/>
                <w:szCs w:val="18"/>
              </w:rPr>
              <w:br/>
              <w:t xml:space="preserve">C16-Ammunition inspection </w:t>
            </w:r>
            <w:r w:rsidRPr="009866A6">
              <w:rPr>
                <w:rFonts w:cs="Arial"/>
                <w:color w:val="000000" w:themeColor="text1"/>
                <w:sz w:val="18"/>
                <w:szCs w:val="18"/>
              </w:rPr>
              <w:br/>
              <w:t xml:space="preserve">C17-Misfire </w:t>
            </w:r>
            <w:r w:rsidRPr="009866A6">
              <w:rPr>
                <w:rFonts w:cs="Arial"/>
                <w:color w:val="000000" w:themeColor="text1"/>
                <w:sz w:val="18"/>
                <w:szCs w:val="18"/>
              </w:rPr>
              <w:lastRenderedPageBreak/>
              <w:t>procedure</w:t>
            </w:r>
            <w:r w:rsidRPr="009866A6">
              <w:rPr>
                <w:rFonts w:cs="Arial"/>
                <w:color w:val="000000" w:themeColor="text1"/>
                <w:sz w:val="18"/>
                <w:szCs w:val="18"/>
              </w:rPr>
              <w:br/>
              <w:t xml:space="preserve">C18-Fault reporting </w:t>
            </w:r>
          </w:p>
          <w:p w14:paraId="2164407E" w14:textId="77777777" w:rsidR="00B641FE" w:rsidRPr="009866A6" w:rsidRDefault="00B641FE">
            <w:pPr>
              <w:spacing w:before="0" w:line="240" w:lineRule="auto"/>
              <w:jc w:val="left"/>
              <w:rPr>
                <w:rFonts w:cs="Arial"/>
                <w:color w:val="000000" w:themeColor="text1"/>
                <w:sz w:val="18"/>
                <w:szCs w:val="18"/>
              </w:rPr>
            </w:pPr>
          </w:p>
        </w:tc>
        <w:tc>
          <w:tcPr>
            <w:tcW w:w="1316" w:type="dxa"/>
          </w:tcPr>
          <w:p w14:paraId="1E0AF013"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lastRenderedPageBreak/>
              <w:t>1</w:t>
            </w:r>
          </w:p>
        </w:tc>
        <w:tc>
          <w:tcPr>
            <w:tcW w:w="1073" w:type="dxa"/>
          </w:tcPr>
          <w:p w14:paraId="24A8DBA0"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1133" w:type="dxa"/>
            <w:shd w:val="clear" w:color="auto" w:fill="FFC000"/>
          </w:tcPr>
          <w:p w14:paraId="7CFE50FA"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B</w:t>
            </w:r>
          </w:p>
        </w:tc>
      </w:tr>
      <w:tr w:rsidR="00B641FE" w14:paraId="0C3D2875" w14:textId="77777777" w:rsidTr="003F764C">
        <w:tc>
          <w:tcPr>
            <w:tcW w:w="950" w:type="dxa"/>
            <w:shd w:val="clear" w:color="auto" w:fill="E5DFEC" w:themeFill="accent4" w:themeFillTint="33"/>
          </w:tcPr>
          <w:p w14:paraId="0FE65634" w14:textId="77777777" w:rsidR="00B641FE" w:rsidRPr="002E1329" w:rsidRDefault="00B641FE">
            <w:pPr>
              <w:spacing w:before="0" w:line="240" w:lineRule="auto"/>
              <w:jc w:val="left"/>
              <w:rPr>
                <w:b/>
                <w:bCs/>
              </w:rPr>
            </w:pPr>
            <w:r w:rsidRPr="002E1329">
              <w:rPr>
                <w:b/>
                <w:bCs/>
              </w:rPr>
              <w:t>H3</w:t>
            </w:r>
          </w:p>
        </w:tc>
        <w:tc>
          <w:tcPr>
            <w:tcW w:w="1240" w:type="dxa"/>
          </w:tcPr>
          <w:p w14:paraId="1285B181" w14:textId="77777777" w:rsidR="00B641FE" w:rsidRPr="00805C1C" w:rsidRDefault="00B641FE">
            <w:pPr>
              <w:spacing w:before="0" w:line="240" w:lineRule="auto"/>
              <w:jc w:val="left"/>
              <w:rPr>
                <w:rFonts w:cs="Arial"/>
                <w:color w:val="000000" w:themeColor="text1"/>
                <w:sz w:val="20"/>
                <w:szCs w:val="20"/>
              </w:rPr>
            </w:pPr>
            <w:r w:rsidRPr="00805C1C">
              <w:rPr>
                <w:rFonts w:cs="Arial"/>
                <w:color w:val="000000" w:themeColor="text1"/>
                <w:sz w:val="20"/>
                <w:szCs w:val="20"/>
              </w:rPr>
              <w:t>Misfire</w:t>
            </w:r>
          </w:p>
          <w:p w14:paraId="2DF76693" w14:textId="77777777" w:rsidR="00B641FE" w:rsidRPr="00805C1C" w:rsidRDefault="00B641FE">
            <w:pPr>
              <w:spacing w:before="0" w:line="240" w:lineRule="auto"/>
              <w:jc w:val="left"/>
              <w:rPr>
                <w:rFonts w:cs="Arial"/>
                <w:color w:val="000000" w:themeColor="text1"/>
                <w:sz w:val="20"/>
                <w:szCs w:val="20"/>
              </w:rPr>
            </w:pPr>
          </w:p>
        </w:tc>
        <w:tc>
          <w:tcPr>
            <w:tcW w:w="1662" w:type="dxa"/>
          </w:tcPr>
          <w:p w14:paraId="7933EC08" w14:textId="4C771BEA" w:rsidR="00B641FE" w:rsidRPr="00805C1C" w:rsidRDefault="00B641FE" w:rsidP="00D26262">
            <w:pPr>
              <w:spacing w:before="0" w:line="240" w:lineRule="auto"/>
              <w:jc w:val="left"/>
              <w:rPr>
                <w:rFonts w:cs="Arial"/>
                <w:color w:val="FFC000"/>
                <w:sz w:val="20"/>
                <w:szCs w:val="20"/>
              </w:rPr>
            </w:pPr>
            <w:r w:rsidRPr="00805C1C">
              <w:rPr>
                <w:rFonts w:cs="Arial"/>
                <w:sz w:val="20"/>
                <w:szCs w:val="20"/>
              </w:rPr>
              <w:t>The sudden or complete failure of the system's ammunition to ignite after the trigger is pulled and the firing pin strikes the primer</w:t>
            </w:r>
            <w:r w:rsidR="00D26262" w:rsidRPr="00805C1C">
              <w:rPr>
                <w:rFonts w:cs="Arial"/>
                <w:sz w:val="20"/>
                <w:szCs w:val="20"/>
              </w:rPr>
              <w:t xml:space="preserve"> [</w:t>
            </w:r>
            <w:r w:rsidR="000D7151" w:rsidRPr="00805C1C">
              <w:rPr>
                <w:rFonts w:cs="Arial"/>
                <w:sz w:val="20"/>
                <w:szCs w:val="20"/>
              </w:rPr>
              <w:t>2</w:t>
            </w:r>
            <w:r w:rsidR="00D26262" w:rsidRPr="00805C1C">
              <w:rPr>
                <w:rFonts w:cs="Arial"/>
                <w:sz w:val="20"/>
                <w:szCs w:val="20"/>
              </w:rPr>
              <w:t>].</w:t>
            </w:r>
          </w:p>
        </w:tc>
        <w:tc>
          <w:tcPr>
            <w:tcW w:w="2320" w:type="dxa"/>
          </w:tcPr>
          <w:p w14:paraId="5D419B32" w14:textId="36019B20" w:rsidR="00300AB4" w:rsidRPr="00805C1C" w:rsidRDefault="00300AB4" w:rsidP="00805C1C">
            <w:pPr>
              <w:pStyle w:val="ListParagraph"/>
              <w:numPr>
                <w:ilvl w:val="0"/>
                <w:numId w:val="24"/>
              </w:numPr>
              <w:spacing w:before="0" w:line="240" w:lineRule="auto"/>
              <w:jc w:val="left"/>
              <w:rPr>
                <w:rFonts w:cs="Arial"/>
                <w:sz w:val="20"/>
                <w:szCs w:val="20"/>
              </w:rPr>
            </w:pPr>
            <w:r w:rsidRPr="00805C1C">
              <w:rPr>
                <w:rFonts w:cs="Arial"/>
                <w:sz w:val="20"/>
                <w:szCs w:val="20"/>
              </w:rPr>
              <w:t xml:space="preserve">Hang fire </w:t>
            </w:r>
          </w:p>
          <w:p w14:paraId="75F06D25" w14:textId="77777777" w:rsidR="00805C1C" w:rsidRPr="00805C1C" w:rsidRDefault="00300AB4" w:rsidP="00300AB4">
            <w:pPr>
              <w:pStyle w:val="ListParagraph"/>
              <w:numPr>
                <w:ilvl w:val="0"/>
                <w:numId w:val="24"/>
              </w:numPr>
              <w:spacing w:before="0" w:line="240" w:lineRule="auto"/>
              <w:jc w:val="left"/>
              <w:rPr>
                <w:rFonts w:cs="Arial"/>
                <w:sz w:val="20"/>
                <w:szCs w:val="20"/>
              </w:rPr>
            </w:pPr>
            <w:r w:rsidRPr="00805C1C">
              <w:rPr>
                <w:rFonts w:cs="Arial"/>
                <w:sz w:val="20"/>
                <w:szCs w:val="20"/>
              </w:rPr>
              <w:t>Cook-off</w:t>
            </w:r>
          </w:p>
          <w:p w14:paraId="440AFC2E" w14:textId="62B286F6" w:rsidR="00300AB4" w:rsidRPr="00805C1C" w:rsidRDefault="00300AB4" w:rsidP="00300AB4">
            <w:pPr>
              <w:pStyle w:val="ListParagraph"/>
              <w:numPr>
                <w:ilvl w:val="0"/>
                <w:numId w:val="24"/>
              </w:numPr>
              <w:spacing w:before="0" w:line="240" w:lineRule="auto"/>
              <w:jc w:val="left"/>
              <w:rPr>
                <w:rFonts w:cs="Arial"/>
                <w:sz w:val="20"/>
                <w:szCs w:val="20"/>
              </w:rPr>
            </w:pPr>
            <w:r w:rsidRPr="00805C1C">
              <w:rPr>
                <w:rFonts w:cs="Arial"/>
                <w:sz w:val="20"/>
                <w:szCs w:val="20"/>
              </w:rPr>
              <w:t xml:space="preserve">Unintended discharge during clearance </w:t>
            </w:r>
          </w:p>
          <w:p w14:paraId="5008A36B" w14:textId="77777777" w:rsidR="00805C1C" w:rsidRPr="00805C1C" w:rsidRDefault="00300AB4" w:rsidP="00300AB4">
            <w:pPr>
              <w:pStyle w:val="ListParagraph"/>
              <w:numPr>
                <w:ilvl w:val="0"/>
                <w:numId w:val="24"/>
              </w:numPr>
              <w:spacing w:before="0" w:line="240" w:lineRule="auto"/>
              <w:jc w:val="left"/>
              <w:rPr>
                <w:rFonts w:cs="Arial"/>
                <w:sz w:val="20"/>
                <w:szCs w:val="20"/>
              </w:rPr>
            </w:pPr>
            <w:r w:rsidRPr="00805C1C">
              <w:rPr>
                <w:rFonts w:cs="Arial"/>
                <w:sz w:val="20"/>
                <w:szCs w:val="20"/>
              </w:rPr>
              <w:t xml:space="preserve">Operator injury during stoppage drill </w:t>
            </w:r>
          </w:p>
          <w:p w14:paraId="775BB475" w14:textId="15354A79" w:rsidR="00805C1C" w:rsidRPr="00805C1C" w:rsidRDefault="00300AB4" w:rsidP="00300AB4">
            <w:pPr>
              <w:pStyle w:val="ListParagraph"/>
              <w:numPr>
                <w:ilvl w:val="0"/>
                <w:numId w:val="24"/>
              </w:numPr>
              <w:spacing w:before="0" w:line="240" w:lineRule="auto"/>
              <w:jc w:val="left"/>
              <w:rPr>
                <w:rFonts w:cs="Arial"/>
                <w:sz w:val="20"/>
                <w:szCs w:val="20"/>
              </w:rPr>
            </w:pPr>
            <w:r w:rsidRPr="00805C1C">
              <w:rPr>
                <w:rFonts w:cs="Arial"/>
                <w:sz w:val="20"/>
                <w:szCs w:val="20"/>
              </w:rPr>
              <w:t xml:space="preserve">Escalation to </w:t>
            </w:r>
            <w:r w:rsidR="00805C1C" w:rsidRPr="00805C1C">
              <w:rPr>
                <w:rFonts w:cs="Arial"/>
                <w:sz w:val="20"/>
                <w:szCs w:val="20"/>
              </w:rPr>
              <w:t>breach</w:t>
            </w:r>
            <w:r w:rsidRPr="00805C1C">
              <w:rPr>
                <w:rFonts w:cs="Arial"/>
                <w:sz w:val="20"/>
                <w:szCs w:val="20"/>
              </w:rPr>
              <w:t xml:space="preserve"> failure </w:t>
            </w:r>
          </w:p>
          <w:p w14:paraId="40D5A425" w14:textId="50D430A9" w:rsidR="00300AB4" w:rsidRPr="00805C1C" w:rsidRDefault="00300AB4" w:rsidP="00300AB4">
            <w:pPr>
              <w:pStyle w:val="ListParagraph"/>
              <w:numPr>
                <w:ilvl w:val="0"/>
                <w:numId w:val="24"/>
              </w:numPr>
              <w:spacing w:before="0" w:line="240" w:lineRule="auto"/>
              <w:jc w:val="left"/>
              <w:rPr>
                <w:rFonts w:cs="Arial"/>
                <w:sz w:val="20"/>
                <w:szCs w:val="20"/>
              </w:rPr>
            </w:pPr>
            <w:r w:rsidRPr="00805C1C">
              <w:rPr>
                <w:rFonts w:cs="Arial"/>
                <w:sz w:val="20"/>
                <w:szCs w:val="20"/>
              </w:rPr>
              <w:t>Blast or fragmentation injury if escalation occurs</w:t>
            </w:r>
          </w:p>
          <w:p w14:paraId="57F2ECEF" w14:textId="77777777" w:rsidR="00B641FE" w:rsidRPr="00805C1C" w:rsidRDefault="00B641FE">
            <w:pPr>
              <w:spacing w:before="0" w:line="240" w:lineRule="auto"/>
              <w:jc w:val="left"/>
              <w:rPr>
                <w:rFonts w:cs="Arial"/>
                <w:color w:val="FFC000"/>
                <w:sz w:val="20"/>
                <w:szCs w:val="20"/>
              </w:rPr>
            </w:pPr>
          </w:p>
        </w:tc>
        <w:tc>
          <w:tcPr>
            <w:tcW w:w="2322" w:type="dxa"/>
          </w:tcPr>
          <w:p w14:paraId="1D787ABF"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 xml:space="preserve">Worn firing pin </w:t>
            </w:r>
          </w:p>
          <w:p w14:paraId="3209B6C6"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 xml:space="preserve">Faulty ammunition </w:t>
            </w:r>
          </w:p>
          <w:p w14:paraId="39B5850C"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 xml:space="preserve">Incorrect ammunition </w:t>
            </w:r>
          </w:p>
          <w:p w14:paraId="03BE0344"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 xml:space="preserve"> Lack of cleaning procedure (HF)</w:t>
            </w:r>
          </w:p>
          <w:p w14:paraId="2B8FFC61"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Operating temperatures exceeded</w:t>
            </w:r>
          </w:p>
          <w:p w14:paraId="4DD1E350"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 xml:space="preserve">Excess particulate ingress </w:t>
            </w:r>
          </w:p>
          <w:p w14:paraId="080A583F"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Extended use</w:t>
            </w:r>
          </w:p>
          <w:p w14:paraId="0FE816BF" w14:textId="77777777" w:rsidR="00B641FE" w:rsidRPr="00805C1C" w:rsidRDefault="00B641FE">
            <w:pPr>
              <w:pStyle w:val="ListParagraph"/>
              <w:numPr>
                <w:ilvl w:val="0"/>
                <w:numId w:val="10"/>
              </w:numPr>
              <w:spacing w:before="0" w:line="240" w:lineRule="auto"/>
              <w:jc w:val="left"/>
              <w:rPr>
                <w:rFonts w:cs="Arial"/>
                <w:color w:val="000000" w:themeColor="text1"/>
                <w:sz w:val="20"/>
                <w:szCs w:val="20"/>
              </w:rPr>
            </w:pPr>
            <w:r w:rsidRPr="00805C1C">
              <w:rPr>
                <w:rFonts w:cs="Arial"/>
                <w:color w:val="000000" w:themeColor="text1"/>
                <w:sz w:val="20"/>
                <w:szCs w:val="20"/>
              </w:rPr>
              <w:t>Misuse</w:t>
            </w:r>
          </w:p>
          <w:p w14:paraId="64985EAB" w14:textId="77777777" w:rsidR="00805C1C" w:rsidRPr="00805C1C" w:rsidRDefault="00300AB4" w:rsidP="00805C1C">
            <w:pPr>
              <w:pStyle w:val="ListParagraph"/>
              <w:numPr>
                <w:ilvl w:val="0"/>
                <w:numId w:val="10"/>
              </w:numPr>
              <w:spacing w:line="240" w:lineRule="auto"/>
              <w:ind w:left="245" w:right="-256"/>
              <w:rPr>
                <w:rFonts w:cs="Arial"/>
                <w:color w:val="000000" w:themeColor="text1"/>
                <w:sz w:val="20"/>
                <w:szCs w:val="20"/>
              </w:rPr>
            </w:pPr>
            <w:r w:rsidRPr="00805C1C">
              <w:rPr>
                <w:rFonts w:cs="Arial"/>
                <w:color w:val="000000" w:themeColor="text1"/>
                <w:sz w:val="20"/>
                <w:szCs w:val="20"/>
              </w:rPr>
              <w:t>Incorrect</w:t>
            </w:r>
            <w:r w:rsidR="00805C1C" w:rsidRPr="00805C1C">
              <w:rPr>
                <w:rFonts w:cs="Arial"/>
                <w:color w:val="000000" w:themeColor="text1"/>
                <w:sz w:val="20"/>
                <w:szCs w:val="20"/>
              </w:rPr>
              <w:t xml:space="preserve"> </w:t>
            </w:r>
            <w:r w:rsidRPr="00805C1C">
              <w:rPr>
                <w:rFonts w:cs="Arial"/>
                <w:color w:val="000000" w:themeColor="text1"/>
                <w:sz w:val="20"/>
                <w:szCs w:val="20"/>
              </w:rPr>
              <w:t>or</w:t>
            </w:r>
          </w:p>
          <w:p w14:paraId="44384152" w14:textId="144CE275" w:rsidR="00300AB4" w:rsidRPr="00805C1C" w:rsidRDefault="00300AB4" w:rsidP="00805C1C">
            <w:pPr>
              <w:pStyle w:val="ListParagraph"/>
              <w:spacing w:line="240" w:lineRule="auto"/>
              <w:ind w:left="245" w:right="-256"/>
              <w:rPr>
                <w:rFonts w:cs="Arial"/>
                <w:color w:val="000000" w:themeColor="text1"/>
                <w:sz w:val="20"/>
                <w:szCs w:val="20"/>
              </w:rPr>
            </w:pPr>
            <w:r w:rsidRPr="00805C1C">
              <w:rPr>
                <w:rFonts w:cs="Arial"/>
                <w:color w:val="000000" w:themeColor="text1"/>
                <w:sz w:val="20"/>
                <w:szCs w:val="20"/>
              </w:rPr>
              <w:t xml:space="preserve"> premature stoppage/clearance procedure</w:t>
            </w:r>
          </w:p>
          <w:p w14:paraId="5BC57518" w14:textId="77777777" w:rsidR="00B641FE" w:rsidRPr="00805C1C" w:rsidRDefault="00B641FE">
            <w:pPr>
              <w:spacing w:before="0" w:line="240" w:lineRule="auto"/>
              <w:jc w:val="left"/>
              <w:rPr>
                <w:rFonts w:cs="Arial"/>
                <w:color w:val="000000" w:themeColor="text1"/>
                <w:sz w:val="20"/>
                <w:szCs w:val="20"/>
              </w:rPr>
            </w:pPr>
          </w:p>
        </w:tc>
        <w:tc>
          <w:tcPr>
            <w:tcW w:w="1316" w:type="dxa"/>
          </w:tcPr>
          <w:p w14:paraId="4129F236"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2</w:t>
            </w:r>
          </w:p>
        </w:tc>
        <w:tc>
          <w:tcPr>
            <w:tcW w:w="1073" w:type="dxa"/>
          </w:tcPr>
          <w:p w14:paraId="013DC8F4"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804" w:type="dxa"/>
            <w:shd w:val="clear" w:color="auto" w:fill="EE0000"/>
          </w:tcPr>
          <w:p w14:paraId="3A52E91F"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A</w:t>
            </w:r>
          </w:p>
        </w:tc>
        <w:tc>
          <w:tcPr>
            <w:tcW w:w="1377" w:type="dxa"/>
          </w:tcPr>
          <w:p w14:paraId="19C611BF" w14:textId="77777777" w:rsidR="00B641FE" w:rsidRPr="009866A6" w:rsidRDefault="00B641FE">
            <w:pPr>
              <w:spacing w:before="0" w:line="240" w:lineRule="auto"/>
              <w:jc w:val="left"/>
              <w:rPr>
                <w:rFonts w:cs="Arial"/>
                <w:color w:val="000000" w:themeColor="text1"/>
                <w:sz w:val="18"/>
                <w:szCs w:val="18"/>
              </w:rPr>
            </w:pPr>
            <w:r w:rsidRPr="009866A6">
              <w:rPr>
                <w:rFonts w:cs="Arial"/>
                <w:color w:val="000000" w:themeColor="text1"/>
                <w:sz w:val="18"/>
                <w:szCs w:val="18"/>
              </w:rPr>
              <w:t xml:space="preserve">C1 -Controlled number of trained personnel in the vicinity </w:t>
            </w:r>
            <w:r w:rsidRPr="009866A6">
              <w:rPr>
                <w:rFonts w:cs="Arial"/>
                <w:color w:val="000000" w:themeColor="text1"/>
                <w:sz w:val="18"/>
                <w:szCs w:val="18"/>
              </w:rPr>
              <w:br/>
              <w:t>C2-Scheduled maintenance</w:t>
            </w:r>
            <w:r w:rsidRPr="009866A6">
              <w:rPr>
                <w:rFonts w:cs="Arial"/>
                <w:color w:val="000000" w:themeColor="text1"/>
                <w:sz w:val="18"/>
                <w:szCs w:val="18"/>
              </w:rPr>
              <w:br/>
              <w:t>C3- Training</w:t>
            </w:r>
            <w:r w:rsidRPr="009866A6">
              <w:rPr>
                <w:rFonts w:cs="Arial"/>
                <w:color w:val="000000" w:themeColor="text1"/>
                <w:sz w:val="18"/>
                <w:szCs w:val="18"/>
              </w:rPr>
              <w:br/>
              <w:t>C4- Weapons handling procedures</w:t>
            </w:r>
            <w:r w:rsidRPr="009866A6">
              <w:rPr>
                <w:rFonts w:cs="Arial"/>
                <w:color w:val="000000" w:themeColor="text1"/>
                <w:sz w:val="18"/>
                <w:szCs w:val="18"/>
              </w:rPr>
              <w:br/>
              <w:t>C5- Test &amp; trials</w:t>
            </w:r>
            <w:r w:rsidRPr="009866A6">
              <w:rPr>
                <w:rFonts w:cs="Arial"/>
                <w:color w:val="000000" w:themeColor="text1"/>
                <w:sz w:val="18"/>
                <w:szCs w:val="18"/>
              </w:rPr>
              <w:br/>
              <w:t xml:space="preserve">C6- Cleaning procedures  </w:t>
            </w:r>
            <w:r w:rsidRPr="009866A6">
              <w:rPr>
                <w:rFonts w:cs="Arial"/>
                <w:color w:val="000000" w:themeColor="text1"/>
                <w:sz w:val="18"/>
                <w:szCs w:val="18"/>
              </w:rPr>
              <w:br/>
              <w:t xml:space="preserve">C7- Examination of equipment </w:t>
            </w:r>
            <w:r w:rsidRPr="009866A6">
              <w:rPr>
                <w:rFonts w:cs="Arial"/>
                <w:color w:val="000000" w:themeColor="text1"/>
                <w:sz w:val="18"/>
                <w:szCs w:val="18"/>
              </w:rPr>
              <w:br/>
              <w:t xml:space="preserve">C8- SME advice </w:t>
            </w:r>
            <w:r w:rsidRPr="009866A6">
              <w:rPr>
                <w:rFonts w:cs="Arial"/>
                <w:color w:val="000000" w:themeColor="text1"/>
                <w:sz w:val="18"/>
                <w:szCs w:val="18"/>
              </w:rPr>
              <w:br/>
              <w:t>C10- PPE/ CPE</w:t>
            </w:r>
            <w:r w:rsidRPr="009866A6">
              <w:rPr>
                <w:rFonts w:cs="Arial"/>
                <w:color w:val="000000" w:themeColor="text1"/>
                <w:sz w:val="18"/>
                <w:szCs w:val="18"/>
              </w:rPr>
              <w:br/>
              <w:t xml:space="preserve">C11- Range safety procedures </w:t>
            </w:r>
            <w:r w:rsidRPr="009866A6">
              <w:rPr>
                <w:rFonts w:cs="Arial"/>
                <w:color w:val="000000" w:themeColor="text1"/>
                <w:sz w:val="18"/>
                <w:szCs w:val="18"/>
              </w:rPr>
              <w:br/>
              <w:t xml:space="preserve">C12-Use of approved equipment </w:t>
            </w:r>
            <w:r w:rsidRPr="009866A6">
              <w:rPr>
                <w:rFonts w:cs="Arial"/>
                <w:color w:val="000000" w:themeColor="text1"/>
                <w:sz w:val="18"/>
                <w:szCs w:val="18"/>
              </w:rPr>
              <w:br/>
              <w:t xml:space="preserve">C13-Risk assessment </w:t>
            </w:r>
            <w:r w:rsidRPr="009866A6">
              <w:rPr>
                <w:rFonts w:cs="Arial"/>
                <w:color w:val="000000" w:themeColor="text1"/>
                <w:sz w:val="18"/>
                <w:szCs w:val="18"/>
              </w:rPr>
              <w:br/>
              <w:t xml:space="preserve">C14- Environmental considerations </w:t>
            </w:r>
            <w:r w:rsidRPr="009866A6">
              <w:rPr>
                <w:rFonts w:cs="Arial"/>
                <w:color w:val="000000" w:themeColor="text1"/>
                <w:sz w:val="18"/>
                <w:szCs w:val="18"/>
              </w:rPr>
              <w:br/>
              <w:t>C16-</w:t>
            </w:r>
            <w:r w:rsidRPr="009866A6">
              <w:rPr>
                <w:rFonts w:cs="Arial"/>
                <w:color w:val="000000" w:themeColor="text1"/>
                <w:sz w:val="18"/>
                <w:szCs w:val="18"/>
              </w:rPr>
              <w:lastRenderedPageBreak/>
              <w:t xml:space="preserve">Ammunition inspection </w:t>
            </w:r>
            <w:r w:rsidRPr="009866A6">
              <w:rPr>
                <w:rFonts w:cs="Arial"/>
                <w:color w:val="000000" w:themeColor="text1"/>
                <w:sz w:val="18"/>
                <w:szCs w:val="18"/>
              </w:rPr>
              <w:br/>
              <w:t>C17-Misfire procedure</w:t>
            </w:r>
            <w:r w:rsidRPr="009866A6">
              <w:rPr>
                <w:rFonts w:cs="Arial"/>
                <w:color w:val="000000" w:themeColor="text1"/>
                <w:sz w:val="18"/>
                <w:szCs w:val="18"/>
              </w:rPr>
              <w:br/>
              <w:t xml:space="preserve">C18-Fault reporting </w:t>
            </w:r>
          </w:p>
          <w:p w14:paraId="5EA39644" w14:textId="77777777" w:rsidR="00B641FE" w:rsidRPr="009866A6" w:rsidRDefault="00B641FE">
            <w:pPr>
              <w:spacing w:before="0" w:line="240" w:lineRule="auto"/>
              <w:jc w:val="left"/>
              <w:rPr>
                <w:rFonts w:cs="Arial"/>
                <w:color w:val="000000" w:themeColor="text1"/>
                <w:sz w:val="18"/>
                <w:szCs w:val="18"/>
              </w:rPr>
            </w:pPr>
          </w:p>
        </w:tc>
        <w:tc>
          <w:tcPr>
            <w:tcW w:w="1316" w:type="dxa"/>
          </w:tcPr>
          <w:p w14:paraId="44C88C4A"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lastRenderedPageBreak/>
              <w:t>2</w:t>
            </w:r>
          </w:p>
        </w:tc>
        <w:tc>
          <w:tcPr>
            <w:tcW w:w="1073" w:type="dxa"/>
          </w:tcPr>
          <w:p w14:paraId="5CBAC7B3"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3</w:t>
            </w:r>
          </w:p>
        </w:tc>
        <w:tc>
          <w:tcPr>
            <w:tcW w:w="1133" w:type="dxa"/>
            <w:shd w:val="clear" w:color="auto" w:fill="FFFF00"/>
          </w:tcPr>
          <w:p w14:paraId="048C0F8C"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C</w:t>
            </w:r>
          </w:p>
        </w:tc>
      </w:tr>
      <w:tr w:rsidR="00B641FE" w14:paraId="0EB0897A" w14:textId="77777777" w:rsidTr="003F764C">
        <w:tc>
          <w:tcPr>
            <w:tcW w:w="950" w:type="dxa"/>
            <w:shd w:val="clear" w:color="auto" w:fill="E5DFEC" w:themeFill="accent4" w:themeFillTint="33"/>
          </w:tcPr>
          <w:p w14:paraId="2145C5A1" w14:textId="77777777" w:rsidR="00B641FE" w:rsidRPr="002E1329" w:rsidRDefault="00B641FE">
            <w:pPr>
              <w:spacing w:before="0" w:line="240" w:lineRule="auto"/>
              <w:jc w:val="left"/>
              <w:rPr>
                <w:b/>
                <w:bCs/>
              </w:rPr>
            </w:pPr>
            <w:r w:rsidRPr="002E1329">
              <w:rPr>
                <w:b/>
                <w:bCs/>
              </w:rPr>
              <w:t>H4</w:t>
            </w:r>
          </w:p>
        </w:tc>
        <w:tc>
          <w:tcPr>
            <w:tcW w:w="1240" w:type="dxa"/>
          </w:tcPr>
          <w:p w14:paraId="0CBB8304" w14:textId="77777777" w:rsidR="00B641FE" w:rsidRPr="00805C1C" w:rsidRDefault="00B641FE">
            <w:pPr>
              <w:spacing w:before="0" w:line="240" w:lineRule="auto"/>
              <w:jc w:val="left"/>
              <w:rPr>
                <w:rFonts w:cs="Arial"/>
                <w:color w:val="000000" w:themeColor="text1"/>
                <w:sz w:val="20"/>
                <w:szCs w:val="20"/>
              </w:rPr>
            </w:pPr>
            <w:r w:rsidRPr="00805C1C">
              <w:rPr>
                <w:rFonts w:cs="Arial"/>
                <w:color w:val="000000" w:themeColor="text1"/>
                <w:sz w:val="20"/>
                <w:szCs w:val="20"/>
              </w:rPr>
              <w:t>Noise Exposure</w:t>
            </w:r>
          </w:p>
          <w:p w14:paraId="109DD58C" w14:textId="77777777" w:rsidR="00B641FE" w:rsidRPr="00805C1C" w:rsidRDefault="00B641FE">
            <w:pPr>
              <w:spacing w:before="0" w:line="240" w:lineRule="auto"/>
              <w:jc w:val="left"/>
              <w:rPr>
                <w:rFonts w:cs="Arial"/>
                <w:color w:val="000000" w:themeColor="text1"/>
                <w:sz w:val="20"/>
                <w:szCs w:val="20"/>
              </w:rPr>
            </w:pPr>
          </w:p>
        </w:tc>
        <w:tc>
          <w:tcPr>
            <w:tcW w:w="1662" w:type="dxa"/>
          </w:tcPr>
          <w:p w14:paraId="12160BF7" w14:textId="77777777" w:rsidR="00B641FE" w:rsidRPr="00805C1C" w:rsidRDefault="00B641FE">
            <w:pPr>
              <w:spacing w:before="0" w:line="240" w:lineRule="auto"/>
              <w:jc w:val="left"/>
              <w:rPr>
                <w:rFonts w:cs="Arial"/>
                <w:color w:val="000000" w:themeColor="text1"/>
                <w:sz w:val="20"/>
                <w:szCs w:val="20"/>
              </w:rPr>
            </w:pPr>
            <w:r w:rsidRPr="00805C1C">
              <w:rPr>
                <w:rFonts w:cs="Arial"/>
                <w:color w:val="000000" w:themeColor="text1"/>
                <w:sz w:val="20"/>
                <w:szCs w:val="20"/>
              </w:rPr>
              <w:t xml:space="preserve">The potential for weapon firing noise to cause temporary or permanent hearing damage to personnel. </w:t>
            </w:r>
          </w:p>
          <w:p w14:paraId="72D5CDBB" w14:textId="77777777" w:rsidR="00B641FE" w:rsidRPr="00805C1C" w:rsidRDefault="00B641FE">
            <w:pPr>
              <w:spacing w:before="0" w:line="240" w:lineRule="auto"/>
              <w:jc w:val="left"/>
              <w:rPr>
                <w:rFonts w:cs="Arial"/>
                <w:color w:val="000000" w:themeColor="text1"/>
                <w:sz w:val="20"/>
                <w:szCs w:val="20"/>
              </w:rPr>
            </w:pPr>
          </w:p>
        </w:tc>
        <w:tc>
          <w:tcPr>
            <w:tcW w:w="2320" w:type="dxa"/>
          </w:tcPr>
          <w:p w14:paraId="6467FECB" w14:textId="5AC9C018" w:rsidR="00300AB4" w:rsidRPr="00805C1C" w:rsidRDefault="00300AB4" w:rsidP="006A3E8E">
            <w:pPr>
              <w:pStyle w:val="ListParagraph"/>
              <w:numPr>
                <w:ilvl w:val="0"/>
                <w:numId w:val="23"/>
              </w:numPr>
              <w:spacing w:before="0" w:line="240" w:lineRule="auto"/>
              <w:jc w:val="left"/>
              <w:rPr>
                <w:rFonts w:cs="Arial"/>
                <w:color w:val="000000" w:themeColor="text1"/>
                <w:sz w:val="20"/>
                <w:szCs w:val="20"/>
              </w:rPr>
            </w:pPr>
            <w:r w:rsidRPr="00805C1C">
              <w:rPr>
                <w:rFonts w:cs="Arial"/>
                <w:color w:val="000000" w:themeColor="text1"/>
                <w:sz w:val="20"/>
                <w:szCs w:val="20"/>
              </w:rPr>
              <w:t xml:space="preserve">Temporary threshold shift </w:t>
            </w:r>
          </w:p>
          <w:p w14:paraId="04A69495" w14:textId="10E4CCD4" w:rsidR="00300AB4" w:rsidRPr="00805C1C" w:rsidRDefault="00300AB4" w:rsidP="006A3E8E">
            <w:pPr>
              <w:pStyle w:val="ListParagraph"/>
              <w:numPr>
                <w:ilvl w:val="0"/>
                <w:numId w:val="23"/>
              </w:numPr>
              <w:spacing w:before="0" w:line="240" w:lineRule="auto"/>
              <w:jc w:val="left"/>
              <w:rPr>
                <w:rFonts w:cs="Arial"/>
                <w:color w:val="000000" w:themeColor="text1"/>
                <w:sz w:val="20"/>
                <w:szCs w:val="20"/>
              </w:rPr>
            </w:pPr>
            <w:r w:rsidRPr="00805C1C">
              <w:rPr>
                <w:rFonts w:cs="Arial"/>
                <w:color w:val="000000" w:themeColor="text1"/>
                <w:sz w:val="20"/>
                <w:szCs w:val="20"/>
              </w:rPr>
              <w:t xml:space="preserve">Permanent hearing loss </w:t>
            </w:r>
          </w:p>
          <w:p w14:paraId="059EBBA6" w14:textId="35920404" w:rsidR="00300AB4" w:rsidRPr="00805C1C" w:rsidRDefault="00300AB4" w:rsidP="006A3E8E">
            <w:pPr>
              <w:pStyle w:val="ListParagraph"/>
              <w:numPr>
                <w:ilvl w:val="0"/>
                <w:numId w:val="23"/>
              </w:numPr>
              <w:spacing w:before="0" w:line="240" w:lineRule="auto"/>
              <w:jc w:val="left"/>
              <w:rPr>
                <w:rFonts w:cs="Arial"/>
                <w:color w:val="000000" w:themeColor="text1"/>
                <w:sz w:val="20"/>
                <w:szCs w:val="20"/>
              </w:rPr>
            </w:pPr>
            <w:r w:rsidRPr="00805C1C">
              <w:rPr>
                <w:rFonts w:cs="Arial"/>
                <w:color w:val="000000" w:themeColor="text1"/>
                <w:sz w:val="20"/>
                <w:szCs w:val="20"/>
              </w:rPr>
              <w:t xml:space="preserve">Tinnitus </w:t>
            </w:r>
          </w:p>
          <w:p w14:paraId="4E1BD2A1" w14:textId="77777777" w:rsidR="006A3E8E" w:rsidRPr="00805C1C" w:rsidRDefault="00300AB4" w:rsidP="006A3E8E">
            <w:pPr>
              <w:pStyle w:val="ListParagraph"/>
              <w:numPr>
                <w:ilvl w:val="0"/>
                <w:numId w:val="23"/>
              </w:numPr>
              <w:spacing w:before="0" w:line="240" w:lineRule="auto"/>
              <w:jc w:val="left"/>
              <w:rPr>
                <w:rFonts w:cs="Arial"/>
                <w:color w:val="000000" w:themeColor="text1"/>
                <w:sz w:val="20"/>
                <w:szCs w:val="20"/>
              </w:rPr>
            </w:pPr>
            <w:r w:rsidRPr="00805C1C">
              <w:rPr>
                <w:rFonts w:cs="Arial"/>
                <w:color w:val="000000" w:themeColor="text1"/>
                <w:sz w:val="20"/>
                <w:szCs w:val="20"/>
              </w:rPr>
              <w:t>Reduced communication/</w:t>
            </w:r>
          </w:p>
          <w:p w14:paraId="35918687" w14:textId="30BC97E4" w:rsidR="00300AB4" w:rsidRPr="00805C1C" w:rsidRDefault="00300AB4" w:rsidP="006A3E8E">
            <w:pPr>
              <w:pStyle w:val="ListParagraph"/>
              <w:numPr>
                <w:ilvl w:val="0"/>
                <w:numId w:val="23"/>
              </w:numPr>
              <w:spacing w:before="0" w:line="240" w:lineRule="auto"/>
              <w:jc w:val="left"/>
              <w:rPr>
                <w:rFonts w:cs="Arial"/>
                <w:color w:val="000000" w:themeColor="text1"/>
                <w:sz w:val="20"/>
                <w:szCs w:val="20"/>
              </w:rPr>
            </w:pPr>
            <w:r w:rsidRPr="00805C1C">
              <w:rPr>
                <w:rFonts w:cs="Arial"/>
                <w:color w:val="000000" w:themeColor="text1"/>
                <w:sz w:val="20"/>
                <w:szCs w:val="20"/>
              </w:rPr>
              <w:t xml:space="preserve">situational awareness </w:t>
            </w:r>
          </w:p>
          <w:p w14:paraId="2AE2BDDD" w14:textId="468E9671" w:rsidR="00300AB4" w:rsidRPr="00805C1C" w:rsidRDefault="00300AB4" w:rsidP="006A3E8E">
            <w:pPr>
              <w:pStyle w:val="ListParagraph"/>
              <w:numPr>
                <w:ilvl w:val="0"/>
                <w:numId w:val="23"/>
              </w:numPr>
              <w:spacing w:before="0" w:line="240" w:lineRule="auto"/>
              <w:ind w:right="235"/>
              <w:jc w:val="left"/>
              <w:rPr>
                <w:rFonts w:cs="Arial"/>
                <w:color w:val="000000" w:themeColor="text1"/>
                <w:sz w:val="20"/>
                <w:szCs w:val="20"/>
              </w:rPr>
            </w:pPr>
            <w:r w:rsidRPr="00805C1C">
              <w:rPr>
                <w:rFonts w:cs="Arial"/>
                <w:color w:val="000000" w:themeColor="text1"/>
                <w:sz w:val="20"/>
                <w:szCs w:val="20"/>
              </w:rPr>
              <w:t>Startle response</w:t>
            </w:r>
          </w:p>
          <w:p w14:paraId="0F427852" w14:textId="77777777" w:rsidR="00B641FE" w:rsidRPr="00805C1C" w:rsidRDefault="00B641FE">
            <w:pPr>
              <w:spacing w:before="0" w:line="240" w:lineRule="auto"/>
              <w:jc w:val="left"/>
              <w:rPr>
                <w:rFonts w:cs="Arial"/>
                <w:color w:val="000000" w:themeColor="text1"/>
                <w:sz w:val="20"/>
                <w:szCs w:val="20"/>
              </w:rPr>
            </w:pPr>
          </w:p>
        </w:tc>
        <w:tc>
          <w:tcPr>
            <w:tcW w:w="2322" w:type="dxa"/>
          </w:tcPr>
          <w:p w14:paraId="040E9F29" w14:textId="63A5112C" w:rsidR="00B641FE" w:rsidRPr="00805C1C" w:rsidRDefault="00B641FE">
            <w:pPr>
              <w:pStyle w:val="ListParagraph"/>
              <w:numPr>
                <w:ilvl w:val="0"/>
                <w:numId w:val="11"/>
              </w:numPr>
              <w:spacing w:before="0" w:line="240" w:lineRule="auto"/>
              <w:jc w:val="left"/>
              <w:rPr>
                <w:rFonts w:cs="Arial"/>
                <w:color w:val="000000" w:themeColor="text1"/>
                <w:sz w:val="20"/>
                <w:szCs w:val="20"/>
              </w:rPr>
            </w:pPr>
            <w:r w:rsidRPr="00805C1C">
              <w:rPr>
                <w:rFonts w:cs="Arial"/>
                <w:color w:val="000000" w:themeColor="text1"/>
                <w:sz w:val="20"/>
                <w:szCs w:val="20"/>
              </w:rPr>
              <w:t xml:space="preserve">Ammunition produces </w:t>
            </w:r>
            <w:r w:rsidR="00300AB4" w:rsidRPr="00805C1C">
              <w:rPr>
                <w:rFonts w:cs="Arial"/>
                <w:color w:val="000000" w:themeColor="text1"/>
                <w:sz w:val="20"/>
                <w:szCs w:val="20"/>
              </w:rPr>
              <w:t>high impulse noise during firing</w:t>
            </w:r>
          </w:p>
          <w:p w14:paraId="3FFC924E" w14:textId="77777777" w:rsidR="00B641FE" w:rsidRPr="00805C1C" w:rsidRDefault="00B641FE">
            <w:pPr>
              <w:pStyle w:val="ListParagraph"/>
              <w:numPr>
                <w:ilvl w:val="0"/>
                <w:numId w:val="11"/>
              </w:numPr>
              <w:spacing w:before="0" w:line="240" w:lineRule="auto"/>
              <w:jc w:val="left"/>
              <w:rPr>
                <w:rFonts w:cs="Arial"/>
                <w:color w:val="000000" w:themeColor="text1"/>
                <w:sz w:val="20"/>
                <w:szCs w:val="20"/>
              </w:rPr>
            </w:pPr>
            <w:r w:rsidRPr="00805C1C">
              <w:rPr>
                <w:rFonts w:cs="Arial"/>
                <w:color w:val="000000" w:themeColor="text1"/>
                <w:sz w:val="20"/>
                <w:szCs w:val="20"/>
              </w:rPr>
              <w:t>Loud Noise</w:t>
            </w:r>
          </w:p>
          <w:p w14:paraId="57858CD5" w14:textId="77777777" w:rsidR="00B641FE" w:rsidRPr="00805C1C" w:rsidRDefault="00B641FE">
            <w:pPr>
              <w:pStyle w:val="ListParagraph"/>
              <w:numPr>
                <w:ilvl w:val="0"/>
                <w:numId w:val="11"/>
              </w:numPr>
              <w:spacing w:before="0" w:line="240" w:lineRule="auto"/>
              <w:jc w:val="left"/>
              <w:rPr>
                <w:rFonts w:cs="Arial"/>
                <w:color w:val="000000" w:themeColor="text1"/>
                <w:sz w:val="20"/>
                <w:szCs w:val="20"/>
              </w:rPr>
            </w:pPr>
            <w:r w:rsidRPr="00805C1C">
              <w:rPr>
                <w:rFonts w:cs="Arial"/>
                <w:color w:val="000000" w:themeColor="text1"/>
                <w:sz w:val="20"/>
                <w:szCs w:val="20"/>
              </w:rPr>
              <w:t>Cumulative Exposure</w:t>
            </w:r>
          </w:p>
          <w:p w14:paraId="3978A0B2" w14:textId="77777777" w:rsidR="00B641FE" w:rsidRPr="00805C1C" w:rsidRDefault="00B641FE">
            <w:pPr>
              <w:pStyle w:val="ListParagraph"/>
              <w:numPr>
                <w:ilvl w:val="0"/>
                <w:numId w:val="11"/>
              </w:numPr>
              <w:spacing w:before="0" w:line="240" w:lineRule="auto"/>
              <w:jc w:val="left"/>
              <w:rPr>
                <w:rFonts w:cs="Arial"/>
                <w:color w:val="000000" w:themeColor="text1"/>
                <w:sz w:val="20"/>
                <w:szCs w:val="20"/>
              </w:rPr>
            </w:pPr>
            <w:r w:rsidRPr="00805C1C">
              <w:rPr>
                <w:rFonts w:cs="Arial"/>
                <w:color w:val="000000" w:themeColor="text1"/>
                <w:sz w:val="20"/>
                <w:szCs w:val="20"/>
              </w:rPr>
              <w:t>Confined Environment (Space/Room)</w:t>
            </w:r>
          </w:p>
        </w:tc>
        <w:tc>
          <w:tcPr>
            <w:tcW w:w="1316" w:type="dxa"/>
          </w:tcPr>
          <w:p w14:paraId="63B993EB"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1073" w:type="dxa"/>
          </w:tcPr>
          <w:p w14:paraId="616C949B"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4</w:t>
            </w:r>
          </w:p>
        </w:tc>
        <w:tc>
          <w:tcPr>
            <w:tcW w:w="804" w:type="dxa"/>
            <w:shd w:val="clear" w:color="auto" w:fill="EE0000"/>
          </w:tcPr>
          <w:p w14:paraId="1D8DF047"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A</w:t>
            </w:r>
          </w:p>
        </w:tc>
        <w:tc>
          <w:tcPr>
            <w:tcW w:w="1377" w:type="dxa"/>
          </w:tcPr>
          <w:p w14:paraId="694791D5" w14:textId="5C7DCE27" w:rsidR="00B641FE" w:rsidRPr="009866A6" w:rsidRDefault="00B641FE">
            <w:pPr>
              <w:spacing w:before="0" w:line="240" w:lineRule="auto"/>
              <w:jc w:val="left"/>
              <w:rPr>
                <w:rFonts w:cs="Arial"/>
                <w:color w:val="000000" w:themeColor="text1"/>
                <w:sz w:val="18"/>
                <w:szCs w:val="18"/>
              </w:rPr>
            </w:pPr>
            <w:r w:rsidRPr="009866A6">
              <w:rPr>
                <w:rFonts w:cs="Arial"/>
                <w:color w:val="000000" w:themeColor="text1"/>
                <w:sz w:val="18"/>
                <w:szCs w:val="18"/>
              </w:rPr>
              <w:t xml:space="preserve">C1-Controlled number of trained personnel in the vicinity </w:t>
            </w:r>
            <w:r w:rsidRPr="009866A6">
              <w:rPr>
                <w:rFonts w:cs="Arial"/>
                <w:color w:val="000000" w:themeColor="text1"/>
                <w:sz w:val="18"/>
                <w:szCs w:val="18"/>
              </w:rPr>
              <w:br/>
              <w:t>C3-Training</w:t>
            </w:r>
            <w:r w:rsidRPr="009866A6">
              <w:rPr>
                <w:rFonts w:cs="Arial"/>
                <w:color w:val="000000" w:themeColor="text1"/>
                <w:sz w:val="18"/>
                <w:szCs w:val="18"/>
              </w:rPr>
              <w:br/>
              <w:t>C8- SME advice</w:t>
            </w:r>
            <w:r w:rsidRPr="009866A6">
              <w:rPr>
                <w:rFonts w:cs="Arial"/>
                <w:color w:val="000000" w:themeColor="text1"/>
                <w:sz w:val="18"/>
                <w:szCs w:val="18"/>
              </w:rPr>
              <w:br/>
              <w:t>C9-Noise tr</w:t>
            </w:r>
            <w:r w:rsidR="00300AB4">
              <w:rPr>
                <w:rFonts w:cs="Arial"/>
                <w:color w:val="000000" w:themeColor="text1"/>
                <w:sz w:val="18"/>
                <w:szCs w:val="18"/>
              </w:rPr>
              <w:t>ials</w:t>
            </w:r>
            <w:r w:rsidRPr="009866A6">
              <w:rPr>
                <w:rFonts w:cs="Arial"/>
                <w:color w:val="000000" w:themeColor="text1"/>
                <w:sz w:val="18"/>
                <w:szCs w:val="18"/>
              </w:rPr>
              <w:t xml:space="preserve">/ characteristics </w:t>
            </w:r>
            <w:r w:rsidRPr="009866A6">
              <w:rPr>
                <w:rFonts w:cs="Arial"/>
                <w:color w:val="000000" w:themeColor="text1"/>
                <w:sz w:val="18"/>
                <w:szCs w:val="18"/>
              </w:rPr>
              <w:br/>
              <w:t>C10-PPE/CPE</w:t>
            </w:r>
            <w:r w:rsidRPr="009866A6">
              <w:rPr>
                <w:rFonts w:cs="Arial"/>
                <w:color w:val="000000" w:themeColor="text1"/>
                <w:sz w:val="18"/>
                <w:szCs w:val="18"/>
              </w:rPr>
              <w:br/>
              <w:t>C11-Range safety procedures</w:t>
            </w:r>
            <w:r w:rsidRPr="009866A6">
              <w:rPr>
                <w:rFonts w:cs="Arial"/>
                <w:color w:val="000000" w:themeColor="text1"/>
                <w:sz w:val="18"/>
                <w:szCs w:val="18"/>
              </w:rPr>
              <w:br/>
              <w:t>C13-Risk assessment</w:t>
            </w:r>
            <w:r w:rsidRPr="009866A6">
              <w:rPr>
                <w:rFonts w:cs="Arial"/>
                <w:color w:val="000000" w:themeColor="text1"/>
                <w:sz w:val="18"/>
                <w:szCs w:val="18"/>
              </w:rPr>
              <w:br/>
              <w:t>C14-Enviromental considerations</w:t>
            </w:r>
            <w:r w:rsidRPr="009866A6">
              <w:rPr>
                <w:rFonts w:cs="Arial"/>
                <w:color w:val="000000" w:themeColor="text1"/>
                <w:sz w:val="18"/>
                <w:szCs w:val="18"/>
              </w:rPr>
              <w:br/>
              <w:t xml:space="preserve">C15- Fatigue/ stress management </w:t>
            </w:r>
          </w:p>
          <w:p w14:paraId="79B28180" w14:textId="77777777" w:rsidR="00B641FE" w:rsidRPr="009866A6" w:rsidRDefault="00B641FE">
            <w:pPr>
              <w:spacing w:before="0" w:line="240" w:lineRule="auto"/>
              <w:jc w:val="left"/>
              <w:rPr>
                <w:rFonts w:cs="Arial"/>
                <w:color w:val="000000" w:themeColor="text1"/>
                <w:sz w:val="18"/>
                <w:szCs w:val="18"/>
              </w:rPr>
            </w:pPr>
          </w:p>
        </w:tc>
        <w:tc>
          <w:tcPr>
            <w:tcW w:w="1316" w:type="dxa"/>
          </w:tcPr>
          <w:p w14:paraId="501F05A2"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2</w:t>
            </w:r>
          </w:p>
        </w:tc>
        <w:tc>
          <w:tcPr>
            <w:tcW w:w="1073" w:type="dxa"/>
          </w:tcPr>
          <w:p w14:paraId="5127F4B0"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2</w:t>
            </w:r>
          </w:p>
        </w:tc>
        <w:tc>
          <w:tcPr>
            <w:tcW w:w="1133" w:type="dxa"/>
            <w:shd w:val="clear" w:color="auto" w:fill="00B050"/>
          </w:tcPr>
          <w:p w14:paraId="04E2DFCE"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D</w:t>
            </w:r>
          </w:p>
        </w:tc>
      </w:tr>
      <w:tr w:rsidR="00B641FE" w14:paraId="743BEF09" w14:textId="77777777" w:rsidTr="003F764C">
        <w:tc>
          <w:tcPr>
            <w:tcW w:w="950" w:type="dxa"/>
            <w:shd w:val="clear" w:color="auto" w:fill="E5DFEC" w:themeFill="accent4" w:themeFillTint="33"/>
          </w:tcPr>
          <w:p w14:paraId="2596C42B" w14:textId="77777777" w:rsidR="00B641FE" w:rsidRPr="002E1329" w:rsidRDefault="00B641FE">
            <w:pPr>
              <w:spacing w:before="0" w:line="240" w:lineRule="auto"/>
              <w:jc w:val="left"/>
              <w:rPr>
                <w:b/>
                <w:bCs/>
              </w:rPr>
            </w:pPr>
            <w:r w:rsidRPr="002E1329">
              <w:rPr>
                <w:b/>
                <w:bCs/>
              </w:rPr>
              <w:t>H5</w:t>
            </w:r>
          </w:p>
        </w:tc>
        <w:tc>
          <w:tcPr>
            <w:tcW w:w="1240" w:type="dxa"/>
          </w:tcPr>
          <w:p w14:paraId="23F07DF7" w14:textId="77777777" w:rsidR="00B641FE" w:rsidRPr="00805C1C" w:rsidRDefault="00B641FE">
            <w:pPr>
              <w:spacing w:before="0" w:line="240" w:lineRule="auto"/>
              <w:jc w:val="left"/>
              <w:rPr>
                <w:rFonts w:cs="Arial"/>
                <w:color w:val="000000" w:themeColor="text1"/>
                <w:sz w:val="20"/>
                <w:szCs w:val="20"/>
              </w:rPr>
            </w:pPr>
            <w:r w:rsidRPr="00805C1C">
              <w:rPr>
                <w:rFonts w:cs="Arial"/>
                <w:color w:val="000000" w:themeColor="text1"/>
                <w:sz w:val="20"/>
                <w:szCs w:val="20"/>
              </w:rPr>
              <w:t>Unintended fire</w:t>
            </w:r>
          </w:p>
        </w:tc>
        <w:tc>
          <w:tcPr>
            <w:tcW w:w="1662" w:type="dxa"/>
          </w:tcPr>
          <w:p w14:paraId="5C1D2620" w14:textId="77777777" w:rsidR="00B641FE" w:rsidRPr="00805C1C" w:rsidRDefault="00B641FE">
            <w:pPr>
              <w:spacing w:before="0" w:line="240" w:lineRule="auto"/>
              <w:jc w:val="left"/>
              <w:rPr>
                <w:rFonts w:cs="Arial"/>
                <w:color w:val="000000" w:themeColor="text1"/>
                <w:sz w:val="20"/>
                <w:szCs w:val="20"/>
              </w:rPr>
            </w:pPr>
            <w:r w:rsidRPr="00805C1C">
              <w:rPr>
                <w:rFonts w:cs="Arial"/>
                <w:color w:val="000000" w:themeColor="text1"/>
                <w:sz w:val="20"/>
                <w:szCs w:val="20"/>
              </w:rPr>
              <w:t>The potential for a weapon to fire without the operator's intention.</w:t>
            </w:r>
          </w:p>
        </w:tc>
        <w:tc>
          <w:tcPr>
            <w:tcW w:w="2320" w:type="dxa"/>
          </w:tcPr>
          <w:p w14:paraId="21DAAEF1" w14:textId="629BF017" w:rsidR="00300AB4" w:rsidRPr="00805C1C" w:rsidRDefault="00300AB4" w:rsidP="006A3E8E">
            <w:pPr>
              <w:pStyle w:val="ListParagraph"/>
              <w:numPr>
                <w:ilvl w:val="0"/>
                <w:numId w:val="22"/>
              </w:numPr>
              <w:spacing w:before="0" w:line="240" w:lineRule="auto"/>
              <w:jc w:val="left"/>
              <w:rPr>
                <w:rFonts w:cs="Arial"/>
                <w:color w:val="000000" w:themeColor="text1"/>
                <w:sz w:val="20"/>
                <w:szCs w:val="20"/>
              </w:rPr>
            </w:pPr>
            <w:r w:rsidRPr="00805C1C">
              <w:rPr>
                <w:rFonts w:cs="Arial"/>
                <w:color w:val="000000" w:themeColor="text1"/>
                <w:sz w:val="20"/>
                <w:szCs w:val="20"/>
              </w:rPr>
              <w:t xml:space="preserve">Projectile injury or fatality </w:t>
            </w:r>
          </w:p>
          <w:p w14:paraId="5D760F31" w14:textId="44094D52" w:rsidR="00300AB4" w:rsidRPr="00805C1C" w:rsidRDefault="00300AB4" w:rsidP="006A3E8E">
            <w:pPr>
              <w:pStyle w:val="ListParagraph"/>
              <w:numPr>
                <w:ilvl w:val="0"/>
                <w:numId w:val="21"/>
              </w:numPr>
              <w:spacing w:before="0" w:line="240" w:lineRule="auto"/>
              <w:jc w:val="left"/>
              <w:rPr>
                <w:rFonts w:cs="Arial"/>
                <w:color w:val="000000" w:themeColor="text1"/>
                <w:sz w:val="20"/>
                <w:szCs w:val="20"/>
              </w:rPr>
            </w:pPr>
            <w:r w:rsidRPr="00805C1C">
              <w:rPr>
                <w:rFonts w:cs="Arial"/>
                <w:color w:val="000000" w:themeColor="text1"/>
                <w:sz w:val="20"/>
                <w:szCs w:val="20"/>
              </w:rPr>
              <w:t xml:space="preserve">Damage to equipment or infrastructure </w:t>
            </w:r>
          </w:p>
          <w:p w14:paraId="1531BB1F" w14:textId="5E7B3778" w:rsidR="00300AB4" w:rsidRPr="00805C1C" w:rsidRDefault="00300AB4" w:rsidP="006A3E8E">
            <w:pPr>
              <w:pStyle w:val="ListParagraph"/>
              <w:numPr>
                <w:ilvl w:val="0"/>
                <w:numId w:val="20"/>
              </w:numPr>
              <w:spacing w:before="0" w:line="240" w:lineRule="auto"/>
              <w:jc w:val="left"/>
              <w:rPr>
                <w:rFonts w:cs="Arial"/>
                <w:color w:val="000000" w:themeColor="text1"/>
                <w:sz w:val="20"/>
                <w:szCs w:val="20"/>
              </w:rPr>
            </w:pPr>
            <w:r w:rsidRPr="00805C1C">
              <w:rPr>
                <w:rFonts w:cs="Arial"/>
                <w:color w:val="000000" w:themeColor="text1"/>
                <w:sz w:val="20"/>
                <w:szCs w:val="20"/>
              </w:rPr>
              <w:t xml:space="preserve">Loss of weapon control </w:t>
            </w:r>
          </w:p>
          <w:p w14:paraId="2FE45274" w14:textId="29873C72" w:rsidR="00300AB4" w:rsidRPr="00805C1C" w:rsidRDefault="00300AB4" w:rsidP="006A3E8E">
            <w:pPr>
              <w:pStyle w:val="ListParagraph"/>
              <w:numPr>
                <w:ilvl w:val="0"/>
                <w:numId w:val="19"/>
              </w:numPr>
              <w:spacing w:before="0" w:line="240" w:lineRule="auto"/>
              <w:jc w:val="left"/>
              <w:rPr>
                <w:rFonts w:cs="Arial"/>
                <w:color w:val="000000" w:themeColor="text1"/>
                <w:sz w:val="20"/>
                <w:szCs w:val="20"/>
              </w:rPr>
            </w:pPr>
            <w:r w:rsidRPr="00805C1C">
              <w:rPr>
                <w:rFonts w:cs="Arial"/>
                <w:color w:val="000000" w:themeColor="text1"/>
                <w:sz w:val="20"/>
                <w:szCs w:val="20"/>
              </w:rPr>
              <w:lastRenderedPageBreak/>
              <w:t xml:space="preserve">Range safety incident </w:t>
            </w:r>
          </w:p>
          <w:p w14:paraId="653BFCD6" w14:textId="26C9E863" w:rsidR="00300AB4" w:rsidRPr="00805C1C" w:rsidRDefault="00300AB4" w:rsidP="006A3E8E">
            <w:pPr>
              <w:pStyle w:val="ListParagraph"/>
              <w:numPr>
                <w:ilvl w:val="0"/>
                <w:numId w:val="18"/>
              </w:numPr>
              <w:spacing w:before="0" w:line="240" w:lineRule="auto"/>
              <w:jc w:val="left"/>
              <w:rPr>
                <w:rFonts w:cs="Arial"/>
                <w:color w:val="000000" w:themeColor="text1"/>
                <w:sz w:val="20"/>
                <w:szCs w:val="20"/>
              </w:rPr>
            </w:pPr>
            <w:r w:rsidRPr="00805C1C">
              <w:rPr>
                <w:rFonts w:cs="Arial"/>
                <w:color w:val="000000" w:themeColor="text1"/>
                <w:sz w:val="20"/>
                <w:szCs w:val="20"/>
              </w:rPr>
              <w:t>Secondary injury following startle or movement</w:t>
            </w:r>
          </w:p>
          <w:p w14:paraId="654C78B5" w14:textId="77777777" w:rsidR="00B641FE" w:rsidRPr="00805C1C" w:rsidRDefault="00B641FE">
            <w:pPr>
              <w:spacing w:before="0" w:line="240" w:lineRule="auto"/>
              <w:jc w:val="left"/>
              <w:rPr>
                <w:rFonts w:cs="Arial"/>
                <w:color w:val="000000" w:themeColor="text1"/>
                <w:sz w:val="20"/>
                <w:szCs w:val="20"/>
              </w:rPr>
            </w:pPr>
          </w:p>
        </w:tc>
        <w:tc>
          <w:tcPr>
            <w:tcW w:w="2322" w:type="dxa"/>
          </w:tcPr>
          <w:p w14:paraId="41BFA4DA" w14:textId="77777777" w:rsidR="00B641FE" w:rsidRPr="00805C1C" w:rsidRDefault="00B641FE" w:rsidP="00300AB4">
            <w:pPr>
              <w:pStyle w:val="ListParagraph"/>
              <w:numPr>
                <w:ilvl w:val="0"/>
                <w:numId w:val="12"/>
              </w:numPr>
              <w:spacing w:before="0" w:line="240" w:lineRule="auto"/>
              <w:jc w:val="left"/>
              <w:rPr>
                <w:rFonts w:cs="Arial"/>
                <w:color w:val="000000" w:themeColor="text1"/>
                <w:sz w:val="20"/>
                <w:szCs w:val="20"/>
              </w:rPr>
            </w:pPr>
            <w:r w:rsidRPr="00805C1C">
              <w:rPr>
                <w:rFonts w:cs="Arial"/>
                <w:color w:val="000000" w:themeColor="text1"/>
                <w:sz w:val="20"/>
                <w:szCs w:val="20"/>
              </w:rPr>
              <w:lastRenderedPageBreak/>
              <w:t>Slip/Trip/Fall</w:t>
            </w:r>
          </w:p>
          <w:p w14:paraId="702404A7" w14:textId="77777777" w:rsidR="00B641FE" w:rsidRPr="00805C1C" w:rsidRDefault="00B641FE" w:rsidP="00300AB4">
            <w:pPr>
              <w:pStyle w:val="ListParagraph"/>
              <w:numPr>
                <w:ilvl w:val="0"/>
                <w:numId w:val="12"/>
              </w:numPr>
              <w:spacing w:before="0" w:line="240" w:lineRule="auto"/>
              <w:jc w:val="left"/>
              <w:rPr>
                <w:rFonts w:cs="Arial"/>
                <w:color w:val="000000" w:themeColor="text1"/>
                <w:sz w:val="20"/>
                <w:szCs w:val="20"/>
              </w:rPr>
            </w:pPr>
            <w:r w:rsidRPr="00805C1C">
              <w:rPr>
                <w:rFonts w:cs="Arial"/>
                <w:color w:val="000000" w:themeColor="text1"/>
                <w:sz w:val="20"/>
                <w:szCs w:val="20"/>
              </w:rPr>
              <w:t>Thermal Cook-off</w:t>
            </w:r>
          </w:p>
          <w:p w14:paraId="30D3631F" w14:textId="77777777" w:rsidR="00B641FE" w:rsidRPr="00805C1C" w:rsidRDefault="00B641FE" w:rsidP="00300AB4">
            <w:pPr>
              <w:pStyle w:val="ListParagraph"/>
              <w:numPr>
                <w:ilvl w:val="0"/>
                <w:numId w:val="12"/>
              </w:numPr>
              <w:spacing w:before="0" w:line="240" w:lineRule="auto"/>
              <w:jc w:val="left"/>
              <w:rPr>
                <w:rFonts w:cs="Arial"/>
                <w:color w:val="000000" w:themeColor="text1"/>
                <w:sz w:val="20"/>
                <w:szCs w:val="20"/>
              </w:rPr>
            </w:pPr>
            <w:r w:rsidRPr="00805C1C">
              <w:rPr>
                <w:rFonts w:cs="Arial"/>
                <w:color w:val="000000" w:themeColor="text1"/>
                <w:sz w:val="20"/>
                <w:szCs w:val="20"/>
              </w:rPr>
              <w:t>Firing mechanism malfunction</w:t>
            </w:r>
          </w:p>
          <w:p w14:paraId="785C9C4A"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t>Incorrect safety selector use</w:t>
            </w:r>
          </w:p>
          <w:p w14:paraId="13E4BA65"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lastRenderedPageBreak/>
              <w:t>Finger on trigger during movement or clearance</w:t>
            </w:r>
          </w:p>
          <w:p w14:paraId="48CF83BE"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t>Failure to prove weapon clear</w:t>
            </w:r>
          </w:p>
          <w:p w14:paraId="5BFDDBB3"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t>Dropped or mishandled weapon</w:t>
            </w:r>
          </w:p>
          <w:p w14:paraId="34E24D67"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t>Negligent discharge</w:t>
            </w:r>
          </w:p>
          <w:p w14:paraId="68C0270E"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t>Firing mechanism malfunction</w:t>
            </w:r>
          </w:p>
          <w:p w14:paraId="2EA73E98" w14:textId="77777777" w:rsidR="00300AB4" w:rsidRPr="00805C1C" w:rsidRDefault="00300AB4" w:rsidP="00300AB4">
            <w:pPr>
              <w:pStyle w:val="ccc16d0"/>
              <w:numPr>
                <w:ilvl w:val="0"/>
                <w:numId w:val="12"/>
              </w:numPr>
              <w:spacing w:line="300" w:lineRule="atLeast"/>
              <w:rPr>
                <w:rFonts w:ascii="Arial" w:hAnsi="Arial" w:cs="Arial"/>
                <w:sz w:val="20"/>
                <w:szCs w:val="20"/>
              </w:rPr>
            </w:pPr>
            <w:r w:rsidRPr="00805C1C">
              <w:rPr>
                <w:rFonts w:ascii="Arial" w:hAnsi="Arial" w:cs="Arial"/>
                <w:sz w:val="20"/>
                <w:szCs w:val="20"/>
              </w:rPr>
              <w:t>Thermal cook-off</w:t>
            </w:r>
          </w:p>
          <w:p w14:paraId="388E57D5" w14:textId="2F433A95" w:rsidR="00B641FE" w:rsidRPr="00805C1C" w:rsidRDefault="00B641FE" w:rsidP="00300AB4">
            <w:pPr>
              <w:pStyle w:val="ListParagraph"/>
              <w:spacing w:before="0" w:line="240" w:lineRule="auto"/>
              <w:ind w:left="360"/>
              <w:jc w:val="left"/>
              <w:rPr>
                <w:rFonts w:cs="Arial"/>
                <w:color w:val="000000" w:themeColor="text1"/>
                <w:sz w:val="20"/>
                <w:szCs w:val="20"/>
              </w:rPr>
            </w:pPr>
          </w:p>
          <w:p w14:paraId="47CC495D" w14:textId="77777777" w:rsidR="00B641FE" w:rsidRPr="00805C1C" w:rsidRDefault="00B641FE">
            <w:pPr>
              <w:spacing w:before="0" w:line="240" w:lineRule="auto"/>
              <w:jc w:val="left"/>
              <w:rPr>
                <w:rFonts w:cs="Arial"/>
                <w:color w:val="000000" w:themeColor="text1"/>
                <w:sz w:val="20"/>
                <w:szCs w:val="20"/>
              </w:rPr>
            </w:pPr>
          </w:p>
        </w:tc>
        <w:tc>
          <w:tcPr>
            <w:tcW w:w="1316" w:type="dxa"/>
          </w:tcPr>
          <w:p w14:paraId="03275D77"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lastRenderedPageBreak/>
              <w:t>3</w:t>
            </w:r>
          </w:p>
        </w:tc>
        <w:tc>
          <w:tcPr>
            <w:tcW w:w="1073" w:type="dxa"/>
          </w:tcPr>
          <w:p w14:paraId="18394831"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804" w:type="dxa"/>
            <w:shd w:val="clear" w:color="auto" w:fill="EE0000"/>
          </w:tcPr>
          <w:p w14:paraId="68934EDA"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A</w:t>
            </w:r>
          </w:p>
        </w:tc>
        <w:tc>
          <w:tcPr>
            <w:tcW w:w="1377" w:type="dxa"/>
          </w:tcPr>
          <w:p w14:paraId="7644E3DF" w14:textId="77777777" w:rsidR="00B641FE" w:rsidRPr="009866A6" w:rsidRDefault="00B641FE">
            <w:pPr>
              <w:spacing w:before="0" w:line="240" w:lineRule="auto"/>
              <w:jc w:val="left"/>
              <w:rPr>
                <w:rFonts w:cs="Arial"/>
                <w:color w:val="000000" w:themeColor="text1"/>
                <w:sz w:val="18"/>
                <w:szCs w:val="18"/>
              </w:rPr>
            </w:pPr>
            <w:r w:rsidRPr="009866A6">
              <w:rPr>
                <w:rFonts w:cs="Arial"/>
                <w:color w:val="000000" w:themeColor="text1"/>
                <w:sz w:val="18"/>
                <w:szCs w:val="18"/>
              </w:rPr>
              <w:t xml:space="preserve">C1 -Controlled number of trained personnel in the vicinity </w:t>
            </w:r>
            <w:r w:rsidRPr="009866A6">
              <w:rPr>
                <w:rFonts w:cs="Arial"/>
                <w:color w:val="000000" w:themeColor="text1"/>
                <w:sz w:val="18"/>
                <w:szCs w:val="18"/>
              </w:rPr>
              <w:br/>
              <w:t>C2-Scheduled maintenance</w:t>
            </w:r>
            <w:r w:rsidRPr="009866A6">
              <w:rPr>
                <w:rFonts w:cs="Arial"/>
                <w:color w:val="000000" w:themeColor="text1"/>
                <w:sz w:val="18"/>
                <w:szCs w:val="18"/>
              </w:rPr>
              <w:br/>
              <w:t>C3- Training</w:t>
            </w:r>
            <w:r w:rsidRPr="009866A6">
              <w:rPr>
                <w:rFonts w:cs="Arial"/>
                <w:color w:val="000000" w:themeColor="text1"/>
                <w:sz w:val="18"/>
                <w:szCs w:val="18"/>
              </w:rPr>
              <w:br/>
            </w:r>
            <w:r w:rsidRPr="009866A6">
              <w:rPr>
                <w:rFonts w:cs="Arial"/>
                <w:color w:val="000000" w:themeColor="text1"/>
                <w:sz w:val="18"/>
                <w:szCs w:val="18"/>
              </w:rPr>
              <w:lastRenderedPageBreak/>
              <w:t>C4- Weapons handling procedures</w:t>
            </w:r>
            <w:r w:rsidRPr="009866A6">
              <w:rPr>
                <w:rFonts w:cs="Arial"/>
                <w:color w:val="000000" w:themeColor="text1"/>
                <w:sz w:val="18"/>
                <w:szCs w:val="18"/>
              </w:rPr>
              <w:br/>
              <w:t>C5- Test &amp; trials</w:t>
            </w:r>
            <w:r w:rsidRPr="009866A6">
              <w:rPr>
                <w:rFonts w:cs="Arial"/>
                <w:color w:val="000000" w:themeColor="text1"/>
                <w:sz w:val="18"/>
                <w:szCs w:val="18"/>
              </w:rPr>
              <w:br/>
              <w:t xml:space="preserve">C6- Cleaning procedures  </w:t>
            </w:r>
            <w:r w:rsidRPr="009866A6">
              <w:rPr>
                <w:rFonts w:cs="Arial"/>
                <w:color w:val="000000" w:themeColor="text1"/>
                <w:sz w:val="18"/>
                <w:szCs w:val="18"/>
              </w:rPr>
              <w:br/>
              <w:t xml:space="preserve">C7- Examination of equipment </w:t>
            </w:r>
            <w:r w:rsidRPr="009866A6">
              <w:rPr>
                <w:rFonts w:cs="Arial"/>
                <w:color w:val="000000" w:themeColor="text1"/>
                <w:sz w:val="18"/>
                <w:szCs w:val="18"/>
              </w:rPr>
              <w:br/>
              <w:t xml:space="preserve">C11- Range safety procedures </w:t>
            </w:r>
            <w:r w:rsidRPr="009866A6">
              <w:rPr>
                <w:rFonts w:cs="Arial"/>
                <w:color w:val="000000" w:themeColor="text1"/>
                <w:sz w:val="18"/>
                <w:szCs w:val="18"/>
              </w:rPr>
              <w:br/>
              <w:t xml:space="preserve">C12-Use of approved equipment </w:t>
            </w:r>
            <w:r w:rsidRPr="009866A6">
              <w:rPr>
                <w:rFonts w:cs="Arial"/>
                <w:color w:val="000000" w:themeColor="text1"/>
                <w:sz w:val="18"/>
                <w:szCs w:val="18"/>
              </w:rPr>
              <w:br/>
              <w:t xml:space="preserve">C13-Risk assessment </w:t>
            </w:r>
            <w:r w:rsidRPr="009866A6">
              <w:rPr>
                <w:rFonts w:cs="Arial"/>
                <w:color w:val="000000" w:themeColor="text1"/>
                <w:sz w:val="18"/>
                <w:szCs w:val="18"/>
              </w:rPr>
              <w:br/>
              <w:t xml:space="preserve">C14- Environmental considerations </w:t>
            </w:r>
            <w:r w:rsidRPr="009866A6">
              <w:rPr>
                <w:rFonts w:cs="Arial"/>
                <w:color w:val="000000" w:themeColor="text1"/>
                <w:sz w:val="18"/>
                <w:szCs w:val="18"/>
              </w:rPr>
              <w:br/>
              <w:t xml:space="preserve">C15- Fatigue/ stress management </w:t>
            </w:r>
            <w:r w:rsidRPr="009866A6">
              <w:rPr>
                <w:rFonts w:cs="Arial"/>
                <w:color w:val="000000" w:themeColor="text1"/>
                <w:sz w:val="18"/>
                <w:szCs w:val="18"/>
              </w:rPr>
              <w:br/>
              <w:t xml:space="preserve">C16-Ammunition inspection </w:t>
            </w:r>
            <w:r w:rsidRPr="009866A6">
              <w:rPr>
                <w:rFonts w:cs="Arial"/>
                <w:color w:val="000000" w:themeColor="text1"/>
                <w:sz w:val="18"/>
                <w:szCs w:val="18"/>
              </w:rPr>
              <w:br/>
              <w:t>C17-Misfire procedure</w:t>
            </w:r>
            <w:r w:rsidRPr="009866A6">
              <w:rPr>
                <w:rFonts w:cs="Arial"/>
                <w:color w:val="000000" w:themeColor="text1"/>
                <w:sz w:val="18"/>
                <w:szCs w:val="18"/>
              </w:rPr>
              <w:br/>
              <w:t>C18-Fault reporting</w:t>
            </w:r>
          </w:p>
          <w:p w14:paraId="4BE6EAAE" w14:textId="77777777" w:rsidR="00B641FE" w:rsidRPr="009866A6" w:rsidRDefault="00B641FE">
            <w:pPr>
              <w:spacing w:before="0" w:line="240" w:lineRule="auto"/>
              <w:ind w:right="-552"/>
              <w:jc w:val="left"/>
              <w:rPr>
                <w:rFonts w:cs="Arial"/>
                <w:color w:val="000000" w:themeColor="text1"/>
                <w:sz w:val="18"/>
                <w:szCs w:val="18"/>
              </w:rPr>
            </w:pPr>
          </w:p>
        </w:tc>
        <w:tc>
          <w:tcPr>
            <w:tcW w:w="1316" w:type="dxa"/>
          </w:tcPr>
          <w:p w14:paraId="74C5FB09"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lastRenderedPageBreak/>
              <w:t>1</w:t>
            </w:r>
          </w:p>
        </w:tc>
        <w:tc>
          <w:tcPr>
            <w:tcW w:w="1073" w:type="dxa"/>
          </w:tcPr>
          <w:p w14:paraId="6A3C82B3"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5</w:t>
            </w:r>
          </w:p>
        </w:tc>
        <w:tc>
          <w:tcPr>
            <w:tcW w:w="1133" w:type="dxa"/>
            <w:shd w:val="clear" w:color="auto" w:fill="FFC000"/>
          </w:tcPr>
          <w:p w14:paraId="2E6F05BD" w14:textId="77777777" w:rsidR="00B641FE" w:rsidRPr="00FC60F1" w:rsidRDefault="00B641FE">
            <w:pPr>
              <w:spacing w:before="0" w:line="240" w:lineRule="auto"/>
              <w:jc w:val="left"/>
              <w:rPr>
                <w:rFonts w:cs="Arial"/>
                <w:color w:val="000000" w:themeColor="text1"/>
                <w:sz w:val="20"/>
                <w:szCs w:val="20"/>
              </w:rPr>
            </w:pPr>
            <w:r w:rsidRPr="00FC60F1">
              <w:rPr>
                <w:rFonts w:cs="Arial"/>
                <w:color w:val="000000" w:themeColor="text1"/>
                <w:sz w:val="20"/>
                <w:szCs w:val="20"/>
              </w:rPr>
              <w:t>Class B</w:t>
            </w:r>
          </w:p>
        </w:tc>
      </w:tr>
    </w:tbl>
    <w:p w14:paraId="3A4E2222" w14:textId="24ADB138" w:rsidR="002460CF" w:rsidRPr="002460CF" w:rsidRDefault="002460CF" w:rsidP="00F8034E">
      <w:pPr>
        <w:sectPr w:rsidR="002460CF" w:rsidRPr="002460CF" w:rsidSect="00B641FE">
          <w:headerReference w:type="default" r:id="rId19"/>
          <w:pgSz w:w="16838" w:h="11906" w:orient="landscape" w:code="9"/>
          <w:pgMar w:top="1701" w:right="1701" w:bottom="1701" w:left="1701" w:header="709" w:footer="851" w:gutter="0"/>
          <w:cols w:space="708"/>
          <w:docGrid w:linePitch="360"/>
        </w:sectPr>
      </w:pPr>
      <w:r>
        <w:tab/>
      </w:r>
      <w:r w:rsidR="00F8034E">
        <w:t xml:space="preserve">The risk matrix has been defined in </w:t>
      </w:r>
      <w:r w:rsidR="00F8034E">
        <w:fldChar w:fldCharType="begin"/>
      </w:r>
      <w:r w:rsidR="00F8034E">
        <w:instrText xml:space="preserve"> REF _Ref235095771 \n \h </w:instrText>
      </w:r>
      <w:r w:rsidR="00F8034E">
        <w:fldChar w:fldCharType="separate"/>
      </w:r>
      <w:r w:rsidR="00F8034E">
        <w:t>Appendix A</w:t>
      </w:r>
      <w:r w:rsidR="00F8034E">
        <w:fldChar w:fldCharType="end"/>
      </w:r>
      <w:r w:rsidR="00F8034E">
        <w:t xml:space="preserve"> and a detailed control description is outlined in </w:t>
      </w:r>
      <w:r w:rsidR="00F8034E">
        <w:fldChar w:fldCharType="begin"/>
      </w:r>
      <w:r w:rsidR="00F8034E">
        <w:instrText xml:space="preserve"> REF _Ref235095658 \w \h </w:instrText>
      </w:r>
      <w:r w:rsidR="00F8034E">
        <w:fldChar w:fldCharType="separate"/>
      </w:r>
      <w:r w:rsidR="00F8034E">
        <w:t>Appendix B</w:t>
      </w:r>
      <w:r w:rsidR="00F8034E">
        <w:fldChar w:fldCharType="end"/>
      </w:r>
      <w:r w:rsidR="00F8034E">
        <w:t>.</w:t>
      </w:r>
    </w:p>
    <w:p w14:paraId="286A552A" w14:textId="303A6C95" w:rsidR="00365BEE" w:rsidRDefault="00365BEE" w:rsidP="00365BEE">
      <w:pPr>
        <w:pStyle w:val="Heading1"/>
      </w:pPr>
      <w:bookmarkStart w:id="33" w:name="_Toc235200358"/>
      <w:r>
        <w:lastRenderedPageBreak/>
        <w:t>ALARP Justification</w:t>
      </w:r>
      <w:r w:rsidR="009260ED">
        <w:t xml:space="preserve"> -</w:t>
      </w:r>
      <w:r>
        <w:t xml:space="preserve"> </w:t>
      </w:r>
      <w:r w:rsidR="000E22A4">
        <w:t>M</w:t>
      </w:r>
      <w:r w:rsidR="00335DE9">
        <w:t>isfire</w:t>
      </w:r>
      <w:bookmarkEnd w:id="33"/>
      <w:r w:rsidR="00335DE9">
        <w:t xml:space="preserve"> </w:t>
      </w:r>
    </w:p>
    <w:p w14:paraId="6A038DED" w14:textId="3F9F6CC2" w:rsidR="00335DE9" w:rsidRPr="00335DE9" w:rsidRDefault="00335DE9" w:rsidP="00335DE9">
      <w:r>
        <w:t>A misfire</w:t>
      </w:r>
      <w:r w:rsidR="00A52A70">
        <w:t xml:space="preserve"> </w:t>
      </w:r>
      <w:r w:rsidR="00C10445">
        <w:t>is the sudden or complete failure of the system's ammunition to ignite after the trigger is pulled and the firing pin strikes</w:t>
      </w:r>
      <w:r w:rsidR="00AA10FC">
        <w:t xml:space="preserve"> the primer [</w:t>
      </w:r>
      <w:r w:rsidR="00A52A70">
        <w:t>8].</w:t>
      </w:r>
      <w:r w:rsidR="00EC35E7">
        <w:t xml:space="preserve"> </w:t>
      </w:r>
      <w:r w:rsidR="00270DCC">
        <w:t xml:space="preserve">The AK-47 rifle contains </w:t>
      </w:r>
      <w:r w:rsidR="00555AF7">
        <w:t>energetic components</w:t>
      </w:r>
      <w:r w:rsidR="009A44C5">
        <w:t>, and a misfire is a hazard that cannot be ruled out given</w:t>
      </w:r>
      <w:r w:rsidR="007210D5">
        <w:t xml:space="preserve"> the nature of th</w:t>
      </w:r>
      <w:r w:rsidR="004A105C">
        <w:t>e system.</w:t>
      </w:r>
    </w:p>
    <w:p w14:paraId="07F554A0" w14:textId="77777777" w:rsidR="00A341B2" w:rsidRDefault="00A341B2">
      <w:pPr>
        <w:rPr>
          <w:kern w:val="2"/>
          <w:lang w:eastAsia="en-GB"/>
          <w14:ligatures w14:val="standardContextual"/>
        </w:rPr>
      </w:pPr>
      <w:r>
        <w:t xml:space="preserve">Some of the causes highlighted in </w:t>
      </w:r>
      <w:r>
        <w:rPr>
          <w:b/>
          <w:bCs/>
        </w:rPr>
        <w:t>Table 1</w:t>
      </w:r>
      <w:r>
        <w:t xml:space="preserve"> include a worn firing pin, faulty ammunition, excess particulate ingress, lack of cleaning procedure and exceedance of operating temperature limits. These causes demonstrate the inherent variability of energetic materials, the influence of environmental exposure and the mechanical tolerances of the weapon system.</w:t>
      </w:r>
    </w:p>
    <w:p w14:paraId="58589C74" w14:textId="3DEC1618" w:rsidR="00974D62" w:rsidRPr="00974D62" w:rsidRDefault="00974D62" w:rsidP="00974D62">
      <w:r w:rsidRPr="00974D62">
        <w:t>Misfire failure mechanisms</w:t>
      </w:r>
      <w:r w:rsidR="00EF3B24">
        <w:t xml:space="preserve"> discussed</w:t>
      </w:r>
      <w:r w:rsidRPr="00974D62">
        <w:t xml:space="preserve"> include:</w:t>
      </w:r>
    </w:p>
    <w:p w14:paraId="5A7704C0" w14:textId="77777777" w:rsidR="00974D62" w:rsidRPr="00EF3B24" w:rsidRDefault="00974D62" w:rsidP="00974D62">
      <w:pPr>
        <w:numPr>
          <w:ilvl w:val="0"/>
          <w:numId w:val="13"/>
        </w:numPr>
      </w:pPr>
      <w:r w:rsidRPr="00EF3B24">
        <w:t>Mechanical degradation (worn firing pins, weak hammer springs, fouling).</w:t>
      </w:r>
    </w:p>
    <w:p w14:paraId="22FE2832" w14:textId="77777777" w:rsidR="00974D62" w:rsidRPr="00EF3B24" w:rsidRDefault="00974D62" w:rsidP="00974D62">
      <w:pPr>
        <w:numPr>
          <w:ilvl w:val="0"/>
          <w:numId w:val="13"/>
        </w:numPr>
      </w:pPr>
      <w:r w:rsidRPr="00EF3B24">
        <w:t>Ammunition variability (primer hardness, corrosion, propellant degradation).</w:t>
      </w:r>
    </w:p>
    <w:p w14:paraId="0B58D5F7" w14:textId="77777777" w:rsidR="00974D62" w:rsidRPr="00EF3B24" w:rsidRDefault="00974D62" w:rsidP="00974D62">
      <w:pPr>
        <w:numPr>
          <w:ilvl w:val="0"/>
          <w:numId w:val="13"/>
        </w:numPr>
      </w:pPr>
      <w:r w:rsidRPr="00EF3B24">
        <w:t>Environmental conditions (temperature extremes, humidity, particulate ingress).</w:t>
      </w:r>
    </w:p>
    <w:p w14:paraId="3B45BE06" w14:textId="53897E8A" w:rsidR="00EF3B24" w:rsidRPr="00EF3B24" w:rsidRDefault="00974D62" w:rsidP="000541B6">
      <w:pPr>
        <w:numPr>
          <w:ilvl w:val="0"/>
          <w:numId w:val="13"/>
        </w:numPr>
      </w:pPr>
      <w:r w:rsidRPr="00EF3B24">
        <w:t>Human factors (incorrect loading, poor maintenance discipline, improper stoppage drills)</w:t>
      </w:r>
      <w:r w:rsidR="00EF3B24">
        <w:t>.</w:t>
      </w:r>
    </w:p>
    <w:p w14:paraId="48E0BD4F" w14:textId="290893A1" w:rsidR="00974D62" w:rsidRPr="00974D62" w:rsidRDefault="00974D62" w:rsidP="00EF3B24">
      <w:pPr>
        <w:pStyle w:val="Heading2"/>
      </w:pPr>
      <w:r w:rsidRPr="00974D62">
        <w:t xml:space="preserve"> </w:t>
      </w:r>
      <w:bookmarkStart w:id="34" w:name="_Toc235200359"/>
      <w:r w:rsidRPr="00974D62">
        <w:t>Consequences</w:t>
      </w:r>
      <w:bookmarkEnd w:id="34"/>
    </w:p>
    <w:p w14:paraId="46B61FBF" w14:textId="77777777" w:rsidR="00A341B2" w:rsidRDefault="00A341B2">
      <w:pPr>
        <w:rPr>
          <w:kern w:val="2"/>
          <w:lang w:eastAsia="en-GB"/>
          <w14:ligatures w14:val="standardContextual"/>
        </w:rPr>
      </w:pPr>
      <w:r>
        <w:t>Although a misfire is not immediately harmful in itself, its escalation pathways are severe because it can develop into a hang fire, cook-off or unintended discharge. If a misfire escalates into breech failure, the potential consequences include blast and fragmentation injuries. These escalation pathways justify the initial catastrophic severity rating.</w:t>
      </w:r>
    </w:p>
    <w:p w14:paraId="004EF79B" w14:textId="5AFA051E" w:rsidR="00A341B2" w:rsidRDefault="00A341B2">
      <w:pPr>
        <w:rPr>
          <w:kern w:val="2"/>
          <w:lang w:eastAsia="en-GB"/>
          <w14:ligatures w14:val="standardContextual"/>
        </w:rPr>
      </w:pPr>
      <w:r>
        <w:t>Misfires are a credible concern, although they are not expected to be frequent in well-maintained AK-pattern rifles using approved ammunition. The initial likelihood rating reflects the uncertainty associated with misfire rates for 7.62×39 mm ammunition</w:t>
      </w:r>
      <w:r w:rsidR="007D0985">
        <w:t xml:space="preserve"> [32]</w:t>
      </w:r>
      <w:r>
        <w:t xml:space="preserve">, environmental susceptibility and mechanical tolerances. It </w:t>
      </w:r>
      <w:r>
        <w:lastRenderedPageBreak/>
        <w:t>has been reported that there is a “large variation in manufacturing standards for both ammunition and the rifle” [32], which may introduce variation in performance and safety. The initial severity is assessed as catastrophic because escalation could result in fatal injury. On this basis, the combination of credible likelihood and catastrophic severity results in an initial Class A intolerable risk.</w:t>
      </w:r>
    </w:p>
    <w:p w14:paraId="312426D0" w14:textId="0D633D2C" w:rsidR="0060782A" w:rsidRDefault="0060782A" w:rsidP="0060782A">
      <w:pPr>
        <w:pStyle w:val="Heading2"/>
      </w:pPr>
      <w:bookmarkStart w:id="35" w:name="_Toc235200360"/>
      <w:r>
        <w:t>Controls and justification</w:t>
      </w:r>
      <w:bookmarkEnd w:id="35"/>
      <w:r>
        <w:t xml:space="preserve"> </w:t>
      </w:r>
    </w:p>
    <w:p w14:paraId="1F277627" w14:textId="77777777" w:rsidR="00A341B2" w:rsidRDefault="00A341B2">
      <w:pPr>
        <w:rPr>
          <w:kern w:val="2"/>
          <w:lang w:eastAsia="en-GB"/>
          <w14:ligatures w14:val="standardContextual"/>
        </w:rPr>
      </w:pPr>
      <w:r>
        <w:t>The controls adopt legislative requirements and recognised good practice and were selected because they provide significant risk reduction, target credible causes and align with mandatory safety doctrine. The primary control is the misfire procedure, which requires the operator to maintain the weapon pointed down range, wait for a prescribed period and clear the weapon using rehearsed drills [1,12]. This control reduces the likelihood of escalation into hang-fire-related injury or unintended discharge. It is low cost, practical to implement and highly effective when supported by training and supervision.</w:t>
      </w:r>
    </w:p>
    <w:p w14:paraId="1336F5CF" w14:textId="77777777" w:rsidR="00A341B2" w:rsidRDefault="00A341B2">
      <w:pPr>
        <w:rPr>
          <w:kern w:val="2"/>
          <w:lang w:eastAsia="en-GB"/>
          <w14:ligatures w14:val="standardContextual"/>
        </w:rPr>
      </w:pPr>
      <w:r>
        <w:t>Operator training should be assessed annually and aligned with the relevant training publications to ensure that personnel understand misfire behaviour, stoppage drills and safe weapon-handling protocols [33]. Training reduces procedural error and is proportionate to the level of risk because it directly addresses the human-factor causes identified in the risk assessment. The correct procedures are outlined in Pamphlet 21 [34] and the DCC training publication [33], which support consistent weapon orientation and clearance behaviour during misfire events.</w:t>
      </w:r>
    </w:p>
    <w:p w14:paraId="6168CCC0" w14:textId="77777777" w:rsidR="009260ED" w:rsidRDefault="009260ED">
      <w:pPr>
        <w:rPr>
          <w:kern w:val="2"/>
          <w:lang w:eastAsia="en-GB"/>
          <w14:ligatures w14:val="standardContextual"/>
        </w:rPr>
      </w:pPr>
      <w:r>
        <w:t>Cleaning and lubrication procedures provide a further reasonably practicable control by reducing fouling, contamination and friction-related degradation that may contribute to misfires. Although the AK</w:t>
      </w:r>
      <w:r>
        <w:noBreakHyphen/>
        <w:t>47 is generally regarded as tolerant of adverse conditions, this does not remove the need for disciplined maintenance. The use of approved cleaning materials and lubricants also supports compliance with COSHH requirements and prevents the introduction of unsuitable substances that could degrade components or ammunition. This control is therefore proportionate because it is low cost, already embedded within normal maintenance routines, and provides a credible reduction in misfire likelihood.</w:t>
      </w:r>
    </w:p>
    <w:p w14:paraId="51935709" w14:textId="77777777" w:rsidR="009260ED" w:rsidRDefault="009260ED">
      <w:pPr>
        <w:rPr>
          <w:kern w:val="2"/>
          <w:lang w:eastAsia="en-GB"/>
          <w14:ligatures w14:val="standardContextual"/>
        </w:rPr>
      </w:pPr>
      <w:r>
        <w:lastRenderedPageBreak/>
        <w:t>Pre-use examination of the weapon system is also necessary to demonstrate that the risk has been reduced so far as is reasonably practicable. Examination by suitably trained personnel allows visible or functional defects, such as worn firing pins, weakened springs, corrosion, contamination or other mechanical contributors, to be identified before use. This aligns with the principle that work equipment should be maintained in a safe condition and only used when fit for purpose. The control is proportionate because it requires limited additional time but provides a direct barrier against foreseeable mechanical causes of misfire.</w:t>
      </w:r>
    </w:p>
    <w:p w14:paraId="3D0D115C" w14:textId="69B8A219" w:rsidR="009260ED" w:rsidRDefault="009260ED">
      <w:pPr>
        <w:rPr>
          <w:kern w:val="2"/>
          <w:lang w:eastAsia="en-GB"/>
          <w14:ligatures w14:val="standardContextual"/>
        </w:rPr>
      </w:pPr>
      <w:r>
        <w:t xml:space="preserve">Ammunition inspection further reduces the likelihood of a misfire by preventing the use of rounds that are visibly damaged, corroded, dented, contaminated or otherwise suspect. As ammunition condition is a credible contributor to misfire, visual inspection and segregation of suspect rounds provides a targeted control against one of the main root causes identified in the risk assessment. The use of approved ammunition and approved equipment also ensures compatibility with the weapon system and reduces the potential for incorrect or unsuitable ammunition to be introduced. These measures are justified because they are routine, </w:t>
      </w:r>
      <w:r w:rsidR="003F764C">
        <w:t>low-burden</w:t>
      </w:r>
      <w:r>
        <w:t xml:space="preserve"> controls that provide a meaningful reduction in likelihood.</w:t>
      </w:r>
    </w:p>
    <w:p w14:paraId="3574BD5D" w14:textId="7C355C1E" w:rsidR="009260ED" w:rsidRDefault="009260ED">
      <w:pPr>
        <w:rPr>
          <w:kern w:val="2"/>
          <w:lang w:eastAsia="en-GB"/>
          <w14:ligatures w14:val="standardContextual"/>
        </w:rPr>
      </w:pPr>
      <w:r>
        <w:t>Environmental controls are relevant because temperature extremes, moisture, corrosion and particulate ingress can affect both the weapon mechanism and ammunition performance. Operating the system within defined climatic limits and applying appropriate storage and handling arrangements reduces the probability of temperature-induced degradation, contamination and misfire. This is a reasonably practicable measure because it does not require redesign of the system; instead, it relies on planning, supervision and adherence to existing operating limits.</w:t>
      </w:r>
    </w:p>
    <w:p w14:paraId="21DD11F5" w14:textId="77777777" w:rsidR="00A341B2" w:rsidRDefault="00A341B2" w:rsidP="00A341B2">
      <w:pPr>
        <w:pStyle w:val="Heading4"/>
        <w:spacing w:before="240"/>
        <w:rPr>
          <w:kern w:val="2"/>
          <w:sz w:val="28"/>
          <w:lang w:eastAsia="en-GB"/>
          <w14:ligatures w14:val="standardContextual"/>
        </w:rPr>
      </w:pPr>
      <w:r>
        <w:t>3.3 Reasonable practicability assessment</w:t>
      </w:r>
    </w:p>
    <w:p w14:paraId="4AB76DD0" w14:textId="77777777" w:rsidR="009260ED" w:rsidRDefault="009260ED">
      <w:pPr>
        <w:rPr>
          <w:kern w:val="2"/>
          <w:lang w:eastAsia="en-GB"/>
          <w14:ligatures w14:val="standardContextual"/>
        </w:rPr>
      </w:pPr>
      <w:r>
        <w:t xml:space="preserve">The selected controls have been assessed using the ALARP principle and the test of reasonable practicability, considering the balance between risk reduction and the time, trouble and cost required to implement each measure. Controls such as training, cleaning, inspection, ammunition checks, approved equipment, range safety procedures and misfire drills are high-benefit and low-cost </w:t>
      </w:r>
      <w:r>
        <w:lastRenderedPageBreak/>
        <w:t>measures. They are already consistent with normal safe systems of work and therefore cannot reasonably be omitted.</w:t>
      </w:r>
    </w:p>
    <w:p w14:paraId="0992903B" w14:textId="77777777" w:rsidR="009260ED" w:rsidRDefault="009260ED">
      <w:pPr>
        <w:rPr>
          <w:kern w:val="2"/>
          <w:lang w:eastAsia="en-GB"/>
          <w14:ligatures w14:val="standardContextual"/>
        </w:rPr>
      </w:pPr>
      <w:r>
        <w:t>Mandatory controls, including compliance with relevant safety publications, equipment maintenance requirements, ammunition control arrangements and range procedures, are required irrespective of cost because they represent established legal, organisational or industry good practice. The remaining controls target the identified root causes of misfire, including mechanical degradation, ammunition variability, environmental exposure and human error. On this basis, the control set is proportionate to the severity of the hazard and provides a defensible reduction in risk.</w:t>
      </w:r>
    </w:p>
    <w:p w14:paraId="2DEAD15F" w14:textId="77777777" w:rsidR="00A341B2" w:rsidRDefault="00A341B2" w:rsidP="00A341B2">
      <w:pPr>
        <w:pStyle w:val="Heading4"/>
        <w:spacing w:before="240"/>
        <w:rPr>
          <w:kern w:val="2"/>
          <w:sz w:val="28"/>
          <w:lang w:eastAsia="en-GB"/>
          <w14:ligatures w14:val="standardContextual"/>
        </w:rPr>
      </w:pPr>
      <w:r>
        <w:t>3.4 Controls considered but not adopted</w:t>
      </w:r>
    </w:p>
    <w:p w14:paraId="56F96497" w14:textId="77777777" w:rsidR="009260ED" w:rsidRDefault="009260ED">
      <w:pPr>
        <w:rPr>
          <w:kern w:val="2"/>
          <w:lang w:eastAsia="en-GB"/>
          <w14:ligatures w14:val="standardContextual"/>
        </w:rPr>
      </w:pPr>
      <w:r>
        <w:t>As part of the ALARP demonstration, further risk reduction options were considered. Replacement of standard or surplus ammunition with match-grade ammunition could reduce ammunition-related misfires; however, the additional cost is unlikely to be justified for routine training where approved ammunition, inspection and misfire procedures already provide effective control. Similarly, replacing the AK</w:t>
      </w:r>
      <w:r>
        <w:noBreakHyphen/>
        <w:t>47 platform with an electronic-ignition rifle could remove some primer-related failure modes, but this would introduce significant cost, logistic burden, retraining requirements and system integration issues. For the assessed activity, this would be grossly disproportionate to the additional risk reduction achieved.</w:t>
      </w:r>
    </w:p>
    <w:p w14:paraId="4F51BD09" w14:textId="77777777" w:rsidR="009260ED" w:rsidRDefault="009260ED">
      <w:pPr>
        <w:rPr>
          <w:kern w:val="2"/>
          <w:lang w:eastAsia="en-GB"/>
          <w14:ligatures w14:val="standardContextual"/>
        </w:rPr>
      </w:pPr>
      <w:r>
        <w:t>Other potential controls, such as chamber temperature monitoring sensors, mandatory barrel cooling devices and destructive testing of ammunition lots before every range session, were also considered. These measures may offer some additional assurance but would introduce complexity, calibration requirements, equipment burden, cost and disruption to normal training. The existing controls already address the credible escalation pathways through safe orientation, waiting periods, clearance drills, approved ammunition, inspection and supervision. Therefore, these additional measures are not considered reasonably practicable for the defined scope.</w:t>
      </w:r>
    </w:p>
    <w:p w14:paraId="6B2DB3CE" w14:textId="77777777" w:rsidR="00A341B2" w:rsidRDefault="00A341B2" w:rsidP="00A341B2">
      <w:pPr>
        <w:pStyle w:val="Heading4"/>
        <w:spacing w:before="240"/>
        <w:rPr>
          <w:kern w:val="2"/>
          <w:sz w:val="28"/>
          <w:lang w:eastAsia="en-GB"/>
          <w14:ligatures w14:val="standardContextual"/>
        </w:rPr>
      </w:pPr>
      <w:r>
        <w:lastRenderedPageBreak/>
        <w:t>3.5 Residual risk and ALARP decision</w:t>
      </w:r>
    </w:p>
    <w:p w14:paraId="0F2FDC88" w14:textId="77777777" w:rsidR="00A341B2" w:rsidRDefault="00A341B2">
      <w:pPr>
        <w:rPr>
          <w:kern w:val="2"/>
          <w:lang w:eastAsia="en-GB"/>
          <w14:ligatures w14:val="standardContextual"/>
        </w:rPr>
      </w:pPr>
      <w:r>
        <w:t>Following implementation of the selected controls, the residual likelihood remains credible but is reduced because misfires cannot be fully eliminated from a small-arms system using energetic ammunition. The residual likelihood is therefore assessed as 2, meaning unlikely but credible. The residual severity is assessed as 3 within the controlled scenario because the controls do not remove the inherent energetic hazard, but they reduce the likelihood of escalation to the most severe outcomes. In particular, misfire procedure, safe weapon orientation, supervision, range safety arrangements and controlled clearance drills are intended to prevent a misfire from progressing to fatal injury. The residual risk is therefore reduced from Class A to Class C.</w:t>
      </w:r>
    </w:p>
    <w:p w14:paraId="05A8E826" w14:textId="77777777" w:rsidR="00A341B2" w:rsidRDefault="00A341B2">
      <w:pPr>
        <w:rPr>
          <w:kern w:val="2"/>
          <w:lang w:eastAsia="en-GB"/>
          <w14:ligatures w14:val="standardContextual"/>
        </w:rPr>
      </w:pPr>
      <w:r>
        <w:t>The residual Class C risk is considered tolerable and ALARP because all reasonably practicable procedural, technical, environmental and organisational controls have been applied. The remaining risk is inherent to the use of energetic materials and mechanical initiation systems. Further reduction would require significant redesign, additional cost, increased logistical burden or operational disruption, and these measures would be grossly disproportionate to the additional safety benefit achieved for the defined activity. The activity may therefore proceed only within the defined operating limits and with the identified controls implemented and maintained.</w:t>
      </w:r>
    </w:p>
    <w:p w14:paraId="7CF10BF8" w14:textId="77777777" w:rsidR="00A341B2" w:rsidRDefault="00A341B2" w:rsidP="00A341B2">
      <w:pPr>
        <w:pStyle w:val="Heading4"/>
        <w:spacing w:before="240"/>
        <w:rPr>
          <w:kern w:val="2"/>
          <w:sz w:val="28"/>
          <w:lang w:eastAsia="en-GB"/>
          <w14:ligatures w14:val="standardContextual"/>
        </w:rPr>
      </w:pPr>
      <w:r>
        <w:t>3.6 Maintaining ALARP status</w:t>
      </w:r>
    </w:p>
    <w:p w14:paraId="305C72EF" w14:textId="77777777" w:rsidR="009260ED" w:rsidRDefault="009260ED">
      <w:pPr>
        <w:rPr>
          <w:kern w:val="2"/>
          <w:lang w:eastAsia="en-GB"/>
          <w14:ligatures w14:val="standardContextual"/>
        </w:rPr>
      </w:pPr>
      <w:r>
        <w:t>ALARP status should be maintained through periodic review of misfire incidents, fault reports, training outcomes, ammunition defects and changes to operating conditions. Lessons identified from incident reporting should be incorporated into training, maintenance and range procedures. Emerging technologies, such as improved ammunition quality control, chamber monitoring or alternative ignition systems, should be reviewed if they become technically mature and proportionate to the risk.</w:t>
      </w:r>
    </w:p>
    <w:p w14:paraId="70E6C2DE" w14:textId="77777777" w:rsidR="00A341B2" w:rsidRDefault="00A341B2">
      <w:pPr>
        <w:rPr>
          <w:kern w:val="2"/>
          <w:lang w:eastAsia="en-GB"/>
          <w14:ligatures w14:val="standardContextual"/>
        </w:rPr>
      </w:pPr>
      <w:r>
        <w:t xml:space="preserve">In conclusion, misfire is an inherent hazard of small-arms systems containing energetic materials. Through the application of training, approved procedures, </w:t>
      </w:r>
      <w:r>
        <w:lastRenderedPageBreak/>
        <w:t>equipment inspection, ammunition inspection, cleaning, environmental controls, range supervision and fault reporting, the risk has been reduced from Class A, intolerable, to Class C, tolerable and ALARP. The rejected controls have been considered and found to be disproportionate for the defined scope. The activity may be considered tolerable within the stated operating limits, provided that the controls remain implemented, effective and subject to continuing review.</w:t>
      </w:r>
    </w:p>
    <w:p w14:paraId="382C4837" w14:textId="77777777" w:rsidR="002331EE" w:rsidRDefault="002331EE" w:rsidP="002331EE"/>
    <w:p w14:paraId="4B6FD3FB" w14:textId="77777777" w:rsidR="00974D62" w:rsidRDefault="00974D62" w:rsidP="002331EE"/>
    <w:p w14:paraId="321C0CC8" w14:textId="77777777" w:rsidR="00974D62" w:rsidRDefault="00974D62" w:rsidP="002331EE"/>
    <w:p w14:paraId="11BE9424" w14:textId="77777777" w:rsidR="00974D62" w:rsidRDefault="00974D62" w:rsidP="002331EE"/>
    <w:p w14:paraId="50936DDE" w14:textId="77777777" w:rsidR="00974D62" w:rsidRDefault="00974D62" w:rsidP="002331EE"/>
    <w:p w14:paraId="17262319" w14:textId="77777777" w:rsidR="00974D62" w:rsidRDefault="00974D62" w:rsidP="002331EE"/>
    <w:p w14:paraId="411065D4" w14:textId="77777777" w:rsidR="00974D62" w:rsidRDefault="00974D62" w:rsidP="002331EE"/>
    <w:p w14:paraId="5892997E" w14:textId="77777777" w:rsidR="00974D62" w:rsidRDefault="00974D62" w:rsidP="002331EE"/>
    <w:p w14:paraId="6DB16E54" w14:textId="77777777" w:rsidR="00974D62" w:rsidRDefault="00974D62" w:rsidP="002331EE"/>
    <w:p w14:paraId="1FEEBB30" w14:textId="77777777" w:rsidR="00974D62" w:rsidRDefault="00974D62" w:rsidP="002331EE"/>
    <w:p w14:paraId="696990E6" w14:textId="77777777" w:rsidR="00974D62" w:rsidRDefault="00974D62" w:rsidP="002331EE"/>
    <w:p w14:paraId="38814F65" w14:textId="77777777" w:rsidR="00974D62" w:rsidRDefault="00974D62" w:rsidP="002331EE"/>
    <w:p w14:paraId="4AB1DB73" w14:textId="77777777" w:rsidR="00974D62" w:rsidRDefault="00974D62" w:rsidP="002331EE"/>
    <w:p w14:paraId="62BEBD25" w14:textId="77777777" w:rsidR="00974D62" w:rsidRDefault="00974D62" w:rsidP="002331EE"/>
    <w:p w14:paraId="1EDAD97E" w14:textId="77777777" w:rsidR="00974D62" w:rsidRDefault="00974D62" w:rsidP="002331EE"/>
    <w:p w14:paraId="65B82B75" w14:textId="77777777" w:rsidR="00974D62" w:rsidRDefault="00974D62" w:rsidP="002331EE"/>
    <w:p w14:paraId="5EE416E1" w14:textId="77777777" w:rsidR="00974D62" w:rsidRDefault="00974D62" w:rsidP="002331EE"/>
    <w:p w14:paraId="4EC7B604" w14:textId="77777777" w:rsidR="00974D62" w:rsidRDefault="00974D62" w:rsidP="002331EE"/>
    <w:p w14:paraId="1535B131" w14:textId="4C1AE1A0" w:rsidR="006161B2" w:rsidRPr="006161B2" w:rsidRDefault="00A341B2" w:rsidP="001A40B1">
      <w:pPr>
        <w:pStyle w:val="Heading1"/>
        <w:ind w:left="-284"/>
      </w:pPr>
      <w:bookmarkStart w:id="36" w:name="_Toc235200361"/>
      <w:r>
        <w:lastRenderedPageBreak/>
        <w:t>References</w:t>
      </w:r>
      <w:bookmarkEnd w:id="36"/>
      <w:r>
        <w:t xml:space="preserve"> </w:t>
      </w:r>
    </w:p>
    <w:tbl>
      <w:tblPr>
        <w:tblW w:w="6501" w:type="pct"/>
        <w:tblInd w:w="-1418" w:type="dxa"/>
        <w:tblLayout w:type="fixed"/>
        <w:tblCellMar>
          <w:top w:w="15" w:type="dxa"/>
          <w:left w:w="15" w:type="dxa"/>
          <w:bottom w:w="15" w:type="dxa"/>
          <w:right w:w="15" w:type="dxa"/>
        </w:tblCellMar>
        <w:tblLook w:val="04A0" w:firstRow="1" w:lastRow="0" w:firstColumn="1" w:lastColumn="0" w:noHBand="0" w:noVBand="1"/>
      </w:tblPr>
      <w:tblGrid>
        <w:gridCol w:w="489"/>
        <w:gridCol w:w="10568"/>
      </w:tblGrid>
      <w:tr w:rsidR="006161B2" w:rsidRPr="001A40B1" w14:paraId="103C1A2E" w14:textId="77777777" w:rsidTr="001A40B1">
        <w:tc>
          <w:tcPr>
            <w:tcW w:w="489" w:type="dxa"/>
            <w:noWrap/>
            <w:tcMar>
              <w:top w:w="0" w:type="dxa"/>
              <w:left w:w="0" w:type="dxa"/>
              <w:bottom w:w="0" w:type="dxa"/>
              <w:right w:w="0" w:type="dxa"/>
            </w:tcMar>
            <w:hideMark/>
          </w:tcPr>
          <w:p w14:paraId="47DB6B15" w14:textId="77777777" w:rsidR="006161B2" w:rsidRPr="001A40B1" w:rsidRDefault="006161B2" w:rsidP="001A40B1">
            <w:pPr>
              <w:jc w:val="left"/>
              <w:rPr>
                <w:rFonts w:cs="Arial"/>
                <w:sz w:val="20"/>
                <w:szCs w:val="20"/>
              </w:rPr>
            </w:pPr>
            <w:r w:rsidRPr="001A40B1">
              <w:rPr>
                <w:rFonts w:cs="Arial"/>
                <w:sz w:val="20"/>
                <w:szCs w:val="20"/>
              </w:rPr>
              <w:t>[1]</w:t>
            </w:r>
          </w:p>
        </w:tc>
        <w:tc>
          <w:tcPr>
            <w:tcW w:w="10568" w:type="dxa"/>
            <w:tcMar>
              <w:top w:w="0" w:type="dxa"/>
              <w:left w:w="0" w:type="dxa"/>
              <w:bottom w:w="0" w:type="dxa"/>
              <w:right w:w="0" w:type="dxa"/>
            </w:tcMar>
            <w:hideMark/>
          </w:tcPr>
          <w:p w14:paraId="47A7ED01" w14:textId="77777777" w:rsidR="006161B2" w:rsidRPr="001A40B1" w:rsidRDefault="006161B2" w:rsidP="001A40B1">
            <w:pPr>
              <w:jc w:val="left"/>
              <w:rPr>
                <w:rFonts w:cs="Arial"/>
                <w:sz w:val="20"/>
                <w:szCs w:val="20"/>
              </w:rPr>
            </w:pPr>
            <w:r w:rsidRPr="001A40B1">
              <w:rPr>
                <w:rFonts w:cs="Arial"/>
                <w:sz w:val="20"/>
                <w:szCs w:val="20"/>
              </w:rPr>
              <w:t>D. Army, “AK</w:t>
            </w:r>
            <w:r w:rsidRPr="001A40B1">
              <w:rPr>
                <w:rFonts w:cs="Arial"/>
                <w:sz w:val="20"/>
                <w:szCs w:val="20"/>
              </w:rPr>
              <w:noBreakHyphen/>
              <w:t xml:space="preserve">47 Operator Manual,” </w:t>
            </w:r>
            <w:r w:rsidRPr="001A40B1">
              <w:rPr>
                <w:rFonts w:cs="Arial"/>
                <w:i/>
                <w:iCs/>
                <w:sz w:val="20"/>
                <w:szCs w:val="20"/>
              </w:rPr>
              <w:t>Archive.org</w:t>
            </w:r>
            <w:r w:rsidRPr="001A40B1">
              <w:rPr>
                <w:rFonts w:cs="Arial"/>
                <w:sz w:val="20"/>
                <w:szCs w:val="20"/>
              </w:rPr>
              <w:t>. https://dn760109.eu.archive.org/0/items/AK47USArmyOperatorManual/AK47USArmyOperatorManual_text.pdf (accessed June 24, 2026).</w:t>
            </w:r>
          </w:p>
        </w:tc>
      </w:tr>
      <w:tr w:rsidR="006161B2" w:rsidRPr="001A40B1" w14:paraId="7BC66C66" w14:textId="77777777" w:rsidTr="001A40B1">
        <w:tc>
          <w:tcPr>
            <w:tcW w:w="489" w:type="dxa"/>
            <w:noWrap/>
            <w:tcMar>
              <w:top w:w="0" w:type="dxa"/>
              <w:left w:w="0" w:type="dxa"/>
              <w:bottom w:w="0" w:type="dxa"/>
              <w:right w:w="0" w:type="dxa"/>
            </w:tcMar>
            <w:hideMark/>
          </w:tcPr>
          <w:p w14:paraId="6CC50FE1" w14:textId="77777777" w:rsidR="006161B2" w:rsidRPr="001A40B1" w:rsidRDefault="006161B2" w:rsidP="001A40B1">
            <w:pPr>
              <w:jc w:val="left"/>
              <w:rPr>
                <w:rFonts w:cs="Arial"/>
                <w:sz w:val="20"/>
                <w:szCs w:val="20"/>
              </w:rPr>
            </w:pPr>
            <w:r w:rsidRPr="001A40B1">
              <w:rPr>
                <w:rFonts w:cs="Arial"/>
                <w:sz w:val="20"/>
                <w:szCs w:val="20"/>
              </w:rPr>
              <w:t>[2]</w:t>
            </w:r>
          </w:p>
        </w:tc>
        <w:tc>
          <w:tcPr>
            <w:tcW w:w="10568" w:type="dxa"/>
            <w:tcMar>
              <w:top w:w="0" w:type="dxa"/>
              <w:left w:w="0" w:type="dxa"/>
              <w:bottom w:w="0" w:type="dxa"/>
              <w:right w:w="0" w:type="dxa"/>
            </w:tcMar>
            <w:hideMark/>
          </w:tcPr>
          <w:p w14:paraId="5EFF1B47" w14:textId="77777777" w:rsidR="006161B2" w:rsidRPr="001A40B1" w:rsidRDefault="006161B2" w:rsidP="001A40B1">
            <w:pPr>
              <w:jc w:val="left"/>
              <w:rPr>
                <w:rFonts w:cs="Arial"/>
                <w:sz w:val="20"/>
                <w:szCs w:val="20"/>
              </w:rPr>
            </w:pPr>
            <w:r w:rsidRPr="001A40B1">
              <w:rPr>
                <w:rFonts w:cs="Arial"/>
                <w:sz w:val="20"/>
                <w:szCs w:val="20"/>
              </w:rPr>
              <w:t xml:space="preserve">M. Hodges, </w:t>
            </w:r>
            <w:r w:rsidRPr="001A40B1">
              <w:rPr>
                <w:rFonts w:cs="Arial"/>
                <w:i/>
                <w:iCs/>
                <w:sz w:val="20"/>
                <w:szCs w:val="20"/>
              </w:rPr>
              <w:t>AK47</w:t>
            </w:r>
            <w:r w:rsidRPr="001A40B1">
              <w:rPr>
                <w:rFonts w:cs="Arial"/>
                <w:sz w:val="20"/>
                <w:szCs w:val="20"/>
              </w:rPr>
              <w:t>. London: Hachette UK, 2008. Accessed: June 24, 2026. [Online]. Available: https://books.google.co.uk/books?hl=en&amp;lr=&amp;id=To4HGDnKshMC&amp;oi=fnd&amp;pg=PP6&amp;dq=ak47+misfire+causes&amp;ots=u9HkRYJMtT&amp;sig=8MaZfkCpgF-BDJx9wx617eiAuFw#v=onepage&amp;q=ak47%20misfire%20causes&amp;f=false</w:t>
            </w:r>
          </w:p>
        </w:tc>
      </w:tr>
      <w:tr w:rsidR="006161B2" w:rsidRPr="001A40B1" w14:paraId="64DBE07A" w14:textId="77777777" w:rsidTr="001A40B1">
        <w:tc>
          <w:tcPr>
            <w:tcW w:w="489" w:type="dxa"/>
            <w:noWrap/>
            <w:tcMar>
              <w:top w:w="0" w:type="dxa"/>
              <w:left w:w="0" w:type="dxa"/>
              <w:bottom w:w="0" w:type="dxa"/>
              <w:right w:w="0" w:type="dxa"/>
            </w:tcMar>
            <w:hideMark/>
          </w:tcPr>
          <w:p w14:paraId="06397DB1" w14:textId="77777777" w:rsidR="006161B2" w:rsidRPr="001A40B1" w:rsidRDefault="006161B2" w:rsidP="001A40B1">
            <w:pPr>
              <w:jc w:val="left"/>
              <w:rPr>
                <w:rFonts w:cs="Arial"/>
                <w:sz w:val="20"/>
                <w:szCs w:val="20"/>
              </w:rPr>
            </w:pPr>
            <w:r w:rsidRPr="001A40B1">
              <w:rPr>
                <w:rFonts w:cs="Arial"/>
                <w:sz w:val="20"/>
                <w:szCs w:val="20"/>
              </w:rPr>
              <w:t>[3]</w:t>
            </w:r>
          </w:p>
        </w:tc>
        <w:tc>
          <w:tcPr>
            <w:tcW w:w="10568" w:type="dxa"/>
            <w:tcMar>
              <w:top w:w="0" w:type="dxa"/>
              <w:left w:w="0" w:type="dxa"/>
              <w:bottom w:w="0" w:type="dxa"/>
              <w:right w:w="0" w:type="dxa"/>
            </w:tcMar>
            <w:hideMark/>
          </w:tcPr>
          <w:p w14:paraId="6697B3DC" w14:textId="77777777" w:rsidR="006161B2" w:rsidRPr="001A40B1" w:rsidRDefault="006161B2" w:rsidP="001A40B1">
            <w:pPr>
              <w:jc w:val="left"/>
              <w:rPr>
                <w:rFonts w:cs="Arial"/>
                <w:sz w:val="20"/>
                <w:szCs w:val="20"/>
              </w:rPr>
            </w:pPr>
            <w:r w:rsidRPr="001A40B1">
              <w:rPr>
                <w:rFonts w:cs="Arial"/>
                <w:sz w:val="20"/>
                <w:szCs w:val="20"/>
              </w:rPr>
              <w:t xml:space="preserve">HSE, “HSE - Publications: Managing crowds safely,” </w:t>
            </w:r>
            <w:r w:rsidRPr="001A40B1">
              <w:rPr>
                <w:rFonts w:cs="Arial"/>
                <w:i/>
                <w:iCs/>
                <w:sz w:val="20"/>
                <w:szCs w:val="20"/>
              </w:rPr>
              <w:t>Hse.gov.uk</w:t>
            </w:r>
            <w:r w:rsidRPr="001A40B1">
              <w:rPr>
                <w:rFonts w:cs="Arial"/>
                <w:sz w:val="20"/>
                <w:szCs w:val="20"/>
              </w:rPr>
              <w:t>, 2015. https://www.hse.gov.uk/pubns/indg142.htm (accessed July 01, 2026).</w:t>
            </w:r>
          </w:p>
        </w:tc>
      </w:tr>
      <w:tr w:rsidR="006161B2" w:rsidRPr="001A40B1" w14:paraId="303E144C" w14:textId="77777777" w:rsidTr="001A40B1">
        <w:tc>
          <w:tcPr>
            <w:tcW w:w="489" w:type="dxa"/>
            <w:noWrap/>
            <w:tcMar>
              <w:top w:w="0" w:type="dxa"/>
              <w:left w:w="0" w:type="dxa"/>
              <w:bottom w:w="0" w:type="dxa"/>
              <w:right w:w="0" w:type="dxa"/>
            </w:tcMar>
            <w:hideMark/>
          </w:tcPr>
          <w:p w14:paraId="623F9530" w14:textId="77777777" w:rsidR="006161B2" w:rsidRPr="001A40B1" w:rsidRDefault="006161B2" w:rsidP="001A40B1">
            <w:pPr>
              <w:jc w:val="left"/>
              <w:rPr>
                <w:rFonts w:cs="Arial"/>
                <w:sz w:val="20"/>
                <w:szCs w:val="20"/>
              </w:rPr>
            </w:pPr>
            <w:r w:rsidRPr="001A40B1">
              <w:rPr>
                <w:rFonts w:cs="Arial"/>
                <w:sz w:val="20"/>
                <w:szCs w:val="20"/>
              </w:rPr>
              <w:t>[4]</w:t>
            </w:r>
          </w:p>
        </w:tc>
        <w:tc>
          <w:tcPr>
            <w:tcW w:w="10568" w:type="dxa"/>
            <w:tcMar>
              <w:top w:w="0" w:type="dxa"/>
              <w:left w:w="0" w:type="dxa"/>
              <w:bottom w:w="0" w:type="dxa"/>
              <w:right w:w="0" w:type="dxa"/>
            </w:tcMar>
            <w:hideMark/>
          </w:tcPr>
          <w:p w14:paraId="3C4B4FB8" w14:textId="77777777" w:rsidR="006161B2" w:rsidRPr="001A40B1" w:rsidRDefault="006161B2" w:rsidP="001A40B1">
            <w:pPr>
              <w:jc w:val="left"/>
              <w:rPr>
                <w:rFonts w:cs="Arial"/>
                <w:sz w:val="20"/>
                <w:szCs w:val="20"/>
              </w:rPr>
            </w:pPr>
            <w:r w:rsidRPr="001A40B1">
              <w:rPr>
                <w:rFonts w:cs="Arial"/>
                <w:sz w:val="20"/>
                <w:szCs w:val="20"/>
              </w:rPr>
              <w:t xml:space="preserve">HSE, “Human factors/ergonomics – Introduction to human factors,” </w:t>
            </w:r>
            <w:r w:rsidRPr="001A40B1">
              <w:rPr>
                <w:rFonts w:cs="Arial"/>
                <w:i/>
                <w:iCs/>
                <w:sz w:val="20"/>
                <w:szCs w:val="20"/>
              </w:rPr>
              <w:t>Hse.gov.uk</w:t>
            </w:r>
            <w:r w:rsidRPr="001A40B1">
              <w:rPr>
                <w:rFonts w:cs="Arial"/>
                <w:sz w:val="20"/>
                <w:szCs w:val="20"/>
              </w:rPr>
              <w:t>, 2021. https://www.hse.gov.uk/humanfactors/introduction.htm (accessed July 01, 2026).</w:t>
            </w:r>
          </w:p>
        </w:tc>
      </w:tr>
      <w:tr w:rsidR="006161B2" w:rsidRPr="001A40B1" w14:paraId="2C11F333" w14:textId="77777777" w:rsidTr="001A40B1">
        <w:tc>
          <w:tcPr>
            <w:tcW w:w="489" w:type="dxa"/>
            <w:noWrap/>
            <w:tcMar>
              <w:top w:w="0" w:type="dxa"/>
              <w:left w:w="0" w:type="dxa"/>
              <w:bottom w:w="0" w:type="dxa"/>
              <w:right w:w="0" w:type="dxa"/>
            </w:tcMar>
            <w:hideMark/>
          </w:tcPr>
          <w:p w14:paraId="589D61E7" w14:textId="77777777" w:rsidR="006161B2" w:rsidRPr="001A40B1" w:rsidRDefault="006161B2" w:rsidP="001A40B1">
            <w:pPr>
              <w:jc w:val="left"/>
              <w:rPr>
                <w:rFonts w:cs="Arial"/>
                <w:sz w:val="20"/>
                <w:szCs w:val="20"/>
              </w:rPr>
            </w:pPr>
            <w:r w:rsidRPr="001A40B1">
              <w:rPr>
                <w:rFonts w:cs="Arial"/>
                <w:sz w:val="20"/>
                <w:szCs w:val="20"/>
              </w:rPr>
              <w:t>[5]</w:t>
            </w:r>
          </w:p>
        </w:tc>
        <w:tc>
          <w:tcPr>
            <w:tcW w:w="10568" w:type="dxa"/>
            <w:tcMar>
              <w:top w:w="0" w:type="dxa"/>
              <w:left w:w="0" w:type="dxa"/>
              <w:bottom w:w="0" w:type="dxa"/>
              <w:right w:w="0" w:type="dxa"/>
            </w:tcMar>
            <w:hideMark/>
          </w:tcPr>
          <w:p w14:paraId="28C1C0E6" w14:textId="77777777" w:rsidR="006161B2" w:rsidRPr="001A40B1" w:rsidRDefault="006161B2" w:rsidP="001A40B1">
            <w:pPr>
              <w:jc w:val="left"/>
              <w:rPr>
                <w:rFonts w:cs="Arial"/>
                <w:sz w:val="20"/>
                <w:szCs w:val="20"/>
              </w:rPr>
            </w:pPr>
            <w:r w:rsidRPr="001A40B1">
              <w:rPr>
                <w:rFonts w:cs="Arial"/>
                <w:sz w:val="20"/>
                <w:szCs w:val="20"/>
              </w:rPr>
              <w:t xml:space="preserve">UK Government, “Health and Safety at Work etc. Act 1974,” </w:t>
            </w:r>
            <w:r w:rsidRPr="001A40B1">
              <w:rPr>
                <w:rFonts w:cs="Arial"/>
                <w:i/>
                <w:iCs/>
                <w:sz w:val="20"/>
                <w:szCs w:val="20"/>
              </w:rPr>
              <w:t>Legislation.gov.uk</w:t>
            </w:r>
            <w:r w:rsidRPr="001A40B1">
              <w:rPr>
                <w:rFonts w:cs="Arial"/>
                <w:sz w:val="20"/>
                <w:szCs w:val="20"/>
              </w:rPr>
              <w:t>, Oct. 01, 2014. https://www.legislation.gov.uk/ukpga/1974/37/section/2 (accessed July 01, 2026).</w:t>
            </w:r>
          </w:p>
        </w:tc>
      </w:tr>
      <w:tr w:rsidR="006161B2" w:rsidRPr="001A40B1" w14:paraId="313B38DC" w14:textId="77777777" w:rsidTr="001A40B1">
        <w:tc>
          <w:tcPr>
            <w:tcW w:w="489" w:type="dxa"/>
            <w:noWrap/>
            <w:tcMar>
              <w:top w:w="0" w:type="dxa"/>
              <w:left w:w="0" w:type="dxa"/>
              <w:bottom w:w="0" w:type="dxa"/>
              <w:right w:w="0" w:type="dxa"/>
            </w:tcMar>
            <w:hideMark/>
          </w:tcPr>
          <w:p w14:paraId="47ABB57B" w14:textId="77777777" w:rsidR="006161B2" w:rsidRPr="001A40B1" w:rsidRDefault="006161B2" w:rsidP="001A40B1">
            <w:pPr>
              <w:jc w:val="left"/>
              <w:rPr>
                <w:rFonts w:cs="Arial"/>
                <w:sz w:val="20"/>
                <w:szCs w:val="20"/>
              </w:rPr>
            </w:pPr>
            <w:r w:rsidRPr="001A40B1">
              <w:rPr>
                <w:rFonts w:cs="Arial"/>
                <w:sz w:val="20"/>
                <w:szCs w:val="20"/>
              </w:rPr>
              <w:t>[6]</w:t>
            </w:r>
          </w:p>
        </w:tc>
        <w:tc>
          <w:tcPr>
            <w:tcW w:w="10568" w:type="dxa"/>
            <w:tcMar>
              <w:top w:w="0" w:type="dxa"/>
              <w:left w:w="0" w:type="dxa"/>
              <w:bottom w:w="0" w:type="dxa"/>
              <w:right w:w="0" w:type="dxa"/>
            </w:tcMar>
            <w:hideMark/>
          </w:tcPr>
          <w:p w14:paraId="215E143D" w14:textId="77777777" w:rsidR="006161B2" w:rsidRPr="001A40B1" w:rsidRDefault="006161B2" w:rsidP="001A40B1">
            <w:pPr>
              <w:jc w:val="left"/>
              <w:rPr>
                <w:rFonts w:cs="Arial"/>
                <w:sz w:val="20"/>
                <w:szCs w:val="20"/>
              </w:rPr>
            </w:pPr>
            <w:r w:rsidRPr="001A40B1">
              <w:rPr>
                <w:rFonts w:cs="Arial"/>
                <w:sz w:val="20"/>
                <w:szCs w:val="20"/>
              </w:rPr>
              <w:t xml:space="preserve">Ministry of </w:t>
            </w:r>
            <w:proofErr w:type="gramStart"/>
            <w:r w:rsidRPr="001A40B1">
              <w:rPr>
                <w:rFonts w:cs="Arial"/>
                <w:sz w:val="20"/>
                <w:szCs w:val="20"/>
              </w:rPr>
              <w:t>defence ,</w:t>
            </w:r>
            <w:proofErr w:type="gramEnd"/>
            <w:r w:rsidRPr="001A40B1">
              <w:rPr>
                <w:rFonts w:cs="Arial"/>
                <w:sz w:val="20"/>
                <w:szCs w:val="20"/>
              </w:rPr>
              <w:t xml:space="preserve"> “Management of Health and Safety in defence: Arrangements (JSP 375 Volume 1),” </w:t>
            </w:r>
            <w:r w:rsidRPr="001A40B1">
              <w:rPr>
                <w:rFonts w:cs="Arial"/>
                <w:i/>
                <w:iCs/>
                <w:sz w:val="20"/>
                <w:szCs w:val="20"/>
              </w:rPr>
              <w:t>GOV.UK</w:t>
            </w:r>
            <w:r w:rsidRPr="001A40B1">
              <w:rPr>
                <w:rFonts w:cs="Arial"/>
                <w:sz w:val="20"/>
                <w:szCs w:val="20"/>
              </w:rPr>
              <w:t>, Sept. 2013. https://www.gov.uk/government/publications/jsp-375-health-and-safety-handbook-volume-2</w:t>
            </w:r>
          </w:p>
        </w:tc>
      </w:tr>
      <w:tr w:rsidR="006161B2" w:rsidRPr="001A40B1" w14:paraId="6B874CDC" w14:textId="77777777" w:rsidTr="001A40B1">
        <w:tc>
          <w:tcPr>
            <w:tcW w:w="489" w:type="dxa"/>
            <w:noWrap/>
            <w:tcMar>
              <w:top w:w="0" w:type="dxa"/>
              <w:left w:w="0" w:type="dxa"/>
              <w:bottom w:w="0" w:type="dxa"/>
              <w:right w:w="0" w:type="dxa"/>
            </w:tcMar>
            <w:hideMark/>
          </w:tcPr>
          <w:p w14:paraId="48011B73" w14:textId="77777777" w:rsidR="006161B2" w:rsidRPr="001A40B1" w:rsidRDefault="006161B2" w:rsidP="001A40B1">
            <w:pPr>
              <w:jc w:val="left"/>
              <w:rPr>
                <w:rFonts w:cs="Arial"/>
                <w:sz w:val="20"/>
                <w:szCs w:val="20"/>
              </w:rPr>
            </w:pPr>
            <w:r w:rsidRPr="001A40B1">
              <w:rPr>
                <w:rFonts w:cs="Arial"/>
                <w:sz w:val="20"/>
                <w:szCs w:val="20"/>
              </w:rPr>
              <w:t>[7]</w:t>
            </w:r>
          </w:p>
        </w:tc>
        <w:tc>
          <w:tcPr>
            <w:tcW w:w="10568" w:type="dxa"/>
            <w:tcMar>
              <w:top w:w="0" w:type="dxa"/>
              <w:left w:w="0" w:type="dxa"/>
              <w:bottom w:w="0" w:type="dxa"/>
              <w:right w:w="0" w:type="dxa"/>
            </w:tcMar>
            <w:hideMark/>
          </w:tcPr>
          <w:p w14:paraId="6D86E836" w14:textId="77777777" w:rsidR="006161B2" w:rsidRPr="001A40B1" w:rsidRDefault="006161B2" w:rsidP="001A40B1">
            <w:pPr>
              <w:jc w:val="left"/>
              <w:rPr>
                <w:rFonts w:cs="Arial"/>
                <w:sz w:val="20"/>
                <w:szCs w:val="20"/>
              </w:rPr>
            </w:pPr>
            <w:r w:rsidRPr="001A40B1">
              <w:rPr>
                <w:rFonts w:cs="Arial"/>
                <w:sz w:val="20"/>
                <w:szCs w:val="20"/>
              </w:rPr>
              <w:t xml:space="preserve">Ministry of </w:t>
            </w:r>
            <w:proofErr w:type="gramStart"/>
            <w:r w:rsidRPr="001A40B1">
              <w:rPr>
                <w:rFonts w:cs="Arial"/>
                <w:sz w:val="20"/>
                <w:szCs w:val="20"/>
              </w:rPr>
              <w:t>Defence ,</w:t>
            </w:r>
            <w:proofErr w:type="gramEnd"/>
            <w:r w:rsidRPr="001A40B1">
              <w:rPr>
                <w:rFonts w:cs="Arial"/>
                <w:sz w:val="20"/>
                <w:szCs w:val="20"/>
              </w:rPr>
              <w:t xml:space="preserve"> “JSP 515 Hazardous Stores Part 1 V3.1,” Mar. 2024.</w:t>
            </w:r>
          </w:p>
        </w:tc>
      </w:tr>
      <w:tr w:rsidR="006161B2" w:rsidRPr="001A40B1" w14:paraId="1EE89B0E" w14:textId="77777777" w:rsidTr="001A40B1">
        <w:tc>
          <w:tcPr>
            <w:tcW w:w="489" w:type="dxa"/>
            <w:noWrap/>
            <w:tcMar>
              <w:top w:w="0" w:type="dxa"/>
              <w:left w:w="0" w:type="dxa"/>
              <w:bottom w:w="0" w:type="dxa"/>
              <w:right w:w="0" w:type="dxa"/>
            </w:tcMar>
            <w:hideMark/>
          </w:tcPr>
          <w:p w14:paraId="409C8DD5" w14:textId="77777777" w:rsidR="006161B2" w:rsidRPr="001A40B1" w:rsidRDefault="006161B2" w:rsidP="001A40B1">
            <w:pPr>
              <w:jc w:val="left"/>
              <w:rPr>
                <w:rFonts w:cs="Arial"/>
                <w:sz w:val="20"/>
                <w:szCs w:val="20"/>
              </w:rPr>
            </w:pPr>
            <w:r w:rsidRPr="001A40B1">
              <w:rPr>
                <w:rFonts w:cs="Arial"/>
                <w:sz w:val="20"/>
                <w:szCs w:val="20"/>
              </w:rPr>
              <w:t>[8]</w:t>
            </w:r>
          </w:p>
        </w:tc>
        <w:tc>
          <w:tcPr>
            <w:tcW w:w="10568" w:type="dxa"/>
            <w:tcMar>
              <w:top w:w="0" w:type="dxa"/>
              <w:left w:w="0" w:type="dxa"/>
              <w:bottom w:w="0" w:type="dxa"/>
              <w:right w:w="0" w:type="dxa"/>
            </w:tcMar>
            <w:hideMark/>
          </w:tcPr>
          <w:p w14:paraId="50F9EC3C" w14:textId="77777777" w:rsidR="006161B2" w:rsidRPr="001A40B1" w:rsidRDefault="006161B2" w:rsidP="001A40B1">
            <w:pPr>
              <w:jc w:val="left"/>
              <w:rPr>
                <w:rFonts w:cs="Arial"/>
                <w:sz w:val="20"/>
                <w:szCs w:val="20"/>
              </w:rPr>
            </w:pPr>
            <w:r w:rsidRPr="001A40B1">
              <w:rPr>
                <w:rFonts w:cs="Arial"/>
                <w:sz w:val="20"/>
                <w:szCs w:val="20"/>
              </w:rPr>
              <w:t xml:space="preserve">National Rifle Association, “An NRA Shooting Sports Journal | What Are </w:t>
            </w:r>
            <w:proofErr w:type="gramStart"/>
            <w:r w:rsidRPr="001A40B1">
              <w:rPr>
                <w:rFonts w:cs="Arial"/>
                <w:sz w:val="20"/>
                <w:szCs w:val="20"/>
              </w:rPr>
              <w:t>The</w:t>
            </w:r>
            <w:proofErr w:type="gramEnd"/>
            <w:r w:rsidRPr="001A40B1">
              <w:rPr>
                <w:rFonts w:cs="Arial"/>
                <w:sz w:val="20"/>
                <w:szCs w:val="20"/>
              </w:rPr>
              <w:t xml:space="preserve"> Differences Between A Squib Load, A Misfire </w:t>
            </w:r>
            <w:proofErr w:type="gramStart"/>
            <w:r w:rsidRPr="001A40B1">
              <w:rPr>
                <w:rFonts w:cs="Arial"/>
                <w:sz w:val="20"/>
                <w:szCs w:val="20"/>
              </w:rPr>
              <w:t>And</w:t>
            </w:r>
            <w:proofErr w:type="gramEnd"/>
            <w:r w:rsidRPr="001A40B1">
              <w:rPr>
                <w:rFonts w:cs="Arial"/>
                <w:sz w:val="20"/>
                <w:szCs w:val="20"/>
              </w:rPr>
              <w:t xml:space="preserve"> A </w:t>
            </w:r>
            <w:proofErr w:type="spellStart"/>
            <w:proofErr w:type="gramStart"/>
            <w:r w:rsidRPr="001A40B1">
              <w:rPr>
                <w:rFonts w:cs="Arial"/>
                <w:sz w:val="20"/>
                <w:szCs w:val="20"/>
              </w:rPr>
              <w:t>Hangfire</w:t>
            </w:r>
            <w:proofErr w:type="spellEnd"/>
            <w:r w:rsidRPr="001A40B1">
              <w:rPr>
                <w:rFonts w:cs="Arial"/>
                <w:sz w:val="20"/>
                <w:szCs w:val="20"/>
              </w:rPr>
              <w:t>?,</w:t>
            </w:r>
            <w:proofErr w:type="gramEnd"/>
            <w:r w:rsidRPr="001A40B1">
              <w:rPr>
                <w:rFonts w:cs="Arial"/>
                <w:sz w:val="20"/>
                <w:szCs w:val="20"/>
              </w:rPr>
              <w:t xml:space="preserve">” </w:t>
            </w:r>
            <w:r w:rsidRPr="001A40B1">
              <w:rPr>
                <w:rFonts w:cs="Arial"/>
                <w:i/>
                <w:iCs/>
                <w:sz w:val="20"/>
                <w:szCs w:val="20"/>
              </w:rPr>
              <w:t>An NRA Shooting Sports Journal</w:t>
            </w:r>
            <w:r w:rsidRPr="001A40B1">
              <w:rPr>
                <w:rFonts w:cs="Arial"/>
                <w:sz w:val="20"/>
                <w:szCs w:val="20"/>
              </w:rPr>
              <w:t>, 2017. https://www.ssusa.org/content/what-are-the-differences-between-a-squib-load-a-misfire-and-a-hangfire/ (accessed July 05, 2026).</w:t>
            </w:r>
          </w:p>
        </w:tc>
      </w:tr>
      <w:tr w:rsidR="006161B2" w:rsidRPr="001A40B1" w14:paraId="3DEB79DC" w14:textId="77777777" w:rsidTr="001A40B1">
        <w:tc>
          <w:tcPr>
            <w:tcW w:w="489" w:type="dxa"/>
            <w:noWrap/>
            <w:tcMar>
              <w:top w:w="0" w:type="dxa"/>
              <w:left w:w="0" w:type="dxa"/>
              <w:bottom w:w="0" w:type="dxa"/>
              <w:right w:w="0" w:type="dxa"/>
            </w:tcMar>
            <w:hideMark/>
          </w:tcPr>
          <w:p w14:paraId="5C913915" w14:textId="77777777" w:rsidR="006161B2" w:rsidRPr="001A40B1" w:rsidRDefault="006161B2" w:rsidP="001A40B1">
            <w:pPr>
              <w:jc w:val="left"/>
              <w:rPr>
                <w:rFonts w:cs="Arial"/>
                <w:sz w:val="20"/>
                <w:szCs w:val="20"/>
              </w:rPr>
            </w:pPr>
            <w:r w:rsidRPr="001A40B1">
              <w:rPr>
                <w:rFonts w:cs="Arial"/>
                <w:sz w:val="20"/>
                <w:szCs w:val="20"/>
              </w:rPr>
              <w:t>[9]</w:t>
            </w:r>
          </w:p>
        </w:tc>
        <w:tc>
          <w:tcPr>
            <w:tcW w:w="10568" w:type="dxa"/>
            <w:tcMar>
              <w:top w:w="0" w:type="dxa"/>
              <w:left w:w="0" w:type="dxa"/>
              <w:bottom w:w="0" w:type="dxa"/>
              <w:right w:w="0" w:type="dxa"/>
            </w:tcMar>
            <w:hideMark/>
          </w:tcPr>
          <w:p w14:paraId="4A47C208" w14:textId="77777777" w:rsidR="006161B2" w:rsidRPr="001A40B1" w:rsidRDefault="006161B2" w:rsidP="001A40B1">
            <w:pPr>
              <w:jc w:val="left"/>
              <w:rPr>
                <w:rFonts w:cs="Arial"/>
                <w:sz w:val="20"/>
                <w:szCs w:val="20"/>
              </w:rPr>
            </w:pPr>
            <w:r w:rsidRPr="001A40B1">
              <w:rPr>
                <w:rFonts w:cs="Arial"/>
                <w:sz w:val="20"/>
                <w:szCs w:val="20"/>
              </w:rPr>
              <w:t xml:space="preserve">“The Provision and Use of Work Equipment Regulations 1998,” </w:t>
            </w:r>
            <w:r w:rsidRPr="001A40B1">
              <w:rPr>
                <w:rFonts w:cs="Arial"/>
                <w:i/>
                <w:iCs/>
                <w:sz w:val="20"/>
                <w:szCs w:val="20"/>
              </w:rPr>
              <w:t>Legislation.gov.uk</w:t>
            </w:r>
            <w:r w:rsidRPr="001A40B1">
              <w:rPr>
                <w:rFonts w:cs="Arial"/>
                <w:sz w:val="20"/>
                <w:szCs w:val="20"/>
              </w:rPr>
              <w:t>, 2023. https://www.legislation.gov.uk/uksi/1998/2306</w:t>
            </w:r>
          </w:p>
        </w:tc>
      </w:tr>
      <w:tr w:rsidR="006161B2" w:rsidRPr="001A40B1" w14:paraId="59333274" w14:textId="77777777" w:rsidTr="001A40B1">
        <w:tc>
          <w:tcPr>
            <w:tcW w:w="489" w:type="dxa"/>
            <w:noWrap/>
            <w:tcMar>
              <w:top w:w="0" w:type="dxa"/>
              <w:left w:w="0" w:type="dxa"/>
              <w:bottom w:w="0" w:type="dxa"/>
              <w:right w:w="0" w:type="dxa"/>
            </w:tcMar>
            <w:hideMark/>
          </w:tcPr>
          <w:p w14:paraId="0DAEB54E" w14:textId="77777777" w:rsidR="006161B2" w:rsidRPr="001A40B1" w:rsidRDefault="006161B2" w:rsidP="001A40B1">
            <w:pPr>
              <w:jc w:val="left"/>
              <w:rPr>
                <w:rFonts w:cs="Arial"/>
                <w:sz w:val="20"/>
                <w:szCs w:val="20"/>
              </w:rPr>
            </w:pPr>
            <w:r w:rsidRPr="001A40B1">
              <w:rPr>
                <w:rFonts w:cs="Arial"/>
                <w:sz w:val="20"/>
                <w:szCs w:val="20"/>
              </w:rPr>
              <w:t>[10]</w:t>
            </w:r>
          </w:p>
        </w:tc>
        <w:tc>
          <w:tcPr>
            <w:tcW w:w="10568" w:type="dxa"/>
            <w:tcMar>
              <w:top w:w="0" w:type="dxa"/>
              <w:left w:w="0" w:type="dxa"/>
              <w:bottom w:w="0" w:type="dxa"/>
              <w:right w:w="0" w:type="dxa"/>
            </w:tcMar>
            <w:hideMark/>
          </w:tcPr>
          <w:p w14:paraId="026E36A6" w14:textId="77777777" w:rsidR="006161B2" w:rsidRPr="001A40B1" w:rsidRDefault="006161B2" w:rsidP="001A40B1">
            <w:pPr>
              <w:jc w:val="left"/>
              <w:rPr>
                <w:rFonts w:cs="Arial"/>
                <w:sz w:val="20"/>
                <w:szCs w:val="20"/>
              </w:rPr>
            </w:pPr>
            <w:r w:rsidRPr="001A40B1">
              <w:rPr>
                <w:rFonts w:cs="Arial"/>
                <w:sz w:val="20"/>
                <w:szCs w:val="20"/>
              </w:rPr>
              <w:t xml:space="preserve">HSE, “Maintenance of work equipment - Work equipment and machinery,” </w:t>
            </w:r>
            <w:r w:rsidRPr="001A40B1">
              <w:rPr>
                <w:rFonts w:cs="Arial"/>
                <w:i/>
                <w:iCs/>
                <w:sz w:val="20"/>
                <w:szCs w:val="20"/>
              </w:rPr>
              <w:t>Hse.gov.uk</w:t>
            </w:r>
            <w:r w:rsidRPr="001A40B1">
              <w:rPr>
                <w:rFonts w:cs="Arial"/>
                <w:sz w:val="20"/>
                <w:szCs w:val="20"/>
              </w:rPr>
              <w:t>, 2019. https://www.hse.gov.uk/work-equipment-machinery/maintenance.htm</w:t>
            </w:r>
          </w:p>
        </w:tc>
      </w:tr>
      <w:tr w:rsidR="006161B2" w:rsidRPr="001A40B1" w14:paraId="1C0ABEA1" w14:textId="77777777" w:rsidTr="001A40B1">
        <w:tc>
          <w:tcPr>
            <w:tcW w:w="489" w:type="dxa"/>
            <w:noWrap/>
            <w:tcMar>
              <w:top w:w="0" w:type="dxa"/>
              <w:left w:w="0" w:type="dxa"/>
              <w:bottom w:w="0" w:type="dxa"/>
              <w:right w:w="0" w:type="dxa"/>
            </w:tcMar>
            <w:hideMark/>
          </w:tcPr>
          <w:p w14:paraId="1C23762B" w14:textId="77777777" w:rsidR="006161B2" w:rsidRPr="001A40B1" w:rsidRDefault="006161B2" w:rsidP="001A40B1">
            <w:pPr>
              <w:jc w:val="left"/>
              <w:rPr>
                <w:rFonts w:cs="Arial"/>
                <w:sz w:val="20"/>
                <w:szCs w:val="20"/>
              </w:rPr>
            </w:pPr>
            <w:r w:rsidRPr="001A40B1">
              <w:rPr>
                <w:rFonts w:cs="Arial"/>
                <w:sz w:val="20"/>
                <w:szCs w:val="20"/>
              </w:rPr>
              <w:t>[11]</w:t>
            </w:r>
          </w:p>
        </w:tc>
        <w:tc>
          <w:tcPr>
            <w:tcW w:w="10568" w:type="dxa"/>
            <w:tcMar>
              <w:top w:w="0" w:type="dxa"/>
              <w:left w:w="0" w:type="dxa"/>
              <w:bottom w:w="0" w:type="dxa"/>
              <w:right w:w="0" w:type="dxa"/>
            </w:tcMar>
            <w:hideMark/>
          </w:tcPr>
          <w:p w14:paraId="17791AED" w14:textId="77777777" w:rsidR="006161B2" w:rsidRPr="001A40B1" w:rsidRDefault="006161B2" w:rsidP="001A40B1">
            <w:pPr>
              <w:jc w:val="left"/>
              <w:rPr>
                <w:rFonts w:cs="Arial"/>
                <w:sz w:val="20"/>
                <w:szCs w:val="20"/>
              </w:rPr>
            </w:pPr>
            <w:r w:rsidRPr="001A40B1">
              <w:rPr>
                <w:rFonts w:cs="Arial"/>
                <w:sz w:val="20"/>
                <w:szCs w:val="20"/>
              </w:rPr>
              <w:t xml:space="preserve">HSE, “Reducing Error and Influencing Behaviour,” </w:t>
            </w:r>
            <w:r w:rsidRPr="001A40B1">
              <w:rPr>
                <w:rFonts w:cs="Arial"/>
                <w:i/>
                <w:iCs/>
                <w:sz w:val="20"/>
                <w:szCs w:val="20"/>
              </w:rPr>
              <w:t>Structural Survey</w:t>
            </w:r>
            <w:r w:rsidRPr="001A40B1">
              <w:rPr>
                <w:rFonts w:cs="Arial"/>
                <w:sz w:val="20"/>
                <w:szCs w:val="20"/>
              </w:rPr>
              <w:t xml:space="preserve">, vol. 17, no. 3, Sept. 1999, </w:t>
            </w:r>
            <w:proofErr w:type="spellStart"/>
            <w:r w:rsidRPr="001A40B1">
              <w:rPr>
                <w:rFonts w:cs="Arial"/>
                <w:sz w:val="20"/>
                <w:szCs w:val="20"/>
              </w:rPr>
              <w:t>doi</w:t>
            </w:r>
            <w:proofErr w:type="spellEnd"/>
            <w:r w:rsidRPr="001A40B1">
              <w:rPr>
                <w:rFonts w:cs="Arial"/>
                <w:sz w:val="20"/>
                <w:szCs w:val="20"/>
              </w:rPr>
              <w:t>: 10.1108/ss.1999.11017cae.007.</w:t>
            </w:r>
          </w:p>
        </w:tc>
      </w:tr>
      <w:tr w:rsidR="006161B2" w:rsidRPr="001A40B1" w14:paraId="7DCA6C72" w14:textId="77777777" w:rsidTr="001A40B1">
        <w:tc>
          <w:tcPr>
            <w:tcW w:w="489" w:type="dxa"/>
            <w:noWrap/>
            <w:tcMar>
              <w:top w:w="0" w:type="dxa"/>
              <w:left w:w="0" w:type="dxa"/>
              <w:bottom w:w="0" w:type="dxa"/>
              <w:right w:w="0" w:type="dxa"/>
            </w:tcMar>
            <w:hideMark/>
          </w:tcPr>
          <w:p w14:paraId="633FF9BB" w14:textId="77777777" w:rsidR="006161B2" w:rsidRPr="001A40B1" w:rsidRDefault="006161B2" w:rsidP="001A40B1">
            <w:pPr>
              <w:jc w:val="left"/>
              <w:rPr>
                <w:rFonts w:cs="Arial"/>
                <w:sz w:val="20"/>
                <w:szCs w:val="20"/>
              </w:rPr>
            </w:pPr>
            <w:r w:rsidRPr="001A40B1">
              <w:rPr>
                <w:rFonts w:cs="Arial"/>
                <w:sz w:val="20"/>
                <w:szCs w:val="20"/>
              </w:rPr>
              <w:t>[12]</w:t>
            </w:r>
          </w:p>
        </w:tc>
        <w:tc>
          <w:tcPr>
            <w:tcW w:w="10568" w:type="dxa"/>
            <w:tcMar>
              <w:top w:w="0" w:type="dxa"/>
              <w:left w:w="0" w:type="dxa"/>
              <w:bottom w:w="0" w:type="dxa"/>
              <w:right w:w="0" w:type="dxa"/>
            </w:tcMar>
            <w:hideMark/>
          </w:tcPr>
          <w:p w14:paraId="285C7392" w14:textId="77777777" w:rsidR="006161B2" w:rsidRPr="001A40B1" w:rsidRDefault="006161B2" w:rsidP="001A40B1">
            <w:pPr>
              <w:jc w:val="left"/>
              <w:rPr>
                <w:rFonts w:cs="Arial"/>
                <w:sz w:val="20"/>
                <w:szCs w:val="20"/>
              </w:rPr>
            </w:pPr>
            <w:r w:rsidRPr="001A40B1">
              <w:rPr>
                <w:rFonts w:cs="Arial"/>
                <w:sz w:val="20"/>
                <w:szCs w:val="20"/>
              </w:rPr>
              <w:t>HSE, “Health and Safety Executive Health and Safety Executive Agriculture Information Sheet No 43 Safe Use of Guns,” June 2013. [Online]. Available: https://www.hse.gov.uk/pubns/ais43.pdf</w:t>
            </w:r>
          </w:p>
        </w:tc>
      </w:tr>
      <w:tr w:rsidR="006161B2" w:rsidRPr="001A40B1" w14:paraId="69CAF300" w14:textId="77777777" w:rsidTr="001A40B1">
        <w:tc>
          <w:tcPr>
            <w:tcW w:w="489" w:type="dxa"/>
            <w:noWrap/>
            <w:tcMar>
              <w:top w:w="0" w:type="dxa"/>
              <w:left w:w="0" w:type="dxa"/>
              <w:bottom w:w="0" w:type="dxa"/>
              <w:right w:w="0" w:type="dxa"/>
            </w:tcMar>
            <w:hideMark/>
          </w:tcPr>
          <w:p w14:paraId="59AF4B65" w14:textId="77777777" w:rsidR="006161B2" w:rsidRPr="001A40B1" w:rsidRDefault="006161B2" w:rsidP="001A40B1">
            <w:pPr>
              <w:jc w:val="left"/>
              <w:rPr>
                <w:rFonts w:cs="Arial"/>
                <w:sz w:val="20"/>
                <w:szCs w:val="20"/>
              </w:rPr>
            </w:pPr>
            <w:r w:rsidRPr="001A40B1">
              <w:rPr>
                <w:rFonts w:cs="Arial"/>
                <w:sz w:val="20"/>
                <w:szCs w:val="20"/>
              </w:rPr>
              <w:t>[13]</w:t>
            </w:r>
          </w:p>
        </w:tc>
        <w:tc>
          <w:tcPr>
            <w:tcW w:w="10568" w:type="dxa"/>
            <w:tcMar>
              <w:top w:w="0" w:type="dxa"/>
              <w:left w:w="0" w:type="dxa"/>
              <w:bottom w:w="0" w:type="dxa"/>
              <w:right w:w="0" w:type="dxa"/>
            </w:tcMar>
            <w:hideMark/>
          </w:tcPr>
          <w:p w14:paraId="34EC56CE" w14:textId="77777777" w:rsidR="006161B2" w:rsidRPr="001A40B1" w:rsidRDefault="006161B2" w:rsidP="001A40B1">
            <w:pPr>
              <w:jc w:val="left"/>
              <w:rPr>
                <w:rFonts w:cs="Arial"/>
                <w:sz w:val="20"/>
                <w:szCs w:val="20"/>
              </w:rPr>
            </w:pPr>
            <w:r w:rsidRPr="001A40B1">
              <w:rPr>
                <w:rFonts w:cs="Arial"/>
                <w:sz w:val="20"/>
                <w:szCs w:val="20"/>
              </w:rPr>
              <w:t xml:space="preserve">HSE, “Health and Safety Management systems: ISO 45001 - HSE,” </w:t>
            </w:r>
            <w:r w:rsidRPr="001A40B1">
              <w:rPr>
                <w:rFonts w:cs="Arial"/>
                <w:i/>
                <w:iCs/>
                <w:sz w:val="20"/>
                <w:szCs w:val="20"/>
              </w:rPr>
              <w:t>www.hse.gov.uk</w:t>
            </w:r>
            <w:r w:rsidRPr="001A40B1">
              <w:rPr>
                <w:rFonts w:cs="Arial"/>
                <w:sz w:val="20"/>
                <w:szCs w:val="20"/>
              </w:rPr>
              <w:t>, Mar. 01, 2021. https://www.hse.gov.uk/managing/management-system/iso45001.htm</w:t>
            </w:r>
          </w:p>
        </w:tc>
      </w:tr>
      <w:tr w:rsidR="006161B2" w:rsidRPr="001A40B1" w14:paraId="42D6DB0B" w14:textId="77777777" w:rsidTr="001A40B1">
        <w:tc>
          <w:tcPr>
            <w:tcW w:w="489" w:type="dxa"/>
            <w:noWrap/>
            <w:tcMar>
              <w:top w:w="0" w:type="dxa"/>
              <w:left w:w="0" w:type="dxa"/>
              <w:bottom w:w="0" w:type="dxa"/>
              <w:right w:w="0" w:type="dxa"/>
            </w:tcMar>
            <w:hideMark/>
          </w:tcPr>
          <w:p w14:paraId="29D942DC" w14:textId="77777777" w:rsidR="006161B2" w:rsidRPr="001A40B1" w:rsidRDefault="006161B2" w:rsidP="001A40B1">
            <w:pPr>
              <w:jc w:val="left"/>
              <w:rPr>
                <w:rFonts w:cs="Arial"/>
                <w:sz w:val="20"/>
                <w:szCs w:val="20"/>
              </w:rPr>
            </w:pPr>
            <w:r w:rsidRPr="001A40B1">
              <w:rPr>
                <w:rFonts w:cs="Arial"/>
                <w:sz w:val="20"/>
                <w:szCs w:val="20"/>
              </w:rPr>
              <w:lastRenderedPageBreak/>
              <w:t>[14]</w:t>
            </w:r>
          </w:p>
        </w:tc>
        <w:tc>
          <w:tcPr>
            <w:tcW w:w="10568" w:type="dxa"/>
            <w:tcMar>
              <w:top w:w="0" w:type="dxa"/>
              <w:left w:w="0" w:type="dxa"/>
              <w:bottom w:w="0" w:type="dxa"/>
              <w:right w:w="0" w:type="dxa"/>
            </w:tcMar>
            <w:hideMark/>
          </w:tcPr>
          <w:p w14:paraId="0EE6AF11" w14:textId="77777777" w:rsidR="006161B2" w:rsidRPr="001A40B1" w:rsidRDefault="006161B2" w:rsidP="001A40B1">
            <w:pPr>
              <w:jc w:val="left"/>
              <w:rPr>
                <w:rFonts w:cs="Arial"/>
                <w:sz w:val="20"/>
                <w:szCs w:val="20"/>
              </w:rPr>
            </w:pPr>
            <w:r w:rsidRPr="001A40B1">
              <w:rPr>
                <w:rFonts w:cs="Arial"/>
                <w:sz w:val="20"/>
                <w:szCs w:val="20"/>
              </w:rPr>
              <w:t xml:space="preserve">Health and Safety Executive, “Human factors/ergonomics – Permit to work systems,” </w:t>
            </w:r>
            <w:r w:rsidRPr="001A40B1">
              <w:rPr>
                <w:rFonts w:cs="Arial"/>
                <w:i/>
                <w:iCs/>
                <w:sz w:val="20"/>
                <w:szCs w:val="20"/>
              </w:rPr>
              <w:t>www.hse.gov.uk</w:t>
            </w:r>
            <w:r w:rsidRPr="001A40B1">
              <w:rPr>
                <w:rFonts w:cs="Arial"/>
                <w:sz w:val="20"/>
                <w:szCs w:val="20"/>
              </w:rPr>
              <w:t>. https://www.hse.gov.uk/humanfactors/topics/ptw.htm</w:t>
            </w:r>
          </w:p>
        </w:tc>
      </w:tr>
      <w:tr w:rsidR="006161B2" w:rsidRPr="001A40B1" w14:paraId="5DF9E792" w14:textId="77777777" w:rsidTr="001A40B1">
        <w:tc>
          <w:tcPr>
            <w:tcW w:w="489" w:type="dxa"/>
            <w:noWrap/>
            <w:tcMar>
              <w:top w:w="0" w:type="dxa"/>
              <w:left w:w="0" w:type="dxa"/>
              <w:bottom w:w="0" w:type="dxa"/>
              <w:right w:w="0" w:type="dxa"/>
            </w:tcMar>
            <w:hideMark/>
          </w:tcPr>
          <w:p w14:paraId="479E13DB" w14:textId="77777777" w:rsidR="006161B2" w:rsidRPr="001A40B1" w:rsidRDefault="006161B2" w:rsidP="001A40B1">
            <w:pPr>
              <w:jc w:val="left"/>
              <w:rPr>
                <w:rFonts w:cs="Arial"/>
                <w:sz w:val="20"/>
                <w:szCs w:val="20"/>
              </w:rPr>
            </w:pPr>
            <w:r w:rsidRPr="001A40B1">
              <w:rPr>
                <w:rFonts w:cs="Arial"/>
                <w:sz w:val="20"/>
                <w:szCs w:val="20"/>
              </w:rPr>
              <w:t>[15]</w:t>
            </w:r>
          </w:p>
        </w:tc>
        <w:tc>
          <w:tcPr>
            <w:tcW w:w="10568" w:type="dxa"/>
            <w:tcMar>
              <w:top w:w="0" w:type="dxa"/>
              <w:left w:w="0" w:type="dxa"/>
              <w:bottom w:w="0" w:type="dxa"/>
              <w:right w:w="0" w:type="dxa"/>
            </w:tcMar>
            <w:hideMark/>
          </w:tcPr>
          <w:p w14:paraId="166C90C1" w14:textId="77777777" w:rsidR="006161B2" w:rsidRPr="001A40B1" w:rsidRDefault="006161B2" w:rsidP="001A40B1">
            <w:pPr>
              <w:jc w:val="left"/>
              <w:rPr>
                <w:rFonts w:cs="Arial"/>
                <w:sz w:val="20"/>
                <w:szCs w:val="20"/>
              </w:rPr>
            </w:pPr>
            <w:r w:rsidRPr="001A40B1">
              <w:rPr>
                <w:rFonts w:cs="Arial"/>
                <w:sz w:val="20"/>
                <w:szCs w:val="20"/>
              </w:rPr>
              <w:t xml:space="preserve">Legislation.gov.uk, “The Control of Major Accident Hazards Regulations 2015,” </w:t>
            </w:r>
            <w:r w:rsidRPr="001A40B1">
              <w:rPr>
                <w:rFonts w:cs="Arial"/>
                <w:i/>
                <w:iCs/>
                <w:sz w:val="20"/>
                <w:szCs w:val="20"/>
              </w:rPr>
              <w:t>Legislation.gov.uk</w:t>
            </w:r>
            <w:r w:rsidRPr="001A40B1">
              <w:rPr>
                <w:rFonts w:cs="Arial"/>
                <w:sz w:val="20"/>
                <w:szCs w:val="20"/>
              </w:rPr>
              <w:t>, 2015. https://www.legislation.gov.uk/uksi/2015/483/contents</w:t>
            </w:r>
          </w:p>
        </w:tc>
      </w:tr>
      <w:tr w:rsidR="006161B2" w:rsidRPr="001A40B1" w14:paraId="1BCC5BDB" w14:textId="77777777" w:rsidTr="001A40B1">
        <w:tc>
          <w:tcPr>
            <w:tcW w:w="489" w:type="dxa"/>
            <w:noWrap/>
            <w:tcMar>
              <w:top w:w="0" w:type="dxa"/>
              <w:left w:w="0" w:type="dxa"/>
              <w:bottom w:w="0" w:type="dxa"/>
              <w:right w:w="0" w:type="dxa"/>
            </w:tcMar>
            <w:hideMark/>
          </w:tcPr>
          <w:p w14:paraId="5735B35D" w14:textId="77777777" w:rsidR="006161B2" w:rsidRPr="001A40B1" w:rsidRDefault="006161B2" w:rsidP="001A40B1">
            <w:pPr>
              <w:jc w:val="left"/>
              <w:rPr>
                <w:rFonts w:cs="Arial"/>
                <w:sz w:val="20"/>
                <w:szCs w:val="20"/>
              </w:rPr>
            </w:pPr>
            <w:r w:rsidRPr="001A40B1">
              <w:rPr>
                <w:rFonts w:cs="Arial"/>
                <w:sz w:val="20"/>
                <w:szCs w:val="20"/>
              </w:rPr>
              <w:t>[16]</w:t>
            </w:r>
          </w:p>
        </w:tc>
        <w:tc>
          <w:tcPr>
            <w:tcW w:w="10568" w:type="dxa"/>
            <w:tcMar>
              <w:top w:w="0" w:type="dxa"/>
              <w:left w:w="0" w:type="dxa"/>
              <w:bottom w:w="0" w:type="dxa"/>
              <w:right w:w="0" w:type="dxa"/>
            </w:tcMar>
            <w:hideMark/>
          </w:tcPr>
          <w:p w14:paraId="422EE322" w14:textId="77777777" w:rsidR="006161B2" w:rsidRPr="001A40B1" w:rsidRDefault="006161B2" w:rsidP="001A40B1">
            <w:pPr>
              <w:jc w:val="left"/>
              <w:rPr>
                <w:rFonts w:cs="Arial"/>
                <w:sz w:val="20"/>
                <w:szCs w:val="20"/>
              </w:rPr>
            </w:pPr>
            <w:r w:rsidRPr="001A40B1">
              <w:rPr>
                <w:rFonts w:cs="Arial"/>
                <w:sz w:val="20"/>
                <w:szCs w:val="20"/>
              </w:rPr>
              <w:t xml:space="preserve">Health and Safety Executive, “Risk Assessment: Steps Needed to Manage Risk,” </w:t>
            </w:r>
            <w:r w:rsidRPr="001A40B1">
              <w:rPr>
                <w:rFonts w:cs="Arial"/>
                <w:i/>
                <w:iCs/>
                <w:sz w:val="20"/>
                <w:szCs w:val="20"/>
              </w:rPr>
              <w:t>Health and Safety Executive</w:t>
            </w:r>
            <w:r w:rsidRPr="001A40B1">
              <w:rPr>
                <w:rFonts w:cs="Arial"/>
                <w:sz w:val="20"/>
                <w:szCs w:val="20"/>
              </w:rPr>
              <w:t>, 2019. https://www.hse.gov.uk/simple-health-safety/risk/steps-needed-to-manage-risk.htm</w:t>
            </w:r>
          </w:p>
        </w:tc>
      </w:tr>
      <w:tr w:rsidR="006161B2" w:rsidRPr="001A40B1" w14:paraId="47ACCD77" w14:textId="77777777" w:rsidTr="001A40B1">
        <w:tc>
          <w:tcPr>
            <w:tcW w:w="489" w:type="dxa"/>
            <w:noWrap/>
            <w:tcMar>
              <w:top w:w="0" w:type="dxa"/>
              <w:left w:w="0" w:type="dxa"/>
              <w:bottom w:w="0" w:type="dxa"/>
              <w:right w:w="0" w:type="dxa"/>
            </w:tcMar>
            <w:hideMark/>
          </w:tcPr>
          <w:p w14:paraId="09ECA57F" w14:textId="57AFC69A" w:rsidR="006161B2" w:rsidRPr="001A40B1" w:rsidRDefault="006161B2" w:rsidP="001A40B1">
            <w:pPr>
              <w:jc w:val="left"/>
              <w:rPr>
                <w:rFonts w:cs="Arial"/>
                <w:sz w:val="20"/>
                <w:szCs w:val="20"/>
              </w:rPr>
            </w:pPr>
            <w:r w:rsidRPr="001A40B1">
              <w:rPr>
                <w:rFonts w:cs="Arial"/>
                <w:sz w:val="20"/>
                <w:szCs w:val="20"/>
              </w:rPr>
              <w:t>[1</w:t>
            </w:r>
            <w:r w:rsidR="000831FF" w:rsidRPr="001A40B1">
              <w:rPr>
                <w:rFonts w:cs="Arial"/>
                <w:sz w:val="20"/>
                <w:szCs w:val="20"/>
              </w:rPr>
              <w:t>7</w:t>
            </w:r>
            <w:r w:rsidRPr="001A40B1">
              <w:rPr>
                <w:rFonts w:cs="Arial"/>
                <w:sz w:val="20"/>
                <w:szCs w:val="20"/>
              </w:rPr>
              <w:t>]</w:t>
            </w:r>
          </w:p>
        </w:tc>
        <w:tc>
          <w:tcPr>
            <w:tcW w:w="10568" w:type="dxa"/>
            <w:tcMar>
              <w:top w:w="0" w:type="dxa"/>
              <w:left w:w="0" w:type="dxa"/>
              <w:bottom w:w="0" w:type="dxa"/>
              <w:right w:w="0" w:type="dxa"/>
            </w:tcMar>
            <w:hideMark/>
          </w:tcPr>
          <w:p w14:paraId="5695B0CF" w14:textId="77777777" w:rsidR="006161B2" w:rsidRPr="001A40B1" w:rsidRDefault="006161B2" w:rsidP="001A40B1">
            <w:pPr>
              <w:jc w:val="left"/>
              <w:rPr>
                <w:rFonts w:cs="Arial"/>
                <w:sz w:val="20"/>
                <w:szCs w:val="20"/>
              </w:rPr>
            </w:pPr>
            <w:r w:rsidRPr="001A40B1">
              <w:rPr>
                <w:rFonts w:cs="Arial"/>
                <w:sz w:val="20"/>
                <w:szCs w:val="20"/>
              </w:rPr>
              <w:t xml:space="preserve">“COSHH and engineering workers - key messages - COSHH,” </w:t>
            </w:r>
            <w:r w:rsidRPr="001A40B1">
              <w:rPr>
                <w:rFonts w:cs="Arial"/>
                <w:i/>
                <w:iCs/>
                <w:sz w:val="20"/>
                <w:szCs w:val="20"/>
              </w:rPr>
              <w:t>Hse.gov.uk</w:t>
            </w:r>
            <w:r w:rsidRPr="001A40B1">
              <w:rPr>
                <w:rFonts w:cs="Arial"/>
                <w:sz w:val="20"/>
                <w:szCs w:val="20"/>
              </w:rPr>
              <w:t>, 2019. https://www.hse.gov.uk/coshh/industry/engineering.htm</w:t>
            </w:r>
          </w:p>
        </w:tc>
      </w:tr>
      <w:tr w:rsidR="006161B2" w:rsidRPr="001A40B1" w14:paraId="1648828A" w14:textId="77777777" w:rsidTr="001A40B1">
        <w:tc>
          <w:tcPr>
            <w:tcW w:w="489" w:type="dxa"/>
            <w:noWrap/>
            <w:tcMar>
              <w:top w:w="0" w:type="dxa"/>
              <w:left w:w="0" w:type="dxa"/>
              <w:bottom w:w="0" w:type="dxa"/>
              <w:right w:w="0" w:type="dxa"/>
            </w:tcMar>
            <w:hideMark/>
          </w:tcPr>
          <w:p w14:paraId="4B532705" w14:textId="77777777" w:rsidR="006161B2" w:rsidRPr="001A40B1" w:rsidRDefault="006161B2" w:rsidP="001A40B1">
            <w:pPr>
              <w:jc w:val="left"/>
              <w:rPr>
                <w:rFonts w:cs="Arial"/>
                <w:sz w:val="20"/>
                <w:szCs w:val="20"/>
              </w:rPr>
            </w:pPr>
            <w:r w:rsidRPr="001A40B1">
              <w:rPr>
                <w:rFonts w:cs="Arial"/>
                <w:sz w:val="20"/>
                <w:szCs w:val="20"/>
              </w:rPr>
              <w:t>[18]</w:t>
            </w:r>
          </w:p>
        </w:tc>
        <w:tc>
          <w:tcPr>
            <w:tcW w:w="10568" w:type="dxa"/>
            <w:tcMar>
              <w:top w:w="0" w:type="dxa"/>
              <w:left w:w="0" w:type="dxa"/>
              <w:bottom w:w="0" w:type="dxa"/>
              <w:right w:w="0" w:type="dxa"/>
            </w:tcMar>
            <w:hideMark/>
          </w:tcPr>
          <w:p w14:paraId="500CCE05" w14:textId="77777777" w:rsidR="006161B2" w:rsidRPr="001A40B1" w:rsidRDefault="006161B2" w:rsidP="001A40B1">
            <w:pPr>
              <w:jc w:val="left"/>
              <w:rPr>
                <w:rFonts w:cs="Arial"/>
                <w:sz w:val="20"/>
                <w:szCs w:val="20"/>
              </w:rPr>
            </w:pPr>
            <w:r w:rsidRPr="001A40B1">
              <w:rPr>
                <w:rFonts w:cs="Arial"/>
                <w:sz w:val="20"/>
                <w:szCs w:val="20"/>
              </w:rPr>
              <w:t xml:space="preserve">HSE, “Control of Substances Hazardous to Health (COSHH) - Health and Safety Topics in Cleaning,” </w:t>
            </w:r>
            <w:r w:rsidRPr="001A40B1">
              <w:rPr>
                <w:rFonts w:cs="Arial"/>
                <w:i/>
                <w:iCs/>
                <w:sz w:val="20"/>
                <w:szCs w:val="20"/>
              </w:rPr>
              <w:t>Hse.gov.uk</w:t>
            </w:r>
            <w:r w:rsidRPr="001A40B1">
              <w:rPr>
                <w:rFonts w:cs="Arial"/>
                <w:sz w:val="20"/>
                <w:szCs w:val="20"/>
              </w:rPr>
              <w:t>, 2024. https://www.hse.gov.uk/cleaning/topics/coshh.htm</w:t>
            </w:r>
          </w:p>
        </w:tc>
      </w:tr>
      <w:tr w:rsidR="006161B2" w:rsidRPr="001A40B1" w14:paraId="03699D0F" w14:textId="77777777" w:rsidTr="001A40B1">
        <w:tc>
          <w:tcPr>
            <w:tcW w:w="489" w:type="dxa"/>
            <w:noWrap/>
            <w:tcMar>
              <w:top w:w="0" w:type="dxa"/>
              <w:left w:w="0" w:type="dxa"/>
              <w:bottom w:w="0" w:type="dxa"/>
              <w:right w:w="0" w:type="dxa"/>
            </w:tcMar>
            <w:hideMark/>
          </w:tcPr>
          <w:p w14:paraId="76C4B11C" w14:textId="77777777" w:rsidR="006161B2" w:rsidRPr="001A40B1" w:rsidRDefault="006161B2" w:rsidP="001A40B1">
            <w:pPr>
              <w:jc w:val="left"/>
              <w:rPr>
                <w:rFonts w:cs="Arial"/>
                <w:sz w:val="20"/>
                <w:szCs w:val="20"/>
              </w:rPr>
            </w:pPr>
            <w:r w:rsidRPr="001A40B1">
              <w:rPr>
                <w:rFonts w:cs="Arial"/>
                <w:sz w:val="20"/>
                <w:szCs w:val="20"/>
              </w:rPr>
              <w:t>[19]</w:t>
            </w:r>
          </w:p>
        </w:tc>
        <w:tc>
          <w:tcPr>
            <w:tcW w:w="10568" w:type="dxa"/>
            <w:tcMar>
              <w:top w:w="0" w:type="dxa"/>
              <w:left w:w="0" w:type="dxa"/>
              <w:bottom w:w="0" w:type="dxa"/>
              <w:right w:w="0" w:type="dxa"/>
            </w:tcMar>
            <w:hideMark/>
          </w:tcPr>
          <w:p w14:paraId="72CB7C39" w14:textId="77777777" w:rsidR="006161B2" w:rsidRPr="001A40B1" w:rsidRDefault="006161B2" w:rsidP="001A40B1">
            <w:pPr>
              <w:jc w:val="left"/>
              <w:rPr>
                <w:rFonts w:cs="Arial"/>
                <w:sz w:val="20"/>
                <w:szCs w:val="20"/>
              </w:rPr>
            </w:pPr>
            <w:r w:rsidRPr="001A40B1">
              <w:rPr>
                <w:rFonts w:cs="Arial"/>
                <w:sz w:val="20"/>
                <w:szCs w:val="20"/>
              </w:rPr>
              <w:t xml:space="preserve">Health and Safety Executive, “Inspection of work equipment - Work equipment and machinery,” </w:t>
            </w:r>
            <w:r w:rsidRPr="001A40B1">
              <w:rPr>
                <w:rFonts w:cs="Arial"/>
                <w:i/>
                <w:iCs/>
                <w:sz w:val="20"/>
                <w:szCs w:val="20"/>
              </w:rPr>
              <w:t>Hse.gov.uk</w:t>
            </w:r>
            <w:r w:rsidRPr="001A40B1">
              <w:rPr>
                <w:rFonts w:cs="Arial"/>
                <w:sz w:val="20"/>
                <w:szCs w:val="20"/>
              </w:rPr>
              <w:t>, 2019. https://www.hse.gov.uk/work-equipment-machinery/inspection.htm</w:t>
            </w:r>
          </w:p>
        </w:tc>
      </w:tr>
      <w:tr w:rsidR="006161B2" w:rsidRPr="001A40B1" w14:paraId="2FE650AB" w14:textId="77777777" w:rsidTr="001A40B1">
        <w:tc>
          <w:tcPr>
            <w:tcW w:w="489" w:type="dxa"/>
            <w:noWrap/>
            <w:tcMar>
              <w:top w:w="0" w:type="dxa"/>
              <w:left w:w="0" w:type="dxa"/>
              <w:bottom w:w="0" w:type="dxa"/>
              <w:right w:w="0" w:type="dxa"/>
            </w:tcMar>
            <w:hideMark/>
          </w:tcPr>
          <w:p w14:paraId="05BAEFCA" w14:textId="77777777" w:rsidR="006161B2" w:rsidRPr="001A40B1" w:rsidRDefault="006161B2" w:rsidP="001A40B1">
            <w:pPr>
              <w:jc w:val="left"/>
              <w:rPr>
                <w:rFonts w:cs="Arial"/>
                <w:sz w:val="20"/>
                <w:szCs w:val="20"/>
              </w:rPr>
            </w:pPr>
            <w:r w:rsidRPr="001A40B1">
              <w:rPr>
                <w:rFonts w:cs="Arial"/>
                <w:sz w:val="20"/>
                <w:szCs w:val="20"/>
              </w:rPr>
              <w:t>[20]</w:t>
            </w:r>
          </w:p>
        </w:tc>
        <w:tc>
          <w:tcPr>
            <w:tcW w:w="10568" w:type="dxa"/>
            <w:tcMar>
              <w:top w:w="0" w:type="dxa"/>
              <w:left w:w="0" w:type="dxa"/>
              <w:bottom w:w="0" w:type="dxa"/>
              <w:right w:w="0" w:type="dxa"/>
            </w:tcMar>
            <w:hideMark/>
          </w:tcPr>
          <w:p w14:paraId="6F8DD9B8" w14:textId="77777777" w:rsidR="006161B2" w:rsidRPr="001A40B1" w:rsidRDefault="006161B2" w:rsidP="001A40B1">
            <w:pPr>
              <w:jc w:val="left"/>
              <w:rPr>
                <w:rFonts w:cs="Arial"/>
                <w:sz w:val="20"/>
                <w:szCs w:val="20"/>
              </w:rPr>
            </w:pPr>
            <w:r w:rsidRPr="001A40B1">
              <w:rPr>
                <w:rFonts w:cs="Arial"/>
                <w:sz w:val="20"/>
                <w:szCs w:val="20"/>
              </w:rPr>
              <w:t>Health and Safety Executive, “Managing for Health and Safety,” 2013. [Online]. Available: https://www.hse.gov.uk/pubns/priced/hsg65.pdf</w:t>
            </w:r>
          </w:p>
        </w:tc>
      </w:tr>
      <w:tr w:rsidR="006161B2" w:rsidRPr="001A40B1" w14:paraId="021F4E77" w14:textId="77777777" w:rsidTr="001A40B1">
        <w:tc>
          <w:tcPr>
            <w:tcW w:w="489" w:type="dxa"/>
            <w:noWrap/>
            <w:tcMar>
              <w:top w:w="0" w:type="dxa"/>
              <w:left w:w="0" w:type="dxa"/>
              <w:bottom w:w="0" w:type="dxa"/>
              <w:right w:w="0" w:type="dxa"/>
            </w:tcMar>
            <w:hideMark/>
          </w:tcPr>
          <w:p w14:paraId="31B18E75" w14:textId="77777777" w:rsidR="006161B2" w:rsidRPr="001A40B1" w:rsidRDefault="006161B2" w:rsidP="001A40B1">
            <w:pPr>
              <w:jc w:val="left"/>
              <w:rPr>
                <w:rFonts w:cs="Arial"/>
                <w:sz w:val="20"/>
                <w:szCs w:val="20"/>
              </w:rPr>
            </w:pPr>
            <w:r w:rsidRPr="001A40B1">
              <w:rPr>
                <w:rFonts w:cs="Arial"/>
                <w:sz w:val="20"/>
                <w:szCs w:val="20"/>
              </w:rPr>
              <w:t>[21]</w:t>
            </w:r>
          </w:p>
        </w:tc>
        <w:tc>
          <w:tcPr>
            <w:tcW w:w="10568" w:type="dxa"/>
            <w:tcMar>
              <w:top w:w="0" w:type="dxa"/>
              <w:left w:w="0" w:type="dxa"/>
              <w:bottom w:w="0" w:type="dxa"/>
              <w:right w:w="0" w:type="dxa"/>
            </w:tcMar>
            <w:hideMark/>
          </w:tcPr>
          <w:p w14:paraId="03B2EC49" w14:textId="77777777" w:rsidR="006161B2" w:rsidRPr="001A40B1" w:rsidRDefault="006161B2" w:rsidP="001A40B1">
            <w:pPr>
              <w:jc w:val="left"/>
              <w:rPr>
                <w:rFonts w:cs="Arial"/>
                <w:sz w:val="20"/>
                <w:szCs w:val="20"/>
              </w:rPr>
            </w:pPr>
            <w:r w:rsidRPr="001A40B1">
              <w:rPr>
                <w:rFonts w:cs="Arial"/>
                <w:sz w:val="20"/>
                <w:szCs w:val="20"/>
              </w:rPr>
              <w:t xml:space="preserve">“The Control of Noise at Work Regulations 2005,” </w:t>
            </w:r>
            <w:r w:rsidRPr="001A40B1">
              <w:rPr>
                <w:rFonts w:cs="Arial"/>
                <w:i/>
                <w:iCs/>
                <w:sz w:val="20"/>
                <w:szCs w:val="20"/>
              </w:rPr>
              <w:t>Legislation.gov.uk</w:t>
            </w:r>
            <w:r w:rsidRPr="001A40B1">
              <w:rPr>
                <w:rFonts w:cs="Arial"/>
                <w:sz w:val="20"/>
                <w:szCs w:val="20"/>
              </w:rPr>
              <w:t>, 2011. https://www.legislation.gov.uk/uksi/2005/1643/made</w:t>
            </w:r>
          </w:p>
        </w:tc>
      </w:tr>
      <w:tr w:rsidR="006161B2" w:rsidRPr="001A40B1" w14:paraId="73351B20" w14:textId="77777777" w:rsidTr="001A40B1">
        <w:tc>
          <w:tcPr>
            <w:tcW w:w="489" w:type="dxa"/>
            <w:noWrap/>
            <w:tcMar>
              <w:top w:w="0" w:type="dxa"/>
              <w:left w:w="0" w:type="dxa"/>
              <w:bottom w:w="0" w:type="dxa"/>
              <w:right w:w="0" w:type="dxa"/>
            </w:tcMar>
            <w:hideMark/>
          </w:tcPr>
          <w:p w14:paraId="0611E993" w14:textId="77777777" w:rsidR="006161B2" w:rsidRPr="001A40B1" w:rsidRDefault="006161B2" w:rsidP="001A40B1">
            <w:pPr>
              <w:jc w:val="left"/>
              <w:rPr>
                <w:rFonts w:cs="Arial"/>
                <w:sz w:val="20"/>
                <w:szCs w:val="20"/>
              </w:rPr>
            </w:pPr>
            <w:r w:rsidRPr="001A40B1">
              <w:rPr>
                <w:rFonts w:cs="Arial"/>
                <w:sz w:val="20"/>
                <w:szCs w:val="20"/>
              </w:rPr>
              <w:t>[22]</w:t>
            </w:r>
          </w:p>
        </w:tc>
        <w:tc>
          <w:tcPr>
            <w:tcW w:w="10568" w:type="dxa"/>
            <w:tcMar>
              <w:top w:w="0" w:type="dxa"/>
              <w:left w:w="0" w:type="dxa"/>
              <w:bottom w:w="0" w:type="dxa"/>
              <w:right w:w="0" w:type="dxa"/>
            </w:tcMar>
            <w:hideMark/>
          </w:tcPr>
          <w:p w14:paraId="783A64AC" w14:textId="77777777" w:rsidR="006161B2" w:rsidRPr="001A40B1" w:rsidRDefault="006161B2" w:rsidP="001A40B1">
            <w:pPr>
              <w:jc w:val="left"/>
              <w:rPr>
                <w:rFonts w:cs="Arial"/>
                <w:sz w:val="20"/>
                <w:szCs w:val="20"/>
              </w:rPr>
            </w:pPr>
            <w:r w:rsidRPr="001A40B1">
              <w:rPr>
                <w:rFonts w:cs="Arial"/>
                <w:sz w:val="20"/>
                <w:szCs w:val="20"/>
              </w:rPr>
              <w:t>HSE, “Health and Safety Executive HSE Books Controlling noise at work The Control of Noise at Work Regulations 2005 Guidance on Regulations,” 2021. [Online]. Available: https://www.hse.gov.uk/pubns/priced/l108.pdf</w:t>
            </w:r>
          </w:p>
        </w:tc>
      </w:tr>
      <w:tr w:rsidR="006161B2" w:rsidRPr="001A40B1" w14:paraId="5A6F7A48" w14:textId="77777777" w:rsidTr="001A40B1">
        <w:tc>
          <w:tcPr>
            <w:tcW w:w="489" w:type="dxa"/>
            <w:noWrap/>
            <w:tcMar>
              <w:top w:w="0" w:type="dxa"/>
              <w:left w:w="0" w:type="dxa"/>
              <w:bottom w:w="0" w:type="dxa"/>
              <w:right w:w="0" w:type="dxa"/>
            </w:tcMar>
            <w:hideMark/>
          </w:tcPr>
          <w:p w14:paraId="575E86E5" w14:textId="77777777" w:rsidR="006161B2" w:rsidRPr="001A40B1" w:rsidRDefault="006161B2" w:rsidP="001A40B1">
            <w:pPr>
              <w:jc w:val="left"/>
              <w:rPr>
                <w:rFonts w:cs="Arial"/>
                <w:sz w:val="20"/>
                <w:szCs w:val="20"/>
              </w:rPr>
            </w:pPr>
            <w:r w:rsidRPr="001A40B1">
              <w:rPr>
                <w:rFonts w:cs="Arial"/>
                <w:sz w:val="20"/>
                <w:szCs w:val="20"/>
              </w:rPr>
              <w:t>[23]</w:t>
            </w:r>
          </w:p>
        </w:tc>
        <w:tc>
          <w:tcPr>
            <w:tcW w:w="10568" w:type="dxa"/>
            <w:tcMar>
              <w:top w:w="0" w:type="dxa"/>
              <w:left w:w="0" w:type="dxa"/>
              <w:bottom w:w="0" w:type="dxa"/>
              <w:right w:w="0" w:type="dxa"/>
            </w:tcMar>
            <w:hideMark/>
          </w:tcPr>
          <w:p w14:paraId="6069EB29" w14:textId="77777777" w:rsidR="006161B2" w:rsidRPr="001A40B1" w:rsidRDefault="006161B2" w:rsidP="001A40B1">
            <w:pPr>
              <w:jc w:val="left"/>
              <w:rPr>
                <w:rFonts w:cs="Arial"/>
                <w:sz w:val="20"/>
                <w:szCs w:val="20"/>
              </w:rPr>
            </w:pPr>
            <w:r w:rsidRPr="001A40B1">
              <w:rPr>
                <w:rFonts w:cs="Arial"/>
                <w:sz w:val="20"/>
                <w:szCs w:val="20"/>
              </w:rPr>
              <w:t xml:space="preserve">legislation.gov.uk, “The Personal Protective Equipment at Work (Amendment) Regulations 2022,” </w:t>
            </w:r>
            <w:r w:rsidRPr="001A40B1">
              <w:rPr>
                <w:rFonts w:cs="Arial"/>
                <w:i/>
                <w:iCs/>
                <w:sz w:val="20"/>
                <w:szCs w:val="20"/>
              </w:rPr>
              <w:t>legislation.gov.uk</w:t>
            </w:r>
            <w:r w:rsidRPr="001A40B1">
              <w:rPr>
                <w:rFonts w:cs="Arial"/>
                <w:sz w:val="20"/>
                <w:szCs w:val="20"/>
              </w:rPr>
              <w:t>, 2022. https://www.legislation.gov.uk/uksi/2022/8/contents/made</w:t>
            </w:r>
          </w:p>
        </w:tc>
      </w:tr>
      <w:tr w:rsidR="006161B2" w:rsidRPr="001A40B1" w14:paraId="161C4D88" w14:textId="77777777" w:rsidTr="001A40B1">
        <w:tc>
          <w:tcPr>
            <w:tcW w:w="489" w:type="dxa"/>
            <w:noWrap/>
            <w:tcMar>
              <w:top w:w="0" w:type="dxa"/>
              <w:left w:w="0" w:type="dxa"/>
              <w:bottom w:w="0" w:type="dxa"/>
              <w:right w:w="0" w:type="dxa"/>
            </w:tcMar>
            <w:hideMark/>
          </w:tcPr>
          <w:p w14:paraId="01B2F5B3" w14:textId="77777777" w:rsidR="006161B2" w:rsidRPr="001A40B1" w:rsidRDefault="006161B2" w:rsidP="001A40B1">
            <w:pPr>
              <w:jc w:val="left"/>
              <w:rPr>
                <w:rFonts w:cs="Arial"/>
                <w:sz w:val="20"/>
                <w:szCs w:val="20"/>
              </w:rPr>
            </w:pPr>
            <w:r w:rsidRPr="001A40B1">
              <w:rPr>
                <w:rFonts w:cs="Arial"/>
                <w:sz w:val="20"/>
                <w:szCs w:val="20"/>
              </w:rPr>
              <w:t>[24]</w:t>
            </w:r>
          </w:p>
        </w:tc>
        <w:tc>
          <w:tcPr>
            <w:tcW w:w="10568" w:type="dxa"/>
            <w:tcMar>
              <w:top w:w="0" w:type="dxa"/>
              <w:left w:w="0" w:type="dxa"/>
              <w:bottom w:w="0" w:type="dxa"/>
              <w:right w:w="0" w:type="dxa"/>
            </w:tcMar>
            <w:hideMark/>
          </w:tcPr>
          <w:p w14:paraId="498889D3" w14:textId="77777777" w:rsidR="006161B2" w:rsidRPr="001A40B1" w:rsidRDefault="006161B2" w:rsidP="001A40B1">
            <w:pPr>
              <w:jc w:val="left"/>
              <w:rPr>
                <w:rFonts w:cs="Arial"/>
                <w:sz w:val="20"/>
                <w:szCs w:val="20"/>
              </w:rPr>
            </w:pPr>
            <w:r w:rsidRPr="001A40B1">
              <w:rPr>
                <w:rFonts w:cs="Arial"/>
                <w:sz w:val="20"/>
                <w:szCs w:val="20"/>
              </w:rPr>
              <w:t xml:space="preserve">Health and Safety Executive, “Overview - Using personal protective equipment (PPE) to control risks at work - HSE,” </w:t>
            </w:r>
            <w:r w:rsidRPr="001A40B1">
              <w:rPr>
                <w:rFonts w:cs="Arial"/>
                <w:i/>
                <w:iCs/>
                <w:sz w:val="20"/>
                <w:szCs w:val="20"/>
              </w:rPr>
              <w:t>www.hse.gov.uk</w:t>
            </w:r>
            <w:r w:rsidRPr="001A40B1">
              <w:rPr>
                <w:rFonts w:cs="Arial"/>
                <w:sz w:val="20"/>
                <w:szCs w:val="20"/>
              </w:rPr>
              <w:t>, 2022. https://www.hse.gov.uk/ppe/overview.htm</w:t>
            </w:r>
          </w:p>
        </w:tc>
      </w:tr>
      <w:tr w:rsidR="006161B2" w:rsidRPr="001A40B1" w14:paraId="6BDAE6E2" w14:textId="77777777" w:rsidTr="001A40B1">
        <w:tc>
          <w:tcPr>
            <w:tcW w:w="489" w:type="dxa"/>
            <w:noWrap/>
            <w:tcMar>
              <w:top w:w="0" w:type="dxa"/>
              <w:left w:w="0" w:type="dxa"/>
              <w:bottom w:w="0" w:type="dxa"/>
              <w:right w:w="0" w:type="dxa"/>
            </w:tcMar>
            <w:hideMark/>
          </w:tcPr>
          <w:p w14:paraId="56D717C5" w14:textId="77777777" w:rsidR="006161B2" w:rsidRPr="001A40B1" w:rsidRDefault="006161B2" w:rsidP="001A40B1">
            <w:pPr>
              <w:jc w:val="left"/>
              <w:rPr>
                <w:rFonts w:cs="Arial"/>
                <w:sz w:val="20"/>
                <w:szCs w:val="20"/>
              </w:rPr>
            </w:pPr>
            <w:r w:rsidRPr="001A40B1">
              <w:rPr>
                <w:rFonts w:cs="Arial"/>
                <w:sz w:val="20"/>
                <w:szCs w:val="20"/>
              </w:rPr>
              <w:t>[25]</w:t>
            </w:r>
          </w:p>
        </w:tc>
        <w:tc>
          <w:tcPr>
            <w:tcW w:w="10568" w:type="dxa"/>
            <w:tcMar>
              <w:top w:w="0" w:type="dxa"/>
              <w:left w:w="0" w:type="dxa"/>
              <w:bottom w:w="0" w:type="dxa"/>
              <w:right w:w="0" w:type="dxa"/>
            </w:tcMar>
            <w:hideMark/>
          </w:tcPr>
          <w:p w14:paraId="14B7D7B5" w14:textId="77777777" w:rsidR="006161B2" w:rsidRPr="001A40B1" w:rsidRDefault="006161B2" w:rsidP="001A40B1">
            <w:pPr>
              <w:jc w:val="left"/>
              <w:rPr>
                <w:rFonts w:cs="Arial"/>
                <w:sz w:val="20"/>
                <w:szCs w:val="20"/>
              </w:rPr>
            </w:pPr>
            <w:r w:rsidRPr="001A40B1">
              <w:rPr>
                <w:rFonts w:cs="Arial"/>
                <w:sz w:val="20"/>
                <w:szCs w:val="20"/>
              </w:rPr>
              <w:t xml:space="preserve">Ministry of Defence, “Defence ranges safety (JSP 403 volume 2),” </w:t>
            </w:r>
            <w:r w:rsidRPr="001A40B1">
              <w:rPr>
                <w:rFonts w:cs="Arial"/>
                <w:i/>
                <w:iCs/>
                <w:sz w:val="20"/>
                <w:szCs w:val="20"/>
              </w:rPr>
              <w:t>GOV.UK</w:t>
            </w:r>
            <w:r w:rsidRPr="001A40B1">
              <w:rPr>
                <w:rFonts w:cs="Arial"/>
                <w:sz w:val="20"/>
                <w:szCs w:val="20"/>
              </w:rPr>
              <w:t>, Aug. 31, 2011. https://www.gov.uk/government/publications/jsp-403-volume-2 (accessed July 06, 2026).</w:t>
            </w:r>
          </w:p>
        </w:tc>
      </w:tr>
      <w:tr w:rsidR="006161B2" w:rsidRPr="001A40B1" w14:paraId="56FC46E1" w14:textId="77777777" w:rsidTr="001A40B1">
        <w:tc>
          <w:tcPr>
            <w:tcW w:w="489" w:type="dxa"/>
            <w:noWrap/>
            <w:tcMar>
              <w:top w:w="0" w:type="dxa"/>
              <w:left w:w="0" w:type="dxa"/>
              <w:bottom w:w="0" w:type="dxa"/>
              <w:right w:w="0" w:type="dxa"/>
            </w:tcMar>
            <w:hideMark/>
          </w:tcPr>
          <w:p w14:paraId="47D86BC7" w14:textId="77777777" w:rsidR="006161B2" w:rsidRPr="001A40B1" w:rsidRDefault="006161B2" w:rsidP="001A40B1">
            <w:pPr>
              <w:jc w:val="left"/>
              <w:rPr>
                <w:rFonts w:cs="Arial"/>
                <w:sz w:val="20"/>
                <w:szCs w:val="20"/>
              </w:rPr>
            </w:pPr>
            <w:r w:rsidRPr="001A40B1">
              <w:rPr>
                <w:rFonts w:cs="Arial"/>
                <w:sz w:val="20"/>
                <w:szCs w:val="20"/>
              </w:rPr>
              <w:t>[26]</w:t>
            </w:r>
          </w:p>
        </w:tc>
        <w:tc>
          <w:tcPr>
            <w:tcW w:w="10568" w:type="dxa"/>
            <w:tcMar>
              <w:top w:w="0" w:type="dxa"/>
              <w:left w:w="0" w:type="dxa"/>
              <w:bottom w:w="0" w:type="dxa"/>
              <w:right w:w="0" w:type="dxa"/>
            </w:tcMar>
            <w:hideMark/>
          </w:tcPr>
          <w:p w14:paraId="54AB9EEA" w14:textId="77777777" w:rsidR="006161B2" w:rsidRPr="001A40B1" w:rsidRDefault="006161B2" w:rsidP="001A40B1">
            <w:pPr>
              <w:jc w:val="left"/>
              <w:rPr>
                <w:rFonts w:cs="Arial"/>
                <w:sz w:val="20"/>
                <w:szCs w:val="20"/>
              </w:rPr>
            </w:pPr>
            <w:r w:rsidRPr="001A40B1">
              <w:rPr>
                <w:rFonts w:cs="Arial"/>
                <w:sz w:val="20"/>
                <w:szCs w:val="20"/>
              </w:rPr>
              <w:t xml:space="preserve">“The Explosives Regulations 2014,” </w:t>
            </w:r>
            <w:r w:rsidRPr="001A40B1">
              <w:rPr>
                <w:rFonts w:cs="Arial"/>
                <w:i/>
                <w:iCs/>
                <w:sz w:val="20"/>
                <w:szCs w:val="20"/>
              </w:rPr>
              <w:t>Legislation.gov.uk</w:t>
            </w:r>
            <w:r w:rsidRPr="001A40B1">
              <w:rPr>
                <w:rFonts w:cs="Arial"/>
                <w:sz w:val="20"/>
                <w:szCs w:val="20"/>
              </w:rPr>
              <w:t>, 2014. https://www.legislation.gov.uk/uksi/2014/1638/contents/made</w:t>
            </w:r>
          </w:p>
        </w:tc>
      </w:tr>
      <w:tr w:rsidR="006161B2" w:rsidRPr="001A40B1" w14:paraId="4079ACDF" w14:textId="77777777" w:rsidTr="001A40B1">
        <w:tc>
          <w:tcPr>
            <w:tcW w:w="489" w:type="dxa"/>
            <w:noWrap/>
            <w:tcMar>
              <w:top w:w="0" w:type="dxa"/>
              <w:left w:w="0" w:type="dxa"/>
              <w:bottom w:w="0" w:type="dxa"/>
              <w:right w:w="0" w:type="dxa"/>
            </w:tcMar>
            <w:hideMark/>
          </w:tcPr>
          <w:p w14:paraId="273817B5" w14:textId="77777777" w:rsidR="006161B2" w:rsidRPr="001A40B1" w:rsidRDefault="006161B2" w:rsidP="001A40B1">
            <w:pPr>
              <w:jc w:val="left"/>
              <w:rPr>
                <w:rFonts w:cs="Arial"/>
                <w:sz w:val="20"/>
                <w:szCs w:val="20"/>
              </w:rPr>
            </w:pPr>
            <w:r w:rsidRPr="001A40B1">
              <w:rPr>
                <w:rFonts w:cs="Arial"/>
                <w:sz w:val="20"/>
                <w:szCs w:val="20"/>
              </w:rPr>
              <w:t>[27]</w:t>
            </w:r>
          </w:p>
        </w:tc>
        <w:tc>
          <w:tcPr>
            <w:tcW w:w="10568" w:type="dxa"/>
            <w:tcMar>
              <w:top w:w="0" w:type="dxa"/>
              <w:left w:w="0" w:type="dxa"/>
              <w:bottom w:w="0" w:type="dxa"/>
              <w:right w:w="0" w:type="dxa"/>
            </w:tcMar>
            <w:hideMark/>
          </w:tcPr>
          <w:p w14:paraId="2DF238CC" w14:textId="77777777" w:rsidR="006161B2" w:rsidRPr="001A40B1" w:rsidRDefault="006161B2" w:rsidP="001A40B1">
            <w:pPr>
              <w:jc w:val="left"/>
              <w:rPr>
                <w:rFonts w:cs="Arial"/>
                <w:sz w:val="20"/>
                <w:szCs w:val="20"/>
              </w:rPr>
            </w:pPr>
            <w:r w:rsidRPr="001A40B1">
              <w:rPr>
                <w:rFonts w:cs="Arial"/>
                <w:sz w:val="20"/>
                <w:szCs w:val="20"/>
              </w:rPr>
              <w:t xml:space="preserve">HSE, “HSE Explosives - Storing explosives,” </w:t>
            </w:r>
            <w:r w:rsidRPr="001A40B1">
              <w:rPr>
                <w:rFonts w:cs="Arial"/>
                <w:i/>
                <w:iCs/>
                <w:sz w:val="20"/>
                <w:szCs w:val="20"/>
              </w:rPr>
              <w:t>www.hse.gov.uk</w:t>
            </w:r>
            <w:r w:rsidRPr="001A40B1">
              <w:rPr>
                <w:rFonts w:cs="Arial"/>
                <w:sz w:val="20"/>
                <w:szCs w:val="20"/>
              </w:rPr>
              <w:t>. https://www.hse.gov.uk/explosives/licensing/storage/</w:t>
            </w:r>
          </w:p>
        </w:tc>
      </w:tr>
      <w:tr w:rsidR="006161B2" w:rsidRPr="001A40B1" w14:paraId="271C68E5" w14:textId="77777777" w:rsidTr="001A40B1">
        <w:tc>
          <w:tcPr>
            <w:tcW w:w="489" w:type="dxa"/>
            <w:noWrap/>
            <w:tcMar>
              <w:top w:w="0" w:type="dxa"/>
              <w:left w:w="0" w:type="dxa"/>
              <w:bottom w:w="0" w:type="dxa"/>
              <w:right w:w="0" w:type="dxa"/>
            </w:tcMar>
            <w:hideMark/>
          </w:tcPr>
          <w:p w14:paraId="16E9BAC9" w14:textId="77777777" w:rsidR="006161B2" w:rsidRPr="001A40B1" w:rsidRDefault="006161B2" w:rsidP="001A40B1">
            <w:pPr>
              <w:jc w:val="left"/>
              <w:rPr>
                <w:rFonts w:cs="Arial"/>
                <w:sz w:val="20"/>
                <w:szCs w:val="20"/>
              </w:rPr>
            </w:pPr>
            <w:r w:rsidRPr="001A40B1">
              <w:rPr>
                <w:rFonts w:cs="Arial"/>
                <w:sz w:val="20"/>
                <w:szCs w:val="20"/>
              </w:rPr>
              <w:t>[28]</w:t>
            </w:r>
          </w:p>
        </w:tc>
        <w:tc>
          <w:tcPr>
            <w:tcW w:w="10568" w:type="dxa"/>
            <w:tcMar>
              <w:top w:w="0" w:type="dxa"/>
              <w:left w:w="0" w:type="dxa"/>
              <w:bottom w:w="0" w:type="dxa"/>
              <w:right w:w="0" w:type="dxa"/>
            </w:tcMar>
            <w:hideMark/>
          </w:tcPr>
          <w:p w14:paraId="1FAF6758" w14:textId="77777777" w:rsidR="006161B2" w:rsidRPr="001A40B1" w:rsidRDefault="006161B2" w:rsidP="001A40B1">
            <w:pPr>
              <w:jc w:val="left"/>
              <w:rPr>
                <w:rFonts w:cs="Arial"/>
                <w:sz w:val="20"/>
                <w:szCs w:val="20"/>
              </w:rPr>
            </w:pPr>
            <w:r w:rsidRPr="001A40B1">
              <w:rPr>
                <w:rFonts w:cs="Arial"/>
                <w:sz w:val="20"/>
                <w:szCs w:val="20"/>
              </w:rPr>
              <w:t xml:space="preserve">GOV.UK, “The Management of Health and Safety at Work Regulations 1999,” </w:t>
            </w:r>
            <w:r w:rsidRPr="001A40B1">
              <w:rPr>
                <w:rFonts w:cs="Arial"/>
                <w:i/>
                <w:iCs/>
                <w:sz w:val="20"/>
                <w:szCs w:val="20"/>
              </w:rPr>
              <w:t>Legislation.gov.uk</w:t>
            </w:r>
            <w:r w:rsidRPr="001A40B1">
              <w:rPr>
                <w:rFonts w:cs="Arial"/>
                <w:sz w:val="20"/>
                <w:szCs w:val="20"/>
              </w:rPr>
              <w:t>, 1999. https://www.legislation.gov.uk/uksi/1999/3242/contents</w:t>
            </w:r>
          </w:p>
        </w:tc>
      </w:tr>
      <w:tr w:rsidR="006161B2" w:rsidRPr="001A40B1" w14:paraId="43346B67" w14:textId="77777777" w:rsidTr="001A40B1">
        <w:tc>
          <w:tcPr>
            <w:tcW w:w="489" w:type="dxa"/>
            <w:noWrap/>
            <w:tcMar>
              <w:top w:w="0" w:type="dxa"/>
              <w:left w:w="0" w:type="dxa"/>
              <w:bottom w:w="0" w:type="dxa"/>
              <w:right w:w="0" w:type="dxa"/>
            </w:tcMar>
            <w:hideMark/>
          </w:tcPr>
          <w:p w14:paraId="07F0EF70" w14:textId="77777777" w:rsidR="006161B2" w:rsidRPr="001A40B1" w:rsidRDefault="006161B2" w:rsidP="001A40B1">
            <w:pPr>
              <w:jc w:val="left"/>
              <w:rPr>
                <w:rFonts w:cs="Arial"/>
                <w:sz w:val="20"/>
                <w:szCs w:val="20"/>
              </w:rPr>
            </w:pPr>
            <w:r w:rsidRPr="001A40B1">
              <w:rPr>
                <w:rFonts w:cs="Arial"/>
                <w:sz w:val="20"/>
                <w:szCs w:val="20"/>
              </w:rPr>
              <w:lastRenderedPageBreak/>
              <w:t>[29]</w:t>
            </w:r>
          </w:p>
        </w:tc>
        <w:tc>
          <w:tcPr>
            <w:tcW w:w="10568" w:type="dxa"/>
            <w:tcMar>
              <w:top w:w="0" w:type="dxa"/>
              <w:left w:w="0" w:type="dxa"/>
              <w:bottom w:w="0" w:type="dxa"/>
              <w:right w:w="0" w:type="dxa"/>
            </w:tcMar>
            <w:hideMark/>
          </w:tcPr>
          <w:p w14:paraId="411E51C9" w14:textId="77777777" w:rsidR="006161B2" w:rsidRPr="001A40B1" w:rsidRDefault="006161B2" w:rsidP="001A40B1">
            <w:pPr>
              <w:jc w:val="left"/>
              <w:rPr>
                <w:rFonts w:cs="Arial"/>
                <w:sz w:val="20"/>
                <w:szCs w:val="20"/>
              </w:rPr>
            </w:pPr>
            <w:r w:rsidRPr="001A40B1">
              <w:rPr>
                <w:rFonts w:cs="Arial"/>
                <w:sz w:val="20"/>
                <w:szCs w:val="20"/>
              </w:rPr>
              <w:t xml:space="preserve">HSE, “Manufacture, storage and carriage of thermites and </w:t>
            </w:r>
            <w:proofErr w:type="gramStart"/>
            <w:r w:rsidRPr="001A40B1">
              <w:rPr>
                <w:rFonts w:cs="Arial"/>
                <w:sz w:val="20"/>
                <w:szCs w:val="20"/>
              </w:rPr>
              <w:t>thermite</w:t>
            </w:r>
            <w:proofErr w:type="gramEnd"/>
            <w:r w:rsidRPr="001A40B1">
              <w:rPr>
                <w:rFonts w:cs="Arial"/>
                <w:sz w:val="20"/>
                <w:szCs w:val="20"/>
              </w:rPr>
              <w:t xml:space="preserve"> containing articles - HSE,” </w:t>
            </w:r>
            <w:r w:rsidRPr="001A40B1">
              <w:rPr>
                <w:rFonts w:cs="Arial"/>
                <w:i/>
                <w:iCs/>
                <w:sz w:val="20"/>
                <w:szCs w:val="20"/>
              </w:rPr>
              <w:t>Hse.gov.uk</w:t>
            </w:r>
            <w:r w:rsidRPr="001A40B1">
              <w:rPr>
                <w:rFonts w:cs="Arial"/>
                <w:sz w:val="20"/>
                <w:szCs w:val="20"/>
              </w:rPr>
              <w:t>, 2024. https://www.hse.gov.uk/explosives/manufacture-storage-carriage-of-thermites.htm</w:t>
            </w:r>
          </w:p>
        </w:tc>
      </w:tr>
      <w:tr w:rsidR="006161B2" w:rsidRPr="001A40B1" w14:paraId="4E2A47E7" w14:textId="77777777" w:rsidTr="001A40B1">
        <w:tc>
          <w:tcPr>
            <w:tcW w:w="489" w:type="dxa"/>
            <w:noWrap/>
            <w:tcMar>
              <w:top w:w="0" w:type="dxa"/>
              <w:left w:w="0" w:type="dxa"/>
              <w:bottom w:w="0" w:type="dxa"/>
              <w:right w:w="0" w:type="dxa"/>
            </w:tcMar>
            <w:hideMark/>
          </w:tcPr>
          <w:p w14:paraId="4D093106" w14:textId="77777777" w:rsidR="006161B2" w:rsidRPr="001A40B1" w:rsidRDefault="006161B2" w:rsidP="001A40B1">
            <w:pPr>
              <w:jc w:val="left"/>
              <w:rPr>
                <w:rFonts w:cs="Arial"/>
                <w:sz w:val="20"/>
                <w:szCs w:val="20"/>
              </w:rPr>
            </w:pPr>
            <w:r w:rsidRPr="001A40B1">
              <w:rPr>
                <w:rFonts w:cs="Arial"/>
                <w:sz w:val="20"/>
                <w:szCs w:val="20"/>
              </w:rPr>
              <w:t>[30]</w:t>
            </w:r>
          </w:p>
        </w:tc>
        <w:tc>
          <w:tcPr>
            <w:tcW w:w="10568" w:type="dxa"/>
            <w:tcMar>
              <w:top w:w="0" w:type="dxa"/>
              <w:left w:w="0" w:type="dxa"/>
              <w:bottom w:w="0" w:type="dxa"/>
              <w:right w:w="0" w:type="dxa"/>
            </w:tcMar>
            <w:hideMark/>
          </w:tcPr>
          <w:p w14:paraId="74AA8E84" w14:textId="77777777" w:rsidR="006161B2" w:rsidRPr="001A40B1" w:rsidRDefault="006161B2" w:rsidP="001A40B1">
            <w:pPr>
              <w:jc w:val="left"/>
              <w:rPr>
                <w:rFonts w:cs="Arial"/>
                <w:sz w:val="20"/>
                <w:szCs w:val="20"/>
              </w:rPr>
            </w:pPr>
            <w:r w:rsidRPr="001A40B1">
              <w:rPr>
                <w:rFonts w:cs="Arial"/>
                <w:sz w:val="20"/>
                <w:szCs w:val="20"/>
              </w:rPr>
              <w:t xml:space="preserve">HSE, “About Dangerous Substances - Fire and Explosion,” </w:t>
            </w:r>
            <w:r w:rsidRPr="001A40B1">
              <w:rPr>
                <w:rFonts w:cs="Arial"/>
                <w:i/>
                <w:iCs/>
                <w:sz w:val="20"/>
                <w:szCs w:val="20"/>
              </w:rPr>
              <w:t>Hse.gov.uk</w:t>
            </w:r>
            <w:r w:rsidRPr="001A40B1">
              <w:rPr>
                <w:rFonts w:cs="Arial"/>
                <w:sz w:val="20"/>
                <w:szCs w:val="20"/>
              </w:rPr>
              <w:t>, 2019. https://www.hse.gov.uk/fireandexplosion/about.htm</w:t>
            </w:r>
          </w:p>
        </w:tc>
      </w:tr>
      <w:tr w:rsidR="006161B2" w:rsidRPr="001A40B1" w14:paraId="7A8C19F0" w14:textId="77777777" w:rsidTr="001A40B1">
        <w:tc>
          <w:tcPr>
            <w:tcW w:w="489" w:type="dxa"/>
            <w:noWrap/>
            <w:tcMar>
              <w:top w:w="0" w:type="dxa"/>
              <w:left w:w="0" w:type="dxa"/>
              <w:bottom w:w="0" w:type="dxa"/>
              <w:right w:w="0" w:type="dxa"/>
            </w:tcMar>
            <w:hideMark/>
          </w:tcPr>
          <w:p w14:paraId="47153CC3" w14:textId="77777777" w:rsidR="006161B2" w:rsidRPr="001A40B1" w:rsidRDefault="006161B2" w:rsidP="001A40B1">
            <w:pPr>
              <w:jc w:val="left"/>
              <w:rPr>
                <w:rFonts w:cs="Arial"/>
                <w:sz w:val="20"/>
                <w:szCs w:val="20"/>
              </w:rPr>
            </w:pPr>
            <w:r w:rsidRPr="001A40B1">
              <w:rPr>
                <w:rFonts w:cs="Arial"/>
                <w:sz w:val="20"/>
                <w:szCs w:val="20"/>
              </w:rPr>
              <w:t>[31]</w:t>
            </w:r>
          </w:p>
        </w:tc>
        <w:tc>
          <w:tcPr>
            <w:tcW w:w="10568" w:type="dxa"/>
            <w:tcMar>
              <w:top w:w="0" w:type="dxa"/>
              <w:left w:w="0" w:type="dxa"/>
              <w:bottom w:w="0" w:type="dxa"/>
              <w:right w:w="0" w:type="dxa"/>
            </w:tcMar>
            <w:hideMark/>
          </w:tcPr>
          <w:p w14:paraId="14C8E87F" w14:textId="77777777" w:rsidR="006161B2" w:rsidRPr="001A40B1" w:rsidRDefault="006161B2" w:rsidP="001A40B1">
            <w:pPr>
              <w:jc w:val="left"/>
              <w:rPr>
                <w:rFonts w:cs="Arial"/>
                <w:sz w:val="20"/>
                <w:szCs w:val="20"/>
              </w:rPr>
            </w:pPr>
            <w:r w:rsidRPr="001A40B1">
              <w:rPr>
                <w:rFonts w:cs="Arial"/>
                <w:sz w:val="20"/>
                <w:szCs w:val="20"/>
              </w:rPr>
              <w:t xml:space="preserve">HSE, “Reducing Error and Influencing Behaviour,” </w:t>
            </w:r>
            <w:r w:rsidRPr="001A40B1">
              <w:rPr>
                <w:rFonts w:cs="Arial"/>
                <w:i/>
                <w:iCs/>
                <w:sz w:val="20"/>
                <w:szCs w:val="20"/>
              </w:rPr>
              <w:t>Structural Survey</w:t>
            </w:r>
            <w:r w:rsidRPr="001A40B1">
              <w:rPr>
                <w:rFonts w:cs="Arial"/>
                <w:sz w:val="20"/>
                <w:szCs w:val="20"/>
              </w:rPr>
              <w:t xml:space="preserve">, vol. 17, no. 3, Sept. 1999, </w:t>
            </w:r>
            <w:proofErr w:type="spellStart"/>
            <w:r w:rsidRPr="001A40B1">
              <w:rPr>
                <w:rFonts w:cs="Arial"/>
                <w:sz w:val="20"/>
                <w:szCs w:val="20"/>
              </w:rPr>
              <w:t>doi</w:t>
            </w:r>
            <w:proofErr w:type="spellEnd"/>
            <w:r w:rsidRPr="001A40B1">
              <w:rPr>
                <w:rFonts w:cs="Arial"/>
                <w:sz w:val="20"/>
                <w:szCs w:val="20"/>
              </w:rPr>
              <w:t>: 10.1108/ss.1999.11017cae.007.</w:t>
            </w:r>
          </w:p>
        </w:tc>
      </w:tr>
      <w:tr w:rsidR="006161B2" w:rsidRPr="001A40B1" w14:paraId="4AF8522A" w14:textId="77777777" w:rsidTr="001A40B1">
        <w:tc>
          <w:tcPr>
            <w:tcW w:w="489" w:type="dxa"/>
            <w:noWrap/>
            <w:tcMar>
              <w:top w:w="0" w:type="dxa"/>
              <w:left w:w="0" w:type="dxa"/>
              <w:bottom w:w="0" w:type="dxa"/>
              <w:right w:w="0" w:type="dxa"/>
            </w:tcMar>
            <w:hideMark/>
          </w:tcPr>
          <w:p w14:paraId="6BCC092A" w14:textId="77777777" w:rsidR="006161B2" w:rsidRPr="001A40B1" w:rsidRDefault="006161B2" w:rsidP="001A40B1">
            <w:pPr>
              <w:jc w:val="left"/>
              <w:rPr>
                <w:rFonts w:cs="Arial"/>
                <w:sz w:val="20"/>
                <w:szCs w:val="20"/>
              </w:rPr>
            </w:pPr>
            <w:r w:rsidRPr="001A40B1">
              <w:rPr>
                <w:rFonts w:cs="Arial"/>
                <w:sz w:val="20"/>
                <w:szCs w:val="20"/>
              </w:rPr>
              <w:t>[32]</w:t>
            </w:r>
          </w:p>
        </w:tc>
        <w:tc>
          <w:tcPr>
            <w:tcW w:w="10568" w:type="dxa"/>
            <w:tcMar>
              <w:top w:w="0" w:type="dxa"/>
              <w:left w:w="0" w:type="dxa"/>
              <w:bottom w:w="0" w:type="dxa"/>
              <w:right w:w="0" w:type="dxa"/>
            </w:tcMar>
            <w:hideMark/>
          </w:tcPr>
          <w:p w14:paraId="0D888F90" w14:textId="77777777" w:rsidR="006161B2" w:rsidRPr="001A40B1" w:rsidRDefault="006161B2" w:rsidP="001A40B1">
            <w:pPr>
              <w:jc w:val="left"/>
              <w:rPr>
                <w:rFonts w:cs="Arial"/>
                <w:sz w:val="20"/>
                <w:szCs w:val="20"/>
              </w:rPr>
            </w:pPr>
            <w:r w:rsidRPr="001A40B1">
              <w:rPr>
                <w:rFonts w:cs="Arial"/>
                <w:sz w:val="20"/>
                <w:szCs w:val="20"/>
              </w:rPr>
              <w:t xml:space="preserve">NSPA, “Recommended AK-47 (Kalashnikov) Assault Rifle </w:t>
            </w:r>
            <w:proofErr w:type="gramStart"/>
            <w:r w:rsidRPr="001A40B1">
              <w:rPr>
                <w:rFonts w:cs="Arial"/>
                <w:sz w:val="20"/>
                <w:szCs w:val="20"/>
              </w:rPr>
              <w:t>Rounds ,</w:t>
            </w:r>
            <w:proofErr w:type="gramEnd"/>
            <w:r w:rsidRPr="001A40B1">
              <w:rPr>
                <w:rFonts w:cs="Arial"/>
                <w:sz w:val="20"/>
                <w:szCs w:val="20"/>
              </w:rPr>
              <w:t>” Dec. 2025. https://www.npsa.gov.uk/system/files/documents/Ballistic%20Testing%20AK47.pdf (accessed July 10, 2026).</w:t>
            </w:r>
          </w:p>
        </w:tc>
      </w:tr>
      <w:tr w:rsidR="006161B2" w:rsidRPr="001A40B1" w14:paraId="2C73F0CF" w14:textId="77777777" w:rsidTr="001A40B1">
        <w:tc>
          <w:tcPr>
            <w:tcW w:w="489" w:type="dxa"/>
            <w:noWrap/>
            <w:tcMar>
              <w:top w:w="0" w:type="dxa"/>
              <w:left w:w="0" w:type="dxa"/>
              <w:bottom w:w="0" w:type="dxa"/>
              <w:right w:w="0" w:type="dxa"/>
            </w:tcMar>
            <w:hideMark/>
          </w:tcPr>
          <w:p w14:paraId="337500B5" w14:textId="77777777" w:rsidR="006161B2" w:rsidRPr="001A40B1" w:rsidRDefault="006161B2" w:rsidP="001A40B1">
            <w:pPr>
              <w:jc w:val="left"/>
              <w:rPr>
                <w:rFonts w:cs="Arial"/>
                <w:sz w:val="20"/>
                <w:szCs w:val="20"/>
              </w:rPr>
            </w:pPr>
            <w:r w:rsidRPr="001A40B1">
              <w:rPr>
                <w:rFonts w:cs="Arial"/>
                <w:sz w:val="20"/>
                <w:szCs w:val="20"/>
              </w:rPr>
              <w:t>[33]</w:t>
            </w:r>
          </w:p>
        </w:tc>
        <w:tc>
          <w:tcPr>
            <w:tcW w:w="10568" w:type="dxa"/>
            <w:tcMar>
              <w:top w:w="0" w:type="dxa"/>
              <w:left w:w="0" w:type="dxa"/>
              <w:bottom w:w="0" w:type="dxa"/>
              <w:right w:w="0" w:type="dxa"/>
            </w:tcMar>
            <w:hideMark/>
          </w:tcPr>
          <w:p w14:paraId="2AA8E55D" w14:textId="77777777" w:rsidR="006161B2" w:rsidRPr="001A40B1" w:rsidRDefault="006161B2" w:rsidP="001A40B1">
            <w:pPr>
              <w:jc w:val="left"/>
              <w:rPr>
                <w:rFonts w:cs="Arial"/>
                <w:sz w:val="20"/>
                <w:szCs w:val="20"/>
              </w:rPr>
            </w:pPr>
            <w:r w:rsidRPr="001A40B1">
              <w:rPr>
                <w:rFonts w:cs="Arial"/>
                <w:sz w:val="20"/>
                <w:szCs w:val="20"/>
              </w:rPr>
              <w:t>Dismounted Close Combat, “Training Publications Volume 1 Individual Training - Close Combat - Survivability- Fieldcraft, Battle Lesson &amp; Exercises, AC71717,” Apr. 2022.</w:t>
            </w:r>
          </w:p>
        </w:tc>
      </w:tr>
      <w:tr w:rsidR="006161B2" w:rsidRPr="001A40B1" w14:paraId="32111650" w14:textId="77777777" w:rsidTr="001A40B1">
        <w:tc>
          <w:tcPr>
            <w:tcW w:w="489" w:type="dxa"/>
            <w:noWrap/>
            <w:tcMar>
              <w:top w:w="0" w:type="dxa"/>
              <w:left w:w="0" w:type="dxa"/>
              <w:bottom w:w="0" w:type="dxa"/>
              <w:right w:w="0" w:type="dxa"/>
            </w:tcMar>
            <w:hideMark/>
          </w:tcPr>
          <w:p w14:paraId="76EA0EBC" w14:textId="77777777" w:rsidR="006161B2" w:rsidRPr="001A40B1" w:rsidRDefault="006161B2" w:rsidP="001A40B1">
            <w:pPr>
              <w:jc w:val="left"/>
              <w:rPr>
                <w:rFonts w:cs="Arial"/>
                <w:sz w:val="20"/>
                <w:szCs w:val="20"/>
              </w:rPr>
            </w:pPr>
            <w:r w:rsidRPr="001A40B1">
              <w:rPr>
                <w:rFonts w:cs="Arial"/>
                <w:sz w:val="20"/>
                <w:szCs w:val="20"/>
              </w:rPr>
              <w:t>[34]</w:t>
            </w:r>
          </w:p>
        </w:tc>
        <w:tc>
          <w:tcPr>
            <w:tcW w:w="10568" w:type="dxa"/>
            <w:tcMar>
              <w:top w:w="0" w:type="dxa"/>
              <w:left w:w="0" w:type="dxa"/>
              <w:bottom w:w="0" w:type="dxa"/>
              <w:right w:w="0" w:type="dxa"/>
            </w:tcMar>
            <w:hideMark/>
          </w:tcPr>
          <w:p w14:paraId="0C4444D3" w14:textId="77777777" w:rsidR="006161B2" w:rsidRPr="001A40B1" w:rsidRDefault="006161B2" w:rsidP="001A40B1">
            <w:pPr>
              <w:jc w:val="left"/>
              <w:rPr>
                <w:rFonts w:cs="Arial"/>
                <w:sz w:val="20"/>
                <w:szCs w:val="20"/>
              </w:rPr>
            </w:pPr>
            <w:r w:rsidRPr="001A40B1">
              <w:rPr>
                <w:rFonts w:cs="Arial"/>
                <w:sz w:val="20"/>
                <w:szCs w:val="20"/>
              </w:rPr>
              <w:t xml:space="preserve">Close Combat, “Pamphlet No 21- Training Regulations </w:t>
            </w:r>
            <w:proofErr w:type="gramStart"/>
            <w:r w:rsidRPr="001A40B1">
              <w:rPr>
                <w:rFonts w:cs="Arial"/>
                <w:sz w:val="20"/>
                <w:szCs w:val="20"/>
              </w:rPr>
              <w:t>For</w:t>
            </w:r>
            <w:proofErr w:type="gramEnd"/>
            <w:r w:rsidRPr="001A40B1">
              <w:rPr>
                <w:rFonts w:cs="Arial"/>
                <w:sz w:val="20"/>
                <w:szCs w:val="20"/>
              </w:rPr>
              <w:t xml:space="preserve"> Armoured Fighting Vehicles, Infantry Weapons Systems and </w:t>
            </w:r>
            <w:proofErr w:type="gramStart"/>
            <w:r w:rsidRPr="001A40B1">
              <w:rPr>
                <w:rFonts w:cs="Arial"/>
                <w:sz w:val="20"/>
                <w:szCs w:val="20"/>
              </w:rPr>
              <w:t>Pyrotechnics ,</w:t>
            </w:r>
            <w:proofErr w:type="gramEnd"/>
            <w:r w:rsidRPr="001A40B1">
              <w:rPr>
                <w:rFonts w:cs="Arial"/>
                <w:sz w:val="20"/>
                <w:szCs w:val="20"/>
              </w:rPr>
              <w:t>” 2024.</w:t>
            </w:r>
          </w:p>
        </w:tc>
      </w:tr>
    </w:tbl>
    <w:p w14:paraId="1B185FBA" w14:textId="74F52268" w:rsidR="00EE4E72" w:rsidRPr="00EE4E72" w:rsidRDefault="00EE4E72" w:rsidP="00EE4E72">
      <w:pPr>
        <w:rPr>
          <w:b/>
          <w:bCs/>
        </w:rPr>
        <w:sectPr w:rsidR="00EE4E72" w:rsidRPr="00EE4E72" w:rsidSect="00623A81">
          <w:headerReference w:type="default" r:id="rId20"/>
          <w:pgSz w:w="11906" w:h="16838" w:code="9"/>
          <w:pgMar w:top="1701" w:right="1701" w:bottom="1701" w:left="1701" w:header="709" w:footer="851" w:gutter="0"/>
          <w:cols w:space="708"/>
          <w:docGrid w:linePitch="360"/>
        </w:sectPr>
      </w:pPr>
    </w:p>
    <w:p w14:paraId="5C289403" w14:textId="6E876F98" w:rsidR="00757AC5" w:rsidRDefault="0096263C" w:rsidP="0096263C">
      <w:pPr>
        <w:pStyle w:val="Heading7"/>
      </w:pPr>
      <w:bookmarkStart w:id="37" w:name="_Ref235095771"/>
      <w:bookmarkStart w:id="38" w:name="_Toc235200362"/>
      <w:r>
        <w:lastRenderedPageBreak/>
        <w:t>Risk Matrix</w:t>
      </w:r>
      <w:bookmarkEnd w:id="37"/>
      <w:bookmarkEnd w:id="38"/>
      <w:r>
        <w:t xml:space="preserve"> </w:t>
      </w:r>
    </w:p>
    <w:tbl>
      <w:tblPr>
        <w:tblW w:w="13620" w:type="dxa"/>
        <w:tblLook w:val="04A0" w:firstRow="1" w:lastRow="0" w:firstColumn="1" w:lastColumn="0" w:noHBand="0" w:noVBand="1"/>
      </w:tblPr>
      <w:tblGrid>
        <w:gridCol w:w="957"/>
        <w:gridCol w:w="1157"/>
        <w:gridCol w:w="2622"/>
        <w:gridCol w:w="2016"/>
        <w:gridCol w:w="960"/>
        <w:gridCol w:w="957"/>
        <w:gridCol w:w="1089"/>
        <w:gridCol w:w="3862"/>
      </w:tblGrid>
      <w:tr w:rsidR="0096263C" w:rsidRPr="0096263C" w14:paraId="06A5BDA3" w14:textId="77777777" w:rsidTr="0096263C">
        <w:trPr>
          <w:trHeight w:val="998"/>
        </w:trPr>
        <w:tc>
          <w:tcPr>
            <w:tcW w:w="960" w:type="dxa"/>
            <w:tcBorders>
              <w:top w:val="single" w:sz="4" w:space="0" w:color="000000"/>
              <w:left w:val="single" w:sz="4" w:space="0" w:color="000000"/>
              <w:bottom w:val="single" w:sz="4" w:space="0" w:color="000000"/>
              <w:right w:val="single" w:sz="4" w:space="0" w:color="000000"/>
            </w:tcBorders>
            <w:vAlign w:val="center"/>
            <w:hideMark/>
          </w:tcPr>
          <w:p w14:paraId="0B226E65"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Number</w:t>
            </w:r>
          </w:p>
        </w:tc>
        <w:tc>
          <w:tcPr>
            <w:tcW w:w="1160" w:type="dxa"/>
            <w:tcBorders>
              <w:top w:val="single" w:sz="4" w:space="0" w:color="000000"/>
              <w:left w:val="nil"/>
              <w:bottom w:val="single" w:sz="4" w:space="0" w:color="000000"/>
              <w:right w:val="single" w:sz="4" w:space="0" w:color="000000"/>
            </w:tcBorders>
            <w:vAlign w:val="center"/>
            <w:hideMark/>
          </w:tcPr>
          <w:p w14:paraId="42F1DEF9"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Likelihood Level</w:t>
            </w:r>
            <w:r w:rsidRPr="0096263C">
              <w:rPr>
                <w:rFonts w:ascii="Calibri" w:hAnsi="Calibri" w:cs="Calibri"/>
                <w:color w:val="000000"/>
                <w:sz w:val="18"/>
                <w:szCs w:val="18"/>
                <w:lang w:eastAsia="en-GB"/>
              </w:rPr>
              <w:t> </w:t>
            </w:r>
          </w:p>
        </w:tc>
        <w:tc>
          <w:tcPr>
            <w:tcW w:w="2660" w:type="dxa"/>
            <w:tcBorders>
              <w:top w:val="single" w:sz="4" w:space="0" w:color="000000"/>
              <w:left w:val="nil"/>
              <w:bottom w:val="single" w:sz="4" w:space="0" w:color="000000"/>
              <w:right w:val="single" w:sz="4" w:space="0" w:color="000000"/>
            </w:tcBorders>
            <w:vAlign w:val="center"/>
            <w:hideMark/>
          </w:tcPr>
          <w:p w14:paraId="5403DED5"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Description</w:t>
            </w:r>
            <w:r w:rsidRPr="0096263C">
              <w:rPr>
                <w:rFonts w:ascii="Calibri" w:hAnsi="Calibri" w:cs="Calibri"/>
                <w:color w:val="000000"/>
                <w:sz w:val="18"/>
                <w:szCs w:val="18"/>
                <w:lang w:eastAsia="en-GB"/>
              </w:rPr>
              <w:t> </w:t>
            </w:r>
          </w:p>
        </w:tc>
        <w:tc>
          <w:tcPr>
            <w:tcW w:w="2040" w:type="dxa"/>
            <w:tcBorders>
              <w:top w:val="single" w:sz="4" w:space="0" w:color="000000"/>
              <w:left w:val="nil"/>
              <w:bottom w:val="single" w:sz="4" w:space="0" w:color="000000"/>
              <w:right w:val="single" w:sz="4" w:space="0" w:color="000000"/>
            </w:tcBorders>
            <w:vAlign w:val="center"/>
            <w:hideMark/>
          </w:tcPr>
          <w:p w14:paraId="33886C31"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Indicative Probability</w:t>
            </w:r>
            <w:r w:rsidRPr="0096263C">
              <w:rPr>
                <w:rFonts w:ascii="Calibri" w:hAnsi="Calibri" w:cs="Calibri"/>
                <w:color w:val="000000"/>
                <w:sz w:val="18"/>
                <w:szCs w:val="18"/>
                <w:lang w:eastAsia="en-GB"/>
              </w:rPr>
              <w:t> </w:t>
            </w:r>
          </w:p>
        </w:tc>
        <w:tc>
          <w:tcPr>
            <w:tcW w:w="960" w:type="dxa"/>
            <w:tcBorders>
              <w:top w:val="nil"/>
              <w:left w:val="nil"/>
              <w:bottom w:val="nil"/>
              <w:right w:val="nil"/>
            </w:tcBorders>
            <w:noWrap/>
            <w:vAlign w:val="bottom"/>
            <w:hideMark/>
          </w:tcPr>
          <w:p w14:paraId="13AB7356"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p>
        </w:tc>
        <w:tc>
          <w:tcPr>
            <w:tcW w:w="960" w:type="dxa"/>
            <w:tcBorders>
              <w:top w:val="single" w:sz="4" w:space="0" w:color="000000"/>
              <w:left w:val="single" w:sz="4" w:space="0" w:color="000000"/>
              <w:bottom w:val="single" w:sz="4" w:space="0" w:color="000000"/>
              <w:right w:val="single" w:sz="4" w:space="0" w:color="000000"/>
            </w:tcBorders>
            <w:vAlign w:val="center"/>
            <w:hideMark/>
          </w:tcPr>
          <w:p w14:paraId="3374746C"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Number</w:t>
            </w:r>
          </w:p>
        </w:tc>
        <w:tc>
          <w:tcPr>
            <w:tcW w:w="960" w:type="dxa"/>
            <w:tcBorders>
              <w:top w:val="single" w:sz="4" w:space="0" w:color="000000"/>
              <w:left w:val="nil"/>
              <w:bottom w:val="single" w:sz="4" w:space="0" w:color="000000"/>
              <w:right w:val="single" w:sz="4" w:space="0" w:color="000000"/>
            </w:tcBorders>
            <w:vAlign w:val="center"/>
            <w:hideMark/>
          </w:tcPr>
          <w:p w14:paraId="15A32655"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Severity Level</w:t>
            </w:r>
            <w:r w:rsidRPr="0096263C">
              <w:rPr>
                <w:rFonts w:ascii="Calibri" w:hAnsi="Calibri" w:cs="Calibri"/>
                <w:color w:val="000000"/>
                <w:sz w:val="18"/>
                <w:szCs w:val="18"/>
                <w:lang w:eastAsia="en-GB"/>
              </w:rPr>
              <w:t> </w:t>
            </w:r>
          </w:p>
        </w:tc>
        <w:tc>
          <w:tcPr>
            <w:tcW w:w="3920" w:type="dxa"/>
            <w:tcBorders>
              <w:top w:val="single" w:sz="4" w:space="0" w:color="000000"/>
              <w:left w:val="nil"/>
              <w:bottom w:val="single" w:sz="4" w:space="0" w:color="000000"/>
              <w:right w:val="single" w:sz="4" w:space="0" w:color="000000"/>
            </w:tcBorders>
            <w:vAlign w:val="center"/>
            <w:hideMark/>
          </w:tcPr>
          <w:p w14:paraId="2F024F37" w14:textId="77777777" w:rsidR="0096263C" w:rsidRPr="0096263C" w:rsidRDefault="0096263C" w:rsidP="0096263C">
            <w:pPr>
              <w:spacing w:before="0" w:line="240" w:lineRule="auto"/>
              <w:jc w:val="center"/>
              <w:rPr>
                <w:rFonts w:ascii="Calibri" w:hAnsi="Calibri" w:cs="Calibri"/>
                <w:b/>
                <w:bCs/>
                <w:color w:val="000000"/>
                <w:sz w:val="18"/>
                <w:szCs w:val="18"/>
                <w:lang w:eastAsia="en-GB"/>
              </w:rPr>
            </w:pPr>
            <w:r w:rsidRPr="0096263C">
              <w:rPr>
                <w:rFonts w:ascii="Calibri" w:hAnsi="Calibri" w:cs="Calibri"/>
                <w:b/>
                <w:bCs/>
                <w:color w:val="000000"/>
                <w:sz w:val="18"/>
                <w:szCs w:val="18"/>
                <w:lang w:eastAsia="en-GB"/>
              </w:rPr>
              <w:t>Description</w:t>
            </w:r>
            <w:r w:rsidRPr="0096263C">
              <w:rPr>
                <w:rFonts w:ascii="Calibri" w:hAnsi="Calibri" w:cs="Calibri"/>
                <w:color w:val="000000"/>
                <w:sz w:val="18"/>
                <w:szCs w:val="18"/>
                <w:lang w:eastAsia="en-GB"/>
              </w:rPr>
              <w:t> </w:t>
            </w:r>
          </w:p>
        </w:tc>
      </w:tr>
      <w:tr w:rsidR="0096263C" w:rsidRPr="0096263C" w14:paraId="4CE8799E" w14:textId="77777777" w:rsidTr="0096263C">
        <w:trPr>
          <w:trHeight w:val="998"/>
        </w:trPr>
        <w:tc>
          <w:tcPr>
            <w:tcW w:w="960" w:type="dxa"/>
            <w:tcBorders>
              <w:top w:val="nil"/>
              <w:left w:val="single" w:sz="4" w:space="0" w:color="auto"/>
              <w:bottom w:val="nil"/>
              <w:right w:val="nil"/>
            </w:tcBorders>
            <w:vAlign w:val="center"/>
            <w:hideMark/>
          </w:tcPr>
          <w:p w14:paraId="1F68C2B9"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5</w:t>
            </w:r>
          </w:p>
        </w:tc>
        <w:tc>
          <w:tcPr>
            <w:tcW w:w="1160" w:type="dxa"/>
            <w:tcBorders>
              <w:top w:val="nil"/>
              <w:left w:val="single" w:sz="4" w:space="0" w:color="000000"/>
              <w:bottom w:val="nil"/>
              <w:right w:val="single" w:sz="4" w:space="0" w:color="000000"/>
            </w:tcBorders>
            <w:vAlign w:val="center"/>
            <w:hideMark/>
          </w:tcPr>
          <w:p w14:paraId="11030901"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Frequent </w:t>
            </w:r>
          </w:p>
        </w:tc>
        <w:tc>
          <w:tcPr>
            <w:tcW w:w="2660" w:type="dxa"/>
            <w:tcBorders>
              <w:top w:val="nil"/>
              <w:left w:val="nil"/>
              <w:bottom w:val="nil"/>
              <w:right w:val="single" w:sz="4" w:space="0" w:color="000000"/>
            </w:tcBorders>
            <w:vAlign w:val="center"/>
            <w:hideMark/>
          </w:tcPr>
          <w:p w14:paraId="3C7D1E0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Expected to occur repeatedly </w:t>
            </w:r>
          </w:p>
        </w:tc>
        <w:tc>
          <w:tcPr>
            <w:tcW w:w="2040" w:type="dxa"/>
            <w:tcBorders>
              <w:top w:val="nil"/>
              <w:left w:val="nil"/>
              <w:bottom w:val="nil"/>
              <w:right w:val="single" w:sz="4" w:space="0" w:color="auto"/>
            </w:tcBorders>
            <w:vAlign w:val="center"/>
            <w:hideMark/>
          </w:tcPr>
          <w:p w14:paraId="26F5513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10^-3 &lt; O &lt;= 10^-2 </w:t>
            </w:r>
          </w:p>
        </w:tc>
        <w:tc>
          <w:tcPr>
            <w:tcW w:w="960" w:type="dxa"/>
            <w:tcBorders>
              <w:top w:val="nil"/>
              <w:left w:val="nil"/>
              <w:bottom w:val="nil"/>
              <w:right w:val="nil"/>
            </w:tcBorders>
            <w:noWrap/>
            <w:vAlign w:val="bottom"/>
            <w:hideMark/>
          </w:tcPr>
          <w:p w14:paraId="2C38F1E3" w14:textId="77777777" w:rsidR="0096263C" w:rsidRPr="0096263C" w:rsidRDefault="0096263C" w:rsidP="0096263C">
            <w:pPr>
              <w:spacing w:before="0" w:line="240" w:lineRule="auto"/>
              <w:jc w:val="center"/>
              <w:rPr>
                <w:rFonts w:ascii="Calibri" w:hAnsi="Calibri" w:cs="Calibri"/>
                <w:color w:val="000000"/>
                <w:sz w:val="17"/>
                <w:szCs w:val="17"/>
                <w:lang w:eastAsia="en-GB"/>
              </w:rPr>
            </w:pPr>
          </w:p>
        </w:tc>
        <w:tc>
          <w:tcPr>
            <w:tcW w:w="960" w:type="dxa"/>
            <w:tcBorders>
              <w:top w:val="nil"/>
              <w:left w:val="single" w:sz="4" w:space="0" w:color="auto"/>
              <w:bottom w:val="nil"/>
              <w:right w:val="nil"/>
            </w:tcBorders>
            <w:vAlign w:val="center"/>
            <w:hideMark/>
          </w:tcPr>
          <w:p w14:paraId="1FA45B92"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5</w:t>
            </w:r>
          </w:p>
        </w:tc>
        <w:tc>
          <w:tcPr>
            <w:tcW w:w="960" w:type="dxa"/>
            <w:tcBorders>
              <w:top w:val="nil"/>
              <w:left w:val="single" w:sz="4" w:space="0" w:color="000000"/>
              <w:bottom w:val="nil"/>
              <w:right w:val="single" w:sz="4" w:space="0" w:color="000000"/>
            </w:tcBorders>
            <w:vAlign w:val="center"/>
            <w:hideMark/>
          </w:tcPr>
          <w:p w14:paraId="7F59BC2A"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Catastrophic</w:t>
            </w:r>
          </w:p>
        </w:tc>
        <w:tc>
          <w:tcPr>
            <w:tcW w:w="3920" w:type="dxa"/>
            <w:tcBorders>
              <w:top w:val="nil"/>
              <w:left w:val="nil"/>
              <w:bottom w:val="nil"/>
              <w:right w:val="single" w:sz="4" w:space="0" w:color="auto"/>
            </w:tcBorders>
            <w:vAlign w:val="center"/>
            <w:hideMark/>
          </w:tcPr>
          <w:p w14:paraId="3094861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Fatality or multiple fatalities/Public Life-altering</w:t>
            </w:r>
          </w:p>
        </w:tc>
      </w:tr>
      <w:tr w:rsidR="0096263C" w:rsidRPr="0096263C" w14:paraId="3ABD8F49" w14:textId="77777777" w:rsidTr="0096263C">
        <w:trPr>
          <w:trHeight w:val="998"/>
        </w:trPr>
        <w:tc>
          <w:tcPr>
            <w:tcW w:w="960" w:type="dxa"/>
            <w:tcBorders>
              <w:top w:val="nil"/>
              <w:left w:val="single" w:sz="4" w:space="0" w:color="auto"/>
              <w:bottom w:val="nil"/>
              <w:right w:val="nil"/>
            </w:tcBorders>
            <w:vAlign w:val="center"/>
            <w:hideMark/>
          </w:tcPr>
          <w:p w14:paraId="0D8E7FC3"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4</w:t>
            </w:r>
          </w:p>
        </w:tc>
        <w:tc>
          <w:tcPr>
            <w:tcW w:w="1160" w:type="dxa"/>
            <w:tcBorders>
              <w:top w:val="nil"/>
              <w:left w:val="single" w:sz="4" w:space="0" w:color="000000"/>
              <w:bottom w:val="nil"/>
              <w:right w:val="single" w:sz="4" w:space="0" w:color="000000"/>
            </w:tcBorders>
            <w:vAlign w:val="center"/>
            <w:hideMark/>
          </w:tcPr>
          <w:p w14:paraId="2EC81BC1"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Likely </w:t>
            </w:r>
          </w:p>
        </w:tc>
        <w:tc>
          <w:tcPr>
            <w:tcW w:w="2660" w:type="dxa"/>
            <w:tcBorders>
              <w:top w:val="nil"/>
              <w:left w:val="nil"/>
              <w:bottom w:val="nil"/>
              <w:right w:val="single" w:sz="4" w:space="0" w:color="000000"/>
            </w:tcBorders>
            <w:vAlign w:val="center"/>
            <w:hideMark/>
          </w:tcPr>
          <w:p w14:paraId="4DDD92A1"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Will occur several times </w:t>
            </w:r>
          </w:p>
        </w:tc>
        <w:tc>
          <w:tcPr>
            <w:tcW w:w="2040" w:type="dxa"/>
            <w:tcBorders>
              <w:top w:val="nil"/>
              <w:left w:val="nil"/>
              <w:bottom w:val="nil"/>
              <w:right w:val="single" w:sz="4" w:space="0" w:color="auto"/>
            </w:tcBorders>
            <w:vAlign w:val="center"/>
            <w:hideMark/>
          </w:tcPr>
          <w:p w14:paraId="484F0A52"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10^-4 &lt; O &lt;= 10^-3 </w:t>
            </w:r>
          </w:p>
        </w:tc>
        <w:tc>
          <w:tcPr>
            <w:tcW w:w="960" w:type="dxa"/>
            <w:tcBorders>
              <w:top w:val="nil"/>
              <w:left w:val="nil"/>
              <w:bottom w:val="nil"/>
              <w:right w:val="nil"/>
            </w:tcBorders>
            <w:noWrap/>
            <w:vAlign w:val="bottom"/>
            <w:hideMark/>
          </w:tcPr>
          <w:p w14:paraId="1B4BD1D8" w14:textId="77777777" w:rsidR="0096263C" w:rsidRPr="0096263C" w:rsidRDefault="0096263C" w:rsidP="0096263C">
            <w:pPr>
              <w:spacing w:before="0" w:line="240" w:lineRule="auto"/>
              <w:jc w:val="center"/>
              <w:rPr>
                <w:rFonts w:ascii="Calibri" w:hAnsi="Calibri" w:cs="Calibri"/>
                <w:color w:val="000000"/>
                <w:sz w:val="17"/>
                <w:szCs w:val="17"/>
                <w:lang w:eastAsia="en-GB"/>
              </w:rPr>
            </w:pPr>
          </w:p>
        </w:tc>
        <w:tc>
          <w:tcPr>
            <w:tcW w:w="960" w:type="dxa"/>
            <w:tcBorders>
              <w:top w:val="nil"/>
              <w:left w:val="single" w:sz="4" w:space="0" w:color="auto"/>
              <w:bottom w:val="nil"/>
              <w:right w:val="nil"/>
            </w:tcBorders>
            <w:vAlign w:val="center"/>
            <w:hideMark/>
          </w:tcPr>
          <w:p w14:paraId="46BE0E1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4</w:t>
            </w:r>
          </w:p>
        </w:tc>
        <w:tc>
          <w:tcPr>
            <w:tcW w:w="960" w:type="dxa"/>
            <w:tcBorders>
              <w:top w:val="nil"/>
              <w:left w:val="single" w:sz="4" w:space="0" w:color="000000"/>
              <w:bottom w:val="nil"/>
              <w:right w:val="single" w:sz="4" w:space="0" w:color="000000"/>
            </w:tcBorders>
            <w:vAlign w:val="center"/>
            <w:hideMark/>
          </w:tcPr>
          <w:p w14:paraId="042F0177"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Critical </w:t>
            </w:r>
          </w:p>
        </w:tc>
        <w:tc>
          <w:tcPr>
            <w:tcW w:w="3920" w:type="dxa"/>
            <w:tcBorders>
              <w:top w:val="nil"/>
              <w:left w:val="nil"/>
              <w:bottom w:val="nil"/>
              <w:right w:val="single" w:sz="4" w:space="0" w:color="auto"/>
            </w:tcBorders>
            <w:vAlign w:val="center"/>
            <w:hideMark/>
          </w:tcPr>
          <w:p w14:paraId="1A57F0CC"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Life-altering injury/Public High Triage</w:t>
            </w:r>
          </w:p>
        </w:tc>
      </w:tr>
      <w:tr w:rsidR="0096263C" w:rsidRPr="0096263C" w14:paraId="09E2C5FD" w14:textId="77777777" w:rsidTr="0096263C">
        <w:trPr>
          <w:trHeight w:val="998"/>
        </w:trPr>
        <w:tc>
          <w:tcPr>
            <w:tcW w:w="960" w:type="dxa"/>
            <w:tcBorders>
              <w:top w:val="nil"/>
              <w:left w:val="single" w:sz="4" w:space="0" w:color="auto"/>
              <w:bottom w:val="nil"/>
              <w:right w:val="nil"/>
            </w:tcBorders>
            <w:vAlign w:val="center"/>
            <w:hideMark/>
          </w:tcPr>
          <w:p w14:paraId="152EC0CF"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3</w:t>
            </w:r>
          </w:p>
        </w:tc>
        <w:tc>
          <w:tcPr>
            <w:tcW w:w="1160" w:type="dxa"/>
            <w:tcBorders>
              <w:top w:val="nil"/>
              <w:left w:val="single" w:sz="4" w:space="0" w:color="000000"/>
              <w:bottom w:val="nil"/>
              <w:right w:val="single" w:sz="4" w:space="0" w:color="000000"/>
            </w:tcBorders>
            <w:vAlign w:val="center"/>
            <w:hideMark/>
          </w:tcPr>
          <w:p w14:paraId="3DA77E25"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Occasional </w:t>
            </w:r>
          </w:p>
        </w:tc>
        <w:tc>
          <w:tcPr>
            <w:tcW w:w="2660" w:type="dxa"/>
            <w:tcBorders>
              <w:top w:val="nil"/>
              <w:left w:val="nil"/>
              <w:bottom w:val="nil"/>
              <w:right w:val="single" w:sz="4" w:space="0" w:color="000000"/>
            </w:tcBorders>
            <w:vAlign w:val="center"/>
            <w:hideMark/>
          </w:tcPr>
          <w:p w14:paraId="5D9F2D1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May occur sometimes </w:t>
            </w:r>
          </w:p>
        </w:tc>
        <w:tc>
          <w:tcPr>
            <w:tcW w:w="2040" w:type="dxa"/>
            <w:tcBorders>
              <w:top w:val="nil"/>
              <w:left w:val="nil"/>
              <w:bottom w:val="nil"/>
              <w:right w:val="single" w:sz="4" w:space="0" w:color="auto"/>
            </w:tcBorders>
            <w:vAlign w:val="center"/>
            <w:hideMark/>
          </w:tcPr>
          <w:p w14:paraId="3E9137BA"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10^-5 &lt; O &lt;= 10^-4 </w:t>
            </w:r>
          </w:p>
        </w:tc>
        <w:tc>
          <w:tcPr>
            <w:tcW w:w="960" w:type="dxa"/>
            <w:tcBorders>
              <w:top w:val="nil"/>
              <w:left w:val="nil"/>
              <w:bottom w:val="nil"/>
              <w:right w:val="nil"/>
            </w:tcBorders>
            <w:noWrap/>
            <w:vAlign w:val="bottom"/>
            <w:hideMark/>
          </w:tcPr>
          <w:p w14:paraId="64139DC7" w14:textId="77777777" w:rsidR="0096263C" w:rsidRPr="0096263C" w:rsidRDefault="0096263C" w:rsidP="0096263C">
            <w:pPr>
              <w:spacing w:before="0" w:line="240" w:lineRule="auto"/>
              <w:jc w:val="center"/>
              <w:rPr>
                <w:rFonts w:ascii="Calibri" w:hAnsi="Calibri" w:cs="Calibri"/>
                <w:color w:val="000000"/>
                <w:sz w:val="17"/>
                <w:szCs w:val="17"/>
                <w:lang w:eastAsia="en-GB"/>
              </w:rPr>
            </w:pPr>
          </w:p>
        </w:tc>
        <w:tc>
          <w:tcPr>
            <w:tcW w:w="960" w:type="dxa"/>
            <w:tcBorders>
              <w:top w:val="nil"/>
              <w:left w:val="single" w:sz="4" w:space="0" w:color="auto"/>
              <w:bottom w:val="nil"/>
              <w:right w:val="nil"/>
            </w:tcBorders>
            <w:vAlign w:val="center"/>
            <w:hideMark/>
          </w:tcPr>
          <w:p w14:paraId="5F98D8DF"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3</w:t>
            </w:r>
          </w:p>
        </w:tc>
        <w:tc>
          <w:tcPr>
            <w:tcW w:w="960" w:type="dxa"/>
            <w:tcBorders>
              <w:top w:val="nil"/>
              <w:left w:val="single" w:sz="4" w:space="0" w:color="000000"/>
              <w:bottom w:val="nil"/>
              <w:right w:val="single" w:sz="4" w:space="0" w:color="000000"/>
            </w:tcBorders>
            <w:vAlign w:val="center"/>
            <w:hideMark/>
          </w:tcPr>
          <w:p w14:paraId="05C4CD57"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Severe </w:t>
            </w:r>
          </w:p>
        </w:tc>
        <w:tc>
          <w:tcPr>
            <w:tcW w:w="3920" w:type="dxa"/>
            <w:tcBorders>
              <w:top w:val="nil"/>
              <w:left w:val="nil"/>
              <w:bottom w:val="nil"/>
              <w:right w:val="single" w:sz="4" w:space="0" w:color="auto"/>
            </w:tcBorders>
            <w:vAlign w:val="center"/>
            <w:hideMark/>
          </w:tcPr>
          <w:p w14:paraId="6A062C6A"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High Triage Recoverable/Public Low Triage</w:t>
            </w:r>
          </w:p>
        </w:tc>
      </w:tr>
      <w:tr w:rsidR="0096263C" w:rsidRPr="0096263C" w14:paraId="1D1D8EBC" w14:textId="77777777" w:rsidTr="0096263C">
        <w:trPr>
          <w:trHeight w:val="998"/>
        </w:trPr>
        <w:tc>
          <w:tcPr>
            <w:tcW w:w="960" w:type="dxa"/>
            <w:tcBorders>
              <w:top w:val="nil"/>
              <w:left w:val="single" w:sz="4" w:space="0" w:color="auto"/>
              <w:bottom w:val="nil"/>
              <w:right w:val="nil"/>
            </w:tcBorders>
            <w:vAlign w:val="center"/>
            <w:hideMark/>
          </w:tcPr>
          <w:p w14:paraId="5BD22877"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2</w:t>
            </w:r>
          </w:p>
        </w:tc>
        <w:tc>
          <w:tcPr>
            <w:tcW w:w="1160" w:type="dxa"/>
            <w:tcBorders>
              <w:top w:val="nil"/>
              <w:left w:val="single" w:sz="4" w:space="0" w:color="000000"/>
              <w:bottom w:val="nil"/>
              <w:right w:val="single" w:sz="4" w:space="0" w:color="000000"/>
            </w:tcBorders>
            <w:vAlign w:val="center"/>
            <w:hideMark/>
          </w:tcPr>
          <w:p w14:paraId="286747DB"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Unlikely </w:t>
            </w:r>
          </w:p>
        </w:tc>
        <w:tc>
          <w:tcPr>
            <w:tcW w:w="2660" w:type="dxa"/>
            <w:tcBorders>
              <w:top w:val="nil"/>
              <w:left w:val="nil"/>
              <w:bottom w:val="nil"/>
              <w:right w:val="single" w:sz="4" w:space="0" w:color="000000"/>
            </w:tcBorders>
            <w:vAlign w:val="center"/>
            <w:hideMark/>
          </w:tcPr>
          <w:p w14:paraId="1D3C623F"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Not expected, but credible </w:t>
            </w:r>
          </w:p>
        </w:tc>
        <w:tc>
          <w:tcPr>
            <w:tcW w:w="2040" w:type="dxa"/>
            <w:tcBorders>
              <w:top w:val="nil"/>
              <w:left w:val="nil"/>
              <w:bottom w:val="nil"/>
              <w:right w:val="single" w:sz="4" w:space="0" w:color="auto"/>
            </w:tcBorders>
            <w:vAlign w:val="center"/>
            <w:hideMark/>
          </w:tcPr>
          <w:p w14:paraId="3091BB8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10^-6 &lt; O &lt;= 10^-5 </w:t>
            </w:r>
          </w:p>
        </w:tc>
        <w:tc>
          <w:tcPr>
            <w:tcW w:w="960" w:type="dxa"/>
            <w:tcBorders>
              <w:top w:val="nil"/>
              <w:left w:val="nil"/>
              <w:bottom w:val="nil"/>
              <w:right w:val="nil"/>
            </w:tcBorders>
            <w:noWrap/>
            <w:vAlign w:val="bottom"/>
            <w:hideMark/>
          </w:tcPr>
          <w:p w14:paraId="61D38C5F" w14:textId="77777777" w:rsidR="0096263C" w:rsidRPr="0096263C" w:rsidRDefault="0096263C" w:rsidP="0096263C">
            <w:pPr>
              <w:spacing w:before="0" w:line="240" w:lineRule="auto"/>
              <w:jc w:val="center"/>
              <w:rPr>
                <w:rFonts w:ascii="Calibri" w:hAnsi="Calibri" w:cs="Calibri"/>
                <w:color w:val="000000"/>
                <w:sz w:val="17"/>
                <w:szCs w:val="17"/>
                <w:lang w:eastAsia="en-GB"/>
              </w:rPr>
            </w:pPr>
          </w:p>
        </w:tc>
        <w:tc>
          <w:tcPr>
            <w:tcW w:w="960" w:type="dxa"/>
            <w:tcBorders>
              <w:top w:val="nil"/>
              <w:left w:val="single" w:sz="4" w:space="0" w:color="auto"/>
              <w:bottom w:val="nil"/>
              <w:right w:val="nil"/>
            </w:tcBorders>
            <w:vAlign w:val="center"/>
            <w:hideMark/>
          </w:tcPr>
          <w:p w14:paraId="0BBCF50D"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2</w:t>
            </w:r>
          </w:p>
        </w:tc>
        <w:tc>
          <w:tcPr>
            <w:tcW w:w="960" w:type="dxa"/>
            <w:tcBorders>
              <w:top w:val="nil"/>
              <w:left w:val="single" w:sz="4" w:space="0" w:color="000000"/>
              <w:bottom w:val="nil"/>
              <w:right w:val="single" w:sz="4" w:space="0" w:color="000000"/>
            </w:tcBorders>
            <w:vAlign w:val="center"/>
            <w:hideMark/>
          </w:tcPr>
          <w:p w14:paraId="6B11B3B6"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Minor </w:t>
            </w:r>
          </w:p>
        </w:tc>
        <w:tc>
          <w:tcPr>
            <w:tcW w:w="3920" w:type="dxa"/>
            <w:tcBorders>
              <w:top w:val="nil"/>
              <w:left w:val="nil"/>
              <w:bottom w:val="nil"/>
              <w:right w:val="single" w:sz="4" w:space="0" w:color="auto"/>
            </w:tcBorders>
            <w:vAlign w:val="center"/>
            <w:hideMark/>
          </w:tcPr>
          <w:p w14:paraId="21282B9B"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Low Triage Recoverable/Public Negligible Harm</w:t>
            </w:r>
          </w:p>
        </w:tc>
      </w:tr>
      <w:tr w:rsidR="0096263C" w:rsidRPr="0096263C" w14:paraId="79D92F2E" w14:textId="77777777" w:rsidTr="0096263C">
        <w:trPr>
          <w:trHeight w:val="998"/>
        </w:trPr>
        <w:tc>
          <w:tcPr>
            <w:tcW w:w="960" w:type="dxa"/>
            <w:tcBorders>
              <w:top w:val="nil"/>
              <w:left w:val="single" w:sz="4" w:space="0" w:color="auto"/>
              <w:bottom w:val="single" w:sz="4" w:space="0" w:color="auto"/>
              <w:right w:val="nil"/>
            </w:tcBorders>
            <w:vAlign w:val="center"/>
            <w:hideMark/>
          </w:tcPr>
          <w:p w14:paraId="11F98955"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1</w:t>
            </w:r>
          </w:p>
        </w:tc>
        <w:tc>
          <w:tcPr>
            <w:tcW w:w="1160" w:type="dxa"/>
            <w:tcBorders>
              <w:top w:val="nil"/>
              <w:left w:val="single" w:sz="4" w:space="0" w:color="000000"/>
              <w:bottom w:val="single" w:sz="4" w:space="0" w:color="auto"/>
              <w:right w:val="single" w:sz="4" w:space="0" w:color="000000"/>
            </w:tcBorders>
            <w:vAlign w:val="center"/>
            <w:hideMark/>
          </w:tcPr>
          <w:p w14:paraId="2D163CD9"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Improbable </w:t>
            </w:r>
          </w:p>
        </w:tc>
        <w:tc>
          <w:tcPr>
            <w:tcW w:w="2660" w:type="dxa"/>
            <w:tcBorders>
              <w:top w:val="nil"/>
              <w:left w:val="nil"/>
              <w:bottom w:val="single" w:sz="4" w:space="0" w:color="auto"/>
              <w:right w:val="single" w:sz="4" w:space="0" w:color="000000"/>
            </w:tcBorders>
            <w:vAlign w:val="center"/>
            <w:hideMark/>
          </w:tcPr>
          <w:p w14:paraId="492928CC"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Extremely unlikely </w:t>
            </w:r>
          </w:p>
        </w:tc>
        <w:tc>
          <w:tcPr>
            <w:tcW w:w="2040" w:type="dxa"/>
            <w:tcBorders>
              <w:top w:val="nil"/>
              <w:left w:val="nil"/>
              <w:bottom w:val="single" w:sz="4" w:space="0" w:color="auto"/>
              <w:right w:val="single" w:sz="4" w:space="0" w:color="auto"/>
            </w:tcBorders>
            <w:vAlign w:val="center"/>
            <w:hideMark/>
          </w:tcPr>
          <w:p w14:paraId="4B0EFD6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O &lt;= 10^-6 </w:t>
            </w:r>
          </w:p>
        </w:tc>
        <w:tc>
          <w:tcPr>
            <w:tcW w:w="960" w:type="dxa"/>
            <w:tcBorders>
              <w:top w:val="nil"/>
              <w:left w:val="nil"/>
              <w:bottom w:val="nil"/>
              <w:right w:val="nil"/>
            </w:tcBorders>
            <w:noWrap/>
            <w:vAlign w:val="bottom"/>
            <w:hideMark/>
          </w:tcPr>
          <w:p w14:paraId="191BB2A8" w14:textId="77777777" w:rsidR="0096263C" w:rsidRPr="0096263C" w:rsidRDefault="0096263C" w:rsidP="0096263C">
            <w:pPr>
              <w:spacing w:before="0" w:line="240" w:lineRule="auto"/>
              <w:jc w:val="center"/>
              <w:rPr>
                <w:rFonts w:ascii="Calibri" w:hAnsi="Calibri" w:cs="Calibri"/>
                <w:color w:val="000000"/>
                <w:sz w:val="17"/>
                <w:szCs w:val="17"/>
                <w:lang w:eastAsia="en-GB"/>
              </w:rPr>
            </w:pPr>
          </w:p>
        </w:tc>
        <w:tc>
          <w:tcPr>
            <w:tcW w:w="960" w:type="dxa"/>
            <w:tcBorders>
              <w:top w:val="nil"/>
              <w:left w:val="single" w:sz="4" w:space="0" w:color="auto"/>
              <w:bottom w:val="single" w:sz="4" w:space="0" w:color="auto"/>
              <w:right w:val="nil"/>
            </w:tcBorders>
            <w:vAlign w:val="center"/>
            <w:hideMark/>
          </w:tcPr>
          <w:p w14:paraId="56A19BE4"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1</w:t>
            </w:r>
          </w:p>
        </w:tc>
        <w:tc>
          <w:tcPr>
            <w:tcW w:w="960" w:type="dxa"/>
            <w:tcBorders>
              <w:top w:val="nil"/>
              <w:left w:val="single" w:sz="4" w:space="0" w:color="000000"/>
              <w:bottom w:val="single" w:sz="4" w:space="0" w:color="auto"/>
              <w:right w:val="single" w:sz="4" w:space="0" w:color="000000"/>
            </w:tcBorders>
            <w:vAlign w:val="center"/>
            <w:hideMark/>
          </w:tcPr>
          <w:p w14:paraId="10E650E6"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Marginal </w:t>
            </w:r>
          </w:p>
        </w:tc>
        <w:tc>
          <w:tcPr>
            <w:tcW w:w="3920" w:type="dxa"/>
            <w:tcBorders>
              <w:top w:val="nil"/>
              <w:left w:val="nil"/>
              <w:bottom w:val="single" w:sz="4" w:space="0" w:color="auto"/>
              <w:right w:val="single" w:sz="4" w:space="0" w:color="auto"/>
            </w:tcBorders>
            <w:vAlign w:val="center"/>
            <w:hideMark/>
          </w:tcPr>
          <w:p w14:paraId="6EBA3D93" w14:textId="77777777" w:rsidR="0096263C" w:rsidRPr="0096263C" w:rsidRDefault="0096263C" w:rsidP="0096263C">
            <w:pPr>
              <w:spacing w:before="0" w:line="240" w:lineRule="auto"/>
              <w:jc w:val="center"/>
              <w:rPr>
                <w:rFonts w:ascii="Calibri" w:hAnsi="Calibri" w:cs="Calibri"/>
                <w:color w:val="000000"/>
                <w:sz w:val="17"/>
                <w:szCs w:val="17"/>
                <w:lang w:eastAsia="en-GB"/>
              </w:rPr>
            </w:pPr>
            <w:r w:rsidRPr="0096263C">
              <w:rPr>
                <w:rFonts w:ascii="Calibri" w:hAnsi="Calibri" w:cs="Calibri"/>
                <w:color w:val="000000"/>
                <w:sz w:val="17"/>
                <w:szCs w:val="17"/>
                <w:lang w:eastAsia="en-GB"/>
              </w:rPr>
              <w:t>Negligible harm</w:t>
            </w:r>
          </w:p>
        </w:tc>
      </w:tr>
    </w:tbl>
    <w:p w14:paraId="73DB10F5" w14:textId="77777777" w:rsidR="0096263C" w:rsidRPr="0096263C" w:rsidRDefault="0096263C" w:rsidP="0096263C"/>
    <w:p w14:paraId="1BC32649" w14:textId="77777777" w:rsidR="00757AC5" w:rsidRPr="00367945" w:rsidRDefault="00757AC5" w:rsidP="00757AC5"/>
    <w:p w14:paraId="28A08747" w14:textId="77777777" w:rsidR="00757AC5" w:rsidRPr="00367945" w:rsidRDefault="00757AC5" w:rsidP="00757AC5"/>
    <w:tbl>
      <w:tblPr>
        <w:tblW w:w="15452" w:type="dxa"/>
        <w:tblInd w:w="-993" w:type="dxa"/>
        <w:tblLook w:val="04A0" w:firstRow="1" w:lastRow="0" w:firstColumn="1" w:lastColumn="0" w:noHBand="0" w:noVBand="1"/>
      </w:tblPr>
      <w:tblGrid>
        <w:gridCol w:w="860"/>
        <w:gridCol w:w="960"/>
        <w:gridCol w:w="1465"/>
        <w:gridCol w:w="979"/>
        <w:gridCol w:w="979"/>
        <w:gridCol w:w="979"/>
        <w:gridCol w:w="998"/>
        <w:gridCol w:w="577"/>
        <w:gridCol w:w="1034"/>
        <w:gridCol w:w="6621"/>
      </w:tblGrid>
      <w:tr w:rsidR="00EC232E" w:rsidRPr="00EC232E" w14:paraId="3F466383" w14:textId="77777777" w:rsidTr="00EC232E">
        <w:trPr>
          <w:trHeight w:val="600"/>
        </w:trPr>
        <w:tc>
          <w:tcPr>
            <w:tcW w:w="860" w:type="dxa"/>
            <w:tcBorders>
              <w:top w:val="nil"/>
              <w:left w:val="nil"/>
              <w:bottom w:val="nil"/>
              <w:right w:val="nil"/>
            </w:tcBorders>
            <w:noWrap/>
            <w:vAlign w:val="bottom"/>
            <w:hideMark/>
          </w:tcPr>
          <w:p w14:paraId="77BF257A"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960" w:type="dxa"/>
            <w:tcBorders>
              <w:top w:val="nil"/>
              <w:left w:val="nil"/>
              <w:bottom w:val="nil"/>
              <w:right w:val="nil"/>
            </w:tcBorders>
            <w:noWrap/>
            <w:vAlign w:val="bottom"/>
            <w:hideMark/>
          </w:tcPr>
          <w:p w14:paraId="7B0DA331"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5400" w:type="dxa"/>
            <w:gridSpan w:val="5"/>
            <w:tcBorders>
              <w:top w:val="single" w:sz="8" w:space="0" w:color="auto"/>
              <w:left w:val="single" w:sz="8" w:space="0" w:color="auto"/>
              <w:bottom w:val="nil"/>
              <w:right w:val="single" w:sz="8" w:space="0" w:color="000000"/>
            </w:tcBorders>
            <w:noWrap/>
            <w:vAlign w:val="center"/>
            <w:hideMark/>
          </w:tcPr>
          <w:p w14:paraId="553A81F7"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Likelihood</w:t>
            </w:r>
          </w:p>
        </w:tc>
        <w:tc>
          <w:tcPr>
            <w:tcW w:w="577" w:type="dxa"/>
            <w:tcBorders>
              <w:top w:val="nil"/>
              <w:left w:val="nil"/>
              <w:bottom w:val="nil"/>
              <w:right w:val="nil"/>
            </w:tcBorders>
            <w:noWrap/>
            <w:vAlign w:val="bottom"/>
            <w:hideMark/>
          </w:tcPr>
          <w:p w14:paraId="4098C19D"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p>
        </w:tc>
        <w:tc>
          <w:tcPr>
            <w:tcW w:w="1034" w:type="dxa"/>
            <w:tcBorders>
              <w:top w:val="nil"/>
              <w:left w:val="nil"/>
              <w:bottom w:val="nil"/>
              <w:right w:val="nil"/>
            </w:tcBorders>
            <w:noWrap/>
            <w:vAlign w:val="bottom"/>
            <w:hideMark/>
          </w:tcPr>
          <w:p w14:paraId="3F48788E"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6621" w:type="dxa"/>
            <w:tcBorders>
              <w:top w:val="nil"/>
              <w:left w:val="nil"/>
              <w:bottom w:val="nil"/>
              <w:right w:val="nil"/>
            </w:tcBorders>
            <w:vAlign w:val="bottom"/>
            <w:hideMark/>
          </w:tcPr>
          <w:p w14:paraId="5A45B53A" w14:textId="77777777" w:rsidR="00EC232E" w:rsidRPr="00EC232E" w:rsidRDefault="00EC232E" w:rsidP="00EC232E">
            <w:pPr>
              <w:spacing w:before="0" w:line="240" w:lineRule="auto"/>
              <w:jc w:val="left"/>
              <w:rPr>
                <w:rFonts w:ascii="Times New Roman" w:hAnsi="Times New Roman"/>
                <w:sz w:val="20"/>
                <w:szCs w:val="20"/>
                <w:lang w:eastAsia="en-GB"/>
              </w:rPr>
            </w:pPr>
          </w:p>
        </w:tc>
      </w:tr>
      <w:tr w:rsidR="00EC232E" w:rsidRPr="00EC232E" w14:paraId="4D0D9C3F" w14:textId="77777777" w:rsidTr="00EC232E">
        <w:trPr>
          <w:trHeight w:val="600"/>
        </w:trPr>
        <w:tc>
          <w:tcPr>
            <w:tcW w:w="860" w:type="dxa"/>
            <w:tcBorders>
              <w:top w:val="nil"/>
              <w:left w:val="nil"/>
              <w:bottom w:val="nil"/>
              <w:right w:val="nil"/>
            </w:tcBorders>
            <w:noWrap/>
            <w:vAlign w:val="bottom"/>
            <w:hideMark/>
          </w:tcPr>
          <w:p w14:paraId="0A647295"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960" w:type="dxa"/>
            <w:tcBorders>
              <w:top w:val="nil"/>
              <w:left w:val="nil"/>
              <w:bottom w:val="nil"/>
              <w:right w:val="nil"/>
            </w:tcBorders>
            <w:noWrap/>
            <w:vAlign w:val="bottom"/>
            <w:hideMark/>
          </w:tcPr>
          <w:p w14:paraId="4A8C7760"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1465" w:type="dxa"/>
            <w:tcBorders>
              <w:top w:val="single" w:sz="8" w:space="0" w:color="auto"/>
              <w:left w:val="single" w:sz="8" w:space="0" w:color="auto"/>
              <w:bottom w:val="single" w:sz="8" w:space="0" w:color="auto"/>
              <w:right w:val="nil"/>
            </w:tcBorders>
            <w:noWrap/>
            <w:vAlign w:val="center"/>
            <w:hideMark/>
          </w:tcPr>
          <w:p w14:paraId="09CC6F07"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5</w:t>
            </w:r>
          </w:p>
        </w:tc>
        <w:tc>
          <w:tcPr>
            <w:tcW w:w="979" w:type="dxa"/>
            <w:tcBorders>
              <w:top w:val="single" w:sz="8" w:space="0" w:color="auto"/>
              <w:left w:val="nil"/>
              <w:bottom w:val="single" w:sz="8" w:space="0" w:color="auto"/>
              <w:right w:val="nil"/>
            </w:tcBorders>
            <w:noWrap/>
            <w:vAlign w:val="center"/>
            <w:hideMark/>
          </w:tcPr>
          <w:p w14:paraId="02CC0828"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4</w:t>
            </w:r>
          </w:p>
        </w:tc>
        <w:tc>
          <w:tcPr>
            <w:tcW w:w="979" w:type="dxa"/>
            <w:tcBorders>
              <w:top w:val="single" w:sz="8" w:space="0" w:color="auto"/>
              <w:left w:val="nil"/>
              <w:bottom w:val="single" w:sz="8" w:space="0" w:color="auto"/>
              <w:right w:val="nil"/>
            </w:tcBorders>
            <w:noWrap/>
            <w:vAlign w:val="center"/>
            <w:hideMark/>
          </w:tcPr>
          <w:p w14:paraId="6861AB3D"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3</w:t>
            </w:r>
          </w:p>
        </w:tc>
        <w:tc>
          <w:tcPr>
            <w:tcW w:w="979" w:type="dxa"/>
            <w:tcBorders>
              <w:top w:val="single" w:sz="8" w:space="0" w:color="auto"/>
              <w:left w:val="nil"/>
              <w:bottom w:val="single" w:sz="8" w:space="0" w:color="auto"/>
              <w:right w:val="nil"/>
            </w:tcBorders>
            <w:noWrap/>
            <w:vAlign w:val="center"/>
            <w:hideMark/>
          </w:tcPr>
          <w:p w14:paraId="05F332A9"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2</w:t>
            </w:r>
          </w:p>
        </w:tc>
        <w:tc>
          <w:tcPr>
            <w:tcW w:w="998" w:type="dxa"/>
            <w:tcBorders>
              <w:top w:val="single" w:sz="8" w:space="0" w:color="auto"/>
              <w:left w:val="nil"/>
              <w:bottom w:val="single" w:sz="8" w:space="0" w:color="auto"/>
              <w:right w:val="single" w:sz="8" w:space="0" w:color="auto"/>
            </w:tcBorders>
            <w:noWrap/>
            <w:vAlign w:val="center"/>
            <w:hideMark/>
          </w:tcPr>
          <w:p w14:paraId="5DEB2C4C"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1</w:t>
            </w:r>
          </w:p>
        </w:tc>
        <w:tc>
          <w:tcPr>
            <w:tcW w:w="577" w:type="dxa"/>
            <w:tcBorders>
              <w:top w:val="nil"/>
              <w:left w:val="nil"/>
              <w:bottom w:val="nil"/>
              <w:right w:val="nil"/>
            </w:tcBorders>
            <w:noWrap/>
            <w:vAlign w:val="bottom"/>
            <w:hideMark/>
          </w:tcPr>
          <w:p w14:paraId="220F5493"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p>
        </w:tc>
        <w:tc>
          <w:tcPr>
            <w:tcW w:w="1034" w:type="dxa"/>
            <w:tcBorders>
              <w:top w:val="nil"/>
              <w:left w:val="nil"/>
              <w:bottom w:val="nil"/>
              <w:right w:val="nil"/>
            </w:tcBorders>
            <w:noWrap/>
            <w:vAlign w:val="bottom"/>
            <w:hideMark/>
          </w:tcPr>
          <w:p w14:paraId="412C53A2"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6621" w:type="dxa"/>
            <w:tcBorders>
              <w:top w:val="nil"/>
              <w:left w:val="nil"/>
              <w:bottom w:val="nil"/>
              <w:right w:val="nil"/>
            </w:tcBorders>
            <w:vAlign w:val="bottom"/>
            <w:hideMark/>
          </w:tcPr>
          <w:p w14:paraId="5C914B96" w14:textId="77777777" w:rsidR="00EC232E" w:rsidRPr="00EC232E" w:rsidRDefault="00EC232E" w:rsidP="00EC232E">
            <w:pPr>
              <w:spacing w:before="0" w:line="240" w:lineRule="auto"/>
              <w:jc w:val="left"/>
              <w:rPr>
                <w:rFonts w:ascii="Times New Roman" w:hAnsi="Times New Roman"/>
                <w:sz w:val="20"/>
                <w:szCs w:val="20"/>
                <w:lang w:eastAsia="en-GB"/>
              </w:rPr>
            </w:pPr>
          </w:p>
        </w:tc>
      </w:tr>
      <w:tr w:rsidR="00EC232E" w:rsidRPr="00EC232E" w14:paraId="4543AA64" w14:textId="77777777" w:rsidTr="00EC232E">
        <w:trPr>
          <w:trHeight w:val="998"/>
        </w:trPr>
        <w:tc>
          <w:tcPr>
            <w:tcW w:w="860" w:type="dxa"/>
            <w:tcBorders>
              <w:top w:val="nil"/>
              <w:left w:val="nil"/>
              <w:bottom w:val="nil"/>
              <w:right w:val="nil"/>
            </w:tcBorders>
            <w:noWrap/>
            <w:vAlign w:val="bottom"/>
            <w:hideMark/>
          </w:tcPr>
          <w:p w14:paraId="1E30062A"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960" w:type="dxa"/>
            <w:tcBorders>
              <w:top w:val="nil"/>
              <w:left w:val="nil"/>
              <w:bottom w:val="nil"/>
              <w:right w:val="nil"/>
            </w:tcBorders>
            <w:noWrap/>
            <w:vAlign w:val="center"/>
            <w:hideMark/>
          </w:tcPr>
          <w:p w14:paraId="3369349A"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Weight</w:t>
            </w:r>
          </w:p>
        </w:tc>
        <w:tc>
          <w:tcPr>
            <w:tcW w:w="1465" w:type="dxa"/>
            <w:tcBorders>
              <w:top w:val="nil"/>
              <w:left w:val="single" w:sz="8" w:space="0" w:color="auto"/>
              <w:bottom w:val="single" w:sz="8" w:space="0" w:color="auto"/>
              <w:right w:val="single" w:sz="4" w:space="0" w:color="auto"/>
            </w:tcBorders>
            <w:noWrap/>
            <w:vAlign w:val="center"/>
            <w:hideMark/>
          </w:tcPr>
          <w:p w14:paraId="6613CC63"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9</w:t>
            </w:r>
          </w:p>
        </w:tc>
        <w:tc>
          <w:tcPr>
            <w:tcW w:w="979" w:type="dxa"/>
            <w:tcBorders>
              <w:top w:val="nil"/>
              <w:left w:val="nil"/>
              <w:bottom w:val="single" w:sz="8" w:space="0" w:color="auto"/>
              <w:right w:val="single" w:sz="4" w:space="0" w:color="auto"/>
            </w:tcBorders>
            <w:noWrap/>
            <w:vAlign w:val="center"/>
            <w:hideMark/>
          </w:tcPr>
          <w:p w14:paraId="2094E701"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4</w:t>
            </w:r>
          </w:p>
        </w:tc>
        <w:tc>
          <w:tcPr>
            <w:tcW w:w="979" w:type="dxa"/>
            <w:tcBorders>
              <w:top w:val="nil"/>
              <w:left w:val="nil"/>
              <w:bottom w:val="single" w:sz="8" w:space="0" w:color="auto"/>
              <w:right w:val="single" w:sz="4" w:space="0" w:color="auto"/>
            </w:tcBorders>
            <w:noWrap/>
            <w:vAlign w:val="center"/>
            <w:hideMark/>
          </w:tcPr>
          <w:p w14:paraId="0B6EE091"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3</w:t>
            </w:r>
          </w:p>
        </w:tc>
        <w:tc>
          <w:tcPr>
            <w:tcW w:w="979" w:type="dxa"/>
            <w:tcBorders>
              <w:top w:val="nil"/>
              <w:left w:val="nil"/>
              <w:bottom w:val="single" w:sz="8" w:space="0" w:color="auto"/>
              <w:right w:val="single" w:sz="4" w:space="0" w:color="auto"/>
            </w:tcBorders>
            <w:noWrap/>
            <w:vAlign w:val="center"/>
            <w:hideMark/>
          </w:tcPr>
          <w:p w14:paraId="37A9CDED"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2</w:t>
            </w:r>
          </w:p>
        </w:tc>
        <w:tc>
          <w:tcPr>
            <w:tcW w:w="998" w:type="dxa"/>
            <w:tcBorders>
              <w:top w:val="nil"/>
              <w:left w:val="nil"/>
              <w:bottom w:val="nil"/>
              <w:right w:val="single" w:sz="8" w:space="0" w:color="auto"/>
            </w:tcBorders>
            <w:noWrap/>
            <w:vAlign w:val="center"/>
            <w:hideMark/>
          </w:tcPr>
          <w:p w14:paraId="084DE03B"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w:t>
            </w:r>
          </w:p>
        </w:tc>
        <w:tc>
          <w:tcPr>
            <w:tcW w:w="577" w:type="dxa"/>
            <w:tcBorders>
              <w:top w:val="nil"/>
              <w:left w:val="nil"/>
              <w:bottom w:val="nil"/>
              <w:right w:val="nil"/>
            </w:tcBorders>
            <w:noWrap/>
            <w:vAlign w:val="bottom"/>
            <w:hideMark/>
          </w:tcPr>
          <w:p w14:paraId="2E9FF6D3" w14:textId="77777777" w:rsidR="00EC232E" w:rsidRPr="00EC232E" w:rsidRDefault="00EC232E" w:rsidP="00EC232E">
            <w:pPr>
              <w:spacing w:before="0" w:line="240" w:lineRule="auto"/>
              <w:jc w:val="center"/>
              <w:rPr>
                <w:rFonts w:ascii="Aptos Narrow" w:hAnsi="Aptos Narrow"/>
                <w:color w:val="000000"/>
                <w:lang w:eastAsia="en-GB"/>
              </w:rPr>
            </w:pPr>
          </w:p>
        </w:tc>
        <w:tc>
          <w:tcPr>
            <w:tcW w:w="1034" w:type="dxa"/>
            <w:tcBorders>
              <w:top w:val="single" w:sz="4" w:space="0" w:color="000000"/>
              <w:left w:val="single" w:sz="4" w:space="0" w:color="000000"/>
              <w:bottom w:val="single" w:sz="4" w:space="0" w:color="000000"/>
              <w:right w:val="single" w:sz="4" w:space="0" w:color="000000"/>
            </w:tcBorders>
            <w:noWrap/>
            <w:vAlign w:val="center"/>
            <w:hideMark/>
          </w:tcPr>
          <w:p w14:paraId="49CCC9C1" w14:textId="77777777" w:rsidR="00EC232E" w:rsidRPr="00EC232E" w:rsidRDefault="00EC232E" w:rsidP="00EC232E">
            <w:pPr>
              <w:spacing w:before="0" w:line="240" w:lineRule="auto"/>
              <w:jc w:val="center"/>
              <w:rPr>
                <w:rFonts w:ascii="Calibri" w:hAnsi="Calibri" w:cs="Calibri"/>
                <w:b/>
                <w:bCs/>
                <w:color w:val="000000"/>
                <w:sz w:val="18"/>
                <w:szCs w:val="18"/>
                <w:lang w:eastAsia="en-GB"/>
              </w:rPr>
            </w:pPr>
            <w:r w:rsidRPr="00EC232E">
              <w:rPr>
                <w:rFonts w:ascii="Calibri" w:hAnsi="Calibri" w:cs="Calibri"/>
                <w:b/>
                <w:bCs/>
                <w:color w:val="000000"/>
                <w:sz w:val="18"/>
                <w:szCs w:val="18"/>
                <w:lang w:eastAsia="en-GB"/>
              </w:rPr>
              <w:t>Risk Class</w:t>
            </w:r>
          </w:p>
        </w:tc>
        <w:tc>
          <w:tcPr>
            <w:tcW w:w="6621" w:type="dxa"/>
            <w:tcBorders>
              <w:top w:val="single" w:sz="4" w:space="0" w:color="000000"/>
              <w:left w:val="nil"/>
              <w:bottom w:val="single" w:sz="4" w:space="0" w:color="000000"/>
              <w:right w:val="single" w:sz="4" w:space="0" w:color="000000"/>
            </w:tcBorders>
            <w:vAlign w:val="center"/>
            <w:hideMark/>
          </w:tcPr>
          <w:p w14:paraId="5064C76E" w14:textId="77777777" w:rsidR="00EC232E" w:rsidRPr="00EC232E" w:rsidRDefault="00EC232E" w:rsidP="00EC232E">
            <w:pPr>
              <w:spacing w:before="0" w:line="240" w:lineRule="auto"/>
              <w:jc w:val="center"/>
              <w:rPr>
                <w:rFonts w:ascii="Calibri" w:hAnsi="Calibri" w:cs="Calibri"/>
                <w:b/>
                <w:bCs/>
                <w:color w:val="000000"/>
                <w:sz w:val="18"/>
                <w:szCs w:val="18"/>
                <w:lang w:eastAsia="en-GB"/>
              </w:rPr>
            </w:pPr>
            <w:r w:rsidRPr="00EC232E">
              <w:rPr>
                <w:rFonts w:ascii="Calibri" w:hAnsi="Calibri" w:cs="Calibri"/>
                <w:b/>
                <w:bCs/>
                <w:color w:val="000000"/>
                <w:sz w:val="18"/>
                <w:szCs w:val="18"/>
                <w:lang w:eastAsia="en-GB"/>
              </w:rPr>
              <w:t>Meaning</w:t>
            </w:r>
          </w:p>
        </w:tc>
      </w:tr>
      <w:tr w:rsidR="00EC232E" w:rsidRPr="00EC232E" w14:paraId="4942A667" w14:textId="77777777" w:rsidTr="00EC232E">
        <w:trPr>
          <w:trHeight w:val="998"/>
        </w:trPr>
        <w:tc>
          <w:tcPr>
            <w:tcW w:w="860" w:type="dxa"/>
            <w:tcBorders>
              <w:top w:val="single" w:sz="8" w:space="0" w:color="auto"/>
              <w:left w:val="single" w:sz="8" w:space="0" w:color="auto"/>
              <w:bottom w:val="nil"/>
              <w:right w:val="single" w:sz="8" w:space="0" w:color="auto"/>
            </w:tcBorders>
            <w:noWrap/>
            <w:vAlign w:val="center"/>
            <w:hideMark/>
          </w:tcPr>
          <w:p w14:paraId="4FEC9997"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5</w:t>
            </w:r>
          </w:p>
        </w:tc>
        <w:tc>
          <w:tcPr>
            <w:tcW w:w="960" w:type="dxa"/>
            <w:tcBorders>
              <w:top w:val="single" w:sz="8" w:space="0" w:color="auto"/>
              <w:left w:val="nil"/>
              <w:bottom w:val="single" w:sz="4" w:space="0" w:color="auto"/>
              <w:right w:val="single" w:sz="8" w:space="0" w:color="auto"/>
            </w:tcBorders>
            <w:noWrap/>
            <w:vAlign w:val="center"/>
            <w:hideMark/>
          </w:tcPr>
          <w:p w14:paraId="42CD18D6"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15</w:t>
            </w:r>
          </w:p>
        </w:tc>
        <w:tc>
          <w:tcPr>
            <w:tcW w:w="1465"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513EA18F"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135</w:t>
            </w:r>
          </w:p>
        </w:tc>
        <w:tc>
          <w:tcPr>
            <w:tcW w:w="979"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6AC8C04A"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60</w:t>
            </w:r>
          </w:p>
        </w:tc>
        <w:tc>
          <w:tcPr>
            <w:tcW w:w="979"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3285D2D1"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45</w:t>
            </w:r>
          </w:p>
        </w:tc>
        <w:tc>
          <w:tcPr>
            <w:tcW w:w="979" w:type="dxa"/>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52F5602F"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30</w:t>
            </w:r>
          </w:p>
        </w:tc>
        <w:tc>
          <w:tcPr>
            <w:tcW w:w="998" w:type="dxa"/>
            <w:tcBorders>
              <w:top w:val="single" w:sz="8" w:space="0" w:color="auto"/>
              <w:left w:val="single" w:sz="4" w:space="0" w:color="auto"/>
              <w:bottom w:val="single" w:sz="4" w:space="0" w:color="auto"/>
              <w:right w:val="single" w:sz="8" w:space="0" w:color="auto"/>
            </w:tcBorders>
            <w:shd w:val="clear" w:color="000000" w:fill="FFC000"/>
            <w:noWrap/>
            <w:vAlign w:val="center"/>
            <w:hideMark/>
          </w:tcPr>
          <w:p w14:paraId="2A77D71F"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15</w:t>
            </w:r>
          </w:p>
        </w:tc>
        <w:tc>
          <w:tcPr>
            <w:tcW w:w="577" w:type="dxa"/>
            <w:tcBorders>
              <w:top w:val="nil"/>
              <w:left w:val="nil"/>
              <w:bottom w:val="nil"/>
              <w:right w:val="nil"/>
            </w:tcBorders>
            <w:noWrap/>
            <w:vAlign w:val="bottom"/>
            <w:hideMark/>
          </w:tcPr>
          <w:p w14:paraId="52849741" w14:textId="77777777" w:rsidR="00EC232E" w:rsidRPr="00EC232E" w:rsidRDefault="00EC232E" w:rsidP="00EC232E">
            <w:pPr>
              <w:spacing w:before="0" w:line="240" w:lineRule="auto"/>
              <w:jc w:val="center"/>
              <w:rPr>
                <w:rFonts w:ascii="Aptos Narrow" w:hAnsi="Aptos Narrow"/>
                <w:color w:val="000000"/>
                <w:lang w:eastAsia="en-GB"/>
              </w:rPr>
            </w:pPr>
          </w:p>
        </w:tc>
        <w:tc>
          <w:tcPr>
            <w:tcW w:w="1034" w:type="dxa"/>
            <w:tcBorders>
              <w:top w:val="nil"/>
              <w:left w:val="single" w:sz="4" w:space="0" w:color="auto"/>
              <w:bottom w:val="nil"/>
              <w:right w:val="single" w:sz="4" w:space="0" w:color="000000"/>
            </w:tcBorders>
            <w:shd w:val="clear" w:color="000000" w:fill="FF0000"/>
            <w:vAlign w:val="center"/>
            <w:hideMark/>
          </w:tcPr>
          <w:p w14:paraId="43AB6E08"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A</w:t>
            </w:r>
          </w:p>
        </w:tc>
        <w:tc>
          <w:tcPr>
            <w:tcW w:w="6621" w:type="dxa"/>
            <w:tcBorders>
              <w:top w:val="nil"/>
              <w:left w:val="nil"/>
              <w:bottom w:val="nil"/>
              <w:right w:val="single" w:sz="4" w:space="0" w:color="auto"/>
            </w:tcBorders>
            <w:vAlign w:val="center"/>
            <w:hideMark/>
          </w:tcPr>
          <w:p w14:paraId="22A90572" w14:textId="35DFFE98"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High -  “The risk is considered Intolerable/ Unacceptable. The activity shall not</w:t>
            </w:r>
            <w:r w:rsidRPr="00EC232E">
              <w:rPr>
                <w:rFonts w:ascii="Calibri" w:hAnsi="Calibri" w:cs="Calibri"/>
                <w:color w:val="000000"/>
                <w:sz w:val="17"/>
                <w:szCs w:val="17"/>
                <w:lang w:eastAsia="en-GB"/>
              </w:rPr>
              <w:br/>
              <w:t>proceed</w:t>
            </w:r>
            <w:r>
              <w:rPr>
                <w:rFonts w:ascii="Calibri" w:hAnsi="Calibri" w:cs="Calibri"/>
                <w:color w:val="000000"/>
                <w:sz w:val="17"/>
                <w:szCs w:val="17"/>
                <w:lang w:eastAsia="en-GB"/>
              </w:rPr>
              <w:t xml:space="preserve"> </w:t>
            </w:r>
            <w:r w:rsidRPr="00EC232E">
              <w:rPr>
                <w:rFonts w:ascii="Calibri" w:hAnsi="Calibri" w:cs="Calibri"/>
                <w:color w:val="000000"/>
                <w:sz w:val="17"/>
                <w:szCs w:val="17"/>
                <w:lang w:eastAsia="en-GB"/>
              </w:rPr>
              <w:t>o</w:t>
            </w:r>
            <w:r>
              <w:rPr>
                <w:rFonts w:ascii="Calibri" w:hAnsi="Calibri" w:cs="Calibri"/>
                <w:color w:val="000000"/>
                <w:sz w:val="17"/>
                <w:szCs w:val="17"/>
                <w:lang w:eastAsia="en-GB"/>
              </w:rPr>
              <w:t>r</w:t>
            </w:r>
            <w:r w:rsidRPr="00EC232E">
              <w:rPr>
                <w:rFonts w:ascii="Calibri" w:hAnsi="Calibri" w:cs="Calibri"/>
                <w:color w:val="000000"/>
                <w:sz w:val="17"/>
                <w:szCs w:val="17"/>
                <w:lang w:eastAsia="en-GB"/>
              </w:rPr>
              <w:t>, the system shall not be used.”</w:t>
            </w:r>
          </w:p>
        </w:tc>
      </w:tr>
      <w:tr w:rsidR="00EC232E" w:rsidRPr="00EC232E" w14:paraId="41240999" w14:textId="77777777" w:rsidTr="00EC232E">
        <w:trPr>
          <w:trHeight w:val="998"/>
        </w:trPr>
        <w:tc>
          <w:tcPr>
            <w:tcW w:w="860" w:type="dxa"/>
            <w:tcBorders>
              <w:top w:val="nil"/>
              <w:left w:val="single" w:sz="8" w:space="0" w:color="auto"/>
              <w:bottom w:val="nil"/>
              <w:right w:val="single" w:sz="8" w:space="0" w:color="auto"/>
            </w:tcBorders>
            <w:noWrap/>
            <w:vAlign w:val="center"/>
            <w:hideMark/>
          </w:tcPr>
          <w:p w14:paraId="1CF69BE8"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4</w:t>
            </w:r>
          </w:p>
        </w:tc>
        <w:tc>
          <w:tcPr>
            <w:tcW w:w="960" w:type="dxa"/>
            <w:tcBorders>
              <w:top w:val="nil"/>
              <w:left w:val="nil"/>
              <w:bottom w:val="single" w:sz="4" w:space="0" w:color="auto"/>
              <w:right w:val="single" w:sz="8" w:space="0" w:color="auto"/>
            </w:tcBorders>
            <w:noWrap/>
            <w:vAlign w:val="center"/>
            <w:hideMark/>
          </w:tcPr>
          <w:p w14:paraId="3BC7C8A1"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9</w:t>
            </w:r>
          </w:p>
        </w:tc>
        <w:tc>
          <w:tcPr>
            <w:tcW w:w="1465" w:type="dxa"/>
            <w:tcBorders>
              <w:top w:val="single" w:sz="4" w:space="0" w:color="auto"/>
              <w:left w:val="single" w:sz="8" w:space="0" w:color="auto"/>
              <w:bottom w:val="single" w:sz="4" w:space="0" w:color="auto"/>
              <w:right w:val="single" w:sz="4" w:space="0" w:color="auto"/>
            </w:tcBorders>
            <w:shd w:val="clear" w:color="000000" w:fill="FF0000"/>
            <w:noWrap/>
            <w:vAlign w:val="center"/>
            <w:hideMark/>
          </w:tcPr>
          <w:p w14:paraId="7A68AEE9"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81</w:t>
            </w:r>
          </w:p>
        </w:tc>
        <w:tc>
          <w:tcPr>
            <w:tcW w:w="97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D0B2C77"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36</w:t>
            </w:r>
          </w:p>
        </w:tc>
        <w:tc>
          <w:tcPr>
            <w:tcW w:w="97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50B5829C"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27</w:t>
            </w:r>
          </w:p>
        </w:tc>
        <w:tc>
          <w:tcPr>
            <w:tcW w:w="97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5E60690C"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18</w:t>
            </w:r>
          </w:p>
        </w:tc>
        <w:tc>
          <w:tcPr>
            <w:tcW w:w="998" w:type="dxa"/>
            <w:tcBorders>
              <w:top w:val="single" w:sz="4" w:space="0" w:color="auto"/>
              <w:left w:val="single" w:sz="4" w:space="0" w:color="auto"/>
              <w:bottom w:val="single" w:sz="4" w:space="0" w:color="auto"/>
              <w:right w:val="single" w:sz="8" w:space="0" w:color="auto"/>
            </w:tcBorders>
            <w:shd w:val="clear" w:color="000000" w:fill="FFFF00"/>
            <w:noWrap/>
            <w:vAlign w:val="center"/>
            <w:hideMark/>
          </w:tcPr>
          <w:p w14:paraId="33AACB0D"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9</w:t>
            </w:r>
          </w:p>
        </w:tc>
        <w:tc>
          <w:tcPr>
            <w:tcW w:w="577" w:type="dxa"/>
            <w:tcBorders>
              <w:top w:val="nil"/>
              <w:left w:val="nil"/>
              <w:bottom w:val="nil"/>
              <w:right w:val="nil"/>
            </w:tcBorders>
            <w:noWrap/>
            <w:vAlign w:val="bottom"/>
            <w:hideMark/>
          </w:tcPr>
          <w:p w14:paraId="3A3C7575" w14:textId="77777777" w:rsidR="00EC232E" w:rsidRPr="00EC232E" w:rsidRDefault="00EC232E" w:rsidP="00EC232E">
            <w:pPr>
              <w:spacing w:before="0" w:line="240" w:lineRule="auto"/>
              <w:jc w:val="center"/>
              <w:rPr>
                <w:rFonts w:ascii="Aptos Narrow" w:hAnsi="Aptos Narrow"/>
                <w:color w:val="000000"/>
                <w:lang w:eastAsia="en-GB"/>
              </w:rPr>
            </w:pPr>
          </w:p>
        </w:tc>
        <w:tc>
          <w:tcPr>
            <w:tcW w:w="1034" w:type="dxa"/>
            <w:tcBorders>
              <w:top w:val="nil"/>
              <w:left w:val="single" w:sz="4" w:space="0" w:color="auto"/>
              <w:bottom w:val="nil"/>
              <w:right w:val="single" w:sz="4" w:space="0" w:color="000000"/>
            </w:tcBorders>
            <w:shd w:val="clear" w:color="000000" w:fill="FFC000"/>
            <w:vAlign w:val="center"/>
            <w:hideMark/>
          </w:tcPr>
          <w:p w14:paraId="3C72EB23"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B</w:t>
            </w:r>
          </w:p>
        </w:tc>
        <w:tc>
          <w:tcPr>
            <w:tcW w:w="6621" w:type="dxa"/>
            <w:tcBorders>
              <w:top w:val="nil"/>
              <w:left w:val="nil"/>
              <w:bottom w:val="nil"/>
              <w:right w:val="single" w:sz="4" w:space="0" w:color="auto"/>
            </w:tcBorders>
            <w:vAlign w:val="center"/>
            <w:hideMark/>
          </w:tcPr>
          <w:p w14:paraId="1FB36B31"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Medium/High  -  “The risk can only be considered Tolerable and ALARP if</w:t>
            </w:r>
            <w:r w:rsidRPr="00EC232E">
              <w:rPr>
                <w:rFonts w:ascii="Calibri" w:hAnsi="Calibri" w:cs="Calibri"/>
                <w:color w:val="000000"/>
                <w:sz w:val="17"/>
                <w:szCs w:val="17"/>
                <w:lang w:eastAsia="en-GB"/>
              </w:rPr>
              <w:br/>
              <w:t>demonstrated that further risk reduction is impracticable.”</w:t>
            </w:r>
          </w:p>
        </w:tc>
      </w:tr>
      <w:tr w:rsidR="00EC232E" w:rsidRPr="00EC232E" w14:paraId="24F0DBAA" w14:textId="77777777" w:rsidTr="00EC232E">
        <w:trPr>
          <w:trHeight w:val="998"/>
        </w:trPr>
        <w:tc>
          <w:tcPr>
            <w:tcW w:w="860" w:type="dxa"/>
            <w:tcBorders>
              <w:top w:val="nil"/>
              <w:left w:val="single" w:sz="8" w:space="0" w:color="auto"/>
              <w:bottom w:val="nil"/>
              <w:right w:val="single" w:sz="8" w:space="0" w:color="auto"/>
            </w:tcBorders>
            <w:noWrap/>
            <w:vAlign w:val="center"/>
            <w:hideMark/>
          </w:tcPr>
          <w:p w14:paraId="1E910169"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3</w:t>
            </w:r>
          </w:p>
        </w:tc>
        <w:tc>
          <w:tcPr>
            <w:tcW w:w="960" w:type="dxa"/>
            <w:tcBorders>
              <w:top w:val="nil"/>
              <w:left w:val="nil"/>
              <w:bottom w:val="single" w:sz="4" w:space="0" w:color="auto"/>
              <w:right w:val="single" w:sz="8" w:space="0" w:color="auto"/>
            </w:tcBorders>
            <w:noWrap/>
            <w:vAlign w:val="center"/>
            <w:hideMark/>
          </w:tcPr>
          <w:p w14:paraId="3BEFCFEB"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5</w:t>
            </w:r>
          </w:p>
        </w:tc>
        <w:tc>
          <w:tcPr>
            <w:tcW w:w="1465" w:type="dxa"/>
            <w:tcBorders>
              <w:top w:val="single" w:sz="4" w:space="0" w:color="auto"/>
              <w:left w:val="single" w:sz="8" w:space="0" w:color="auto"/>
              <w:bottom w:val="single" w:sz="4" w:space="0" w:color="auto"/>
              <w:right w:val="single" w:sz="4" w:space="0" w:color="auto"/>
            </w:tcBorders>
            <w:shd w:val="clear" w:color="000000" w:fill="FF0000"/>
            <w:noWrap/>
            <w:vAlign w:val="center"/>
            <w:hideMark/>
          </w:tcPr>
          <w:p w14:paraId="7A083BBD"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45</w:t>
            </w:r>
          </w:p>
        </w:tc>
        <w:tc>
          <w:tcPr>
            <w:tcW w:w="97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8E8CBE8"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20</w:t>
            </w:r>
          </w:p>
        </w:tc>
        <w:tc>
          <w:tcPr>
            <w:tcW w:w="97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05E33BB5"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15</w:t>
            </w:r>
          </w:p>
        </w:tc>
        <w:tc>
          <w:tcPr>
            <w:tcW w:w="979"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976399C"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10</w:t>
            </w:r>
          </w:p>
        </w:tc>
        <w:tc>
          <w:tcPr>
            <w:tcW w:w="998" w:type="dxa"/>
            <w:tcBorders>
              <w:top w:val="single" w:sz="4" w:space="0" w:color="auto"/>
              <w:left w:val="single" w:sz="4" w:space="0" w:color="auto"/>
              <w:bottom w:val="single" w:sz="4" w:space="0" w:color="auto"/>
              <w:right w:val="single" w:sz="8" w:space="0" w:color="auto"/>
            </w:tcBorders>
            <w:shd w:val="clear" w:color="000000" w:fill="FFFF00"/>
            <w:noWrap/>
            <w:vAlign w:val="center"/>
            <w:hideMark/>
          </w:tcPr>
          <w:p w14:paraId="478D11FA"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5</w:t>
            </w:r>
          </w:p>
        </w:tc>
        <w:tc>
          <w:tcPr>
            <w:tcW w:w="577" w:type="dxa"/>
            <w:tcBorders>
              <w:top w:val="nil"/>
              <w:left w:val="nil"/>
              <w:bottom w:val="nil"/>
              <w:right w:val="nil"/>
            </w:tcBorders>
            <w:noWrap/>
            <w:vAlign w:val="bottom"/>
            <w:hideMark/>
          </w:tcPr>
          <w:p w14:paraId="09F78ADA" w14:textId="77777777" w:rsidR="00EC232E" w:rsidRPr="00EC232E" w:rsidRDefault="00EC232E" w:rsidP="00EC232E">
            <w:pPr>
              <w:spacing w:before="0" w:line="240" w:lineRule="auto"/>
              <w:jc w:val="center"/>
              <w:rPr>
                <w:rFonts w:ascii="Aptos Narrow" w:hAnsi="Aptos Narrow"/>
                <w:color w:val="000000"/>
                <w:lang w:eastAsia="en-GB"/>
              </w:rPr>
            </w:pPr>
          </w:p>
        </w:tc>
        <w:tc>
          <w:tcPr>
            <w:tcW w:w="1034" w:type="dxa"/>
            <w:tcBorders>
              <w:top w:val="nil"/>
              <w:left w:val="single" w:sz="4" w:space="0" w:color="auto"/>
              <w:bottom w:val="nil"/>
              <w:right w:val="single" w:sz="4" w:space="0" w:color="000000"/>
            </w:tcBorders>
            <w:shd w:val="clear" w:color="000000" w:fill="FFFF00"/>
            <w:vAlign w:val="center"/>
            <w:hideMark/>
          </w:tcPr>
          <w:p w14:paraId="7896774D"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C</w:t>
            </w:r>
          </w:p>
        </w:tc>
        <w:tc>
          <w:tcPr>
            <w:tcW w:w="6621" w:type="dxa"/>
            <w:tcBorders>
              <w:top w:val="nil"/>
              <w:left w:val="nil"/>
              <w:bottom w:val="nil"/>
              <w:right w:val="single" w:sz="4" w:space="0" w:color="auto"/>
            </w:tcBorders>
            <w:vAlign w:val="center"/>
            <w:hideMark/>
          </w:tcPr>
          <w:p w14:paraId="3F6BC853"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Medium/Low - “The risk is considered Tolerable and ALARP.”</w:t>
            </w:r>
          </w:p>
        </w:tc>
      </w:tr>
      <w:tr w:rsidR="00EC232E" w:rsidRPr="00EC232E" w14:paraId="05D49E98" w14:textId="77777777" w:rsidTr="00EC232E">
        <w:trPr>
          <w:trHeight w:val="998"/>
        </w:trPr>
        <w:tc>
          <w:tcPr>
            <w:tcW w:w="860" w:type="dxa"/>
            <w:tcBorders>
              <w:top w:val="nil"/>
              <w:left w:val="single" w:sz="8" w:space="0" w:color="auto"/>
              <w:bottom w:val="nil"/>
              <w:right w:val="single" w:sz="8" w:space="0" w:color="auto"/>
            </w:tcBorders>
            <w:noWrap/>
            <w:vAlign w:val="center"/>
            <w:hideMark/>
          </w:tcPr>
          <w:p w14:paraId="4727D57C"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2</w:t>
            </w:r>
          </w:p>
        </w:tc>
        <w:tc>
          <w:tcPr>
            <w:tcW w:w="960" w:type="dxa"/>
            <w:tcBorders>
              <w:top w:val="nil"/>
              <w:left w:val="nil"/>
              <w:bottom w:val="single" w:sz="4" w:space="0" w:color="auto"/>
              <w:right w:val="single" w:sz="8" w:space="0" w:color="auto"/>
            </w:tcBorders>
            <w:noWrap/>
            <w:vAlign w:val="center"/>
            <w:hideMark/>
          </w:tcPr>
          <w:p w14:paraId="5E35CFE2"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2</w:t>
            </w:r>
          </w:p>
        </w:tc>
        <w:tc>
          <w:tcPr>
            <w:tcW w:w="1465" w:type="dxa"/>
            <w:tcBorders>
              <w:top w:val="single" w:sz="4" w:space="0" w:color="auto"/>
              <w:left w:val="single" w:sz="8" w:space="0" w:color="auto"/>
              <w:bottom w:val="single" w:sz="4" w:space="0" w:color="auto"/>
              <w:right w:val="single" w:sz="4" w:space="0" w:color="auto"/>
            </w:tcBorders>
            <w:shd w:val="clear" w:color="000000" w:fill="FFC000"/>
            <w:noWrap/>
            <w:vAlign w:val="center"/>
            <w:hideMark/>
          </w:tcPr>
          <w:p w14:paraId="51750923"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18</w:t>
            </w:r>
          </w:p>
        </w:tc>
        <w:tc>
          <w:tcPr>
            <w:tcW w:w="979"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1EC5D1C"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8</w:t>
            </w:r>
          </w:p>
        </w:tc>
        <w:tc>
          <w:tcPr>
            <w:tcW w:w="979"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3BCA309"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6</w:t>
            </w:r>
          </w:p>
        </w:tc>
        <w:tc>
          <w:tcPr>
            <w:tcW w:w="97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66C75C05"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4</w:t>
            </w:r>
          </w:p>
        </w:tc>
        <w:tc>
          <w:tcPr>
            <w:tcW w:w="998" w:type="dxa"/>
            <w:tcBorders>
              <w:top w:val="single" w:sz="4" w:space="0" w:color="auto"/>
              <w:left w:val="single" w:sz="4" w:space="0" w:color="auto"/>
              <w:bottom w:val="single" w:sz="4" w:space="0" w:color="auto"/>
              <w:right w:val="single" w:sz="8" w:space="0" w:color="auto"/>
            </w:tcBorders>
            <w:shd w:val="clear" w:color="000000" w:fill="00B050"/>
            <w:noWrap/>
            <w:vAlign w:val="center"/>
            <w:hideMark/>
          </w:tcPr>
          <w:p w14:paraId="09221E29"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2</w:t>
            </w:r>
          </w:p>
        </w:tc>
        <w:tc>
          <w:tcPr>
            <w:tcW w:w="577" w:type="dxa"/>
            <w:tcBorders>
              <w:top w:val="nil"/>
              <w:left w:val="nil"/>
              <w:bottom w:val="nil"/>
              <w:right w:val="nil"/>
            </w:tcBorders>
            <w:noWrap/>
            <w:vAlign w:val="bottom"/>
            <w:hideMark/>
          </w:tcPr>
          <w:p w14:paraId="7CEBC569" w14:textId="77777777" w:rsidR="00EC232E" w:rsidRPr="00EC232E" w:rsidRDefault="00EC232E" w:rsidP="00EC232E">
            <w:pPr>
              <w:spacing w:before="0" w:line="240" w:lineRule="auto"/>
              <w:jc w:val="center"/>
              <w:rPr>
                <w:rFonts w:ascii="Aptos Narrow" w:hAnsi="Aptos Narrow"/>
                <w:color w:val="000000"/>
                <w:lang w:eastAsia="en-GB"/>
              </w:rPr>
            </w:pPr>
          </w:p>
        </w:tc>
        <w:tc>
          <w:tcPr>
            <w:tcW w:w="1034" w:type="dxa"/>
            <w:tcBorders>
              <w:top w:val="nil"/>
              <w:left w:val="single" w:sz="4" w:space="0" w:color="auto"/>
              <w:bottom w:val="single" w:sz="4" w:space="0" w:color="000000"/>
              <w:right w:val="single" w:sz="4" w:space="0" w:color="000000"/>
            </w:tcBorders>
            <w:shd w:val="clear" w:color="000000" w:fill="00B050"/>
            <w:vAlign w:val="center"/>
            <w:hideMark/>
          </w:tcPr>
          <w:p w14:paraId="7C014806"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D</w:t>
            </w:r>
          </w:p>
        </w:tc>
        <w:tc>
          <w:tcPr>
            <w:tcW w:w="6621" w:type="dxa"/>
            <w:tcBorders>
              <w:top w:val="nil"/>
              <w:left w:val="nil"/>
              <w:bottom w:val="single" w:sz="4" w:space="0" w:color="000000"/>
              <w:right w:val="single" w:sz="4" w:space="0" w:color="auto"/>
            </w:tcBorders>
            <w:vAlign w:val="center"/>
            <w:hideMark/>
          </w:tcPr>
          <w:p w14:paraId="58350A2F" w14:textId="77777777" w:rsidR="00EC232E" w:rsidRPr="00EC232E" w:rsidRDefault="00EC232E" w:rsidP="00EC232E">
            <w:pPr>
              <w:spacing w:before="0" w:line="240" w:lineRule="auto"/>
              <w:jc w:val="center"/>
              <w:rPr>
                <w:rFonts w:ascii="Calibri" w:hAnsi="Calibri" w:cs="Calibri"/>
                <w:color w:val="000000"/>
                <w:sz w:val="17"/>
                <w:szCs w:val="17"/>
                <w:lang w:eastAsia="en-GB"/>
              </w:rPr>
            </w:pPr>
            <w:r w:rsidRPr="00EC232E">
              <w:rPr>
                <w:rFonts w:ascii="Calibri" w:hAnsi="Calibri" w:cs="Calibri"/>
                <w:color w:val="000000"/>
                <w:sz w:val="17"/>
                <w:szCs w:val="17"/>
                <w:lang w:eastAsia="en-GB"/>
              </w:rPr>
              <w:t>Low - “The risk is considered to be Broadly Acceptable. Additional risk</w:t>
            </w:r>
            <w:r w:rsidRPr="00EC232E">
              <w:rPr>
                <w:rFonts w:ascii="Calibri" w:hAnsi="Calibri" w:cs="Calibri"/>
                <w:color w:val="000000"/>
                <w:sz w:val="17"/>
                <w:szCs w:val="17"/>
                <w:lang w:eastAsia="en-GB"/>
              </w:rPr>
              <w:br/>
              <w:t>reductions may be introduced only if the benefits justify the cost (time, money,</w:t>
            </w:r>
            <w:r w:rsidRPr="00EC232E">
              <w:rPr>
                <w:rFonts w:ascii="Calibri" w:hAnsi="Calibri" w:cs="Calibri"/>
                <w:color w:val="000000"/>
                <w:sz w:val="17"/>
                <w:szCs w:val="17"/>
                <w:lang w:eastAsia="en-GB"/>
              </w:rPr>
              <w:br/>
              <w:t>inconvenience).”</w:t>
            </w:r>
          </w:p>
        </w:tc>
      </w:tr>
      <w:tr w:rsidR="00EC232E" w:rsidRPr="00EC232E" w14:paraId="0322589A" w14:textId="77777777" w:rsidTr="00EC232E">
        <w:trPr>
          <w:trHeight w:val="998"/>
        </w:trPr>
        <w:tc>
          <w:tcPr>
            <w:tcW w:w="860" w:type="dxa"/>
            <w:tcBorders>
              <w:top w:val="nil"/>
              <w:left w:val="single" w:sz="8" w:space="0" w:color="auto"/>
              <w:bottom w:val="single" w:sz="8" w:space="0" w:color="auto"/>
              <w:right w:val="single" w:sz="8" w:space="0" w:color="auto"/>
            </w:tcBorders>
            <w:noWrap/>
            <w:vAlign w:val="center"/>
            <w:hideMark/>
          </w:tcPr>
          <w:p w14:paraId="48D4E7D0" w14:textId="77777777" w:rsidR="00EC232E" w:rsidRPr="00EC232E" w:rsidRDefault="00EC232E" w:rsidP="00EC232E">
            <w:pPr>
              <w:spacing w:before="0" w:line="240" w:lineRule="auto"/>
              <w:jc w:val="center"/>
              <w:rPr>
                <w:rFonts w:ascii="Aptos Narrow" w:hAnsi="Aptos Narrow"/>
                <w:b/>
                <w:bCs/>
                <w:color w:val="000000"/>
                <w:sz w:val="32"/>
                <w:szCs w:val="32"/>
                <w:lang w:eastAsia="en-GB"/>
              </w:rPr>
            </w:pPr>
            <w:r w:rsidRPr="00EC232E">
              <w:rPr>
                <w:rFonts w:ascii="Aptos Narrow" w:hAnsi="Aptos Narrow"/>
                <w:b/>
                <w:bCs/>
                <w:color w:val="000000"/>
                <w:sz w:val="32"/>
                <w:szCs w:val="32"/>
                <w:lang w:eastAsia="en-GB"/>
              </w:rPr>
              <w:t>1</w:t>
            </w:r>
          </w:p>
        </w:tc>
        <w:tc>
          <w:tcPr>
            <w:tcW w:w="960" w:type="dxa"/>
            <w:tcBorders>
              <w:top w:val="nil"/>
              <w:left w:val="nil"/>
              <w:bottom w:val="single" w:sz="8" w:space="0" w:color="auto"/>
              <w:right w:val="nil"/>
            </w:tcBorders>
            <w:noWrap/>
            <w:vAlign w:val="center"/>
            <w:hideMark/>
          </w:tcPr>
          <w:p w14:paraId="2ACDF20D"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w:t>
            </w:r>
          </w:p>
        </w:tc>
        <w:tc>
          <w:tcPr>
            <w:tcW w:w="1465" w:type="dxa"/>
            <w:tcBorders>
              <w:top w:val="single" w:sz="4" w:space="0" w:color="auto"/>
              <w:left w:val="single" w:sz="8" w:space="0" w:color="auto"/>
              <w:bottom w:val="single" w:sz="8" w:space="0" w:color="auto"/>
              <w:right w:val="single" w:sz="4" w:space="0" w:color="auto"/>
            </w:tcBorders>
            <w:shd w:val="clear" w:color="000000" w:fill="FFFF00"/>
            <w:noWrap/>
            <w:vAlign w:val="center"/>
            <w:hideMark/>
          </w:tcPr>
          <w:p w14:paraId="39CBAE3F"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9</w:t>
            </w:r>
          </w:p>
        </w:tc>
        <w:tc>
          <w:tcPr>
            <w:tcW w:w="979" w:type="dxa"/>
            <w:tcBorders>
              <w:top w:val="single" w:sz="4" w:space="0" w:color="auto"/>
              <w:left w:val="single" w:sz="4" w:space="0" w:color="auto"/>
              <w:bottom w:val="single" w:sz="8" w:space="0" w:color="auto"/>
              <w:right w:val="single" w:sz="4" w:space="0" w:color="auto"/>
            </w:tcBorders>
            <w:shd w:val="clear" w:color="000000" w:fill="00B050"/>
            <w:noWrap/>
            <w:vAlign w:val="center"/>
            <w:hideMark/>
          </w:tcPr>
          <w:p w14:paraId="55E87257"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4</w:t>
            </w:r>
          </w:p>
        </w:tc>
        <w:tc>
          <w:tcPr>
            <w:tcW w:w="979" w:type="dxa"/>
            <w:tcBorders>
              <w:top w:val="single" w:sz="4" w:space="0" w:color="auto"/>
              <w:left w:val="single" w:sz="4" w:space="0" w:color="auto"/>
              <w:bottom w:val="single" w:sz="8" w:space="0" w:color="auto"/>
              <w:right w:val="single" w:sz="4" w:space="0" w:color="auto"/>
            </w:tcBorders>
            <w:shd w:val="clear" w:color="000000" w:fill="00B050"/>
            <w:noWrap/>
            <w:vAlign w:val="center"/>
            <w:hideMark/>
          </w:tcPr>
          <w:p w14:paraId="51774A12"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3</w:t>
            </w:r>
          </w:p>
        </w:tc>
        <w:tc>
          <w:tcPr>
            <w:tcW w:w="979" w:type="dxa"/>
            <w:tcBorders>
              <w:top w:val="single" w:sz="4" w:space="0" w:color="auto"/>
              <w:left w:val="single" w:sz="4" w:space="0" w:color="auto"/>
              <w:bottom w:val="single" w:sz="8" w:space="0" w:color="auto"/>
              <w:right w:val="single" w:sz="4" w:space="0" w:color="auto"/>
            </w:tcBorders>
            <w:shd w:val="clear" w:color="000000" w:fill="00B050"/>
            <w:noWrap/>
            <w:vAlign w:val="center"/>
            <w:hideMark/>
          </w:tcPr>
          <w:p w14:paraId="686185E7"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2</w:t>
            </w:r>
          </w:p>
        </w:tc>
        <w:tc>
          <w:tcPr>
            <w:tcW w:w="998" w:type="dxa"/>
            <w:tcBorders>
              <w:top w:val="single" w:sz="4" w:space="0" w:color="auto"/>
              <w:left w:val="single" w:sz="4" w:space="0" w:color="auto"/>
              <w:bottom w:val="single" w:sz="8" w:space="0" w:color="auto"/>
              <w:right w:val="single" w:sz="8" w:space="0" w:color="auto"/>
            </w:tcBorders>
            <w:shd w:val="clear" w:color="000000" w:fill="00B050"/>
            <w:noWrap/>
            <w:vAlign w:val="center"/>
            <w:hideMark/>
          </w:tcPr>
          <w:p w14:paraId="005AE84E" w14:textId="77777777" w:rsidR="00EC232E" w:rsidRPr="00EC232E" w:rsidRDefault="00EC232E" w:rsidP="00EC232E">
            <w:pPr>
              <w:spacing w:before="0" w:line="240" w:lineRule="auto"/>
              <w:jc w:val="center"/>
              <w:rPr>
                <w:rFonts w:ascii="Aptos Narrow" w:hAnsi="Aptos Narrow"/>
                <w:color w:val="000000"/>
                <w:lang w:eastAsia="en-GB"/>
              </w:rPr>
            </w:pPr>
            <w:r w:rsidRPr="00EC232E">
              <w:rPr>
                <w:rFonts w:ascii="Aptos Narrow" w:hAnsi="Aptos Narrow"/>
                <w:color w:val="000000"/>
                <w:lang w:eastAsia="en-GB"/>
              </w:rPr>
              <w:t>1</w:t>
            </w:r>
          </w:p>
        </w:tc>
        <w:tc>
          <w:tcPr>
            <w:tcW w:w="577" w:type="dxa"/>
            <w:tcBorders>
              <w:top w:val="nil"/>
              <w:left w:val="nil"/>
              <w:bottom w:val="nil"/>
              <w:right w:val="nil"/>
            </w:tcBorders>
            <w:noWrap/>
            <w:vAlign w:val="bottom"/>
            <w:hideMark/>
          </w:tcPr>
          <w:p w14:paraId="3A8EB5B4" w14:textId="77777777" w:rsidR="00EC232E" w:rsidRPr="00EC232E" w:rsidRDefault="00EC232E" w:rsidP="00EC232E">
            <w:pPr>
              <w:spacing w:before="0" w:line="240" w:lineRule="auto"/>
              <w:jc w:val="center"/>
              <w:rPr>
                <w:rFonts w:ascii="Aptos Narrow" w:hAnsi="Aptos Narrow"/>
                <w:color w:val="000000"/>
                <w:lang w:eastAsia="en-GB"/>
              </w:rPr>
            </w:pPr>
          </w:p>
        </w:tc>
        <w:tc>
          <w:tcPr>
            <w:tcW w:w="1034" w:type="dxa"/>
            <w:tcBorders>
              <w:top w:val="nil"/>
              <w:left w:val="nil"/>
              <w:bottom w:val="nil"/>
              <w:right w:val="nil"/>
            </w:tcBorders>
            <w:noWrap/>
            <w:vAlign w:val="bottom"/>
            <w:hideMark/>
          </w:tcPr>
          <w:p w14:paraId="0FDD8B2B" w14:textId="77777777" w:rsidR="00EC232E" w:rsidRPr="00EC232E" w:rsidRDefault="00EC232E" w:rsidP="00EC232E">
            <w:pPr>
              <w:spacing w:before="0" w:line="240" w:lineRule="auto"/>
              <w:jc w:val="left"/>
              <w:rPr>
                <w:rFonts w:ascii="Times New Roman" w:hAnsi="Times New Roman"/>
                <w:sz w:val="20"/>
                <w:szCs w:val="20"/>
                <w:lang w:eastAsia="en-GB"/>
              </w:rPr>
            </w:pPr>
          </w:p>
        </w:tc>
        <w:tc>
          <w:tcPr>
            <w:tcW w:w="6621" w:type="dxa"/>
            <w:tcBorders>
              <w:top w:val="nil"/>
              <w:left w:val="nil"/>
              <w:bottom w:val="nil"/>
              <w:right w:val="nil"/>
            </w:tcBorders>
            <w:vAlign w:val="bottom"/>
            <w:hideMark/>
          </w:tcPr>
          <w:p w14:paraId="4130AB24" w14:textId="77777777" w:rsidR="00EC232E" w:rsidRPr="00EC232E" w:rsidRDefault="00EC232E" w:rsidP="00EC232E">
            <w:pPr>
              <w:spacing w:before="0" w:line="240" w:lineRule="auto"/>
              <w:jc w:val="left"/>
              <w:rPr>
                <w:rFonts w:ascii="Times New Roman" w:hAnsi="Times New Roman"/>
                <w:sz w:val="20"/>
                <w:szCs w:val="20"/>
                <w:lang w:eastAsia="en-GB"/>
              </w:rPr>
            </w:pPr>
          </w:p>
        </w:tc>
      </w:tr>
    </w:tbl>
    <w:p w14:paraId="4805D72C" w14:textId="6A72197E" w:rsidR="00757AC5" w:rsidRPr="00367945" w:rsidRDefault="00757AC5" w:rsidP="00757AC5">
      <w:pPr>
        <w:tabs>
          <w:tab w:val="center" w:pos="6718"/>
        </w:tabs>
        <w:sectPr w:rsidR="00757AC5" w:rsidRPr="00367945" w:rsidSect="00757AC5">
          <w:headerReference w:type="default" r:id="rId21"/>
          <w:pgSz w:w="16838" w:h="11906" w:orient="landscape" w:code="9"/>
          <w:pgMar w:top="1701" w:right="1701" w:bottom="1701" w:left="1701" w:header="709" w:footer="851" w:gutter="0"/>
          <w:cols w:space="708"/>
          <w:docGrid w:linePitch="360"/>
        </w:sectPr>
      </w:pPr>
    </w:p>
    <w:p w14:paraId="751BEB83" w14:textId="77777777" w:rsidR="00D27678" w:rsidRDefault="00A779D0" w:rsidP="0037365D">
      <w:pPr>
        <w:pStyle w:val="Heading7"/>
      </w:pPr>
      <w:bookmarkStart w:id="39" w:name="_Ref235095658"/>
      <w:bookmarkStart w:id="40" w:name="_Ref235095662"/>
      <w:bookmarkStart w:id="41" w:name="_Toc235200363"/>
      <w:r>
        <w:lastRenderedPageBreak/>
        <w:t>– Control measures</w:t>
      </w:r>
      <w:bookmarkEnd w:id="39"/>
      <w:bookmarkEnd w:id="40"/>
      <w:bookmarkEnd w:id="41"/>
    </w:p>
    <w:p w14:paraId="22D5C68B" w14:textId="2473449C" w:rsidR="00367945" w:rsidRDefault="00A779D0" w:rsidP="00D27678">
      <w:pPr>
        <w:pStyle w:val="Heading7"/>
        <w:numPr>
          <w:ilvl w:val="0"/>
          <w:numId w:val="0"/>
        </w:numPr>
      </w:pPr>
      <w:r>
        <w:t xml:space="preserve"> </w:t>
      </w:r>
    </w:p>
    <w:tbl>
      <w:tblPr>
        <w:tblStyle w:val="TableGrid"/>
        <w:tblW w:w="0" w:type="auto"/>
        <w:tblLook w:val="04A0" w:firstRow="1" w:lastRow="0" w:firstColumn="1" w:lastColumn="0" w:noHBand="0" w:noVBand="1"/>
      </w:tblPr>
      <w:tblGrid>
        <w:gridCol w:w="1200"/>
        <w:gridCol w:w="3180"/>
        <w:gridCol w:w="8440"/>
      </w:tblGrid>
      <w:tr w:rsidR="00D36CB0" w:rsidRPr="00D36CB0" w14:paraId="4BB8EAF5" w14:textId="77777777" w:rsidTr="00676FC9">
        <w:trPr>
          <w:trHeight w:val="290"/>
        </w:trPr>
        <w:tc>
          <w:tcPr>
            <w:tcW w:w="1200" w:type="dxa"/>
            <w:shd w:val="clear" w:color="auto" w:fill="E5DFEC" w:themeFill="accent4" w:themeFillTint="33"/>
            <w:noWrap/>
            <w:hideMark/>
          </w:tcPr>
          <w:p w14:paraId="2A75F82E" w14:textId="77777777" w:rsidR="00D36CB0" w:rsidRPr="00D36CB0" w:rsidRDefault="00D36CB0" w:rsidP="00D36CB0">
            <w:pPr>
              <w:rPr>
                <w:b/>
                <w:bCs/>
              </w:rPr>
            </w:pPr>
            <w:r w:rsidRPr="00D36CB0">
              <w:rPr>
                <w:b/>
                <w:bCs/>
              </w:rPr>
              <w:t>Control No</w:t>
            </w:r>
          </w:p>
        </w:tc>
        <w:tc>
          <w:tcPr>
            <w:tcW w:w="3180" w:type="dxa"/>
            <w:shd w:val="clear" w:color="auto" w:fill="E5DFEC" w:themeFill="accent4" w:themeFillTint="33"/>
            <w:hideMark/>
          </w:tcPr>
          <w:p w14:paraId="0ABEBC41" w14:textId="77777777" w:rsidR="00D36CB0" w:rsidRPr="00D36CB0" w:rsidRDefault="00D36CB0">
            <w:pPr>
              <w:rPr>
                <w:b/>
                <w:bCs/>
              </w:rPr>
            </w:pPr>
            <w:r w:rsidRPr="00D36CB0">
              <w:rPr>
                <w:b/>
                <w:bCs/>
              </w:rPr>
              <w:t xml:space="preserve">Control name </w:t>
            </w:r>
          </w:p>
        </w:tc>
        <w:tc>
          <w:tcPr>
            <w:tcW w:w="8440" w:type="dxa"/>
            <w:shd w:val="clear" w:color="auto" w:fill="E5DFEC" w:themeFill="accent4" w:themeFillTint="33"/>
            <w:hideMark/>
          </w:tcPr>
          <w:p w14:paraId="5248BE49" w14:textId="77777777" w:rsidR="00D36CB0" w:rsidRPr="00D36CB0" w:rsidRDefault="00D36CB0">
            <w:pPr>
              <w:rPr>
                <w:b/>
                <w:bCs/>
              </w:rPr>
            </w:pPr>
            <w:r w:rsidRPr="00D36CB0">
              <w:rPr>
                <w:b/>
                <w:bCs/>
              </w:rPr>
              <w:t xml:space="preserve">Description </w:t>
            </w:r>
          </w:p>
        </w:tc>
      </w:tr>
      <w:tr w:rsidR="00D36CB0" w:rsidRPr="00D36CB0" w14:paraId="589615CD" w14:textId="77777777" w:rsidTr="00676FC9">
        <w:trPr>
          <w:trHeight w:val="1740"/>
        </w:trPr>
        <w:tc>
          <w:tcPr>
            <w:tcW w:w="1200" w:type="dxa"/>
            <w:shd w:val="clear" w:color="auto" w:fill="E5DFEC" w:themeFill="accent4" w:themeFillTint="33"/>
            <w:noWrap/>
            <w:hideMark/>
          </w:tcPr>
          <w:p w14:paraId="101A9D30" w14:textId="77777777" w:rsidR="00D36CB0" w:rsidRPr="00D36CB0" w:rsidRDefault="00D36CB0">
            <w:pPr>
              <w:rPr>
                <w:b/>
                <w:bCs/>
              </w:rPr>
            </w:pPr>
            <w:r w:rsidRPr="00D36CB0">
              <w:rPr>
                <w:b/>
                <w:bCs/>
              </w:rPr>
              <w:t xml:space="preserve">C1 </w:t>
            </w:r>
          </w:p>
        </w:tc>
        <w:tc>
          <w:tcPr>
            <w:tcW w:w="3180" w:type="dxa"/>
            <w:hideMark/>
          </w:tcPr>
          <w:p w14:paraId="680CE84B" w14:textId="77777777" w:rsidR="00D36CB0" w:rsidRPr="00D36CB0" w:rsidRDefault="00D36CB0">
            <w:r w:rsidRPr="00D36CB0">
              <w:t xml:space="preserve">Controlled number of trained personnel in the vicinity </w:t>
            </w:r>
          </w:p>
        </w:tc>
        <w:tc>
          <w:tcPr>
            <w:tcW w:w="8440" w:type="dxa"/>
            <w:hideMark/>
          </w:tcPr>
          <w:p w14:paraId="12660215" w14:textId="77777777" w:rsidR="00D36CB0" w:rsidRDefault="00D36CB0">
            <w:r w:rsidRPr="00D36CB0">
              <w:t>Controlled number of trained personnel in the vicinity</w:t>
            </w:r>
            <w:r w:rsidR="005516A2">
              <w:t>.</w:t>
            </w:r>
          </w:p>
          <w:p w14:paraId="52386561" w14:textId="5E05E18E" w:rsidR="005516A2" w:rsidRPr="007715BF" w:rsidRDefault="005516A2" w:rsidP="007715BF">
            <w:pPr>
              <w:spacing w:before="0" w:line="240" w:lineRule="auto"/>
              <w:rPr>
                <w:rFonts w:ascii="Aptos Narrow" w:hAnsi="Aptos Narrow"/>
                <w:color w:val="000000"/>
                <w:sz w:val="22"/>
                <w:szCs w:val="22"/>
              </w:rPr>
            </w:pPr>
            <w:r>
              <w:rPr>
                <w:rFonts w:ascii="Aptos Narrow" w:hAnsi="Aptos Narrow"/>
                <w:color w:val="000000"/>
                <w:sz w:val="22"/>
                <w:szCs w:val="22"/>
              </w:rPr>
              <w:t>[3,4,5,6,7</w:t>
            </w:r>
            <w:r w:rsidR="000D2862">
              <w:rPr>
                <w:rFonts w:ascii="Aptos Narrow" w:hAnsi="Aptos Narrow"/>
                <w:color w:val="000000"/>
                <w:sz w:val="22"/>
                <w:szCs w:val="22"/>
              </w:rPr>
              <w:t>,33</w:t>
            </w:r>
            <w:r>
              <w:rPr>
                <w:rFonts w:ascii="Aptos Narrow" w:hAnsi="Aptos Narrow"/>
                <w:color w:val="000000"/>
                <w:sz w:val="22"/>
                <w:szCs w:val="22"/>
              </w:rPr>
              <w:t>]</w:t>
            </w:r>
          </w:p>
        </w:tc>
      </w:tr>
      <w:tr w:rsidR="00D36CB0" w:rsidRPr="00D36CB0" w14:paraId="59E21896" w14:textId="77777777" w:rsidTr="00676FC9">
        <w:trPr>
          <w:trHeight w:val="1450"/>
        </w:trPr>
        <w:tc>
          <w:tcPr>
            <w:tcW w:w="1200" w:type="dxa"/>
            <w:shd w:val="clear" w:color="auto" w:fill="E5DFEC" w:themeFill="accent4" w:themeFillTint="33"/>
            <w:noWrap/>
            <w:hideMark/>
          </w:tcPr>
          <w:p w14:paraId="10CF31F7" w14:textId="77777777" w:rsidR="00D36CB0" w:rsidRPr="00D36CB0" w:rsidRDefault="00D36CB0">
            <w:pPr>
              <w:rPr>
                <w:b/>
                <w:bCs/>
              </w:rPr>
            </w:pPr>
            <w:r w:rsidRPr="00D36CB0">
              <w:rPr>
                <w:b/>
                <w:bCs/>
              </w:rPr>
              <w:t>C2</w:t>
            </w:r>
          </w:p>
        </w:tc>
        <w:tc>
          <w:tcPr>
            <w:tcW w:w="3180" w:type="dxa"/>
            <w:hideMark/>
          </w:tcPr>
          <w:p w14:paraId="77BC980F" w14:textId="77777777" w:rsidR="00D36CB0" w:rsidRPr="00D36CB0" w:rsidRDefault="00D36CB0">
            <w:r w:rsidRPr="00D36CB0">
              <w:t>Scheduled maintenance/inspection of the system</w:t>
            </w:r>
          </w:p>
        </w:tc>
        <w:tc>
          <w:tcPr>
            <w:tcW w:w="8440" w:type="dxa"/>
            <w:hideMark/>
          </w:tcPr>
          <w:p w14:paraId="26D284D0" w14:textId="34A8288B" w:rsidR="00AB5686" w:rsidRPr="00AB5686" w:rsidRDefault="00D36CB0" w:rsidP="00AB5686">
            <w:r w:rsidRPr="00D36CB0">
              <w:t xml:space="preserve">Regular maintenance and detailed inspection to allow the user to note areas of concern and conduct </w:t>
            </w:r>
            <w:r w:rsidR="00CB7917" w:rsidRPr="00D36CB0">
              <w:t>repairs,</w:t>
            </w:r>
            <w:r w:rsidRPr="00D36CB0">
              <w:t xml:space="preserve"> when necessary, as specified in the relevant standards</w:t>
            </w:r>
            <w:r w:rsidR="00AB5686">
              <w:t xml:space="preserve">. </w:t>
            </w:r>
            <w:r w:rsidR="00AB5686">
              <w:rPr>
                <w:rFonts w:ascii="Aptos Narrow" w:hAnsi="Aptos Narrow"/>
                <w:color w:val="000000"/>
                <w:sz w:val="22"/>
                <w:szCs w:val="22"/>
              </w:rPr>
              <w:t>[9,10.5.6,7]</w:t>
            </w:r>
          </w:p>
          <w:p w14:paraId="192274A8" w14:textId="64FF8DB9" w:rsidR="00AB5686" w:rsidRPr="00D36CB0" w:rsidRDefault="00AB5686"/>
        </w:tc>
      </w:tr>
      <w:tr w:rsidR="00D36CB0" w:rsidRPr="00D36CB0" w14:paraId="634BC1B8" w14:textId="77777777" w:rsidTr="00676FC9">
        <w:trPr>
          <w:trHeight w:val="1160"/>
        </w:trPr>
        <w:tc>
          <w:tcPr>
            <w:tcW w:w="1200" w:type="dxa"/>
            <w:shd w:val="clear" w:color="auto" w:fill="E5DFEC" w:themeFill="accent4" w:themeFillTint="33"/>
            <w:noWrap/>
            <w:hideMark/>
          </w:tcPr>
          <w:p w14:paraId="51D61E3D" w14:textId="77777777" w:rsidR="00D36CB0" w:rsidRPr="00D36CB0" w:rsidRDefault="00D36CB0">
            <w:pPr>
              <w:rPr>
                <w:b/>
                <w:bCs/>
              </w:rPr>
            </w:pPr>
            <w:r w:rsidRPr="00D36CB0">
              <w:rPr>
                <w:b/>
                <w:bCs/>
              </w:rPr>
              <w:t>C3</w:t>
            </w:r>
          </w:p>
        </w:tc>
        <w:tc>
          <w:tcPr>
            <w:tcW w:w="3180" w:type="dxa"/>
            <w:hideMark/>
          </w:tcPr>
          <w:p w14:paraId="1E52EBA5" w14:textId="77777777" w:rsidR="00D36CB0" w:rsidRPr="00D36CB0" w:rsidRDefault="00D36CB0">
            <w:r w:rsidRPr="00D36CB0">
              <w:t xml:space="preserve">Training </w:t>
            </w:r>
          </w:p>
        </w:tc>
        <w:tc>
          <w:tcPr>
            <w:tcW w:w="8440" w:type="dxa"/>
            <w:hideMark/>
          </w:tcPr>
          <w:p w14:paraId="007B4748" w14:textId="0758A05C" w:rsidR="00AB5686" w:rsidRPr="00AB5686" w:rsidRDefault="00D36CB0" w:rsidP="00AB5686">
            <w:r w:rsidRPr="00D36CB0">
              <w:t xml:space="preserve">Ensure personnel are competent and have had the appropriate training/ hold the relevant qualifications to operate the system. Personnel in training must be </w:t>
            </w:r>
            <w:r w:rsidR="00CB7917" w:rsidRPr="00D36CB0">
              <w:t>always supervised</w:t>
            </w:r>
            <w:r w:rsidRPr="00D36CB0">
              <w:t xml:space="preserve"> to operate the system. Annual reassessment of weapons handling </w:t>
            </w:r>
            <w:r w:rsidR="007715BF" w:rsidRPr="00D36CB0">
              <w:t>skills.</w:t>
            </w:r>
            <w:r w:rsidR="007715BF">
              <w:rPr>
                <w:rFonts w:ascii="Aptos Narrow" w:hAnsi="Aptos Narrow"/>
                <w:color w:val="000000"/>
                <w:sz w:val="22"/>
                <w:szCs w:val="22"/>
              </w:rPr>
              <w:t xml:space="preserve"> [</w:t>
            </w:r>
            <w:r w:rsidR="00AB5686">
              <w:rPr>
                <w:rFonts w:ascii="Aptos Narrow" w:hAnsi="Aptos Narrow"/>
                <w:color w:val="000000"/>
                <w:sz w:val="22"/>
                <w:szCs w:val="22"/>
              </w:rPr>
              <w:t>11,9,5</w:t>
            </w:r>
            <w:r w:rsidR="00676FC9">
              <w:rPr>
                <w:rFonts w:ascii="Aptos Narrow" w:hAnsi="Aptos Narrow"/>
                <w:color w:val="000000"/>
                <w:sz w:val="22"/>
                <w:szCs w:val="22"/>
              </w:rPr>
              <w:t>,3</w:t>
            </w:r>
            <w:r w:rsidR="000D2862">
              <w:rPr>
                <w:rFonts w:ascii="Aptos Narrow" w:hAnsi="Aptos Narrow"/>
                <w:color w:val="000000"/>
                <w:sz w:val="22"/>
                <w:szCs w:val="22"/>
              </w:rPr>
              <w:t>3,34</w:t>
            </w:r>
            <w:r w:rsidR="00AB5686">
              <w:rPr>
                <w:rFonts w:ascii="Aptos Narrow" w:hAnsi="Aptos Narrow"/>
                <w:color w:val="000000"/>
                <w:sz w:val="22"/>
                <w:szCs w:val="22"/>
              </w:rPr>
              <w:t>]</w:t>
            </w:r>
          </w:p>
          <w:p w14:paraId="6E26D87A" w14:textId="1E3C99AB" w:rsidR="00D36CB0" w:rsidRPr="00D36CB0" w:rsidRDefault="00D36CB0"/>
        </w:tc>
      </w:tr>
      <w:tr w:rsidR="00D36CB0" w:rsidRPr="00D36CB0" w14:paraId="7CC1EBF1" w14:textId="77777777" w:rsidTr="00676FC9">
        <w:trPr>
          <w:trHeight w:val="1129"/>
        </w:trPr>
        <w:tc>
          <w:tcPr>
            <w:tcW w:w="1200" w:type="dxa"/>
            <w:shd w:val="clear" w:color="auto" w:fill="E5DFEC" w:themeFill="accent4" w:themeFillTint="33"/>
            <w:noWrap/>
            <w:hideMark/>
          </w:tcPr>
          <w:p w14:paraId="6C53A45B" w14:textId="77777777" w:rsidR="00D36CB0" w:rsidRPr="00D36CB0" w:rsidRDefault="00D36CB0">
            <w:pPr>
              <w:rPr>
                <w:b/>
                <w:bCs/>
              </w:rPr>
            </w:pPr>
            <w:r w:rsidRPr="00D36CB0">
              <w:rPr>
                <w:b/>
                <w:bCs/>
              </w:rPr>
              <w:lastRenderedPageBreak/>
              <w:t>C4</w:t>
            </w:r>
          </w:p>
        </w:tc>
        <w:tc>
          <w:tcPr>
            <w:tcW w:w="3180" w:type="dxa"/>
            <w:hideMark/>
          </w:tcPr>
          <w:p w14:paraId="5FD52234" w14:textId="77777777" w:rsidR="00D36CB0" w:rsidRPr="00D36CB0" w:rsidRDefault="00D36CB0" w:rsidP="00C468FA">
            <w:pPr>
              <w:jc w:val="left"/>
            </w:pPr>
            <w:r w:rsidRPr="00D36CB0">
              <w:t xml:space="preserve">Weapon handling procedures </w:t>
            </w:r>
          </w:p>
        </w:tc>
        <w:tc>
          <w:tcPr>
            <w:tcW w:w="8440" w:type="dxa"/>
            <w:hideMark/>
          </w:tcPr>
          <w:p w14:paraId="7F4AC719" w14:textId="114ECA99" w:rsidR="007715BF" w:rsidRPr="007715BF" w:rsidRDefault="00D36CB0" w:rsidP="007715BF">
            <w:r w:rsidRPr="00D36CB0">
              <w:t xml:space="preserve">Weapon handling procedures are </w:t>
            </w:r>
            <w:r w:rsidR="00CB7917" w:rsidRPr="00D36CB0">
              <w:t>always adhered to</w:t>
            </w:r>
            <w:r w:rsidRPr="00D36CB0">
              <w:t>.</w:t>
            </w:r>
            <w:r w:rsidR="007715BF">
              <w:t xml:space="preserve"> </w:t>
            </w:r>
            <w:r w:rsidR="007715BF">
              <w:rPr>
                <w:rFonts w:ascii="Aptos Narrow" w:hAnsi="Aptos Narrow"/>
                <w:color w:val="000000"/>
                <w:sz w:val="22"/>
                <w:szCs w:val="22"/>
              </w:rPr>
              <w:t>[12,13,14,5,6]</w:t>
            </w:r>
          </w:p>
          <w:p w14:paraId="0E8E1B81" w14:textId="0F42389C" w:rsidR="00D36CB0" w:rsidRPr="00D36CB0" w:rsidRDefault="00D36CB0"/>
        </w:tc>
      </w:tr>
      <w:tr w:rsidR="00D36CB0" w:rsidRPr="00D36CB0" w14:paraId="43A6E217" w14:textId="77777777" w:rsidTr="00676FC9">
        <w:trPr>
          <w:trHeight w:val="870"/>
        </w:trPr>
        <w:tc>
          <w:tcPr>
            <w:tcW w:w="1200" w:type="dxa"/>
            <w:shd w:val="clear" w:color="auto" w:fill="E5DFEC" w:themeFill="accent4" w:themeFillTint="33"/>
            <w:noWrap/>
            <w:hideMark/>
          </w:tcPr>
          <w:p w14:paraId="368572B7" w14:textId="77777777" w:rsidR="00D36CB0" w:rsidRPr="00D36CB0" w:rsidRDefault="00D36CB0">
            <w:pPr>
              <w:rPr>
                <w:b/>
                <w:bCs/>
              </w:rPr>
            </w:pPr>
            <w:r w:rsidRPr="00D36CB0">
              <w:rPr>
                <w:b/>
                <w:bCs/>
              </w:rPr>
              <w:t>C5</w:t>
            </w:r>
          </w:p>
        </w:tc>
        <w:tc>
          <w:tcPr>
            <w:tcW w:w="3180" w:type="dxa"/>
            <w:hideMark/>
          </w:tcPr>
          <w:p w14:paraId="388E9B31" w14:textId="77777777" w:rsidR="00D36CB0" w:rsidRPr="00D36CB0" w:rsidRDefault="00D36CB0">
            <w:r w:rsidRPr="00D36CB0">
              <w:t xml:space="preserve">Test and trials </w:t>
            </w:r>
          </w:p>
        </w:tc>
        <w:tc>
          <w:tcPr>
            <w:tcW w:w="8440" w:type="dxa"/>
            <w:hideMark/>
          </w:tcPr>
          <w:p w14:paraId="3677B893" w14:textId="77777777" w:rsidR="007715BF" w:rsidRPr="00D36CB0" w:rsidRDefault="00D36CB0">
            <w:r w:rsidRPr="00D36CB0">
              <w:t xml:space="preserve">The system has undergone sufficient trials, testing and </w:t>
            </w:r>
            <w:r w:rsidR="00CB7917">
              <w:t>evaluation</w:t>
            </w:r>
            <w:r w:rsidRPr="00D36CB0">
              <w:t xml:space="preserve"> before entering service</w:t>
            </w:r>
            <w:r w:rsidR="007715BF">
              <w:t xml:space="preserve">. </w:t>
            </w:r>
          </w:p>
          <w:p w14:paraId="51E46FEE" w14:textId="306EBB50" w:rsidR="00D36CB0" w:rsidRPr="007715BF" w:rsidRDefault="007715BF" w:rsidP="007715BF">
            <w:pPr>
              <w:spacing w:before="0" w:line="240" w:lineRule="auto"/>
              <w:rPr>
                <w:rFonts w:ascii="Aptos Narrow" w:hAnsi="Aptos Narrow"/>
                <w:color w:val="000000"/>
                <w:sz w:val="22"/>
                <w:szCs w:val="22"/>
              </w:rPr>
            </w:pPr>
            <w:r>
              <w:rPr>
                <w:rFonts w:ascii="Aptos Narrow" w:hAnsi="Aptos Narrow"/>
                <w:color w:val="000000"/>
                <w:sz w:val="22"/>
                <w:szCs w:val="22"/>
              </w:rPr>
              <w:t>[15,16]</w:t>
            </w:r>
          </w:p>
        </w:tc>
      </w:tr>
      <w:tr w:rsidR="00D36CB0" w:rsidRPr="00D36CB0" w14:paraId="7EC61490" w14:textId="77777777" w:rsidTr="00676FC9">
        <w:trPr>
          <w:trHeight w:val="1210"/>
        </w:trPr>
        <w:tc>
          <w:tcPr>
            <w:tcW w:w="1200" w:type="dxa"/>
            <w:shd w:val="clear" w:color="auto" w:fill="E5DFEC" w:themeFill="accent4" w:themeFillTint="33"/>
            <w:noWrap/>
            <w:hideMark/>
          </w:tcPr>
          <w:p w14:paraId="743C6405" w14:textId="77777777" w:rsidR="00D36CB0" w:rsidRPr="00D36CB0" w:rsidRDefault="00D36CB0">
            <w:pPr>
              <w:rPr>
                <w:b/>
                <w:bCs/>
              </w:rPr>
            </w:pPr>
            <w:r w:rsidRPr="00D36CB0">
              <w:rPr>
                <w:b/>
                <w:bCs/>
              </w:rPr>
              <w:t>C6</w:t>
            </w:r>
          </w:p>
        </w:tc>
        <w:tc>
          <w:tcPr>
            <w:tcW w:w="3180" w:type="dxa"/>
            <w:hideMark/>
          </w:tcPr>
          <w:p w14:paraId="4BD60196" w14:textId="77777777" w:rsidR="00D36CB0" w:rsidRPr="00D36CB0" w:rsidRDefault="00D36CB0">
            <w:r w:rsidRPr="00D36CB0">
              <w:t xml:space="preserve">Cleaning procedures </w:t>
            </w:r>
          </w:p>
        </w:tc>
        <w:tc>
          <w:tcPr>
            <w:tcW w:w="8440" w:type="dxa"/>
            <w:hideMark/>
          </w:tcPr>
          <w:p w14:paraId="3C732423" w14:textId="48773A12" w:rsidR="00D36CB0" w:rsidRDefault="00D36CB0" w:rsidP="00C468FA">
            <w:r w:rsidRPr="00D36CB0">
              <w:t>The system must be cleaned using only approved cleaning/ lubrication fluids. Only equipment which has been approved for use can be used.</w:t>
            </w:r>
            <w:r w:rsidR="005D4660">
              <w:t xml:space="preserve"> </w:t>
            </w:r>
            <w:r w:rsidR="005D4660">
              <w:rPr>
                <w:rFonts w:ascii="Aptos Narrow" w:hAnsi="Aptos Narrow"/>
                <w:color w:val="000000"/>
                <w:sz w:val="22"/>
                <w:szCs w:val="22"/>
              </w:rPr>
              <w:t>[17,18,9,6,7]</w:t>
            </w:r>
          </w:p>
          <w:p w14:paraId="6C07B560" w14:textId="08843E87" w:rsidR="00C468FA" w:rsidRPr="00C468FA" w:rsidRDefault="00C468FA" w:rsidP="00C468FA"/>
        </w:tc>
      </w:tr>
      <w:tr w:rsidR="00D36CB0" w:rsidRPr="00D36CB0" w14:paraId="57541389" w14:textId="77777777" w:rsidTr="00676FC9">
        <w:trPr>
          <w:trHeight w:val="1270"/>
        </w:trPr>
        <w:tc>
          <w:tcPr>
            <w:tcW w:w="1200" w:type="dxa"/>
            <w:shd w:val="clear" w:color="auto" w:fill="E5DFEC" w:themeFill="accent4" w:themeFillTint="33"/>
            <w:noWrap/>
            <w:hideMark/>
          </w:tcPr>
          <w:p w14:paraId="100FDFB6" w14:textId="77777777" w:rsidR="00D36CB0" w:rsidRPr="00D36CB0" w:rsidRDefault="00D36CB0">
            <w:pPr>
              <w:rPr>
                <w:b/>
                <w:bCs/>
              </w:rPr>
            </w:pPr>
            <w:r w:rsidRPr="00D36CB0">
              <w:rPr>
                <w:b/>
                <w:bCs/>
              </w:rPr>
              <w:t>C7</w:t>
            </w:r>
          </w:p>
        </w:tc>
        <w:tc>
          <w:tcPr>
            <w:tcW w:w="3180" w:type="dxa"/>
            <w:hideMark/>
          </w:tcPr>
          <w:p w14:paraId="4C060549" w14:textId="77777777" w:rsidR="00D36CB0" w:rsidRPr="00D36CB0" w:rsidRDefault="00D36CB0">
            <w:r w:rsidRPr="00D36CB0">
              <w:t xml:space="preserve">Examination of equipment </w:t>
            </w:r>
          </w:p>
        </w:tc>
        <w:tc>
          <w:tcPr>
            <w:tcW w:w="8440" w:type="dxa"/>
            <w:hideMark/>
          </w:tcPr>
          <w:p w14:paraId="591B065B" w14:textId="5DDF9FC7" w:rsidR="00C468FA" w:rsidRDefault="00D36CB0" w:rsidP="00C468FA">
            <w:pPr>
              <w:rPr>
                <w:rFonts w:ascii="Aptos Narrow" w:hAnsi="Aptos Narrow"/>
                <w:color w:val="000000"/>
                <w:sz w:val="22"/>
                <w:szCs w:val="22"/>
              </w:rPr>
            </w:pPr>
            <w:r w:rsidRPr="00D36CB0">
              <w:t>A physical examination is conducted by personnel who are sufficiently trained to ensure the weapon is safe for use</w:t>
            </w:r>
            <w:r w:rsidR="007D09C5">
              <w:t xml:space="preserve">. </w:t>
            </w:r>
            <w:r w:rsidR="007D09C5">
              <w:rPr>
                <w:rFonts w:ascii="Aptos Narrow" w:hAnsi="Aptos Narrow"/>
                <w:color w:val="000000"/>
                <w:sz w:val="22"/>
                <w:szCs w:val="22"/>
              </w:rPr>
              <w:t>[12,9,19,5,6,7]</w:t>
            </w:r>
          </w:p>
          <w:p w14:paraId="1E0595E4" w14:textId="32E7F517" w:rsidR="00C468FA" w:rsidRPr="00C468FA" w:rsidRDefault="00C468FA" w:rsidP="00C468FA"/>
        </w:tc>
      </w:tr>
      <w:tr w:rsidR="00D36CB0" w:rsidRPr="00D36CB0" w14:paraId="16034502" w14:textId="77777777" w:rsidTr="00676FC9">
        <w:trPr>
          <w:trHeight w:val="835"/>
        </w:trPr>
        <w:tc>
          <w:tcPr>
            <w:tcW w:w="1200" w:type="dxa"/>
            <w:shd w:val="clear" w:color="auto" w:fill="E5DFEC" w:themeFill="accent4" w:themeFillTint="33"/>
            <w:noWrap/>
            <w:hideMark/>
          </w:tcPr>
          <w:p w14:paraId="4F7E4217" w14:textId="77777777" w:rsidR="00D36CB0" w:rsidRPr="00D36CB0" w:rsidRDefault="00D36CB0">
            <w:pPr>
              <w:rPr>
                <w:b/>
                <w:bCs/>
              </w:rPr>
            </w:pPr>
            <w:r w:rsidRPr="00D36CB0">
              <w:rPr>
                <w:b/>
                <w:bCs/>
              </w:rPr>
              <w:t>C8</w:t>
            </w:r>
          </w:p>
        </w:tc>
        <w:tc>
          <w:tcPr>
            <w:tcW w:w="3180" w:type="dxa"/>
            <w:hideMark/>
          </w:tcPr>
          <w:p w14:paraId="39BA4599" w14:textId="77777777" w:rsidR="00D36CB0" w:rsidRPr="00D36CB0" w:rsidRDefault="00D36CB0">
            <w:r w:rsidRPr="00D36CB0">
              <w:t>SME advice</w:t>
            </w:r>
          </w:p>
        </w:tc>
        <w:tc>
          <w:tcPr>
            <w:tcW w:w="8440" w:type="dxa"/>
            <w:hideMark/>
          </w:tcPr>
          <w:p w14:paraId="3A0CBEDF" w14:textId="36ABF070" w:rsidR="00D36CB0" w:rsidRPr="00D36CB0" w:rsidRDefault="00D36CB0" w:rsidP="00C468FA">
            <w:r w:rsidRPr="00D36CB0">
              <w:t>Consult subject matter experts for advice and guidance</w:t>
            </w:r>
            <w:r w:rsidR="007D09C5">
              <w:t xml:space="preserve">. </w:t>
            </w:r>
            <w:r w:rsidR="007D09C5">
              <w:rPr>
                <w:rFonts w:ascii="Aptos Narrow" w:hAnsi="Aptos Narrow"/>
                <w:color w:val="000000"/>
                <w:sz w:val="22"/>
                <w:szCs w:val="22"/>
              </w:rPr>
              <w:t>[20,14,5]</w:t>
            </w:r>
          </w:p>
        </w:tc>
      </w:tr>
      <w:tr w:rsidR="00D36CB0" w:rsidRPr="00D36CB0" w14:paraId="1F6081E5" w14:textId="77777777" w:rsidTr="00676FC9">
        <w:trPr>
          <w:trHeight w:val="1450"/>
        </w:trPr>
        <w:tc>
          <w:tcPr>
            <w:tcW w:w="1200" w:type="dxa"/>
            <w:shd w:val="clear" w:color="auto" w:fill="E5DFEC" w:themeFill="accent4" w:themeFillTint="33"/>
            <w:noWrap/>
            <w:hideMark/>
          </w:tcPr>
          <w:p w14:paraId="167B28F5" w14:textId="77777777" w:rsidR="00D36CB0" w:rsidRPr="00D36CB0" w:rsidRDefault="00D36CB0">
            <w:pPr>
              <w:rPr>
                <w:b/>
                <w:bCs/>
              </w:rPr>
            </w:pPr>
            <w:r w:rsidRPr="00D36CB0">
              <w:rPr>
                <w:b/>
                <w:bCs/>
              </w:rPr>
              <w:t xml:space="preserve">C9 </w:t>
            </w:r>
          </w:p>
        </w:tc>
        <w:tc>
          <w:tcPr>
            <w:tcW w:w="3180" w:type="dxa"/>
            <w:hideMark/>
          </w:tcPr>
          <w:p w14:paraId="0DDF0092" w14:textId="77777777" w:rsidR="00D36CB0" w:rsidRPr="00D36CB0" w:rsidRDefault="00D36CB0">
            <w:r w:rsidRPr="00D36CB0">
              <w:t xml:space="preserve">Noise trails/characteristics </w:t>
            </w:r>
          </w:p>
        </w:tc>
        <w:tc>
          <w:tcPr>
            <w:tcW w:w="8440" w:type="dxa"/>
            <w:hideMark/>
          </w:tcPr>
          <w:p w14:paraId="15773C1F" w14:textId="77777777" w:rsidR="00805800" w:rsidRPr="00D36CB0" w:rsidRDefault="00D36CB0">
            <w:r w:rsidRPr="00D36CB0">
              <w:t xml:space="preserve">Trails conducted to determine </w:t>
            </w:r>
            <w:r w:rsidR="00CB7917">
              <w:t>the correct</w:t>
            </w:r>
            <w:r w:rsidRPr="00D36CB0">
              <w:t xml:space="preserve"> hearing protection required based </w:t>
            </w:r>
            <w:r w:rsidR="00CB7917">
              <w:t>on</w:t>
            </w:r>
            <w:r w:rsidRPr="00D36CB0">
              <w:t xml:space="preserve"> the noise pulse. Also</w:t>
            </w:r>
            <w:r w:rsidR="00CB7917">
              <w:t>,</w:t>
            </w:r>
            <w:r w:rsidRPr="00D36CB0">
              <w:t xml:space="preserve"> the noise characteristics of the equipment itself</w:t>
            </w:r>
            <w:r w:rsidR="00805800">
              <w:t xml:space="preserve">. </w:t>
            </w:r>
          </w:p>
          <w:p w14:paraId="6AE6F4DA" w14:textId="77777777" w:rsidR="00805800" w:rsidRDefault="00805800" w:rsidP="00805800">
            <w:pPr>
              <w:spacing w:before="0" w:line="240" w:lineRule="auto"/>
              <w:rPr>
                <w:rFonts w:ascii="Aptos Narrow" w:hAnsi="Aptos Narrow"/>
                <w:color w:val="000000"/>
                <w:sz w:val="22"/>
                <w:szCs w:val="22"/>
              </w:rPr>
            </w:pPr>
            <w:r>
              <w:rPr>
                <w:rFonts w:ascii="Aptos Narrow" w:hAnsi="Aptos Narrow"/>
                <w:color w:val="000000"/>
                <w:sz w:val="22"/>
                <w:szCs w:val="22"/>
              </w:rPr>
              <w:t>[21,22,7]</w:t>
            </w:r>
          </w:p>
          <w:p w14:paraId="3F25920B" w14:textId="77C32BE1" w:rsidR="00D36CB0" w:rsidRPr="00D36CB0" w:rsidRDefault="00D36CB0"/>
        </w:tc>
      </w:tr>
      <w:tr w:rsidR="00D36CB0" w:rsidRPr="00D36CB0" w14:paraId="0CC0C34C" w14:textId="77777777" w:rsidTr="00676FC9">
        <w:trPr>
          <w:trHeight w:val="1697"/>
        </w:trPr>
        <w:tc>
          <w:tcPr>
            <w:tcW w:w="1200" w:type="dxa"/>
            <w:shd w:val="clear" w:color="auto" w:fill="E5DFEC" w:themeFill="accent4" w:themeFillTint="33"/>
            <w:hideMark/>
          </w:tcPr>
          <w:p w14:paraId="5463F61F" w14:textId="77777777" w:rsidR="00D36CB0" w:rsidRPr="00D36CB0" w:rsidRDefault="00D36CB0">
            <w:pPr>
              <w:rPr>
                <w:b/>
                <w:bCs/>
              </w:rPr>
            </w:pPr>
            <w:r w:rsidRPr="00D36CB0">
              <w:rPr>
                <w:b/>
                <w:bCs/>
              </w:rPr>
              <w:lastRenderedPageBreak/>
              <w:t>C10</w:t>
            </w:r>
          </w:p>
        </w:tc>
        <w:tc>
          <w:tcPr>
            <w:tcW w:w="3180" w:type="dxa"/>
            <w:hideMark/>
          </w:tcPr>
          <w:p w14:paraId="19E5EB7D" w14:textId="28CED490" w:rsidR="00D36CB0" w:rsidRPr="00D36CB0" w:rsidRDefault="00CB7917">
            <w:r>
              <w:t>Provision</w:t>
            </w:r>
            <w:r w:rsidR="00D36CB0" w:rsidRPr="00D36CB0">
              <w:t xml:space="preserve"> of PPE / CPE</w:t>
            </w:r>
          </w:p>
        </w:tc>
        <w:tc>
          <w:tcPr>
            <w:tcW w:w="8440" w:type="dxa"/>
            <w:hideMark/>
          </w:tcPr>
          <w:p w14:paraId="2487E74A" w14:textId="2E47CE5B" w:rsidR="00C468FA" w:rsidRPr="00C468FA" w:rsidRDefault="00D36CB0" w:rsidP="00C468FA">
            <w:r w:rsidRPr="00D36CB0">
              <w:t>Personal protective equipment/Combat personal equipment is issued and is to be worn whilst conducting duties. This includes active operations, training and also maintenance taskings</w:t>
            </w:r>
            <w:r w:rsidR="00805800">
              <w:t xml:space="preserve">. </w:t>
            </w:r>
            <w:r w:rsidR="00805800">
              <w:rPr>
                <w:rFonts w:ascii="Aptos Narrow" w:hAnsi="Aptos Narrow"/>
                <w:color w:val="000000"/>
                <w:sz w:val="22"/>
                <w:szCs w:val="22"/>
              </w:rPr>
              <w:t>[23,24,5,6,7]</w:t>
            </w:r>
          </w:p>
        </w:tc>
      </w:tr>
      <w:tr w:rsidR="00D36CB0" w:rsidRPr="00D36CB0" w14:paraId="5CFCDD70" w14:textId="77777777" w:rsidTr="00676FC9">
        <w:trPr>
          <w:trHeight w:val="841"/>
        </w:trPr>
        <w:tc>
          <w:tcPr>
            <w:tcW w:w="1200" w:type="dxa"/>
            <w:shd w:val="clear" w:color="auto" w:fill="E5DFEC" w:themeFill="accent4" w:themeFillTint="33"/>
            <w:noWrap/>
            <w:hideMark/>
          </w:tcPr>
          <w:p w14:paraId="5A11040A" w14:textId="77777777" w:rsidR="00D36CB0" w:rsidRPr="00D36CB0" w:rsidRDefault="00D36CB0">
            <w:pPr>
              <w:rPr>
                <w:b/>
                <w:bCs/>
              </w:rPr>
            </w:pPr>
            <w:r w:rsidRPr="00D36CB0">
              <w:rPr>
                <w:b/>
                <w:bCs/>
              </w:rPr>
              <w:t>C11</w:t>
            </w:r>
          </w:p>
        </w:tc>
        <w:tc>
          <w:tcPr>
            <w:tcW w:w="3180" w:type="dxa"/>
            <w:hideMark/>
          </w:tcPr>
          <w:p w14:paraId="59D4CDC5" w14:textId="0467FB3A" w:rsidR="00D36CB0" w:rsidRPr="00D36CB0" w:rsidRDefault="00D36CB0">
            <w:r w:rsidRPr="00D36CB0">
              <w:t xml:space="preserve">Range </w:t>
            </w:r>
            <w:r w:rsidR="00CB7917">
              <w:t>safety</w:t>
            </w:r>
            <w:r w:rsidRPr="00D36CB0">
              <w:t xml:space="preserve"> procedures </w:t>
            </w:r>
          </w:p>
        </w:tc>
        <w:tc>
          <w:tcPr>
            <w:tcW w:w="8440" w:type="dxa"/>
            <w:hideMark/>
          </w:tcPr>
          <w:p w14:paraId="53E6EC1C" w14:textId="7CFAAE95" w:rsidR="00D36CB0" w:rsidRPr="00C468FA" w:rsidRDefault="00D36CB0" w:rsidP="00C468FA">
            <w:r w:rsidRPr="00D36CB0">
              <w:t>Range safety procedures</w:t>
            </w:r>
            <w:r w:rsidR="004C6046">
              <w:t xml:space="preserve">. </w:t>
            </w:r>
            <w:r w:rsidR="004C6046">
              <w:rPr>
                <w:rFonts w:ascii="Aptos Narrow" w:hAnsi="Aptos Narrow"/>
                <w:color w:val="000000"/>
                <w:sz w:val="22"/>
                <w:szCs w:val="22"/>
              </w:rPr>
              <w:t>[6,12,25,7]</w:t>
            </w:r>
          </w:p>
        </w:tc>
      </w:tr>
      <w:tr w:rsidR="00D36CB0" w:rsidRPr="00D36CB0" w14:paraId="70C0499F" w14:textId="77777777" w:rsidTr="00676FC9">
        <w:trPr>
          <w:trHeight w:val="1547"/>
        </w:trPr>
        <w:tc>
          <w:tcPr>
            <w:tcW w:w="1200" w:type="dxa"/>
            <w:shd w:val="clear" w:color="auto" w:fill="E5DFEC" w:themeFill="accent4" w:themeFillTint="33"/>
            <w:noWrap/>
            <w:hideMark/>
          </w:tcPr>
          <w:p w14:paraId="6BC807C6" w14:textId="77777777" w:rsidR="00D36CB0" w:rsidRPr="00D36CB0" w:rsidRDefault="00D36CB0">
            <w:pPr>
              <w:rPr>
                <w:b/>
                <w:bCs/>
              </w:rPr>
            </w:pPr>
            <w:r w:rsidRPr="00D36CB0">
              <w:rPr>
                <w:b/>
                <w:bCs/>
              </w:rPr>
              <w:t>C12</w:t>
            </w:r>
          </w:p>
        </w:tc>
        <w:tc>
          <w:tcPr>
            <w:tcW w:w="3180" w:type="dxa"/>
            <w:hideMark/>
          </w:tcPr>
          <w:p w14:paraId="73DF1AF5" w14:textId="77777777" w:rsidR="00D36CB0" w:rsidRPr="00D36CB0" w:rsidRDefault="00D36CB0">
            <w:r w:rsidRPr="00D36CB0">
              <w:t xml:space="preserve">Use of approved equipment </w:t>
            </w:r>
          </w:p>
        </w:tc>
        <w:tc>
          <w:tcPr>
            <w:tcW w:w="8440" w:type="dxa"/>
            <w:hideMark/>
          </w:tcPr>
          <w:p w14:paraId="339EDC6B" w14:textId="77777777" w:rsidR="00D36CB0" w:rsidRDefault="00D36CB0">
            <w:r w:rsidRPr="00D36CB0">
              <w:t>Only equipment which has been approved</w:t>
            </w:r>
            <w:r w:rsidR="00CB7917">
              <w:t xml:space="preserve"> (through testing) and deemed compatible</w:t>
            </w:r>
            <w:r w:rsidRPr="00D36CB0">
              <w:t xml:space="preserve"> with the weapon system shall be used. This includes </w:t>
            </w:r>
            <w:r w:rsidR="00CB7917">
              <w:t>ammunition</w:t>
            </w:r>
            <w:r w:rsidRPr="00D36CB0">
              <w:t>.</w:t>
            </w:r>
          </w:p>
          <w:p w14:paraId="511A15B9" w14:textId="7A6E3F86" w:rsidR="004C6046" w:rsidRPr="00E10B75" w:rsidRDefault="004C6046" w:rsidP="00E10B75">
            <w:pPr>
              <w:spacing w:before="0" w:line="240" w:lineRule="auto"/>
              <w:rPr>
                <w:rFonts w:ascii="Aptos Narrow" w:hAnsi="Aptos Narrow"/>
                <w:color w:val="000000"/>
                <w:sz w:val="22"/>
                <w:szCs w:val="22"/>
              </w:rPr>
            </w:pPr>
            <w:r>
              <w:rPr>
                <w:rFonts w:ascii="Aptos Narrow" w:hAnsi="Aptos Narrow"/>
                <w:color w:val="000000"/>
                <w:sz w:val="22"/>
                <w:szCs w:val="22"/>
              </w:rPr>
              <w:t>[9,26,27,6,7]</w:t>
            </w:r>
          </w:p>
        </w:tc>
      </w:tr>
      <w:tr w:rsidR="00D36CB0" w:rsidRPr="00D36CB0" w14:paraId="7B2EBE8B" w14:textId="77777777" w:rsidTr="00676FC9">
        <w:trPr>
          <w:trHeight w:val="1542"/>
        </w:trPr>
        <w:tc>
          <w:tcPr>
            <w:tcW w:w="1200" w:type="dxa"/>
            <w:shd w:val="clear" w:color="auto" w:fill="E5DFEC" w:themeFill="accent4" w:themeFillTint="33"/>
            <w:noWrap/>
            <w:hideMark/>
          </w:tcPr>
          <w:p w14:paraId="1BD55CCA" w14:textId="77777777" w:rsidR="00D36CB0" w:rsidRPr="00D36CB0" w:rsidRDefault="00D36CB0">
            <w:pPr>
              <w:rPr>
                <w:b/>
                <w:bCs/>
              </w:rPr>
            </w:pPr>
            <w:r w:rsidRPr="00D36CB0">
              <w:rPr>
                <w:b/>
                <w:bCs/>
              </w:rPr>
              <w:t>C13</w:t>
            </w:r>
          </w:p>
        </w:tc>
        <w:tc>
          <w:tcPr>
            <w:tcW w:w="3180" w:type="dxa"/>
            <w:hideMark/>
          </w:tcPr>
          <w:p w14:paraId="635566F4" w14:textId="77777777" w:rsidR="00D36CB0" w:rsidRPr="00D36CB0" w:rsidRDefault="00D36CB0">
            <w:r w:rsidRPr="00D36CB0">
              <w:t xml:space="preserve">Risk assessment </w:t>
            </w:r>
          </w:p>
        </w:tc>
        <w:tc>
          <w:tcPr>
            <w:tcW w:w="8440" w:type="dxa"/>
            <w:hideMark/>
          </w:tcPr>
          <w:p w14:paraId="4B149FAF" w14:textId="77777777" w:rsidR="00E10B75" w:rsidRPr="00D36CB0" w:rsidRDefault="00CB7917">
            <w:r>
              <w:t>A comprehensive</w:t>
            </w:r>
            <w:r w:rsidR="00D36CB0" w:rsidRPr="00D36CB0">
              <w:t xml:space="preserve"> risk assessment </w:t>
            </w:r>
            <w:r>
              <w:t>will</w:t>
            </w:r>
            <w:r w:rsidR="00D36CB0" w:rsidRPr="00D36CB0">
              <w:t xml:space="preserve"> be conducted to determine areas to note and the associated control measures to manage/ reduce the risk</w:t>
            </w:r>
            <w:r w:rsidR="00E10B75">
              <w:t>.</w:t>
            </w:r>
          </w:p>
          <w:p w14:paraId="03BB6E75" w14:textId="6BB70DE5" w:rsidR="00200AB1" w:rsidRPr="00A6320D" w:rsidRDefault="00E10B75" w:rsidP="00A6320D">
            <w:pPr>
              <w:spacing w:before="0" w:line="240" w:lineRule="auto"/>
              <w:rPr>
                <w:rFonts w:ascii="Aptos Narrow" w:hAnsi="Aptos Narrow"/>
                <w:color w:val="000000"/>
                <w:sz w:val="22"/>
                <w:szCs w:val="22"/>
              </w:rPr>
            </w:pPr>
            <w:r>
              <w:rPr>
                <w:rFonts w:ascii="Aptos Narrow" w:hAnsi="Aptos Narrow"/>
                <w:color w:val="000000"/>
                <w:sz w:val="22"/>
                <w:szCs w:val="22"/>
              </w:rPr>
              <w:t>[5</w:t>
            </w:r>
            <w:r w:rsidR="00200AB1">
              <w:rPr>
                <w:rFonts w:ascii="Aptos Narrow" w:hAnsi="Aptos Narrow"/>
                <w:color w:val="000000"/>
                <w:sz w:val="22"/>
                <w:szCs w:val="22"/>
              </w:rPr>
              <w:t>,</w:t>
            </w:r>
            <w:r>
              <w:rPr>
                <w:rFonts w:ascii="Aptos Narrow" w:hAnsi="Aptos Narrow"/>
                <w:color w:val="000000"/>
                <w:sz w:val="22"/>
                <w:szCs w:val="22"/>
              </w:rPr>
              <w:t>6,7</w:t>
            </w:r>
            <w:r w:rsidR="00200AB1">
              <w:rPr>
                <w:rFonts w:ascii="Aptos Narrow" w:hAnsi="Aptos Narrow"/>
                <w:color w:val="000000"/>
                <w:sz w:val="22"/>
                <w:szCs w:val="22"/>
              </w:rPr>
              <w:t>,</w:t>
            </w:r>
            <w:r>
              <w:rPr>
                <w:rFonts w:ascii="Aptos Narrow" w:hAnsi="Aptos Narrow"/>
                <w:color w:val="000000"/>
                <w:sz w:val="22"/>
                <w:szCs w:val="22"/>
              </w:rPr>
              <w:t>28,16]</w:t>
            </w:r>
          </w:p>
          <w:p w14:paraId="5E5B99F9" w14:textId="14E90940" w:rsidR="00A6320D" w:rsidRPr="00A6320D" w:rsidRDefault="00A6320D" w:rsidP="00A6320D"/>
        </w:tc>
      </w:tr>
      <w:tr w:rsidR="00D36CB0" w:rsidRPr="00D36CB0" w14:paraId="6DADA634" w14:textId="77777777" w:rsidTr="00676FC9">
        <w:trPr>
          <w:trHeight w:val="580"/>
        </w:trPr>
        <w:tc>
          <w:tcPr>
            <w:tcW w:w="1200" w:type="dxa"/>
            <w:shd w:val="clear" w:color="auto" w:fill="E5DFEC" w:themeFill="accent4" w:themeFillTint="33"/>
            <w:noWrap/>
            <w:hideMark/>
          </w:tcPr>
          <w:p w14:paraId="4B50D993" w14:textId="77777777" w:rsidR="00D36CB0" w:rsidRPr="00D36CB0" w:rsidRDefault="00D36CB0">
            <w:pPr>
              <w:rPr>
                <w:b/>
                <w:bCs/>
              </w:rPr>
            </w:pPr>
            <w:r w:rsidRPr="00D36CB0">
              <w:rPr>
                <w:b/>
                <w:bCs/>
              </w:rPr>
              <w:t>C14</w:t>
            </w:r>
          </w:p>
        </w:tc>
        <w:tc>
          <w:tcPr>
            <w:tcW w:w="3180" w:type="dxa"/>
            <w:hideMark/>
          </w:tcPr>
          <w:p w14:paraId="77B7B8A3" w14:textId="77777777" w:rsidR="00D36CB0" w:rsidRPr="00D36CB0" w:rsidRDefault="00D36CB0">
            <w:r w:rsidRPr="00D36CB0">
              <w:t>Environmental Considerations</w:t>
            </w:r>
          </w:p>
        </w:tc>
        <w:tc>
          <w:tcPr>
            <w:tcW w:w="8440" w:type="dxa"/>
            <w:hideMark/>
          </w:tcPr>
          <w:p w14:paraId="5E33360E" w14:textId="012FD9E3" w:rsidR="00D36CB0" w:rsidRPr="00E10B75" w:rsidRDefault="00D36CB0" w:rsidP="00E10B75">
            <w:r w:rsidRPr="00D36CB0">
              <w:t>Climatic limits in which the weapon system should be operated to minimise degradation, corrosion and misfire</w:t>
            </w:r>
            <w:r w:rsidR="00E10B75">
              <w:t xml:space="preserve">. </w:t>
            </w:r>
            <w:r w:rsidR="00E10B75">
              <w:rPr>
                <w:rFonts w:ascii="Aptos Narrow" w:hAnsi="Aptos Narrow"/>
                <w:color w:val="000000"/>
                <w:sz w:val="22"/>
                <w:szCs w:val="22"/>
              </w:rPr>
              <w:t>[29,30]</w:t>
            </w:r>
          </w:p>
        </w:tc>
      </w:tr>
      <w:tr w:rsidR="00D36CB0" w:rsidRPr="00D36CB0" w14:paraId="0372BBC4" w14:textId="77777777" w:rsidTr="00676FC9">
        <w:trPr>
          <w:trHeight w:val="870"/>
        </w:trPr>
        <w:tc>
          <w:tcPr>
            <w:tcW w:w="1200" w:type="dxa"/>
            <w:shd w:val="clear" w:color="auto" w:fill="E5DFEC" w:themeFill="accent4" w:themeFillTint="33"/>
            <w:noWrap/>
            <w:hideMark/>
          </w:tcPr>
          <w:p w14:paraId="39CE010B" w14:textId="77777777" w:rsidR="00D36CB0" w:rsidRPr="00D36CB0" w:rsidRDefault="00D36CB0">
            <w:pPr>
              <w:rPr>
                <w:b/>
                <w:bCs/>
              </w:rPr>
            </w:pPr>
            <w:r w:rsidRPr="00D36CB0">
              <w:rPr>
                <w:b/>
                <w:bCs/>
              </w:rPr>
              <w:t>C15</w:t>
            </w:r>
          </w:p>
        </w:tc>
        <w:tc>
          <w:tcPr>
            <w:tcW w:w="3180" w:type="dxa"/>
            <w:hideMark/>
          </w:tcPr>
          <w:p w14:paraId="2F0AC90E" w14:textId="77777777" w:rsidR="00D36CB0" w:rsidRPr="00D36CB0" w:rsidRDefault="00D36CB0">
            <w:r w:rsidRPr="00D36CB0">
              <w:t xml:space="preserve">Fatigue/stress management </w:t>
            </w:r>
          </w:p>
        </w:tc>
        <w:tc>
          <w:tcPr>
            <w:tcW w:w="8440" w:type="dxa"/>
            <w:hideMark/>
          </w:tcPr>
          <w:p w14:paraId="4BCFF18E" w14:textId="796A76F9" w:rsidR="00D36CB0" w:rsidRPr="00EC3B7F" w:rsidRDefault="00D36CB0" w:rsidP="00EC3B7F">
            <w:r w:rsidRPr="00D36CB0">
              <w:t xml:space="preserve">Ensure operators are not fatigued, stressed, or overloaded—mandatory rest periods </w:t>
            </w:r>
            <w:r w:rsidR="00200AB1">
              <w:t xml:space="preserve">are </w:t>
            </w:r>
            <w:r w:rsidRPr="00D36CB0">
              <w:t>to be used during prolonged operations or training. This is to prevent negligent discharges</w:t>
            </w:r>
            <w:r w:rsidR="00CB7917">
              <w:t>;</w:t>
            </w:r>
            <w:r w:rsidRPr="00D36CB0">
              <w:t xml:space="preserve"> procedural errors spike under fatigue. </w:t>
            </w:r>
            <w:r w:rsidR="00EC3B7F">
              <w:rPr>
                <w:rFonts w:ascii="Aptos Narrow" w:hAnsi="Aptos Narrow"/>
                <w:color w:val="000000"/>
                <w:sz w:val="22"/>
                <w:szCs w:val="22"/>
              </w:rPr>
              <w:t>[31,7,11]</w:t>
            </w:r>
          </w:p>
        </w:tc>
      </w:tr>
      <w:tr w:rsidR="00D36CB0" w:rsidRPr="00D36CB0" w14:paraId="6D18505D" w14:textId="77777777" w:rsidTr="00676FC9">
        <w:trPr>
          <w:trHeight w:val="870"/>
        </w:trPr>
        <w:tc>
          <w:tcPr>
            <w:tcW w:w="1200" w:type="dxa"/>
            <w:shd w:val="clear" w:color="auto" w:fill="E5DFEC" w:themeFill="accent4" w:themeFillTint="33"/>
            <w:noWrap/>
            <w:hideMark/>
          </w:tcPr>
          <w:p w14:paraId="639A063F" w14:textId="77777777" w:rsidR="00D36CB0" w:rsidRPr="00D36CB0" w:rsidRDefault="00D36CB0">
            <w:pPr>
              <w:rPr>
                <w:b/>
                <w:bCs/>
              </w:rPr>
            </w:pPr>
            <w:r w:rsidRPr="00D36CB0">
              <w:rPr>
                <w:b/>
                <w:bCs/>
              </w:rPr>
              <w:lastRenderedPageBreak/>
              <w:t>C16</w:t>
            </w:r>
          </w:p>
        </w:tc>
        <w:tc>
          <w:tcPr>
            <w:tcW w:w="3180" w:type="dxa"/>
            <w:hideMark/>
          </w:tcPr>
          <w:p w14:paraId="26EE99FF" w14:textId="77777777" w:rsidR="00D36CB0" w:rsidRPr="00D36CB0" w:rsidRDefault="00D36CB0">
            <w:r w:rsidRPr="00D36CB0">
              <w:t xml:space="preserve">Ammunition inspection </w:t>
            </w:r>
          </w:p>
        </w:tc>
        <w:tc>
          <w:tcPr>
            <w:tcW w:w="8440" w:type="dxa"/>
            <w:hideMark/>
          </w:tcPr>
          <w:p w14:paraId="2A968FD3" w14:textId="6455DEAF" w:rsidR="00D36CB0" w:rsidRPr="00D36CB0" w:rsidRDefault="00D36CB0">
            <w:r w:rsidRPr="00D36CB0">
              <w:t xml:space="preserve">Visual inspection of ammunition before use to check for corrosion, dents, and </w:t>
            </w:r>
            <w:r w:rsidR="00CB7917" w:rsidRPr="00D36CB0">
              <w:t>contamination. Use</w:t>
            </w:r>
            <w:r w:rsidRPr="00D36CB0">
              <w:t xml:space="preserve"> of approved ammunition lots </w:t>
            </w:r>
            <w:r w:rsidR="00EC3B7F" w:rsidRPr="00D36CB0">
              <w:t xml:space="preserve">only. </w:t>
            </w:r>
            <w:r w:rsidR="002147DB">
              <w:t>Segregate</w:t>
            </w:r>
            <w:r w:rsidRPr="00D36CB0">
              <w:t xml:space="preserve"> suspect rounds and report </w:t>
            </w:r>
            <w:r w:rsidR="00CB7917">
              <w:t xml:space="preserve">the </w:t>
            </w:r>
            <w:r w:rsidRPr="00D36CB0">
              <w:t>lot code for analysis</w:t>
            </w:r>
            <w:r w:rsidR="00EC3B7F">
              <w:t>.</w:t>
            </w:r>
            <w:r w:rsidR="002147DB">
              <w:t xml:space="preserve"> </w:t>
            </w:r>
            <w:r w:rsidR="002147DB">
              <w:rPr>
                <w:rFonts w:ascii="Aptos Narrow" w:hAnsi="Aptos Narrow"/>
                <w:color w:val="000000"/>
                <w:sz w:val="22"/>
                <w:szCs w:val="22"/>
              </w:rPr>
              <w:t>[29,30]</w:t>
            </w:r>
          </w:p>
        </w:tc>
      </w:tr>
      <w:tr w:rsidR="00D36CB0" w:rsidRPr="00D36CB0" w14:paraId="23D336FE" w14:textId="77777777" w:rsidTr="00676FC9">
        <w:trPr>
          <w:trHeight w:val="290"/>
        </w:trPr>
        <w:tc>
          <w:tcPr>
            <w:tcW w:w="1200" w:type="dxa"/>
            <w:shd w:val="clear" w:color="auto" w:fill="E5DFEC" w:themeFill="accent4" w:themeFillTint="33"/>
            <w:noWrap/>
            <w:hideMark/>
          </w:tcPr>
          <w:p w14:paraId="58D00143" w14:textId="77777777" w:rsidR="00D36CB0" w:rsidRPr="00D36CB0" w:rsidRDefault="00D36CB0">
            <w:pPr>
              <w:rPr>
                <w:b/>
                <w:bCs/>
              </w:rPr>
            </w:pPr>
            <w:r w:rsidRPr="00D36CB0">
              <w:rPr>
                <w:b/>
                <w:bCs/>
              </w:rPr>
              <w:t>C17</w:t>
            </w:r>
          </w:p>
        </w:tc>
        <w:tc>
          <w:tcPr>
            <w:tcW w:w="3180" w:type="dxa"/>
            <w:hideMark/>
          </w:tcPr>
          <w:p w14:paraId="3ECD3C62" w14:textId="6E31C0A1" w:rsidR="00D36CB0" w:rsidRPr="00D36CB0" w:rsidRDefault="00D36CB0">
            <w:r w:rsidRPr="00D36CB0">
              <w:t xml:space="preserve">Misfire/ </w:t>
            </w:r>
            <w:r w:rsidR="0033155F" w:rsidRPr="00D36CB0">
              <w:t>Hang fire</w:t>
            </w:r>
            <w:r w:rsidRPr="00D36CB0">
              <w:t xml:space="preserve"> procedure</w:t>
            </w:r>
          </w:p>
        </w:tc>
        <w:tc>
          <w:tcPr>
            <w:tcW w:w="8440" w:type="dxa"/>
            <w:hideMark/>
          </w:tcPr>
          <w:p w14:paraId="4772FC02" w14:textId="179013B8" w:rsidR="0033155F" w:rsidRPr="00D36CB0" w:rsidRDefault="00D36CB0">
            <w:r w:rsidRPr="00D36CB0">
              <w:t xml:space="preserve">Adopt the rehearsed procedures for misfires, </w:t>
            </w:r>
            <w:r w:rsidR="0033155F">
              <w:t>hang</w:t>
            </w:r>
            <w:r w:rsidR="00CB7917" w:rsidRPr="00D36CB0">
              <w:t xml:space="preserve"> fires</w:t>
            </w:r>
            <w:r w:rsidRPr="00D36CB0">
              <w:t>, and stoppages.</w:t>
            </w:r>
            <w:r w:rsidR="0033155F">
              <w:t xml:space="preserve"> </w:t>
            </w:r>
          </w:p>
          <w:p w14:paraId="62925BA8" w14:textId="406EA4C6" w:rsidR="00D36CB0" w:rsidRPr="0033155F" w:rsidRDefault="0033155F" w:rsidP="0033155F">
            <w:pPr>
              <w:spacing w:before="0" w:line="240" w:lineRule="auto"/>
              <w:rPr>
                <w:rFonts w:ascii="Aptos Narrow" w:hAnsi="Aptos Narrow"/>
                <w:color w:val="000000"/>
                <w:sz w:val="22"/>
                <w:szCs w:val="22"/>
              </w:rPr>
            </w:pPr>
            <w:r>
              <w:rPr>
                <w:rFonts w:ascii="Aptos Narrow" w:hAnsi="Aptos Narrow"/>
                <w:color w:val="000000"/>
                <w:sz w:val="22"/>
                <w:szCs w:val="22"/>
              </w:rPr>
              <w:t>[12</w:t>
            </w:r>
            <w:r w:rsidR="000D2862">
              <w:rPr>
                <w:rFonts w:ascii="Aptos Narrow" w:hAnsi="Aptos Narrow"/>
                <w:color w:val="000000"/>
                <w:sz w:val="22"/>
                <w:szCs w:val="22"/>
              </w:rPr>
              <w:t>,33</w:t>
            </w:r>
            <w:r>
              <w:rPr>
                <w:rFonts w:ascii="Aptos Narrow" w:hAnsi="Aptos Narrow"/>
                <w:color w:val="000000"/>
                <w:sz w:val="22"/>
                <w:szCs w:val="22"/>
              </w:rPr>
              <w:t>]</w:t>
            </w:r>
          </w:p>
        </w:tc>
      </w:tr>
      <w:tr w:rsidR="00D36CB0" w:rsidRPr="00D36CB0" w14:paraId="528C9BB9" w14:textId="77777777" w:rsidTr="00676FC9">
        <w:trPr>
          <w:trHeight w:val="580"/>
        </w:trPr>
        <w:tc>
          <w:tcPr>
            <w:tcW w:w="1200" w:type="dxa"/>
            <w:shd w:val="clear" w:color="auto" w:fill="E5DFEC" w:themeFill="accent4" w:themeFillTint="33"/>
            <w:noWrap/>
            <w:hideMark/>
          </w:tcPr>
          <w:p w14:paraId="78F16485" w14:textId="77777777" w:rsidR="00D36CB0" w:rsidRPr="00D36CB0" w:rsidRDefault="00D36CB0">
            <w:pPr>
              <w:rPr>
                <w:b/>
                <w:bCs/>
              </w:rPr>
            </w:pPr>
            <w:r w:rsidRPr="00D36CB0">
              <w:rPr>
                <w:b/>
                <w:bCs/>
              </w:rPr>
              <w:t>C18</w:t>
            </w:r>
          </w:p>
        </w:tc>
        <w:tc>
          <w:tcPr>
            <w:tcW w:w="3180" w:type="dxa"/>
            <w:hideMark/>
          </w:tcPr>
          <w:p w14:paraId="5FAA2FA3" w14:textId="77777777" w:rsidR="00D36CB0" w:rsidRPr="00D36CB0" w:rsidRDefault="00D36CB0">
            <w:r w:rsidRPr="00D36CB0">
              <w:t xml:space="preserve">Fault reporting </w:t>
            </w:r>
          </w:p>
        </w:tc>
        <w:tc>
          <w:tcPr>
            <w:tcW w:w="8440" w:type="dxa"/>
            <w:hideMark/>
          </w:tcPr>
          <w:p w14:paraId="1EF25AA8" w14:textId="61C805BE" w:rsidR="00D36CB0" w:rsidRPr="0033155F" w:rsidRDefault="00D36CB0" w:rsidP="0033155F">
            <w:r w:rsidRPr="00D36CB0">
              <w:t>Any faults with the weapon system shall be reported</w:t>
            </w:r>
            <w:r w:rsidR="00CB7917">
              <w:t>,</w:t>
            </w:r>
            <w:r w:rsidRPr="00D36CB0">
              <w:t xml:space="preserve"> and the weapon removed from circulation, tagged/ logged and segregated</w:t>
            </w:r>
            <w:r w:rsidR="0033155F">
              <w:t xml:space="preserve">. </w:t>
            </w:r>
            <w:r w:rsidR="0033155F">
              <w:rPr>
                <w:rFonts w:ascii="Aptos Narrow" w:hAnsi="Aptos Narrow"/>
                <w:color w:val="000000"/>
                <w:sz w:val="22"/>
                <w:szCs w:val="22"/>
              </w:rPr>
              <w:t>[9]</w:t>
            </w:r>
          </w:p>
        </w:tc>
      </w:tr>
    </w:tbl>
    <w:p w14:paraId="0B2F6415" w14:textId="77777777" w:rsidR="00A779D0" w:rsidRPr="00A779D0" w:rsidRDefault="00A779D0" w:rsidP="00A779D0"/>
    <w:sectPr w:rsidR="00A779D0" w:rsidRPr="00A779D0" w:rsidSect="00367945">
      <w:pgSz w:w="16838" w:h="11906" w:orient="landscape"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E3DB3" w14:textId="77777777" w:rsidR="00DF020B" w:rsidRDefault="00DF020B">
      <w:r>
        <w:separator/>
      </w:r>
    </w:p>
  </w:endnote>
  <w:endnote w:type="continuationSeparator" w:id="0">
    <w:p w14:paraId="70A00FB0" w14:textId="77777777" w:rsidR="00DF020B" w:rsidRDefault="00DF0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93568" w14:textId="269D5CFF" w:rsidR="00F23116" w:rsidRDefault="00F23116">
    <w:pPr>
      <w:pStyle w:val="Footer"/>
    </w:pPr>
    <w:r>
      <w:rPr>
        <w:noProof/>
      </w:rPr>
      <mc:AlternateContent>
        <mc:Choice Requires="wps">
          <w:drawing>
            <wp:anchor distT="0" distB="0" distL="0" distR="0" simplePos="0" relativeHeight="251667456" behindDoc="0" locked="0" layoutInCell="1" allowOverlap="1" wp14:anchorId="7E057A73" wp14:editId="4C9729D1">
              <wp:simplePos x="635" y="635"/>
              <wp:positionH relativeFrom="page">
                <wp:align>center</wp:align>
              </wp:positionH>
              <wp:positionV relativeFrom="page">
                <wp:align>bottom</wp:align>
              </wp:positionV>
              <wp:extent cx="1405255" cy="545465"/>
              <wp:effectExtent l="0" t="0" r="4445" b="0"/>
              <wp:wrapNone/>
              <wp:docPr id="1399107532" name="Text Box 10"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5255" cy="545465"/>
                      </a:xfrm>
                      <a:prstGeom prst="rect">
                        <a:avLst/>
                      </a:prstGeom>
                      <a:noFill/>
                      <a:ln>
                        <a:noFill/>
                      </a:ln>
                    </wps:spPr>
                    <wps:txbx>
                      <w:txbxContent>
                        <w:p w14:paraId="0D0C6462" w14:textId="2F73B761"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057A73" id="_x0000_t202" coordsize="21600,21600" o:spt="202" path="m,l,21600r21600,l21600,xe">
              <v:stroke joinstyle="miter"/>
              <v:path gradientshapeok="t" o:connecttype="rect"/>
            </v:shapetype>
            <v:shape id="Text Box 10" o:spid="_x0000_s1027" type="#_x0000_t202" alt="OFFICIAL-SENSITIVE" style="position:absolute;left:0;text-align:left;margin-left:0;margin-top:0;width:110.65pt;height:42.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sl4DAIAAB0EAAAOAAAAZHJzL2Uyb0RvYy54bWysU8Fu2zAMvQ/YPwi6L3aCuNiMOEXWIsOA&#10;oC2QDj0rshQbkERBUmJnXz9KjpOu26noRaZJ6pF8fFrc9lqRo3C+BVPR6SSnRBgOdWv2Ff31vP7y&#10;lRIfmKmZAiMqehKe3i4/f1p0thQzaEDVwhEEMb7sbEWbEGyZZZ43QjM/ASsMBiU4zQL+un1WO9Yh&#10;ulbZLM9vsg5cbR1w4T1674cgXSZ8KQUPj1J6EYiqKPYW0unSuYtntlywcu+YbVp+boO9owvNWoNF&#10;L1D3LDBycO0/ULrlDjzIMOGgM5Cy5SLNgNNM8zfTbBtmRZoFyfH2QpP/OFj+cNzaJ0dC/x16XGAk&#10;pLO+9OiM8/TS6fjFTgnGkcLThTbRB8LjpXlezIqCEo6xYl7Mb4oIk11vW+fDDwGaRKOiDteS2GLH&#10;jQ9D6pgSixlYt0ql1SjzlwMxoye7thit0O960tav2t9BfcKpHAwL95avWyy9YT48MYcbxkFQteER&#10;D6mgqyicLUoacL//54/5SDxGKelQMRU1KGlK1E+DC4niGg03GrtkTL/lRY5xc9B3gDqc4pOwPJno&#10;dUGNpnSgX1DPq1gIQ8xwLFfR3WjehUG6+B64WK1SEurIsrAxW8sjdKQrcvncvzBnz4QHXNUDjHJi&#10;5Rveh9x409vVISD7aSmR2oHIM+OowbTW83uJIn/9n7Kur3r5BwAA//8DAFBLAwQUAAYACAAAACEA&#10;1SMy89sAAAAEAQAADwAAAGRycy9kb3ducmV2LnhtbEyPQWvCQBCF7wX/wzJCb3VjgsWmmUgRerIU&#10;1F56W3fHJG12NmQ3Gv99Vy/1MvB4j/e+KVajbcWJet84RpjPEhDE2pmGK4Sv/fvTEoQPio1qHRPC&#10;hTysyslDoXLjzryl0y5UIpawzxVCHUKXS+l1TVb5meuIo3d0vVUhyr6SplfnWG5bmSbJs7Sq4bhQ&#10;q47WNenf3WARFtvwMXzyPvse08vPplvr7LjRiI/T8e0VRKAx/Ifhih/RoYxMBzew8aJFiI+E241e&#10;ms4zEAeE5eIFZFnIe/jyDwAA//8DAFBLAQItABQABgAIAAAAIQC2gziS/gAAAOEBAAATAAAAAAAA&#10;AAAAAAAAAAAAAABbQ29udGVudF9UeXBlc10ueG1sUEsBAi0AFAAGAAgAAAAhADj9If/WAAAAlAEA&#10;AAsAAAAAAAAAAAAAAAAALwEAAF9yZWxzLy5yZWxzUEsBAi0AFAAGAAgAAAAhANJKyXgMAgAAHQQA&#10;AA4AAAAAAAAAAAAAAAAALgIAAGRycy9lMm9Eb2MueG1sUEsBAi0AFAAGAAgAAAAhANUjMvPbAAAA&#10;BAEAAA8AAAAAAAAAAAAAAAAAZgQAAGRycy9kb3ducmV2LnhtbFBLBQYAAAAABAAEAPMAAABuBQAA&#10;AAA=&#10;" filled="f" stroked="f">
              <v:textbox style="mso-fit-shape-to-text:t" inset="0,0,0,15pt">
                <w:txbxContent>
                  <w:p w14:paraId="0D0C6462" w14:textId="2F73B761"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114D60DA" w:rsidR="002B0693" w:rsidRDefault="002B0693" w:rsidP="00D333B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5176C" w14:textId="2F723200" w:rsidR="00F23116" w:rsidRDefault="00F23116">
    <w:pPr>
      <w:pStyle w:val="Footer"/>
    </w:pPr>
    <w:r>
      <w:rPr>
        <w:noProof/>
      </w:rPr>
      <mc:AlternateContent>
        <mc:Choice Requires="wps">
          <w:drawing>
            <wp:anchor distT="0" distB="0" distL="0" distR="0" simplePos="0" relativeHeight="251666432" behindDoc="0" locked="0" layoutInCell="1" allowOverlap="1" wp14:anchorId="4AF4F2C1" wp14:editId="3CB3ADC5">
              <wp:simplePos x="635" y="635"/>
              <wp:positionH relativeFrom="page">
                <wp:align>center</wp:align>
              </wp:positionH>
              <wp:positionV relativeFrom="page">
                <wp:align>bottom</wp:align>
              </wp:positionV>
              <wp:extent cx="1405255" cy="545465"/>
              <wp:effectExtent l="0" t="0" r="4445" b="0"/>
              <wp:wrapNone/>
              <wp:docPr id="451581127" name="Text Box 9"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05255" cy="545465"/>
                      </a:xfrm>
                      <a:prstGeom prst="rect">
                        <a:avLst/>
                      </a:prstGeom>
                      <a:noFill/>
                      <a:ln>
                        <a:noFill/>
                      </a:ln>
                    </wps:spPr>
                    <wps:txbx>
                      <w:txbxContent>
                        <w:p w14:paraId="0633D893" w14:textId="0E082219"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F4F2C1" id="_x0000_t202" coordsize="21600,21600" o:spt="202" path="m,l,21600r21600,l21600,xe">
              <v:stroke joinstyle="miter"/>
              <v:path gradientshapeok="t" o:connecttype="rect"/>
            </v:shapetype>
            <v:shape id="Text Box 9" o:spid="_x0000_s1029" type="#_x0000_t202" alt="OFFICIAL-SENSITIVE" style="position:absolute;left:0;text-align:left;margin-left:0;margin-top:0;width:110.65pt;height:42.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KwDDwIAAB0EAAAOAAAAZHJzL2Uyb0RvYy54bWysU8Fu2zAMvQ/YPwi6L3ayuNiMOEXWIsOA&#10;oC2QDj0rshQbkERBUmJnXz9KjpOt7WnYRaZJ6pF8fFrc9lqRo3C+BVPR6SSnRBgOdWv2Ff35vP70&#10;hRIfmKmZAiMqehKe3i4/flh0thQzaEDVwhEEMb7sbEWbEGyZZZ43QjM/ASsMBiU4zQL+un1WO9Yh&#10;ulbZLM9vsg5cbR1w4T1674cgXSZ8KQUPj1J6EYiqKPYW0unSuYtntlywcu+YbVp+boP9QxeatQaL&#10;XqDuWWDk4No3ULrlDjzIMOGgM5Cy5SLNgNNM81fTbBtmRZoFyfH2QpP/f7D84bi1T46E/hv0uMBI&#10;SGd96dEZ5+ml0/GLnRKMI4WnC22iD4THS/O8mBUFJRxjxbyY3xQRJrvets6H7wI0iUZFHa4lscWO&#10;Gx+G1DElFjOwbpVKq1HmLwdiRk92bTFaod/1pK0r+nlsfwf1CadyMCzcW75usfSG+fDEHG4YB0HV&#10;hkc8pIKuonC2KGnA/XrPH/OReIxS0qFiKmpQ0pSoHwYXEsU1Gm40dsmYfs2LHOPmoO8AdTjFJ2F5&#10;MtHrghpN6UC/oJ5XsRCGmOFYrqK70bwLg3TxPXCxWqUk1JFlYWO2lkfoSFfk8rl/Yc6eCQ+4qgcY&#10;5cTKV7wPufGmt6tDQPbTUiK1A5FnxlGDaa3n9xJF/ud/yrq+6uVvAAAA//8DAFBLAwQUAAYACAAA&#10;ACEA1SMy89sAAAAEAQAADwAAAGRycy9kb3ducmV2LnhtbEyPQWvCQBCF7wX/wzJCb3VjgsWmmUgR&#10;erIU1F56W3fHJG12NmQ3Gv99Vy/1MvB4j/e+KVajbcWJet84RpjPEhDE2pmGK4Sv/fvTEoQPio1q&#10;HRPChTysyslDoXLjzryl0y5UIpawzxVCHUKXS+l1TVb5meuIo3d0vVUhyr6SplfnWG5bmSbJs7Sq&#10;4bhQq47WNenf3WARFtvwMXzyPvse08vPplvr7LjRiI/T8e0VRKAx/Ifhih/RoYxMBzew8aJFiI+E&#10;241ems4zEAeE5eIFZFnIe/jyDwAA//8DAFBLAQItABQABgAIAAAAIQC2gziS/gAAAOEBAAATAAAA&#10;AAAAAAAAAAAAAAAAAABbQ29udGVudF9UeXBlc10ueG1sUEsBAi0AFAAGAAgAAAAhADj9If/WAAAA&#10;lAEAAAsAAAAAAAAAAAAAAAAALwEAAF9yZWxzLy5yZWxzUEsBAi0AFAAGAAgAAAAhAAg0rAMPAgAA&#10;HQQAAA4AAAAAAAAAAAAAAAAALgIAAGRycy9lMm9Eb2MueG1sUEsBAi0AFAAGAAgAAAAhANUjMvPb&#10;AAAABAEAAA8AAAAAAAAAAAAAAAAAaQQAAGRycy9kb3ducmV2LnhtbFBLBQYAAAAABAAEAPMAAABx&#10;BQAAAAA=&#10;" filled="f" stroked="f">
              <v:textbox style="mso-fit-shape-to-text:t" inset="0,0,0,15pt">
                <w:txbxContent>
                  <w:p w14:paraId="0633D893" w14:textId="0E082219"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11D66373"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B742B" w14:textId="77777777" w:rsidR="00DF020B" w:rsidRDefault="00DF020B">
      <w:r>
        <w:separator/>
      </w:r>
    </w:p>
  </w:footnote>
  <w:footnote w:type="continuationSeparator" w:id="0">
    <w:p w14:paraId="228D5892" w14:textId="77777777" w:rsidR="00DF020B" w:rsidRDefault="00DF0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B4D6B" w14:textId="4497AAB6" w:rsidR="00F23116" w:rsidRDefault="00F23116">
    <w:pPr>
      <w:pStyle w:val="Header"/>
    </w:pPr>
    <w:r>
      <w:rPr>
        <w:noProof/>
      </w:rPr>
      <mc:AlternateContent>
        <mc:Choice Requires="wps">
          <w:drawing>
            <wp:anchor distT="0" distB="0" distL="0" distR="0" simplePos="0" relativeHeight="251659264" behindDoc="0" locked="0" layoutInCell="1" allowOverlap="1" wp14:anchorId="097CE7E1" wp14:editId="30A7FED0">
              <wp:simplePos x="635" y="635"/>
              <wp:positionH relativeFrom="page">
                <wp:align>center</wp:align>
              </wp:positionH>
              <wp:positionV relativeFrom="page">
                <wp:align>top</wp:align>
              </wp:positionV>
              <wp:extent cx="1405255" cy="545465"/>
              <wp:effectExtent l="0" t="0" r="4445" b="6985"/>
              <wp:wrapNone/>
              <wp:docPr id="1813259869"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5255" cy="545465"/>
                      </a:xfrm>
                      <a:prstGeom prst="rect">
                        <a:avLst/>
                      </a:prstGeom>
                      <a:noFill/>
                      <a:ln>
                        <a:noFill/>
                      </a:ln>
                    </wps:spPr>
                    <wps:txbx>
                      <w:txbxContent>
                        <w:p w14:paraId="53A0CD67" w14:textId="5AF4D0DE"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97CE7E1" id="_x0000_t202" coordsize="21600,21600" o:spt="202" path="m,l,21600r21600,l21600,xe">
              <v:stroke joinstyle="miter"/>
              <v:path gradientshapeok="t" o:connecttype="rect"/>
            </v:shapetype>
            <v:shape id="Text Box 2" o:spid="_x0000_s1026" type="#_x0000_t202" alt="OFFICIAL-SENSITIVE" style="position:absolute;left:0;text-align:left;margin-left:0;margin-top:0;width:110.65pt;height:42.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tcXCgIAABYEAAAOAAAAZHJzL2Uyb0RvYy54bWysU8Fu2zAMvQ/YPwi6L3aCuNiMOEXWIsOA&#10;oC2QDj0rshQbkERBUmJnXz9Ktpuu22nYRaZJ6pF8fFrd9lqRs3C+BVPR+SynRBgOdWuOFf3xvP30&#10;mRIfmKmZAiMqehGe3q4/flh1thQLaEDVwhEEMb7sbEWbEGyZZZ43QjM/AysMBiU4zQL+umNWO9Yh&#10;ulbZIs9vsg5cbR1w4T1674cgXSd8KQUPj1J6EYiqKPYW0unSeYhntl6x8uiYbVo+tsH+oQvNWoNF&#10;X6HuWWDk5No/oHTLHXiQYcZBZyBly0WaAaeZ5++m2TfMijQLkuPtK03+/8Hyh/PePjkS+q/Q4wIj&#10;IZ31pUdnnKeXTscvdkowjhReXmkTfSA8XlrmxaIoKOEYK5bF8qaIMNn1tnU+fBOgSTQq6nAtiS12&#10;3vkwpE4psZiBbatUWo0yvzkQM3qya4vRCv2hH/s+QH3BcRwMm/aWb1usuWM+PDGHq8UJUK7hEQ+p&#10;oKsojBYlDbiff/PHfGQco5R0KJWKGtQyJeq7wU1EVSVj/iUvcvxzk/swGeak7wAFOMe3YHkyY15Q&#10;kykd6BcU8iYWwhAzHMtVNEzmXRg0iw+Bi80mJaGALAs7s7c8QkeeIonP/QtzdmQ64I4eYNIRK98R&#10;PuTGm95uTgFpT9uInA5EjlSj+NI+x4cS1f32P2Vdn/P6FwAAAP//AwBQSwMEFAAGAAgAAAAhAORM&#10;jsrbAAAABAEAAA8AAABkcnMvZG93bnJldi54bWxMj81uwjAQhO9IvIO1SL0Vx0GpaBoHISQO3Cj9&#10;OZt4m6SNd6PYQMrT1+2lXFYazWjm22I1uk6ccfAtkwY1T0AgVWxbqjW8vmzvlyB8MGRNx4QavtHD&#10;qpxOCpNbvtAzng+hFrGEfG40NCH0uZS+atAZP+ceKXofPDgTohxqaQdzieWuk2mSPEhnWooLjelx&#10;02D1dTg5DW225qDwbbf9fHeK1XW/y657re9m4/oJRMAx/IfhFz+iQxmZjnwi60WnIT4S/m700lQt&#10;QBw1LLNHkGUhb+HLHwAAAP//AwBQSwECLQAUAAYACAAAACEAtoM4kv4AAADhAQAAEwAAAAAAAAAA&#10;AAAAAAAAAAAAW0NvbnRlbnRfVHlwZXNdLnhtbFBLAQItABQABgAIAAAAIQA4/SH/1gAAAJQBAAAL&#10;AAAAAAAAAAAAAAAAAC8BAABfcmVscy8ucmVsc1BLAQItABQABgAIAAAAIQDFotcXCgIAABYEAAAO&#10;AAAAAAAAAAAAAAAAAC4CAABkcnMvZTJvRG9jLnhtbFBLAQItABQABgAIAAAAIQDkTI7K2wAAAAQB&#10;AAAPAAAAAAAAAAAAAAAAAGQEAABkcnMvZG93bnJldi54bWxQSwUGAAAAAAQABADzAAAAbAUAAAAA&#10;" filled="f" stroked="f">
              <v:textbox style="mso-fit-shape-to-text:t" inset="0,15pt,0,0">
                <w:txbxContent>
                  <w:p w14:paraId="53A0CD67" w14:textId="5AF4D0DE"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FB569" w14:textId="5CF13513" w:rsidR="00F23116" w:rsidRDefault="00F23116">
    <w:pPr>
      <w:pStyle w:val="Header"/>
    </w:pPr>
    <w:r>
      <w:rPr>
        <w:noProof/>
      </w:rPr>
      <mc:AlternateContent>
        <mc:Choice Requires="wps">
          <w:drawing>
            <wp:anchor distT="0" distB="0" distL="0" distR="0" simplePos="0" relativeHeight="251658240" behindDoc="0" locked="0" layoutInCell="1" allowOverlap="1" wp14:anchorId="2C8E06D9" wp14:editId="6675B039">
              <wp:simplePos x="635" y="635"/>
              <wp:positionH relativeFrom="page">
                <wp:align>center</wp:align>
              </wp:positionH>
              <wp:positionV relativeFrom="page">
                <wp:align>top</wp:align>
              </wp:positionV>
              <wp:extent cx="1405255" cy="545465"/>
              <wp:effectExtent l="0" t="0" r="4445" b="6985"/>
              <wp:wrapNone/>
              <wp:docPr id="347527657"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05255" cy="545465"/>
                      </a:xfrm>
                      <a:prstGeom prst="rect">
                        <a:avLst/>
                      </a:prstGeom>
                      <a:noFill/>
                      <a:ln>
                        <a:noFill/>
                      </a:ln>
                    </wps:spPr>
                    <wps:txbx>
                      <w:txbxContent>
                        <w:p w14:paraId="31FD5205" w14:textId="5E4045E8"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8E06D9" id="_x0000_t202" coordsize="21600,21600" o:spt="202" path="m,l,21600r21600,l21600,xe">
              <v:stroke joinstyle="miter"/>
              <v:path gradientshapeok="t" o:connecttype="rect"/>
            </v:shapetype>
            <v:shape id="Text Box 1" o:spid="_x0000_s1028" type="#_x0000_t202" alt="OFFICIAL-SENSITIVE" style="position:absolute;left:0;text-align:left;margin-left:0;margin-top:0;width:110.65pt;height:42.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E+KDgIAAB0EAAAOAAAAZHJzL2Uyb0RvYy54bWysU8Fu2zAMvQ/YPwi6L3aCuNiMOEXWIsOA&#10;oC2QDj0rshQbkERBUmJnXz9KjpOu26noRaZJ6pF8fFrc9lqRo3C+BVPR6SSnRBgOdWv2Ff31vP7y&#10;lRIfmKmZAiMqehKe3i4/f1p0thQzaEDVwhEEMb7sbEWbEGyZZZ43QjM/ASsMBiU4zQL+un1WO9Yh&#10;ulbZLM9vsg5cbR1w4T1674cgXSZ8KQUPj1J6EYiqKPYW0unSuYtntlywcu+YbVp+boO9owvNWoNF&#10;L1D3LDBycO0/ULrlDjzIMOGgM5Cy5SLNgNNM8zfTbBtmRZoFyfH2QpP/OFj+cNzaJ0dC/x16XGAk&#10;pLO+9OiM8/TS6fjFTgnGkcLThTbRB8LjpXlezIqCEo6xYl7Mb4oIk11vW+fDDwGaRKOiDteS2GLH&#10;jQ9D6pgSixlYt0ql1SjzlwMxoye7thit0O960tYVnY3t76A+4VQOhoV7y9ctlt4wH56Yww3jIKja&#10;8IiHVNBVFM4WJQ243//zx3wkHqOUdKiYihqUNCXqp8GFRHElY/otL3L8c6N7NxrmoO8AdTjFJ2F5&#10;MmNeUKMpHegX1PMqFsIQMxzLVTSM5l0YpIvvgYvVKiWhjiwLG7O1PEJHuiKXz/0Lc/ZMeMBVPcAo&#10;J1a+4X3IjTe9XR0Csp+WEqkdiDwzjhpMaz2/lyjy1/8p6/qql38AAAD//wMAUEsDBBQABgAIAAAA&#10;IQDkTI7K2wAAAAQBAAAPAAAAZHJzL2Rvd25yZXYueG1sTI/NbsIwEITvSLyDtUi9FcdBqWgaByEk&#10;Dtwo/TmbeJukjXej2EDK09ftpVxWGs1o5ttiNbpOnHHwLZMGNU9AIFVsW6o1vL5s75cgfDBkTceE&#10;Gr7Rw6qcTgqTW77QM54PoRaxhHxuNDQh9LmUvmrQGT/nHil6Hzw4E6IcamkHc4nlrpNpkjxIZ1qK&#10;C43pcdNg9XU4OQ1ttuag8G23/Xx3itV1v8uue63vZuP6CUTAMfyH4Rc/okMZmY58IutFpyE+Ev5u&#10;9NJULUAcNSyzR5BlIW/hyx8AAAD//wMAUEsBAi0AFAAGAAgAAAAhALaDOJL+AAAA4QEAABMAAAAA&#10;AAAAAAAAAAAAAAAAAFtDb250ZW50X1R5cGVzXS54bWxQSwECLQAUAAYACAAAACEAOP0h/9YAAACU&#10;AQAACwAAAAAAAAAAAAAAAAAvAQAAX3JlbHMvLnJlbHNQSwECLQAUAAYACAAAACEA+0xPig4CAAAd&#10;BAAADgAAAAAAAAAAAAAAAAAuAgAAZHJzL2Uyb0RvYy54bWxQSwECLQAUAAYACAAAACEA5EyOytsA&#10;AAAEAQAADwAAAAAAAAAAAAAAAABoBAAAZHJzL2Rvd25yZXYueG1sUEsFBgAAAAAEAAQA8wAAAHAF&#10;AAAAAA==&#10;" filled="f" stroked="f">
              <v:textbox style="mso-fit-shape-to-text:t" inset="0,15pt,0,0">
                <w:txbxContent>
                  <w:p w14:paraId="31FD5205" w14:textId="5E4045E8" w:rsidR="00F23116" w:rsidRPr="00F23116" w:rsidRDefault="00F23116" w:rsidP="00F23116">
                    <w:pPr>
                      <w:rPr>
                        <w:rFonts w:eastAsia="Arial" w:cs="Arial"/>
                        <w:noProof/>
                        <w:color w:val="000000"/>
                        <w:sz w:val="22"/>
                        <w:szCs w:val="22"/>
                      </w:rPr>
                    </w:pPr>
                    <w:r w:rsidRPr="00F23116">
                      <w:rPr>
                        <w:rFonts w:eastAsia="Arial" w:cs="Arial"/>
                        <w:noProof/>
                        <w:color w:val="000000"/>
                        <w:sz w:val="22"/>
                        <w:szCs w:val="22"/>
                      </w:rPr>
                      <w:t>OFFICIAL-SENSITIVE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78D4ABF9" w:rsidR="002B0693" w:rsidRPr="00807CDF" w:rsidRDefault="002B0693" w:rsidP="00807CD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60895586"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C132" w14:textId="0FA2D6B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C8050" w14:textId="0D31E094" w:rsidR="00757AC5" w:rsidRDefault="00757A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B4E"/>
    <w:multiLevelType w:val="hybridMultilevel"/>
    <w:tmpl w:val="F1C01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3649EB"/>
    <w:multiLevelType w:val="hybridMultilevel"/>
    <w:tmpl w:val="6F2C7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E978A8"/>
    <w:multiLevelType w:val="multilevel"/>
    <w:tmpl w:val="366C1B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31EDE"/>
    <w:multiLevelType w:val="multilevel"/>
    <w:tmpl w:val="C90A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764308"/>
    <w:multiLevelType w:val="hybridMultilevel"/>
    <w:tmpl w:val="BCA82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F855F5"/>
    <w:multiLevelType w:val="hybridMultilevel"/>
    <w:tmpl w:val="3F1C7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8" w15:restartNumberingAfterBreak="0">
    <w:nsid w:val="415C3370"/>
    <w:multiLevelType w:val="hybridMultilevel"/>
    <w:tmpl w:val="2780B1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9EF0B80"/>
    <w:multiLevelType w:val="multilevel"/>
    <w:tmpl w:val="B25E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7704B8"/>
    <w:multiLevelType w:val="hybridMultilevel"/>
    <w:tmpl w:val="7CAAE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D519F6"/>
    <w:multiLevelType w:val="hybridMultilevel"/>
    <w:tmpl w:val="163A31D2"/>
    <w:lvl w:ilvl="0" w:tplc="55F2A5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0F53F4"/>
    <w:multiLevelType w:val="multilevel"/>
    <w:tmpl w:val="0718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EC7564"/>
    <w:multiLevelType w:val="hybridMultilevel"/>
    <w:tmpl w:val="9138B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83B0726"/>
    <w:multiLevelType w:val="multilevel"/>
    <w:tmpl w:val="CDEA1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F36992"/>
    <w:multiLevelType w:val="multilevel"/>
    <w:tmpl w:val="8A50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0E0C70"/>
    <w:multiLevelType w:val="multilevel"/>
    <w:tmpl w:val="A986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557171"/>
    <w:multiLevelType w:val="hybridMultilevel"/>
    <w:tmpl w:val="A9AA6D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9E0C93"/>
    <w:multiLevelType w:val="hybridMultilevel"/>
    <w:tmpl w:val="11DEC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2FA34F9"/>
    <w:multiLevelType w:val="hybridMultilevel"/>
    <w:tmpl w:val="CF20A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34276CA"/>
    <w:multiLevelType w:val="hybridMultilevel"/>
    <w:tmpl w:val="3CA28D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791E4FDC"/>
    <w:multiLevelType w:val="hybridMultilevel"/>
    <w:tmpl w:val="D63C7E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AF97386"/>
    <w:multiLevelType w:val="multilevel"/>
    <w:tmpl w:val="0A522BBA"/>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num w:numId="1" w16cid:durableId="2055156748">
    <w:abstractNumId w:val="23"/>
  </w:num>
  <w:num w:numId="2" w16cid:durableId="38435229">
    <w:abstractNumId w:val="21"/>
  </w:num>
  <w:num w:numId="3" w16cid:durableId="2057730824">
    <w:abstractNumId w:val="7"/>
  </w:num>
  <w:num w:numId="4" w16cid:durableId="2025472307">
    <w:abstractNumId w:val="3"/>
  </w:num>
  <w:num w:numId="5" w16cid:durableId="1846940924">
    <w:abstractNumId w:val="2"/>
  </w:num>
  <w:num w:numId="6" w16cid:durableId="147289388">
    <w:abstractNumId w:val="14"/>
  </w:num>
  <w:num w:numId="7" w16cid:durableId="549154247">
    <w:abstractNumId w:val="11"/>
  </w:num>
  <w:num w:numId="8" w16cid:durableId="16153701">
    <w:abstractNumId w:val="1"/>
  </w:num>
  <w:num w:numId="9" w16cid:durableId="340475987">
    <w:abstractNumId w:val="22"/>
  </w:num>
  <w:num w:numId="10" w16cid:durableId="1543126412">
    <w:abstractNumId w:val="19"/>
  </w:num>
  <w:num w:numId="11" w16cid:durableId="1931424160">
    <w:abstractNumId w:val="18"/>
  </w:num>
  <w:num w:numId="12" w16cid:durableId="1506703390">
    <w:abstractNumId w:val="17"/>
  </w:num>
  <w:num w:numId="13" w16cid:durableId="1692611091">
    <w:abstractNumId w:val="16"/>
  </w:num>
  <w:num w:numId="14" w16cid:durableId="1300261296">
    <w:abstractNumId w:val="9"/>
  </w:num>
  <w:num w:numId="15" w16cid:durableId="1669746907">
    <w:abstractNumId w:val="15"/>
  </w:num>
  <w:num w:numId="16" w16cid:durableId="2084138141">
    <w:abstractNumId w:val="4"/>
  </w:num>
  <w:num w:numId="17" w16cid:durableId="996959399">
    <w:abstractNumId w:val="12"/>
  </w:num>
  <w:num w:numId="18" w16cid:durableId="1979259798">
    <w:abstractNumId w:val="0"/>
  </w:num>
  <w:num w:numId="19" w16cid:durableId="1699768698">
    <w:abstractNumId w:val="8"/>
  </w:num>
  <w:num w:numId="20" w16cid:durableId="1859193958">
    <w:abstractNumId w:val="13"/>
  </w:num>
  <w:num w:numId="21" w16cid:durableId="2111578835">
    <w:abstractNumId w:val="5"/>
  </w:num>
  <w:num w:numId="22" w16cid:durableId="1303460749">
    <w:abstractNumId w:val="10"/>
  </w:num>
  <w:num w:numId="23" w16cid:durableId="110127422">
    <w:abstractNumId w:val="6"/>
  </w:num>
  <w:num w:numId="24" w16cid:durableId="249045877">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3CE3"/>
    <w:rsid w:val="000146A5"/>
    <w:rsid w:val="00015A13"/>
    <w:rsid w:val="00016BC8"/>
    <w:rsid w:val="00026709"/>
    <w:rsid w:val="0003188E"/>
    <w:rsid w:val="00040807"/>
    <w:rsid w:val="000412B6"/>
    <w:rsid w:val="00045D6F"/>
    <w:rsid w:val="000541B6"/>
    <w:rsid w:val="00054750"/>
    <w:rsid w:val="00063CEE"/>
    <w:rsid w:val="00065259"/>
    <w:rsid w:val="00065A60"/>
    <w:rsid w:val="00067512"/>
    <w:rsid w:val="00071CD5"/>
    <w:rsid w:val="00076366"/>
    <w:rsid w:val="000773B8"/>
    <w:rsid w:val="000831FF"/>
    <w:rsid w:val="00086305"/>
    <w:rsid w:val="00097727"/>
    <w:rsid w:val="000A114D"/>
    <w:rsid w:val="000A2C8C"/>
    <w:rsid w:val="000A4407"/>
    <w:rsid w:val="000B6677"/>
    <w:rsid w:val="000C0DC3"/>
    <w:rsid w:val="000C6559"/>
    <w:rsid w:val="000D1FCE"/>
    <w:rsid w:val="000D2862"/>
    <w:rsid w:val="000D3236"/>
    <w:rsid w:val="000D3AB7"/>
    <w:rsid w:val="000D7151"/>
    <w:rsid w:val="000E1E14"/>
    <w:rsid w:val="000E22A4"/>
    <w:rsid w:val="000E5531"/>
    <w:rsid w:val="000F3FC7"/>
    <w:rsid w:val="000F5578"/>
    <w:rsid w:val="00126903"/>
    <w:rsid w:val="00127A89"/>
    <w:rsid w:val="00127D29"/>
    <w:rsid w:val="00130109"/>
    <w:rsid w:val="00130408"/>
    <w:rsid w:val="00132B6A"/>
    <w:rsid w:val="00134529"/>
    <w:rsid w:val="001414AC"/>
    <w:rsid w:val="00145332"/>
    <w:rsid w:val="001507DE"/>
    <w:rsid w:val="00153683"/>
    <w:rsid w:val="00163F10"/>
    <w:rsid w:val="00171953"/>
    <w:rsid w:val="001850E2"/>
    <w:rsid w:val="00187837"/>
    <w:rsid w:val="00187AAB"/>
    <w:rsid w:val="00196CAA"/>
    <w:rsid w:val="001A0C51"/>
    <w:rsid w:val="001A2B0C"/>
    <w:rsid w:val="001A40B1"/>
    <w:rsid w:val="001B0633"/>
    <w:rsid w:val="001B63F7"/>
    <w:rsid w:val="001C1A69"/>
    <w:rsid w:val="001C2208"/>
    <w:rsid w:val="001C23E5"/>
    <w:rsid w:val="001C56C7"/>
    <w:rsid w:val="001D1974"/>
    <w:rsid w:val="001D2FAF"/>
    <w:rsid w:val="001D636A"/>
    <w:rsid w:val="001D7982"/>
    <w:rsid w:val="001E00D5"/>
    <w:rsid w:val="001E388D"/>
    <w:rsid w:val="001E3B1A"/>
    <w:rsid w:val="001E7302"/>
    <w:rsid w:val="001F1539"/>
    <w:rsid w:val="001F3055"/>
    <w:rsid w:val="001F41DE"/>
    <w:rsid w:val="001F7007"/>
    <w:rsid w:val="001F7EBB"/>
    <w:rsid w:val="00200AB1"/>
    <w:rsid w:val="00204473"/>
    <w:rsid w:val="00204D65"/>
    <w:rsid w:val="002121F3"/>
    <w:rsid w:val="002147DB"/>
    <w:rsid w:val="00224C6D"/>
    <w:rsid w:val="00224E7F"/>
    <w:rsid w:val="00230B99"/>
    <w:rsid w:val="00232B80"/>
    <w:rsid w:val="002331EE"/>
    <w:rsid w:val="00241441"/>
    <w:rsid w:val="00243218"/>
    <w:rsid w:val="00243313"/>
    <w:rsid w:val="00243398"/>
    <w:rsid w:val="00245DA7"/>
    <w:rsid w:val="002460CF"/>
    <w:rsid w:val="00246995"/>
    <w:rsid w:val="00246E27"/>
    <w:rsid w:val="0025099B"/>
    <w:rsid w:val="002648FE"/>
    <w:rsid w:val="00266AA0"/>
    <w:rsid w:val="00267F4D"/>
    <w:rsid w:val="00270DCC"/>
    <w:rsid w:val="00274BCA"/>
    <w:rsid w:val="00275838"/>
    <w:rsid w:val="00277687"/>
    <w:rsid w:val="0028011E"/>
    <w:rsid w:val="00282E80"/>
    <w:rsid w:val="00283A91"/>
    <w:rsid w:val="00285034"/>
    <w:rsid w:val="002A4763"/>
    <w:rsid w:val="002A5491"/>
    <w:rsid w:val="002A7DD0"/>
    <w:rsid w:val="002B0693"/>
    <w:rsid w:val="002B133F"/>
    <w:rsid w:val="002B16E2"/>
    <w:rsid w:val="002B7456"/>
    <w:rsid w:val="002B7B28"/>
    <w:rsid w:val="002C0D5E"/>
    <w:rsid w:val="002C6F17"/>
    <w:rsid w:val="002D05CE"/>
    <w:rsid w:val="002D2AA8"/>
    <w:rsid w:val="002D2AA9"/>
    <w:rsid w:val="002D4A7B"/>
    <w:rsid w:val="002D6A37"/>
    <w:rsid w:val="002E1329"/>
    <w:rsid w:val="002E21CB"/>
    <w:rsid w:val="002F7211"/>
    <w:rsid w:val="00300AB4"/>
    <w:rsid w:val="00302E18"/>
    <w:rsid w:val="00304798"/>
    <w:rsid w:val="003049F4"/>
    <w:rsid w:val="003171B6"/>
    <w:rsid w:val="00317CD6"/>
    <w:rsid w:val="0033155F"/>
    <w:rsid w:val="00335DE9"/>
    <w:rsid w:val="003500A4"/>
    <w:rsid w:val="00351E83"/>
    <w:rsid w:val="003550A0"/>
    <w:rsid w:val="0035720C"/>
    <w:rsid w:val="00361EFD"/>
    <w:rsid w:val="00363CF1"/>
    <w:rsid w:val="00365AF8"/>
    <w:rsid w:val="00365BEE"/>
    <w:rsid w:val="00367945"/>
    <w:rsid w:val="0037068D"/>
    <w:rsid w:val="00372935"/>
    <w:rsid w:val="0037365D"/>
    <w:rsid w:val="00381417"/>
    <w:rsid w:val="00393F05"/>
    <w:rsid w:val="00397B64"/>
    <w:rsid w:val="003A021B"/>
    <w:rsid w:val="003A5815"/>
    <w:rsid w:val="003A6A11"/>
    <w:rsid w:val="003A7FF8"/>
    <w:rsid w:val="003B075E"/>
    <w:rsid w:val="003B1C9F"/>
    <w:rsid w:val="003B2155"/>
    <w:rsid w:val="003C2111"/>
    <w:rsid w:val="003D3272"/>
    <w:rsid w:val="003E5D19"/>
    <w:rsid w:val="003F67A2"/>
    <w:rsid w:val="003F764C"/>
    <w:rsid w:val="004015E2"/>
    <w:rsid w:val="00404309"/>
    <w:rsid w:val="0041685B"/>
    <w:rsid w:val="00423DB3"/>
    <w:rsid w:val="00424AD0"/>
    <w:rsid w:val="004258FA"/>
    <w:rsid w:val="00437232"/>
    <w:rsid w:val="00441B01"/>
    <w:rsid w:val="00445061"/>
    <w:rsid w:val="00445556"/>
    <w:rsid w:val="00452F2D"/>
    <w:rsid w:val="004534AC"/>
    <w:rsid w:val="004557D4"/>
    <w:rsid w:val="00460314"/>
    <w:rsid w:val="0046152D"/>
    <w:rsid w:val="00472565"/>
    <w:rsid w:val="0047365C"/>
    <w:rsid w:val="004747AF"/>
    <w:rsid w:val="0048694B"/>
    <w:rsid w:val="0049076B"/>
    <w:rsid w:val="004924D3"/>
    <w:rsid w:val="004A105C"/>
    <w:rsid w:val="004A1164"/>
    <w:rsid w:val="004A133A"/>
    <w:rsid w:val="004A38F6"/>
    <w:rsid w:val="004B23A5"/>
    <w:rsid w:val="004B3FFB"/>
    <w:rsid w:val="004B5597"/>
    <w:rsid w:val="004B5D2E"/>
    <w:rsid w:val="004C03F0"/>
    <w:rsid w:val="004C2C9C"/>
    <w:rsid w:val="004C6046"/>
    <w:rsid w:val="004D265B"/>
    <w:rsid w:val="004D4F7A"/>
    <w:rsid w:val="004D5EBD"/>
    <w:rsid w:val="004E7AF1"/>
    <w:rsid w:val="004F29C7"/>
    <w:rsid w:val="00501C36"/>
    <w:rsid w:val="005064F6"/>
    <w:rsid w:val="005125CD"/>
    <w:rsid w:val="005134B3"/>
    <w:rsid w:val="005175C7"/>
    <w:rsid w:val="0052247A"/>
    <w:rsid w:val="005244BB"/>
    <w:rsid w:val="00524E57"/>
    <w:rsid w:val="0052641F"/>
    <w:rsid w:val="00526DD7"/>
    <w:rsid w:val="005304A9"/>
    <w:rsid w:val="00532848"/>
    <w:rsid w:val="00533F97"/>
    <w:rsid w:val="00541950"/>
    <w:rsid w:val="00543179"/>
    <w:rsid w:val="00547EA4"/>
    <w:rsid w:val="005516A2"/>
    <w:rsid w:val="005528A4"/>
    <w:rsid w:val="00555AF7"/>
    <w:rsid w:val="00557315"/>
    <w:rsid w:val="005573D0"/>
    <w:rsid w:val="00565505"/>
    <w:rsid w:val="00571D27"/>
    <w:rsid w:val="005800F4"/>
    <w:rsid w:val="00590F21"/>
    <w:rsid w:val="005946EF"/>
    <w:rsid w:val="005A1C9B"/>
    <w:rsid w:val="005A29B0"/>
    <w:rsid w:val="005A510B"/>
    <w:rsid w:val="005B24D5"/>
    <w:rsid w:val="005B6F40"/>
    <w:rsid w:val="005C0AF1"/>
    <w:rsid w:val="005C6FA2"/>
    <w:rsid w:val="005D4660"/>
    <w:rsid w:val="005D4968"/>
    <w:rsid w:val="005D68D1"/>
    <w:rsid w:val="005D6917"/>
    <w:rsid w:val="005E3AA0"/>
    <w:rsid w:val="005E3ACA"/>
    <w:rsid w:val="005E4B39"/>
    <w:rsid w:val="005E5F43"/>
    <w:rsid w:val="00600F1E"/>
    <w:rsid w:val="0060782A"/>
    <w:rsid w:val="00614D39"/>
    <w:rsid w:val="006159AA"/>
    <w:rsid w:val="00615C03"/>
    <w:rsid w:val="006161B2"/>
    <w:rsid w:val="00620197"/>
    <w:rsid w:val="00621189"/>
    <w:rsid w:val="006232AF"/>
    <w:rsid w:val="00623A81"/>
    <w:rsid w:val="00626744"/>
    <w:rsid w:val="006267B0"/>
    <w:rsid w:val="0062728E"/>
    <w:rsid w:val="006342AB"/>
    <w:rsid w:val="00640DED"/>
    <w:rsid w:val="006454D8"/>
    <w:rsid w:val="0065601E"/>
    <w:rsid w:val="006573D9"/>
    <w:rsid w:val="006575E8"/>
    <w:rsid w:val="00670574"/>
    <w:rsid w:val="00671FA2"/>
    <w:rsid w:val="0067456B"/>
    <w:rsid w:val="00676549"/>
    <w:rsid w:val="00676FC9"/>
    <w:rsid w:val="006821D8"/>
    <w:rsid w:val="00684F95"/>
    <w:rsid w:val="00685088"/>
    <w:rsid w:val="00693975"/>
    <w:rsid w:val="006A19EC"/>
    <w:rsid w:val="006A3182"/>
    <w:rsid w:val="006A3E8E"/>
    <w:rsid w:val="006A550B"/>
    <w:rsid w:val="006A797F"/>
    <w:rsid w:val="006B365F"/>
    <w:rsid w:val="006C6C98"/>
    <w:rsid w:val="006D2769"/>
    <w:rsid w:val="006D680A"/>
    <w:rsid w:val="006E7473"/>
    <w:rsid w:val="006F48A8"/>
    <w:rsid w:val="006F59A8"/>
    <w:rsid w:val="006F6F09"/>
    <w:rsid w:val="00700D30"/>
    <w:rsid w:val="0070144B"/>
    <w:rsid w:val="00703317"/>
    <w:rsid w:val="0070544E"/>
    <w:rsid w:val="00706A5B"/>
    <w:rsid w:val="00706FC0"/>
    <w:rsid w:val="00720589"/>
    <w:rsid w:val="007210D5"/>
    <w:rsid w:val="007240B6"/>
    <w:rsid w:val="00735256"/>
    <w:rsid w:val="00747900"/>
    <w:rsid w:val="0075020C"/>
    <w:rsid w:val="00751BC0"/>
    <w:rsid w:val="00756195"/>
    <w:rsid w:val="0075638F"/>
    <w:rsid w:val="00757AC5"/>
    <w:rsid w:val="007715BF"/>
    <w:rsid w:val="00777602"/>
    <w:rsid w:val="0078680A"/>
    <w:rsid w:val="00792A54"/>
    <w:rsid w:val="00795AC0"/>
    <w:rsid w:val="007A5657"/>
    <w:rsid w:val="007D0985"/>
    <w:rsid w:val="007D09C5"/>
    <w:rsid w:val="007D48F0"/>
    <w:rsid w:val="007E0919"/>
    <w:rsid w:val="007E2EB0"/>
    <w:rsid w:val="007F0255"/>
    <w:rsid w:val="007F10F9"/>
    <w:rsid w:val="007F186D"/>
    <w:rsid w:val="007F5C55"/>
    <w:rsid w:val="00801843"/>
    <w:rsid w:val="00802015"/>
    <w:rsid w:val="0080410A"/>
    <w:rsid w:val="00805800"/>
    <w:rsid w:val="00805C1C"/>
    <w:rsid w:val="00806B8E"/>
    <w:rsid w:val="00807610"/>
    <w:rsid w:val="00807BB8"/>
    <w:rsid w:val="00807CDF"/>
    <w:rsid w:val="00830238"/>
    <w:rsid w:val="00833618"/>
    <w:rsid w:val="00835E1B"/>
    <w:rsid w:val="00837448"/>
    <w:rsid w:val="008428F4"/>
    <w:rsid w:val="00844E1C"/>
    <w:rsid w:val="008462C0"/>
    <w:rsid w:val="00846E1C"/>
    <w:rsid w:val="008501F5"/>
    <w:rsid w:val="00851ADB"/>
    <w:rsid w:val="0085691C"/>
    <w:rsid w:val="00861CEE"/>
    <w:rsid w:val="00862B62"/>
    <w:rsid w:val="00875B58"/>
    <w:rsid w:val="00876ECB"/>
    <w:rsid w:val="0088087A"/>
    <w:rsid w:val="00884ECE"/>
    <w:rsid w:val="008906BD"/>
    <w:rsid w:val="008911DA"/>
    <w:rsid w:val="00895618"/>
    <w:rsid w:val="008A5876"/>
    <w:rsid w:val="008B53EE"/>
    <w:rsid w:val="008B72AE"/>
    <w:rsid w:val="008B731F"/>
    <w:rsid w:val="008C56B9"/>
    <w:rsid w:val="008C625F"/>
    <w:rsid w:val="008D00C5"/>
    <w:rsid w:val="008D0F71"/>
    <w:rsid w:val="008D1F23"/>
    <w:rsid w:val="008D5D5E"/>
    <w:rsid w:val="008D5D60"/>
    <w:rsid w:val="008D5DD7"/>
    <w:rsid w:val="008D5E4C"/>
    <w:rsid w:val="008D7950"/>
    <w:rsid w:val="008E5A35"/>
    <w:rsid w:val="008E7822"/>
    <w:rsid w:val="008F0A2B"/>
    <w:rsid w:val="008F2598"/>
    <w:rsid w:val="008F2ACE"/>
    <w:rsid w:val="008F65AA"/>
    <w:rsid w:val="009022CD"/>
    <w:rsid w:val="00905349"/>
    <w:rsid w:val="00913891"/>
    <w:rsid w:val="00913D05"/>
    <w:rsid w:val="009207FA"/>
    <w:rsid w:val="00922BCA"/>
    <w:rsid w:val="00925B40"/>
    <w:rsid w:val="009260ED"/>
    <w:rsid w:val="0093053C"/>
    <w:rsid w:val="009330E2"/>
    <w:rsid w:val="0093381A"/>
    <w:rsid w:val="009404A4"/>
    <w:rsid w:val="0094060A"/>
    <w:rsid w:val="00941D35"/>
    <w:rsid w:val="00944EC8"/>
    <w:rsid w:val="009504C2"/>
    <w:rsid w:val="009616E1"/>
    <w:rsid w:val="0096263C"/>
    <w:rsid w:val="0097339C"/>
    <w:rsid w:val="00974BD2"/>
    <w:rsid w:val="00974D62"/>
    <w:rsid w:val="009866A6"/>
    <w:rsid w:val="00995B4F"/>
    <w:rsid w:val="00996FFA"/>
    <w:rsid w:val="009A2A55"/>
    <w:rsid w:val="009A44C5"/>
    <w:rsid w:val="009B52E2"/>
    <w:rsid w:val="009B68EF"/>
    <w:rsid w:val="009B7734"/>
    <w:rsid w:val="009E502D"/>
    <w:rsid w:val="009E7D15"/>
    <w:rsid w:val="009E7F0E"/>
    <w:rsid w:val="009F42D6"/>
    <w:rsid w:val="009F4F9E"/>
    <w:rsid w:val="009F542C"/>
    <w:rsid w:val="00A0329E"/>
    <w:rsid w:val="00A10914"/>
    <w:rsid w:val="00A128AB"/>
    <w:rsid w:val="00A21B17"/>
    <w:rsid w:val="00A226AF"/>
    <w:rsid w:val="00A259D4"/>
    <w:rsid w:val="00A25E3F"/>
    <w:rsid w:val="00A33D5D"/>
    <w:rsid w:val="00A341B2"/>
    <w:rsid w:val="00A369CB"/>
    <w:rsid w:val="00A36F61"/>
    <w:rsid w:val="00A41E33"/>
    <w:rsid w:val="00A52A70"/>
    <w:rsid w:val="00A6320D"/>
    <w:rsid w:val="00A633BD"/>
    <w:rsid w:val="00A651C5"/>
    <w:rsid w:val="00A66351"/>
    <w:rsid w:val="00A74401"/>
    <w:rsid w:val="00A7730C"/>
    <w:rsid w:val="00A779D0"/>
    <w:rsid w:val="00A850EC"/>
    <w:rsid w:val="00A916EE"/>
    <w:rsid w:val="00A95671"/>
    <w:rsid w:val="00AA10FC"/>
    <w:rsid w:val="00AA1E42"/>
    <w:rsid w:val="00AA2009"/>
    <w:rsid w:val="00AA20BE"/>
    <w:rsid w:val="00AA2141"/>
    <w:rsid w:val="00AA4D83"/>
    <w:rsid w:val="00AA61F1"/>
    <w:rsid w:val="00AB5686"/>
    <w:rsid w:val="00AD1A00"/>
    <w:rsid w:val="00AD6D75"/>
    <w:rsid w:val="00AE480E"/>
    <w:rsid w:val="00AF3541"/>
    <w:rsid w:val="00AF39C4"/>
    <w:rsid w:val="00B03BC0"/>
    <w:rsid w:val="00B03D9F"/>
    <w:rsid w:val="00B06767"/>
    <w:rsid w:val="00B1530F"/>
    <w:rsid w:val="00B17824"/>
    <w:rsid w:val="00B20072"/>
    <w:rsid w:val="00B20B2C"/>
    <w:rsid w:val="00B22675"/>
    <w:rsid w:val="00B2492B"/>
    <w:rsid w:val="00B27B5C"/>
    <w:rsid w:val="00B30745"/>
    <w:rsid w:val="00B30F9C"/>
    <w:rsid w:val="00B40908"/>
    <w:rsid w:val="00B516D8"/>
    <w:rsid w:val="00B53E08"/>
    <w:rsid w:val="00B62048"/>
    <w:rsid w:val="00B641FE"/>
    <w:rsid w:val="00B765F2"/>
    <w:rsid w:val="00B77263"/>
    <w:rsid w:val="00B86E94"/>
    <w:rsid w:val="00B8752D"/>
    <w:rsid w:val="00B96699"/>
    <w:rsid w:val="00B9798F"/>
    <w:rsid w:val="00BA0D4C"/>
    <w:rsid w:val="00BA279E"/>
    <w:rsid w:val="00BA5321"/>
    <w:rsid w:val="00BB1979"/>
    <w:rsid w:val="00BB4DFF"/>
    <w:rsid w:val="00BC00B2"/>
    <w:rsid w:val="00BC0302"/>
    <w:rsid w:val="00BC4978"/>
    <w:rsid w:val="00BC5B46"/>
    <w:rsid w:val="00BD0516"/>
    <w:rsid w:val="00BD2A70"/>
    <w:rsid w:val="00BE011E"/>
    <w:rsid w:val="00BE1C94"/>
    <w:rsid w:val="00BE597D"/>
    <w:rsid w:val="00BE77DE"/>
    <w:rsid w:val="00BF4B1B"/>
    <w:rsid w:val="00BF5778"/>
    <w:rsid w:val="00BF7B22"/>
    <w:rsid w:val="00C04420"/>
    <w:rsid w:val="00C04DD4"/>
    <w:rsid w:val="00C10332"/>
    <w:rsid w:val="00C10445"/>
    <w:rsid w:val="00C10D4E"/>
    <w:rsid w:val="00C12723"/>
    <w:rsid w:val="00C23009"/>
    <w:rsid w:val="00C27103"/>
    <w:rsid w:val="00C30BCC"/>
    <w:rsid w:val="00C31323"/>
    <w:rsid w:val="00C349F5"/>
    <w:rsid w:val="00C4482E"/>
    <w:rsid w:val="00C44DF7"/>
    <w:rsid w:val="00C468FA"/>
    <w:rsid w:val="00C473DF"/>
    <w:rsid w:val="00C52F9C"/>
    <w:rsid w:val="00C53236"/>
    <w:rsid w:val="00C56B70"/>
    <w:rsid w:val="00C56DC7"/>
    <w:rsid w:val="00C626AF"/>
    <w:rsid w:val="00C62DD8"/>
    <w:rsid w:val="00C658CA"/>
    <w:rsid w:val="00C6715D"/>
    <w:rsid w:val="00C71D1F"/>
    <w:rsid w:val="00C82E8D"/>
    <w:rsid w:val="00C90A14"/>
    <w:rsid w:val="00C92A44"/>
    <w:rsid w:val="00CA07DB"/>
    <w:rsid w:val="00CA2E75"/>
    <w:rsid w:val="00CA3BCE"/>
    <w:rsid w:val="00CA72CF"/>
    <w:rsid w:val="00CA7AF4"/>
    <w:rsid w:val="00CA7BA3"/>
    <w:rsid w:val="00CB7917"/>
    <w:rsid w:val="00CC21F1"/>
    <w:rsid w:val="00CC3E94"/>
    <w:rsid w:val="00CD42F2"/>
    <w:rsid w:val="00CD6BE3"/>
    <w:rsid w:val="00CD7166"/>
    <w:rsid w:val="00CE3F44"/>
    <w:rsid w:val="00CE5E1F"/>
    <w:rsid w:val="00CF35C4"/>
    <w:rsid w:val="00CF66E5"/>
    <w:rsid w:val="00CF6AA9"/>
    <w:rsid w:val="00D00922"/>
    <w:rsid w:val="00D03E8E"/>
    <w:rsid w:val="00D04795"/>
    <w:rsid w:val="00D07BA1"/>
    <w:rsid w:val="00D1031F"/>
    <w:rsid w:val="00D10C5B"/>
    <w:rsid w:val="00D135C3"/>
    <w:rsid w:val="00D17889"/>
    <w:rsid w:val="00D233FE"/>
    <w:rsid w:val="00D234C6"/>
    <w:rsid w:val="00D23D5B"/>
    <w:rsid w:val="00D26262"/>
    <w:rsid w:val="00D26D21"/>
    <w:rsid w:val="00D27678"/>
    <w:rsid w:val="00D31348"/>
    <w:rsid w:val="00D333B2"/>
    <w:rsid w:val="00D34064"/>
    <w:rsid w:val="00D34E0D"/>
    <w:rsid w:val="00D351A6"/>
    <w:rsid w:val="00D36CB0"/>
    <w:rsid w:val="00D3724C"/>
    <w:rsid w:val="00D4775E"/>
    <w:rsid w:val="00D507DF"/>
    <w:rsid w:val="00D52AC3"/>
    <w:rsid w:val="00D54B4D"/>
    <w:rsid w:val="00D54BA0"/>
    <w:rsid w:val="00D72E69"/>
    <w:rsid w:val="00D830FF"/>
    <w:rsid w:val="00D90DC1"/>
    <w:rsid w:val="00DA186D"/>
    <w:rsid w:val="00DA28B2"/>
    <w:rsid w:val="00DA4C98"/>
    <w:rsid w:val="00DA7B8C"/>
    <w:rsid w:val="00DB0932"/>
    <w:rsid w:val="00DC136C"/>
    <w:rsid w:val="00DC61CA"/>
    <w:rsid w:val="00DC6E45"/>
    <w:rsid w:val="00DC7BC7"/>
    <w:rsid w:val="00DD3DA3"/>
    <w:rsid w:val="00DD4287"/>
    <w:rsid w:val="00DE4B07"/>
    <w:rsid w:val="00DF020B"/>
    <w:rsid w:val="00DF6781"/>
    <w:rsid w:val="00E025DC"/>
    <w:rsid w:val="00E05C9D"/>
    <w:rsid w:val="00E06505"/>
    <w:rsid w:val="00E10B75"/>
    <w:rsid w:val="00E11456"/>
    <w:rsid w:val="00E12CC9"/>
    <w:rsid w:val="00E17857"/>
    <w:rsid w:val="00E27131"/>
    <w:rsid w:val="00E27644"/>
    <w:rsid w:val="00E32FE2"/>
    <w:rsid w:val="00E367E5"/>
    <w:rsid w:val="00E36C30"/>
    <w:rsid w:val="00E37F83"/>
    <w:rsid w:val="00E429B2"/>
    <w:rsid w:val="00E53D4B"/>
    <w:rsid w:val="00E56BDA"/>
    <w:rsid w:val="00E60686"/>
    <w:rsid w:val="00E614C0"/>
    <w:rsid w:val="00E63F57"/>
    <w:rsid w:val="00E66614"/>
    <w:rsid w:val="00E71C90"/>
    <w:rsid w:val="00E74ABD"/>
    <w:rsid w:val="00E74C66"/>
    <w:rsid w:val="00E75826"/>
    <w:rsid w:val="00E8030E"/>
    <w:rsid w:val="00E81DD4"/>
    <w:rsid w:val="00E82430"/>
    <w:rsid w:val="00E94F51"/>
    <w:rsid w:val="00E94FC1"/>
    <w:rsid w:val="00EA3654"/>
    <w:rsid w:val="00EA6EF5"/>
    <w:rsid w:val="00EB311A"/>
    <w:rsid w:val="00EB40EE"/>
    <w:rsid w:val="00EB47D6"/>
    <w:rsid w:val="00EB7689"/>
    <w:rsid w:val="00EC232E"/>
    <w:rsid w:val="00EC35E7"/>
    <w:rsid w:val="00EC3B7F"/>
    <w:rsid w:val="00EC42E2"/>
    <w:rsid w:val="00EC4663"/>
    <w:rsid w:val="00EC473B"/>
    <w:rsid w:val="00EC746C"/>
    <w:rsid w:val="00ED2914"/>
    <w:rsid w:val="00ED3520"/>
    <w:rsid w:val="00ED54A9"/>
    <w:rsid w:val="00ED6C8B"/>
    <w:rsid w:val="00EE07F2"/>
    <w:rsid w:val="00EE4E72"/>
    <w:rsid w:val="00EE5A81"/>
    <w:rsid w:val="00EE6168"/>
    <w:rsid w:val="00EF21A6"/>
    <w:rsid w:val="00EF35D7"/>
    <w:rsid w:val="00EF3B24"/>
    <w:rsid w:val="00EF5C69"/>
    <w:rsid w:val="00F01308"/>
    <w:rsid w:val="00F0471E"/>
    <w:rsid w:val="00F0563A"/>
    <w:rsid w:val="00F10966"/>
    <w:rsid w:val="00F13500"/>
    <w:rsid w:val="00F142C5"/>
    <w:rsid w:val="00F15523"/>
    <w:rsid w:val="00F16E24"/>
    <w:rsid w:val="00F2159F"/>
    <w:rsid w:val="00F22201"/>
    <w:rsid w:val="00F23116"/>
    <w:rsid w:val="00F32ADB"/>
    <w:rsid w:val="00F33B50"/>
    <w:rsid w:val="00F34AB2"/>
    <w:rsid w:val="00F36B36"/>
    <w:rsid w:val="00F4072F"/>
    <w:rsid w:val="00F44E18"/>
    <w:rsid w:val="00F4729A"/>
    <w:rsid w:val="00F509C2"/>
    <w:rsid w:val="00F522E8"/>
    <w:rsid w:val="00F551D0"/>
    <w:rsid w:val="00F65825"/>
    <w:rsid w:val="00F70D29"/>
    <w:rsid w:val="00F718E3"/>
    <w:rsid w:val="00F72FA5"/>
    <w:rsid w:val="00F73103"/>
    <w:rsid w:val="00F73DA6"/>
    <w:rsid w:val="00F8034E"/>
    <w:rsid w:val="00F8496D"/>
    <w:rsid w:val="00F84DA7"/>
    <w:rsid w:val="00F865A2"/>
    <w:rsid w:val="00F86DFA"/>
    <w:rsid w:val="00F90213"/>
    <w:rsid w:val="00F9023A"/>
    <w:rsid w:val="00FA46DB"/>
    <w:rsid w:val="00FA55B5"/>
    <w:rsid w:val="00FA7F7D"/>
    <w:rsid w:val="00FB6B73"/>
    <w:rsid w:val="00FB6BE4"/>
    <w:rsid w:val="00FC3AAD"/>
    <w:rsid w:val="00FC60F1"/>
    <w:rsid w:val="00FC7A2D"/>
    <w:rsid w:val="00FE42DA"/>
    <w:rsid w:val="00FE5354"/>
    <w:rsid w:val="00FE7279"/>
    <w:rsid w:val="00FE7B73"/>
    <w:rsid w:val="00FF2483"/>
    <w:rsid w:val="00FF2553"/>
    <w:rsid w:val="00FF3216"/>
    <w:rsid w:val="00FF54E4"/>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F56ECF88-BA9E-4CF5-9E3E-37BB4F386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unhideWhenUsed/>
    <w:rsid w:val="00EB7689"/>
    <w:pPr>
      <w:spacing w:before="100" w:beforeAutospacing="1" w:after="100" w:afterAutospacing="1" w:line="240" w:lineRule="auto"/>
      <w:jc w:val="left"/>
    </w:pPr>
    <w:rPr>
      <w:rFonts w:ascii="Times New Roman" w:hAnsi="Times New Roman"/>
      <w:lang w:eastAsia="en-GB"/>
    </w:rPr>
  </w:style>
  <w:style w:type="character" w:styleId="CommentReference">
    <w:name w:val="annotation reference"/>
    <w:basedOn w:val="DefaultParagraphFont"/>
    <w:uiPriority w:val="99"/>
    <w:semiHidden/>
    <w:unhideWhenUsed/>
    <w:rsid w:val="00E82430"/>
    <w:rPr>
      <w:sz w:val="16"/>
      <w:szCs w:val="16"/>
    </w:rPr>
  </w:style>
  <w:style w:type="paragraph" w:styleId="CommentText">
    <w:name w:val="annotation text"/>
    <w:basedOn w:val="Normal"/>
    <w:link w:val="CommentTextChar"/>
    <w:uiPriority w:val="99"/>
    <w:unhideWhenUsed/>
    <w:rsid w:val="00E82430"/>
    <w:pPr>
      <w:spacing w:line="240" w:lineRule="auto"/>
    </w:pPr>
    <w:rPr>
      <w:sz w:val="20"/>
      <w:szCs w:val="20"/>
    </w:rPr>
  </w:style>
  <w:style w:type="character" w:customStyle="1" w:styleId="CommentTextChar">
    <w:name w:val="Comment Text Char"/>
    <w:basedOn w:val="DefaultParagraphFont"/>
    <w:link w:val="CommentText"/>
    <w:uiPriority w:val="99"/>
    <w:rsid w:val="00E8243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82430"/>
    <w:rPr>
      <w:b/>
      <w:bCs/>
    </w:rPr>
  </w:style>
  <w:style w:type="character" w:customStyle="1" w:styleId="CommentSubjectChar">
    <w:name w:val="Comment Subject Char"/>
    <w:basedOn w:val="CommentTextChar"/>
    <w:link w:val="CommentSubject"/>
    <w:uiPriority w:val="99"/>
    <w:semiHidden/>
    <w:rsid w:val="00E82430"/>
    <w:rPr>
      <w:rFonts w:ascii="Arial" w:eastAsia="Times New Roman" w:hAnsi="Arial" w:cs="Times New Roman"/>
      <w:b/>
      <w:bCs/>
      <w:sz w:val="20"/>
      <w:szCs w:val="20"/>
    </w:rPr>
  </w:style>
  <w:style w:type="paragraph" w:customStyle="1" w:styleId="ccc16d0">
    <w:name w:val="___ccc16d0"/>
    <w:basedOn w:val="Normal"/>
    <w:rsid w:val="00300AB4"/>
    <w:pPr>
      <w:spacing w:before="100" w:beforeAutospacing="1" w:after="100" w:afterAutospacing="1" w:line="240" w:lineRule="auto"/>
      <w:jc w:val="left"/>
    </w:pPr>
    <w:rPr>
      <w:rFonts w:ascii="Times New Roman" w:hAnsi="Times New Roman"/>
      <w:lang w:eastAsia="en-GB"/>
    </w:rPr>
  </w:style>
  <w:style w:type="character" w:styleId="UnresolvedMention">
    <w:name w:val="Unresolved Mention"/>
    <w:basedOn w:val="DefaultParagraphFont"/>
    <w:uiPriority w:val="99"/>
    <w:semiHidden/>
    <w:unhideWhenUsed/>
    <w:rsid w:val="00616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4461</Words>
  <Characters>25428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Ellie Martin</cp:lastModifiedBy>
  <cp:revision>12</cp:revision>
  <dcterms:created xsi:type="dcterms:W3CDTF">2026-07-17T15:52:00Z</dcterms:created>
  <dcterms:modified xsi:type="dcterms:W3CDTF">2026-07-17T16:07:00Z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320c9c91-6acc-4fdd-943c-caa2d2d5a536</vt:lpwstr>
  </property>
  <property fmtid="{D5CDD505-2E9C-101B-9397-08002B2CF9AE}" pid="15" name="ClassificationContentMarkingHeaderShapeIds">
    <vt:lpwstr>14b6d9e9,6c14265d,3d97d5f5,18350625,68c9449b,790e1d09,3b958bb7,12941aaa</vt:lpwstr>
  </property>
  <property fmtid="{D5CDD505-2E9C-101B-9397-08002B2CF9AE}" pid="16" name="ClassificationContentMarkingHeaderFontProps">
    <vt:lpwstr>#000000,11,Arial</vt:lpwstr>
  </property>
  <property fmtid="{D5CDD505-2E9C-101B-9397-08002B2CF9AE}" pid="17" name="ClassificationContentMarkingHeaderText">
    <vt:lpwstr>OFFICIAL-SENSITIVE</vt:lpwstr>
  </property>
  <property fmtid="{D5CDD505-2E9C-101B-9397-08002B2CF9AE}" pid="18" name="ClassificationContentMarkingFooterShapeIds">
    <vt:lpwstr>1aea94c7,5364afcc,5b30ae12,3a815c2f</vt:lpwstr>
  </property>
  <property fmtid="{D5CDD505-2E9C-101B-9397-08002B2CF9AE}" pid="19" name="ClassificationContentMarkingFooterFontProps">
    <vt:lpwstr>#000000,11,Arial</vt:lpwstr>
  </property>
  <property fmtid="{D5CDD505-2E9C-101B-9397-08002B2CF9AE}" pid="20" name="ClassificationContentMarkingFooterText">
    <vt:lpwstr>OFFICIAL-SENSITIVE</vt:lpwstr>
  </property>
  <property fmtid="{D5CDD505-2E9C-101B-9397-08002B2CF9AE}" pid="21" name="MSIP_Label_acea1cd8-edeb-4763-86bb-3f57f4fa0321_Enabled">
    <vt:lpwstr>true</vt:lpwstr>
  </property>
  <property fmtid="{D5CDD505-2E9C-101B-9397-08002B2CF9AE}" pid="22" name="MSIP_Label_acea1cd8-edeb-4763-86bb-3f57f4fa0321_SetDate">
    <vt:lpwstr>2026-07-16T09:57:43Z</vt:lpwstr>
  </property>
  <property fmtid="{D5CDD505-2E9C-101B-9397-08002B2CF9AE}" pid="23" name="MSIP_Label_acea1cd8-edeb-4763-86bb-3f57f4fa0321_Method">
    <vt:lpwstr>Standard</vt:lpwstr>
  </property>
  <property fmtid="{D5CDD505-2E9C-101B-9397-08002B2CF9AE}" pid="24" name="MSIP_Label_acea1cd8-edeb-4763-86bb-3f57f4fa0321_Name">
    <vt:lpwstr>MOD-2-OS-OFFICIAL-SENSITIVE</vt:lpwstr>
  </property>
  <property fmtid="{D5CDD505-2E9C-101B-9397-08002B2CF9AE}" pid="25" name="MSIP_Label_acea1cd8-edeb-4763-86bb-3f57f4fa0321_SiteId">
    <vt:lpwstr>be7760ed-5953-484b-ae95-d0a16dfa09e5</vt:lpwstr>
  </property>
  <property fmtid="{D5CDD505-2E9C-101B-9397-08002B2CF9AE}" pid="26" name="MSIP_Label_acea1cd8-edeb-4763-86bb-3f57f4fa0321_ActionId">
    <vt:lpwstr>2ee5045b-18cc-4d45-a3b6-6991d1199226</vt:lpwstr>
  </property>
  <property fmtid="{D5CDD505-2E9C-101B-9397-08002B2CF9AE}" pid="27" name="MSIP_Label_acea1cd8-edeb-4763-86bb-3f57f4fa0321_ContentBits">
    <vt:lpwstr>3</vt:lpwstr>
  </property>
  <property fmtid="{D5CDD505-2E9C-101B-9397-08002B2CF9AE}" pid="28" name="MSIP_Label_acea1cd8-edeb-4763-86bb-3f57f4fa0321_Tag">
    <vt:lpwstr>10, 1, 2, 1</vt:lpwstr>
  </property>
</Properties>
</file>