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119CA" w14:textId="1E4AF785" w:rsidR="337EE706" w:rsidRDefault="7C27F2A8" w:rsidP="4FD939A0">
      <w:pPr>
        <w:spacing w:line="360" w:lineRule="auto"/>
        <w:jc w:val="center"/>
        <w:rPr>
          <w:rFonts w:cs="Arial"/>
          <w:b/>
          <w:bCs/>
          <w:sz w:val="32"/>
          <w:szCs w:val="32"/>
        </w:rPr>
      </w:pPr>
      <w:r w:rsidRPr="4FD939A0">
        <w:rPr>
          <w:rFonts w:cs="Arial"/>
          <w:b/>
          <w:bCs/>
          <w:sz w:val="32"/>
          <w:szCs w:val="32"/>
        </w:rPr>
        <w:t xml:space="preserve">The Impact of the Cost-of-Living Crisis on Health and Social Care Service Users in the UK </w:t>
      </w:r>
    </w:p>
    <w:p w14:paraId="171879D7" w14:textId="765B9B02" w:rsidR="4FD939A0" w:rsidRDefault="4FD939A0" w:rsidP="4FD939A0">
      <w:pPr>
        <w:spacing w:line="360" w:lineRule="auto"/>
        <w:rPr>
          <w:rFonts w:cs="Arial"/>
        </w:rPr>
      </w:pPr>
    </w:p>
    <w:p w14:paraId="56C634D2" w14:textId="728274D1" w:rsidR="3BC9718B" w:rsidRDefault="3BC9718B" w:rsidP="4FD939A0">
      <w:pPr>
        <w:spacing w:line="360" w:lineRule="auto"/>
        <w:rPr>
          <w:rFonts w:eastAsia="Arial" w:cs="Arial"/>
        </w:rPr>
      </w:pPr>
      <w:r w:rsidRPr="4FD939A0">
        <w:rPr>
          <w:rFonts w:eastAsia="Arial" w:cs="Arial"/>
        </w:rPr>
        <w:t>Student Name:</w:t>
      </w:r>
      <w:r w:rsidR="2E97C93B" w:rsidRPr="4FD939A0">
        <w:rPr>
          <w:rFonts w:eastAsia="Arial" w:cs="Arial"/>
        </w:rPr>
        <w:t xml:space="preserve"> Shazia Kausar</w:t>
      </w:r>
    </w:p>
    <w:p w14:paraId="70F3629E" w14:textId="2C8F3B5F" w:rsidR="000C3233" w:rsidRPr="00EB308A" w:rsidRDefault="5E476E5A" w:rsidP="4FD939A0">
      <w:pPr>
        <w:spacing w:line="360" w:lineRule="auto"/>
        <w:rPr>
          <w:rFonts w:eastAsia="Arial" w:cs="Arial"/>
        </w:rPr>
      </w:pPr>
      <w:r w:rsidRPr="4FD939A0">
        <w:rPr>
          <w:rFonts w:eastAsia="Arial" w:cs="Arial"/>
        </w:rPr>
        <w:t xml:space="preserve">Student </w:t>
      </w:r>
      <w:r w:rsidR="2E97C93B" w:rsidRPr="4FD939A0">
        <w:rPr>
          <w:rFonts w:eastAsia="Arial" w:cs="Arial"/>
        </w:rPr>
        <w:t xml:space="preserve">Number: </w:t>
      </w:r>
      <w:r w:rsidR="659DE876" w:rsidRPr="4FD939A0">
        <w:rPr>
          <w:rFonts w:eastAsia="Arial" w:cs="Arial"/>
        </w:rPr>
        <w:t>25129</w:t>
      </w:r>
      <w:r w:rsidR="6DECD05A" w:rsidRPr="4FD939A0">
        <w:rPr>
          <w:rFonts w:eastAsia="Arial" w:cs="Arial"/>
        </w:rPr>
        <w:t>42</w:t>
      </w:r>
    </w:p>
    <w:p w14:paraId="6009746D" w14:textId="2D0B4BFC" w:rsidR="000C3233" w:rsidRPr="00EB308A" w:rsidRDefault="2E97C93B" w:rsidP="4FD939A0">
      <w:pPr>
        <w:spacing w:line="360" w:lineRule="auto"/>
        <w:rPr>
          <w:rFonts w:eastAsia="Arial" w:cs="Arial"/>
          <w:b/>
          <w:bCs/>
        </w:rPr>
      </w:pPr>
      <w:r w:rsidRPr="4FD939A0">
        <w:rPr>
          <w:rFonts w:eastAsia="Arial" w:cs="Arial"/>
        </w:rPr>
        <w:t>Module Code and Title:</w:t>
      </w:r>
      <w:r w:rsidR="1F3BD3AC" w:rsidRPr="4FD939A0">
        <w:rPr>
          <w:rFonts w:eastAsia="Arial" w:cs="Arial"/>
        </w:rPr>
        <w:t xml:space="preserve"> </w:t>
      </w:r>
      <w:r w:rsidR="2132B887" w:rsidRPr="4FD939A0">
        <w:rPr>
          <w:rFonts w:eastAsia="Arial" w:cs="Arial"/>
        </w:rPr>
        <w:t>LCHS4007_BIRM</w:t>
      </w:r>
      <w:r w:rsidR="4C771842" w:rsidRPr="4FD939A0">
        <w:rPr>
          <w:rFonts w:eastAsia="Arial" w:cs="Arial"/>
        </w:rPr>
        <w:t xml:space="preserve"> </w:t>
      </w:r>
      <w:r w:rsidR="2132B887" w:rsidRPr="4FD939A0">
        <w:rPr>
          <w:rFonts w:eastAsia="Arial" w:cs="Arial"/>
        </w:rPr>
        <w:t>Digital Skills and Research Methods</w:t>
      </w:r>
    </w:p>
    <w:p w14:paraId="7CCAA6F3" w14:textId="2DEC4139" w:rsidR="000C3233" w:rsidRPr="00EB308A" w:rsidRDefault="3BC9718B" w:rsidP="4FD939A0">
      <w:pPr>
        <w:spacing w:after="0" w:line="360" w:lineRule="auto"/>
        <w:rPr>
          <w:rFonts w:eastAsia="Arial" w:cs="Arial"/>
        </w:rPr>
      </w:pPr>
      <w:r w:rsidRPr="172CBD4D">
        <w:rPr>
          <w:rFonts w:eastAsia="Arial" w:cs="Arial"/>
        </w:rPr>
        <w:t>Lecturer:</w:t>
      </w:r>
      <w:r w:rsidR="0154FF06" w:rsidRPr="172CBD4D">
        <w:rPr>
          <w:rFonts w:eastAsia="Arial" w:cs="Arial"/>
        </w:rPr>
        <w:t xml:space="preserve"> Masud</w:t>
      </w:r>
      <w:r w:rsidR="0A63C397" w:rsidRPr="172CBD4D">
        <w:rPr>
          <w:rFonts w:eastAsia="Arial" w:cs="Arial"/>
        </w:rPr>
        <w:t xml:space="preserve"> </w:t>
      </w:r>
      <w:r w:rsidR="387B37B8" w:rsidRPr="172CBD4D">
        <w:rPr>
          <w:rFonts w:eastAsia="Arial" w:cs="Arial"/>
        </w:rPr>
        <w:t>Siddiqu</w:t>
      </w:r>
      <w:r w:rsidR="0E865584" w:rsidRPr="172CBD4D">
        <w:rPr>
          <w:rFonts w:eastAsia="Arial" w:cs="Arial"/>
        </w:rPr>
        <w:t>i</w:t>
      </w:r>
    </w:p>
    <w:p w14:paraId="42944B5B" w14:textId="27CA5E34" w:rsidR="172CBD4D" w:rsidRDefault="172CBD4D" w:rsidP="172CBD4D">
      <w:pPr>
        <w:spacing w:after="0" w:line="360" w:lineRule="auto"/>
        <w:rPr>
          <w:rFonts w:eastAsia="Arial" w:cs="Arial"/>
        </w:rPr>
      </w:pPr>
    </w:p>
    <w:p w14:paraId="315EDA46" w14:textId="01A7BD5E" w:rsidR="64FD5BB6" w:rsidRDefault="2E045408" w:rsidP="172CBD4D">
      <w:pPr>
        <w:spacing w:after="0" w:line="360" w:lineRule="auto"/>
        <w:rPr>
          <w:rFonts w:eastAsia="Arial" w:cs="Arial"/>
        </w:rPr>
      </w:pPr>
      <w:r w:rsidRPr="172CBD4D">
        <w:rPr>
          <w:rFonts w:eastAsia="Arial" w:cs="Arial"/>
        </w:rPr>
        <w:t>Submitted on:</w:t>
      </w:r>
      <w:r w:rsidR="38CC5E8B" w:rsidRPr="172CBD4D">
        <w:rPr>
          <w:rFonts w:eastAsia="Arial" w:cs="Arial"/>
        </w:rPr>
        <w:t xml:space="preserve"> </w:t>
      </w:r>
      <w:r w:rsidR="4092C3D6" w:rsidRPr="172CBD4D">
        <w:rPr>
          <w:rFonts w:eastAsia="Arial" w:cs="Arial"/>
        </w:rPr>
        <w:t>1</w:t>
      </w:r>
      <w:r w:rsidR="5079CAA9" w:rsidRPr="172CBD4D">
        <w:rPr>
          <w:rFonts w:eastAsia="Arial" w:cs="Arial"/>
        </w:rPr>
        <w:t>7</w:t>
      </w:r>
      <w:r w:rsidR="4092C3D6" w:rsidRPr="172CBD4D">
        <w:rPr>
          <w:rFonts w:eastAsia="Arial" w:cs="Arial"/>
        </w:rPr>
        <w:t>/</w:t>
      </w:r>
      <w:r w:rsidR="38CC5E8B" w:rsidRPr="172CBD4D">
        <w:rPr>
          <w:rFonts w:eastAsia="Arial" w:cs="Arial"/>
        </w:rPr>
        <w:t>1</w:t>
      </w:r>
      <w:r w:rsidR="43595C8E" w:rsidRPr="172CBD4D">
        <w:rPr>
          <w:rFonts w:eastAsia="Arial" w:cs="Arial"/>
        </w:rPr>
        <w:t>1</w:t>
      </w:r>
      <w:r w:rsidR="38CC5E8B" w:rsidRPr="172CBD4D">
        <w:rPr>
          <w:rFonts w:eastAsia="Arial" w:cs="Arial"/>
        </w:rPr>
        <w:t>/2025</w:t>
      </w:r>
    </w:p>
    <w:p w14:paraId="3423F4D9" w14:textId="22A82792" w:rsidR="4FD939A0" w:rsidRDefault="4FD939A0" w:rsidP="4FD939A0">
      <w:pPr>
        <w:spacing w:line="360" w:lineRule="auto"/>
        <w:rPr>
          <w:rFonts w:cs="Arial"/>
        </w:rPr>
      </w:pPr>
    </w:p>
    <w:p w14:paraId="381D7AC9" w14:textId="4AE829B4" w:rsidR="4FD939A0" w:rsidRDefault="4FD939A0" w:rsidP="4FD939A0">
      <w:pPr>
        <w:spacing w:line="360" w:lineRule="auto"/>
        <w:rPr>
          <w:rFonts w:cs="Arial"/>
        </w:rPr>
      </w:pPr>
    </w:p>
    <w:p w14:paraId="2578E1D1" w14:textId="6AE7281A" w:rsidR="4FD939A0" w:rsidRDefault="4FD939A0" w:rsidP="4FD939A0">
      <w:pPr>
        <w:spacing w:line="360" w:lineRule="auto"/>
        <w:rPr>
          <w:rFonts w:cs="Arial"/>
        </w:rPr>
      </w:pPr>
    </w:p>
    <w:p w14:paraId="677A5378" w14:textId="2BCC1C2D" w:rsidR="4FD939A0" w:rsidRDefault="4FD939A0" w:rsidP="4FD939A0">
      <w:pPr>
        <w:spacing w:line="360" w:lineRule="auto"/>
        <w:rPr>
          <w:rFonts w:cs="Arial"/>
        </w:rPr>
      </w:pPr>
    </w:p>
    <w:p w14:paraId="5B8EEDAF" w14:textId="46B25CEB" w:rsidR="4FD939A0" w:rsidRDefault="4FD939A0" w:rsidP="4FD939A0">
      <w:pPr>
        <w:spacing w:line="360" w:lineRule="auto"/>
        <w:rPr>
          <w:rFonts w:cs="Arial"/>
        </w:rPr>
      </w:pPr>
    </w:p>
    <w:p w14:paraId="18C84F42" w14:textId="459D366E" w:rsidR="4FD939A0" w:rsidRDefault="4FD939A0" w:rsidP="4FD939A0">
      <w:pPr>
        <w:spacing w:line="360" w:lineRule="auto"/>
        <w:rPr>
          <w:rFonts w:cs="Arial"/>
        </w:rPr>
      </w:pPr>
    </w:p>
    <w:p w14:paraId="412D4BA2" w14:textId="123747A0" w:rsidR="4FD939A0" w:rsidRDefault="4FD939A0" w:rsidP="4FD939A0">
      <w:pPr>
        <w:spacing w:line="360" w:lineRule="auto"/>
        <w:rPr>
          <w:rFonts w:cs="Arial"/>
        </w:rPr>
      </w:pPr>
    </w:p>
    <w:p w14:paraId="7A6FE892" w14:textId="0242F790" w:rsidR="4FD939A0" w:rsidRDefault="4FD939A0" w:rsidP="4FD939A0">
      <w:pPr>
        <w:spacing w:line="360" w:lineRule="auto"/>
        <w:rPr>
          <w:rFonts w:cs="Arial"/>
        </w:rPr>
      </w:pPr>
    </w:p>
    <w:p w14:paraId="75CF7C7B" w14:textId="026D5BF5" w:rsidR="4FD939A0" w:rsidRDefault="4FD939A0" w:rsidP="4FD939A0">
      <w:pPr>
        <w:spacing w:line="360" w:lineRule="auto"/>
        <w:rPr>
          <w:rFonts w:cs="Arial"/>
        </w:rPr>
      </w:pPr>
    </w:p>
    <w:p w14:paraId="20AF4C87" w14:textId="21D453D8" w:rsidR="4FD939A0" w:rsidRDefault="4FD939A0" w:rsidP="4FD939A0">
      <w:pPr>
        <w:spacing w:line="360" w:lineRule="auto"/>
        <w:rPr>
          <w:rFonts w:cs="Arial"/>
        </w:rPr>
      </w:pPr>
    </w:p>
    <w:p w14:paraId="60695D34" w14:textId="4586B132" w:rsidR="4FD939A0" w:rsidRDefault="4FD939A0" w:rsidP="4FD939A0">
      <w:pPr>
        <w:spacing w:line="360" w:lineRule="auto"/>
        <w:rPr>
          <w:rFonts w:cs="Arial"/>
        </w:rPr>
      </w:pPr>
    </w:p>
    <w:p w14:paraId="21E0280E" w14:textId="2988690F" w:rsidR="4FD939A0" w:rsidRDefault="4FD939A0" w:rsidP="4FD939A0">
      <w:pPr>
        <w:spacing w:line="360" w:lineRule="auto"/>
        <w:rPr>
          <w:rFonts w:cs="Arial"/>
        </w:rPr>
      </w:pPr>
    </w:p>
    <w:p w14:paraId="1DEEA9C4" w14:textId="100BA2F4" w:rsidR="4FD939A0" w:rsidRDefault="4FD939A0" w:rsidP="4FD939A0">
      <w:pPr>
        <w:spacing w:line="360" w:lineRule="auto"/>
        <w:rPr>
          <w:rFonts w:cs="Arial"/>
        </w:rPr>
      </w:pPr>
    </w:p>
    <w:p w14:paraId="6E7E7CAC" w14:textId="52C9AD23" w:rsidR="4FD939A0" w:rsidRDefault="4FD939A0" w:rsidP="4FD939A0">
      <w:pPr>
        <w:spacing w:line="360" w:lineRule="auto"/>
        <w:rPr>
          <w:rFonts w:cs="Arial"/>
        </w:rPr>
      </w:pPr>
    </w:p>
    <w:p w14:paraId="102EF6D5" w14:textId="63059324" w:rsidR="64B54BE1" w:rsidRDefault="4A66E1E4" w:rsidP="5371F7C5">
      <w:pPr>
        <w:spacing w:line="360" w:lineRule="auto"/>
        <w:jc w:val="center"/>
        <w:rPr>
          <w:rFonts w:cs="Arial"/>
          <w:b/>
          <w:bCs/>
          <w:sz w:val="28"/>
          <w:szCs w:val="28"/>
        </w:rPr>
      </w:pPr>
      <w:r w:rsidRPr="5371F7C5">
        <w:rPr>
          <w:rFonts w:cs="Arial"/>
          <w:b/>
          <w:bCs/>
          <w:sz w:val="28"/>
          <w:szCs w:val="28"/>
        </w:rPr>
        <w:lastRenderedPageBreak/>
        <w:t xml:space="preserve">Table of </w:t>
      </w:r>
      <w:r w:rsidR="7719451B" w:rsidRPr="5371F7C5">
        <w:rPr>
          <w:rFonts w:cs="Arial"/>
          <w:b/>
          <w:bCs/>
          <w:sz w:val="28"/>
          <w:szCs w:val="28"/>
        </w:rPr>
        <w:t>contents</w:t>
      </w:r>
    </w:p>
    <w:sdt>
      <w:sdtPr>
        <w:id w:val="241658095"/>
        <w:docPartObj>
          <w:docPartGallery w:val="Table of Contents"/>
          <w:docPartUnique/>
        </w:docPartObj>
      </w:sdtPr>
      <w:sdtEndPr/>
      <w:sdtContent>
        <w:p w14:paraId="71F401E1" w14:textId="647A5BA5" w:rsidR="00C911E1" w:rsidRDefault="5371F7C5">
          <w:pPr>
            <w:pStyle w:val="TOC1"/>
            <w:tabs>
              <w:tab w:val="right" w:leader="dot" w:pos="8630"/>
            </w:tabs>
            <w:rPr>
              <w:rFonts w:asciiTheme="minorHAnsi" w:hAnsiTheme="minorHAnsi"/>
              <w:noProof/>
              <w:kern w:val="2"/>
              <w:sz w:val="24"/>
              <w:szCs w:val="24"/>
              <w:lang w:val="en-GB" w:eastAsia="en-GB"/>
              <w14:ligatures w14:val="standardContextual"/>
            </w:rPr>
          </w:pPr>
          <w:r>
            <w:fldChar w:fldCharType="begin"/>
          </w:r>
          <w:r>
            <w:instrText>TOC \o "1-9" \z \u \h</w:instrText>
          </w:r>
          <w:r>
            <w:fldChar w:fldCharType="separate"/>
          </w:r>
          <w:hyperlink w:anchor="_Toc214288119" w:history="1">
            <w:r w:rsidR="00C911E1" w:rsidRPr="00FD4273">
              <w:rPr>
                <w:rStyle w:val="Hyperlink"/>
                <w:rFonts w:eastAsia="Arial" w:cs="Arial"/>
                <w:noProof/>
              </w:rPr>
              <w:t>Introduction</w:t>
            </w:r>
            <w:r w:rsidR="00C911E1">
              <w:rPr>
                <w:noProof/>
                <w:webHidden/>
              </w:rPr>
              <w:tab/>
            </w:r>
            <w:r w:rsidR="00C911E1">
              <w:rPr>
                <w:noProof/>
                <w:webHidden/>
              </w:rPr>
              <w:fldChar w:fldCharType="begin"/>
            </w:r>
            <w:r w:rsidR="00C911E1">
              <w:rPr>
                <w:noProof/>
                <w:webHidden/>
              </w:rPr>
              <w:instrText xml:space="preserve"> PAGEREF _Toc214288119 \h </w:instrText>
            </w:r>
            <w:r w:rsidR="00C911E1">
              <w:rPr>
                <w:noProof/>
                <w:webHidden/>
              </w:rPr>
            </w:r>
            <w:r w:rsidR="00C911E1">
              <w:rPr>
                <w:noProof/>
                <w:webHidden/>
              </w:rPr>
              <w:fldChar w:fldCharType="separate"/>
            </w:r>
            <w:r w:rsidR="00C911E1">
              <w:rPr>
                <w:noProof/>
                <w:webHidden/>
              </w:rPr>
              <w:t>3</w:t>
            </w:r>
            <w:r w:rsidR="00C911E1">
              <w:rPr>
                <w:noProof/>
                <w:webHidden/>
              </w:rPr>
              <w:fldChar w:fldCharType="end"/>
            </w:r>
          </w:hyperlink>
        </w:p>
        <w:p w14:paraId="38F90BE0" w14:textId="2BB54F61" w:rsidR="00C911E1" w:rsidRDefault="00C911E1">
          <w:pPr>
            <w:pStyle w:val="TOC1"/>
            <w:tabs>
              <w:tab w:val="right" w:leader="dot" w:pos="8630"/>
            </w:tabs>
            <w:rPr>
              <w:rFonts w:asciiTheme="minorHAnsi" w:hAnsiTheme="minorHAnsi"/>
              <w:noProof/>
              <w:kern w:val="2"/>
              <w:sz w:val="24"/>
              <w:szCs w:val="24"/>
              <w:lang w:val="en-GB" w:eastAsia="en-GB"/>
              <w14:ligatures w14:val="standardContextual"/>
            </w:rPr>
          </w:pPr>
          <w:hyperlink w:anchor="_Toc214288120" w:history="1">
            <w:r w:rsidRPr="00FD4273">
              <w:rPr>
                <w:rStyle w:val="Hyperlink"/>
                <w:rFonts w:eastAsia="Arial" w:cs="Arial"/>
                <w:noProof/>
              </w:rPr>
              <w:t>Research Topic Identification</w:t>
            </w:r>
            <w:r>
              <w:rPr>
                <w:noProof/>
                <w:webHidden/>
              </w:rPr>
              <w:tab/>
            </w:r>
            <w:r>
              <w:rPr>
                <w:noProof/>
                <w:webHidden/>
              </w:rPr>
              <w:fldChar w:fldCharType="begin"/>
            </w:r>
            <w:r>
              <w:rPr>
                <w:noProof/>
                <w:webHidden/>
              </w:rPr>
              <w:instrText xml:space="preserve"> PAGEREF _Toc214288120 \h </w:instrText>
            </w:r>
            <w:r>
              <w:rPr>
                <w:noProof/>
                <w:webHidden/>
              </w:rPr>
            </w:r>
            <w:r>
              <w:rPr>
                <w:noProof/>
                <w:webHidden/>
              </w:rPr>
              <w:fldChar w:fldCharType="separate"/>
            </w:r>
            <w:r>
              <w:rPr>
                <w:noProof/>
                <w:webHidden/>
              </w:rPr>
              <w:t>3</w:t>
            </w:r>
            <w:r>
              <w:rPr>
                <w:noProof/>
                <w:webHidden/>
              </w:rPr>
              <w:fldChar w:fldCharType="end"/>
            </w:r>
          </w:hyperlink>
        </w:p>
        <w:p w14:paraId="45496305" w14:textId="20016A5B" w:rsidR="00C911E1" w:rsidRDefault="00C911E1">
          <w:pPr>
            <w:pStyle w:val="TOC3"/>
            <w:tabs>
              <w:tab w:val="right" w:leader="dot" w:pos="8630"/>
            </w:tabs>
            <w:rPr>
              <w:rFonts w:asciiTheme="minorHAnsi" w:hAnsiTheme="minorHAnsi"/>
              <w:noProof/>
              <w:kern w:val="2"/>
              <w:sz w:val="24"/>
              <w:szCs w:val="24"/>
              <w:lang w:val="en-GB" w:eastAsia="en-GB"/>
              <w14:ligatures w14:val="standardContextual"/>
            </w:rPr>
          </w:pPr>
          <w:hyperlink w:anchor="_Toc214288121" w:history="1">
            <w:r w:rsidRPr="00FD4273">
              <w:rPr>
                <w:rStyle w:val="Hyperlink"/>
                <w:noProof/>
                <w:lang w:val="en-GB"/>
              </w:rPr>
              <w:t>Three Key Sources Supporting this Research</w:t>
            </w:r>
            <w:r>
              <w:rPr>
                <w:noProof/>
                <w:webHidden/>
              </w:rPr>
              <w:tab/>
            </w:r>
            <w:r>
              <w:rPr>
                <w:noProof/>
                <w:webHidden/>
              </w:rPr>
              <w:fldChar w:fldCharType="begin"/>
            </w:r>
            <w:r>
              <w:rPr>
                <w:noProof/>
                <w:webHidden/>
              </w:rPr>
              <w:instrText xml:space="preserve"> PAGEREF _Toc214288121 \h </w:instrText>
            </w:r>
            <w:r>
              <w:rPr>
                <w:noProof/>
                <w:webHidden/>
              </w:rPr>
            </w:r>
            <w:r>
              <w:rPr>
                <w:noProof/>
                <w:webHidden/>
              </w:rPr>
              <w:fldChar w:fldCharType="separate"/>
            </w:r>
            <w:r>
              <w:rPr>
                <w:noProof/>
                <w:webHidden/>
              </w:rPr>
              <w:t>4</w:t>
            </w:r>
            <w:r>
              <w:rPr>
                <w:noProof/>
                <w:webHidden/>
              </w:rPr>
              <w:fldChar w:fldCharType="end"/>
            </w:r>
          </w:hyperlink>
        </w:p>
        <w:p w14:paraId="2B689E12" w14:textId="2335DF02" w:rsidR="00C911E1" w:rsidRDefault="00C911E1">
          <w:pPr>
            <w:pStyle w:val="TOC1"/>
            <w:tabs>
              <w:tab w:val="right" w:leader="dot" w:pos="8630"/>
            </w:tabs>
            <w:rPr>
              <w:rFonts w:asciiTheme="minorHAnsi" w:hAnsiTheme="minorHAnsi"/>
              <w:noProof/>
              <w:kern w:val="2"/>
              <w:sz w:val="24"/>
              <w:szCs w:val="24"/>
              <w:lang w:val="en-GB" w:eastAsia="en-GB"/>
              <w14:ligatures w14:val="standardContextual"/>
            </w:rPr>
          </w:pPr>
          <w:hyperlink w:anchor="_Toc214288122" w:history="1">
            <w:r w:rsidRPr="00FD4273">
              <w:rPr>
                <w:rStyle w:val="Hyperlink"/>
                <w:rFonts w:eastAsia="Arial" w:cs="Arial"/>
                <w:noProof/>
              </w:rPr>
              <w:t>Research Methodology</w:t>
            </w:r>
            <w:r>
              <w:rPr>
                <w:noProof/>
                <w:webHidden/>
              </w:rPr>
              <w:tab/>
            </w:r>
            <w:r>
              <w:rPr>
                <w:noProof/>
                <w:webHidden/>
              </w:rPr>
              <w:fldChar w:fldCharType="begin"/>
            </w:r>
            <w:r>
              <w:rPr>
                <w:noProof/>
                <w:webHidden/>
              </w:rPr>
              <w:instrText xml:space="preserve"> PAGEREF _Toc214288122 \h </w:instrText>
            </w:r>
            <w:r>
              <w:rPr>
                <w:noProof/>
                <w:webHidden/>
              </w:rPr>
            </w:r>
            <w:r>
              <w:rPr>
                <w:noProof/>
                <w:webHidden/>
              </w:rPr>
              <w:fldChar w:fldCharType="separate"/>
            </w:r>
            <w:r>
              <w:rPr>
                <w:noProof/>
                <w:webHidden/>
              </w:rPr>
              <w:t>5</w:t>
            </w:r>
            <w:r>
              <w:rPr>
                <w:noProof/>
                <w:webHidden/>
              </w:rPr>
              <w:fldChar w:fldCharType="end"/>
            </w:r>
          </w:hyperlink>
        </w:p>
        <w:p w14:paraId="6784D78D" w14:textId="2946AD5B" w:rsidR="00C911E1" w:rsidRDefault="00C911E1">
          <w:pPr>
            <w:pStyle w:val="TOC1"/>
            <w:tabs>
              <w:tab w:val="right" w:leader="dot" w:pos="8630"/>
            </w:tabs>
            <w:rPr>
              <w:rFonts w:asciiTheme="minorHAnsi" w:hAnsiTheme="minorHAnsi"/>
              <w:noProof/>
              <w:kern w:val="2"/>
              <w:sz w:val="24"/>
              <w:szCs w:val="24"/>
              <w:lang w:val="en-GB" w:eastAsia="en-GB"/>
              <w14:ligatures w14:val="standardContextual"/>
            </w:rPr>
          </w:pPr>
          <w:hyperlink w:anchor="_Toc214288123" w:history="1">
            <w:r w:rsidRPr="00FD4273">
              <w:rPr>
                <w:rStyle w:val="Hyperlink"/>
                <w:rFonts w:eastAsia="Arial" w:cs="Arial"/>
                <w:noProof/>
              </w:rPr>
              <w:t>Data Collection</w:t>
            </w:r>
            <w:r>
              <w:rPr>
                <w:noProof/>
                <w:webHidden/>
              </w:rPr>
              <w:tab/>
            </w:r>
            <w:r>
              <w:rPr>
                <w:noProof/>
                <w:webHidden/>
              </w:rPr>
              <w:fldChar w:fldCharType="begin"/>
            </w:r>
            <w:r>
              <w:rPr>
                <w:noProof/>
                <w:webHidden/>
              </w:rPr>
              <w:instrText xml:space="preserve"> PAGEREF _Toc214288123 \h </w:instrText>
            </w:r>
            <w:r>
              <w:rPr>
                <w:noProof/>
                <w:webHidden/>
              </w:rPr>
            </w:r>
            <w:r>
              <w:rPr>
                <w:noProof/>
                <w:webHidden/>
              </w:rPr>
              <w:fldChar w:fldCharType="separate"/>
            </w:r>
            <w:r>
              <w:rPr>
                <w:noProof/>
                <w:webHidden/>
              </w:rPr>
              <w:t>6</w:t>
            </w:r>
            <w:r>
              <w:rPr>
                <w:noProof/>
                <w:webHidden/>
              </w:rPr>
              <w:fldChar w:fldCharType="end"/>
            </w:r>
          </w:hyperlink>
        </w:p>
        <w:p w14:paraId="6E4E3335" w14:textId="0A75F55A" w:rsidR="00C911E1" w:rsidRDefault="00C911E1">
          <w:pPr>
            <w:pStyle w:val="TOC1"/>
            <w:tabs>
              <w:tab w:val="right" w:leader="dot" w:pos="8630"/>
            </w:tabs>
            <w:rPr>
              <w:rFonts w:asciiTheme="minorHAnsi" w:hAnsiTheme="minorHAnsi"/>
              <w:noProof/>
              <w:kern w:val="2"/>
              <w:sz w:val="24"/>
              <w:szCs w:val="24"/>
              <w:lang w:val="en-GB" w:eastAsia="en-GB"/>
              <w14:ligatures w14:val="standardContextual"/>
            </w:rPr>
          </w:pPr>
          <w:hyperlink w:anchor="_Toc214288124" w:history="1">
            <w:r w:rsidRPr="00FD4273">
              <w:rPr>
                <w:rStyle w:val="Hyperlink"/>
                <w:rFonts w:eastAsia="Arial" w:cs="Arial"/>
                <w:noProof/>
              </w:rPr>
              <w:t>Conclusion</w:t>
            </w:r>
            <w:r>
              <w:rPr>
                <w:noProof/>
                <w:webHidden/>
              </w:rPr>
              <w:tab/>
            </w:r>
            <w:r>
              <w:rPr>
                <w:noProof/>
                <w:webHidden/>
              </w:rPr>
              <w:fldChar w:fldCharType="begin"/>
            </w:r>
            <w:r>
              <w:rPr>
                <w:noProof/>
                <w:webHidden/>
              </w:rPr>
              <w:instrText xml:space="preserve"> PAGEREF _Toc214288124 \h </w:instrText>
            </w:r>
            <w:r>
              <w:rPr>
                <w:noProof/>
                <w:webHidden/>
              </w:rPr>
            </w:r>
            <w:r>
              <w:rPr>
                <w:noProof/>
                <w:webHidden/>
              </w:rPr>
              <w:fldChar w:fldCharType="separate"/>
            </w:r>
            <w:r>
              <w:rPr>
                <w:noProof/>
                <w:webHidden/>
              </w:rPr>
              <w:t>7</w:t>
            </w:r>
            <w:r>
              <w:rPr>
                <w:noProof/>
                <w:webHidden/>
              </w:rPr>
              <w:fldChar w:fldCharType="end"/>
            </w:r>
          </w:hyperlink>
        </w:p>
        <w:p w14:paraId="490F632D" w14:textId="6F82A7A7" w:rsidR="00C911E1" w:rsidRDefault="00C911E1">
          <w:pPr>
            <w:pStyle w:val="TOC1"/>
            <w:tabs>
              <w:tab w:val="right" w:leader="dot" w:pos="8630"/>
            </w:tabs>
            <w:rPr>
              <w:rFonts w:asciiTheme="minorHAnsi" w:hAnsiTheme="minorHAnsi"/>
              <w:noProof/>
              <w:kern w:val="2"/>
              <w:sz w:val="24"/>
              <w:szCs w:val="24"/>
              <w:lang w:val="en-GB" w:eastAsia="en-GB"/>
              <w14:ligatures w14:val="standardContextual"/>
            </w:rPr>
          </w:pPr>
          <w:hyperlink w:anchor="_Toc214288125" w:history="1">
            <w:r w:rsidRPr="00FD4273">
              <w:rPr>
                <w:rStyle w:val="Hyperlink"/>
                <w:rFonts w:eastAsia="Arial" w:cs="Arial"/>
                <w:noProof/>
              </w:rPr>
              <w:t>References</w:t>
            </w:r>
            <w:r>
              <w:rPr>
                <w:noProof/>
                <w:webHidden/>
              </w:rPr>
              <w:tab/>
            </w:r>
            <w:r>
              <w:rPr>
                <w:noProof/>
                <w:webHidden/>
              </w:rPr>
              <w:fldChar w:fldCharType="begin"/>
            </w:r>
            <w:r>
              <w:rPr>
                <w:noProof/>
                <w:webHidden/>
              </w:rPr>
              <w:instrText xml:space="preserve"> PAGEREF _Toc214288125 \h </w:instrText>
            </w:r>
            <w:r>
              <w:rPr>
                <w:noProof/>
                <w:webHidden/>
              </w:rPr>
            </w:r>
            <w:r>
              <w:rPr>
                <w:noProof/>
                <w:webHidden/>
              </w:rPr>
              <w:fldChar w:fldCharType="separate"/>
            </w:r>
            <w:r>
              <w:rPr>
                <w:noProof/>
                <w:webHidden/>
              </w:rPr>
              <w:t>7</w:t>
            </w:r>
            <w:r>
              <w:rPr>
                <w:noProof/>
                <w:webHidden/>
              </w:rPr>
              <w:fldChar w:fldCharType="end"/>
            </w:r>
          </w:hyperlink>
        </w:p>
        <w:p w14:paraId="7929428D" w14:textId="6E5C96FA" w:rsidR="5371F7C5" w:rsidRDefault="5371F7C5" w:rsidP="5371F7C5">
          <w:pPr>
            <w:pStyle w:val="TOC1"/>
            <w:tabs>
              <w:tab w:val="right" w:leader="dot" w:pos="8640"/>
            </w:tabs>
            <w:rPr>
              <w:rStyle w:val="Hyperlink"/>
            </w:rPr>
          </w:pPr>
          <w:r>
            <w:fldChar w:fldCharType="end"/>
          </w:r>
        </w:p>
      </w:sdtContent>
    </w:sdt>
    <w:p w14:paraId="461FB8DC" w14:textId="0EDC6D97" w:rsidR="5371F7C5" w:rsidRDefault="5371F7C5" w:rsidP="5371F7C5">
      <w:pPr>
        <w:spacing w:line="360" w:lineRule="auto"/>
        <w:jc w:val="center"/>
        <w:rPr>
          <w:rFonts w:cs="Arial"/>
          <w:b/>
          <w:bCs/>
          <w:sz w:val="28"/>
          <w:szCs w:val="28"/>
        </w:rPr>
      </w:pPr>
    </w:p>
    <w:p w14:paraId="3DB8CF78" w14:textId="52B1BB3B" w:rsidR="5371F7C5" w:rsidRDefault="5371F7C5" w:rsidP="5371F7C5">
      <w:pPr>
        <w:spacing w:line="360" w:lineRule="auto"/>
        <w:jc w:val="center"/>
        <w:rPr>
          <w:rFonts w:cs="Arial"/>
          <w:b/>
          <w:bCs/>
          <w:sz w:val="28"/>
          <w:szCs w:val="28"/>
        </w:rPr>
      </w:pPr>
    </w:p>
    <w:p w14:paraId="31DB6780" w14:textId="424A2154" w:rsidR="5371F7C5" w:rsidRDefault="5371F7C5" w:rsidP="5371F7C5">
      <w:pPr>
        <w:spacing w:line="360" w:lineRule="auto"/>
        <w:jc w:val="center"/>
        <w:rPr>
          <w:rFonts w:cs="Arial"/>
          <w:b/>
          <w:bCs/>
          <w:sz w:val="28"/>
          <w:szCs w:val="28"/>
        </w:rPr>
      </w:pPr>
    </w:p>
    <w:p w14:paraId="35C74BC4" w14:textId="02388022" w:rsidR="4FD939A0" w:rsidRDefault="4FD939A0" w:rsidP="4FD939A0">
      <w:pPr>
        <w:spacing w:line="360" w:lineRule="auto"/>
        <w:rPr>
          <w:rFonts w:cs="Arial"/>
        </w:rPr>
      </w:pPr>
    </w:p>
    <w:p w14:paraId="335B747F" w14:textId="2303D65E" w:rsidR="4FD939A0" w:rsidRDefault="4FD939A0" w:rsidP="4FD939A0">
      <w:pPr>
        <w:spacing w:line="360" w:lineRule="auto"/>
        <w:rPr>
          <w:rFonts w:cs="Arial"/>
        </w:rPr>
      </w:pPr>
    </w:p>
    <w:p w14:paraId="1C7F1DAA" w14:textId="396E2E8A" w:rsidR="4FD939A0" w:rsidRDefault="4FD939A0" w:rsidP="4FD939A0">
      <w:pPr>
        <w:spacing w:line="360" w:lineRule="auto"/>
        <w:rPr>
          <w:rFonts w:cs="Arial"/>
        </w:rPr>
      </w:pPr>
    </w:p>
    <w:p w14:paraId="472BBE2F" w14:textId="218CF11D" w:rsidR="4FD939A0" w:rsidRDefault="4FD939A0" w:rsidP="4FD939A0">
      <w:pPr>
        <w:spacing w:line="360" w:lineRule="auto"/>
        <w:rPr>
          <w:rFonts w:cs="Arial"/>
        </w:rPr>
      </w:pPr>
    </w:p>
    <w:p w14:paraId="5A8BFC56" w14:textId="1FDD3B5F" w:rsidR="4FD939A0" w:rsidRDefault="4FD939A0" w:rsidP="4FD939A0">
      <w:pPr>
        <w:spacing w:line="360" w:lineRule="auto"/>
        <w:rPr>
          <w:rFonts w:cs="Arial"/>
        </w:rPr>
      </w:pPr>
    </w:p>
    <w:p w14:paraId="0EAAAB46" w14:textId="3F9806A0" w:rsidR="4FD939A0" w:rsidRDefault="4FD939A0" w:rsidP="4FD939A0">
      <w:pPr>
        <w:spacing w:line="360" w:lineRule="auto"/>
        <w:rPr>
          <w:rFonts w:cs="Arial"/>
        </w:rPr>
      </w:pPr>
    </w:p>
    <w:p w14:paraId="786F7AA2" w14:textId="48608889" w:rsidR="4FD939A0" w:rsidRDefault="4FD939A0" w:rsidP="4FD939A0">
      <w:pPr>
        <w:spacing w:line="360" w:lineRule="auto"/>
        <w:rPr>
          <w:rFonts w:cs="Arial"/>
        </w:rPr>
      </w:pPr>
    </w:p>
    <w:p w14:paraId="4AE6E1F4" w14:textId="4A0D6257" w:rsidR="4FD939A0" w:rsidRDefault="4FD939A0" w:rsidP="4FD939A0">
      <w:pPr>
        <w:spacing w:line="360" w:lineRule="auto"/>
        <w:rPr>
          <w:rFonts w:cs="Arial"/>
        </w:rPr>
      </w:pPr>
    </w:p>
    <w:p w14:paraId="0DB34728" w14:textId="4EDC7A70" w:rsidR="4FD939A0" w:rsidRDefault="4FD939A0" w:rsidP="4FD939A0">
      <w:pPr>
        <w:spacing w:line="360" w:lineRule="auto"/>
        <w:rPr>
          <w:rFonts w:cs="Arial"/>
        </w:rPr>
      </w:pPr>
    </w:p>
    <w:p w14:paraId="0DE2AE8E" w14:textId="553DE154" w:rsidR="4FD939A0" w:rsidRDefault="4FD939A0" w:rsidP="4FD939A0">
      <w:pPr>
        <w:spacing w:line="360" w:lineRule="auto"/>
        <w:rPr>
          <w:rFonts w:cs="Arial"/>
        </w:rPr>
      </w:pPr>
    </w:p>
    <w:p w14:paraId="1547574C" w14:textId="1FC530F4" w:rsidR="4FD939A0" w:rsidRDefault="4FD939A0" w:rsidP="4FD939A0">
      <w:pPr>
        <w:spacing w:line="360" w:lineRule="auto"/>
        <w:rPr>
          <w:rFonts w:cs="Arial"/>
        </w:rPr>
      </w:pPr>
    </w:p>
    <w:p w14:paraId="6CD24A27" w14:textId="72BA1D1B" w:rsidR="4FD939A0" w:rsidRDefault="4FD939A0" w:rsidP="4FD939A0">
      <w:pPr>
        <w:spacing w:line="360" w:lineRule="auto"/>
        <w:rPr>
          <w:rFonts w:cs="Arial"/>
        </w:rPr>
      </w:pPr>
    </w:p>
    <w:p w14:paraId="625C919F" w14:textId="77777777" w:rsidR="002F44F3" w:rsidRDefault="3FDE3F37" w:rsidP="172CBD4D">
      <w:pPr>
        <w:spacing w:line="360" w:lineRule="auto"/>
        <w:jc w:val="both"/>
      </w:pPr>
      <w:bookmarkStart w:id="0" w:name="_Toc214288119"/>
      <w:r w:rsidRPr="172CBD4D">
        <w:rPr>
          <w:rStyle w:val="Heading1Char"/>
          <w:rFonts w:ascii="Arial" w:eastAsia="Arial" w:hAnsi="Arial" w:cs="Arial"/>
          <w:color w:val="auto"/>
        </w:rPr>
        <w:lastRenderedPageBreak/>
        <w:t>Introduction</w:t>
      </w:r>
      <w:bookmarkEnd w:id="0"/>
      <w:r>
        <w:t xml:space="preserve"> </w:t>
      </w:r>
      <w:r w:rsidR="35AEDA93">
        <w:t xml:space="preserve">                                                                                                                 </w:t>
      </w:r>
      <w:r w:rsidR="002F44F3">
        <w:t xml:space="preserve">     </w:t>
      </w:r>
    </w:p>
    <w:p w14:paraId="271CCCF3" w14:textId="0E2FFF29" w:rsidR="5984BF6A" w:rsidRDefault="4BF51E81" w:rsidP="172CBD4D">
      <w:pPr>
        <w:spacing w:line="360" w:lineRule="auto"/>
        <w:jc w:val="both"/>
        <w:rPr>
          <w:rFonts w:cs="Arial"/>
        </w:rPr>
      </w:pPr>
      <w:r w:rsidRPr="172CBD4D">
        <w:rPr>
          <w:rFonts w:eastAsia="Arial" w:cs="Arial"/>
          <w:lang w:val="en-GB"/>
        </w:rPr>
        <w:t xml:space="preserve">Rising inflation and slow wage growth have created significant financial pressure across the UK, affecting both individuals and health and social care providers. Vulnerable groups often struggle to afford essentials such as food, heating, and </w:t>
      </w:r>
      <w:r w:rsidR="28914C01" w:rsidRPr="172CBD4D">
        <w:rPr>
          <w:rFonts w:eastAsia="Arial" w:cs="Arial"/>
          <w:lang w:val="en-GB"/>
        </w:rPr>
        <w:t>housing</w:t>
      </w:r>
      <w:r w:rsidRPr="172CBD4D">
        <w:rPr>
          <w:rFonts w:eastAsia="Arial" w:cs="Arial"/>
          <w:lang w:val="en-GB"/>
        </w:rPr>
        <w:t>, while organisations face rising costs and staff shortages. This research explores how the cost-of-living crisis impacts people who rely on health and social care services, focusing on their health, wellbeing, and access to support. It examines who is most affected, why further research is needed, the chosen research methodology, and suitable data collection approaches. The study also aims to provide practical insights to improve support and strengthen the sector.</w:t>
      </w:r>
    </w:p>
    <w:p w14:paraId="18A4E973" w14:textId="77777777" w:rsidR="00C911E1" w:rsidRDefault="17C57171" w:rsidP="172CBD4D">
      <w:pPr>
        <w:spacing w:before="240" w:after="240" w:line="360" w:lineRule="auto"/>
        <w:jc w:val="both"/>
        <w:rPr>
          <w:lang w:val="en-GB"/>
        </w:rPr>
      </w:pPr>
      <w:bookmarkStart w:id="1" w:name="_Toc214288120"/>
      <w:r w:rsidRPr="172CBD4D">
        <w:rPr>
          <w:rStyle w:val="Heading1Char"/>
          <w:rFonts w:ascii="Arial" w:eastAsia="Arial" w:hAnsi="Arial" w:cs="Arial"/>
          <w:color w:val="auto"/>
        </w:rPr>
        <w:t>Research</w:t>
      </w:r>
      <w:r w:rsidR="71EBA970" w:rsidRPr="172CBD4D">
        <w:rPr>
          <w:rStyle w:val="Heading1Char"/>
          <w:rFonts w:ascii="Arial" w:eastAsia="Arial" w:hAnsi="Arial" w:cs="Arial"/>
          <w:color w:val="auto"/>
        </w:rPr>
        <w:t xml:space="preserve"> </w:t>
      </w:r>
      <w:r w:rsidRPr="172CBD4D">
        <w:rPr>
          <w:rStyle w:val="Heading1Char"/>
          <w:rFonts w:ascii="Arial" w:eastAsia="Arial" w:hAnsi="Arial" w:cs="Arial"/>
          <w:color w:val="auto"/>
        </w:rPr>
        <w:t>Topi</w:t>
      </w:r>
      <w:r w:rsidR="0F06A217" w:rsidRPr="172CBD4D">
        <w:rPr>
          <w:rStyle w:val="Heading1Char"/>
          <w:rFonts w:ascii="Arial" w:eastAsia="Arial" w:hAnsi="Arial" w:cs="Arial"/>
          <w:color w:val="auto"/>
        </w:rPr>
        <w:t>c</w:t>
      </w:r>
      <w:r w:rsidR="1904F758" w:rsidRPr="172CBD4D">
        <w:rPr>
          <w:rStyle w:val="Heading1Char"/>
          <w:rFonts w:ascii="Arial" w:eastAsia="Arial" w:hAnsi="Arial" w:cs="Arial"/>
          <w:color w:val="auto"/>
        </w:rPr>
        <w:t xml:space="preserve"> </w:t>
      </w:r>
      <w:r w:rsidRPr="172CBD4D">
        <w:rPr>
          <w:rStyle w:val="Heading1Char"/>
          <w:rFonts w:ascii="Arial" w:eastAsia="Arial" w:hAnsi="Arial" w:cs="Arial"/>
          <w:color w:val="auto"/>
        </w:rPr>
        <w:t>Identification</w:t>
      </w:r>
      <w:bookmarkEnd w:id="1"/>
      <w:r w:rsidR="7BC97672">
        <w:t xml:space="preserve"> </w:t>
      </w:r>
    </w:p>
    <w:p w14:paraId="5E33ADFD" w14:textId="550414F5" w:rsidR="5984BF6A" w:rsidRDefault="05C8C19C" w:rsidP="172CBD4D">
      <w:pPr>
        <w:spacing w:before="240" w:after="240" w:line="360" w:lineRule="auto"/>
        <w:jc w:val="both"/>
        <w:rPr>
          <w:lang w:val="en-GB"/>
        </w:rPr>
      </w:pPr>
      <w:r w:rsidRPr="172CBD4D">
        <w:rPr>
          <w:lang w:val="en-GB"/>
        </w:rPr>
        <w:t>The UK’s cost-of-living crisis has become a significant challenge for public health and social care systems since 2021. Characterised by rapid inflation, steep energy bills, and increased food prices, this crisis has placed many households under severe financial pressure. In early 2024, UK inflation was reported at around 4%, with food prices having risen by over 25% since 2021 (Office for National Statistics, 202</w:t>
      </w:r>
      <w:r w:rsidR="7EFDA898" w:rsidRPr="172CBD4D">
        <w:rPr>
          <w:lang w:val="en-GB"/>
        </w:rPr>
        <w:t>4</w:t>
      </w:r>
      <w:r w:rsidRPr="172CBD4D">
        <w:rPr>
          <w:lang w:val="en-GB"/>
        </w:rPr>
        <w:t xml:space="preserve">). Energy bills also remain nearly 60% higher than pre-crisis levels, placing additional strain on low-income households. Evidence indicates that rising prices have worsened inequalities, increased demand for care, and placed financial and emotional strain on both service users and professionals </w:t>
      </w:r>
      <w:r w:rsidR="7C12A069" w:rsidRPr="172CBD4D">
        <w:rPr>
          <w:lang w:val="en-GB"/>
        </w:rPr>
        <w:t>(</w:t>
      </w:r>
      <w:r w:rsidRPr="172CBD4D">
        <w:rPr>
          <w:lang w:val="en-GB"/>
        </w:rPr>
        <w:t>Institute for Public Policy Research</w:t>
      </w:r>
      <w:r w:rsidR="6BE0D5F9" w:rsidRPr="172CBD4D">
        <w:rPr>
          <w:lang w:val="en-GB"/>
        </w:rPr>
        <w:t xml:space="preserve">, </w:t>
      </w:r>
      <w:r w:rsidRPr="172CBD4D">
        <w:rPr>
          <w:lang w:val="en-GB"/>
        </w:rPr>
        <w:t>202</w:t>
      </w:r>
      <w:r w:rsidR="256ECC24" w:rsidRPr="172CBD4D">
        <w:rPr>
          <w:lang w:val="en-GB"/>
        </w:rPr>
        <w:t>5</w:t>
      </w:r>
      <w:r w:rsidRPr="172CBD4D">
        <w:rPr>
          <w:lang w:val="en-GB"/>
        </w:rPr>
        <w:t>)</w:t>
      </w:r>
      <w:r w:rsidR="1D203DDD" w:rsidRPr="172CBD4D">
        <w:rPr>
          <w:lang w:val="en-GB"/>
        </w:rPr>
        <w:t>. R</w:t>
      </w:r>
      <w:r w:rsidRPr="172CBD4D">
        <w:rPr>
          <w:lang w:val="en-GB"/>
        </w:rPr>
        <w:t>ising living costs are deepening poverty and worsening health outcomes across the UK. Those reliant on health and social care services</w:t>
      </w:r>
      <w:r w:rsidR="519A04E9" w:rsidRPr="172CBD4D">
        <w:rPr>
          <w:lang w:val="en-GB"/>
        </w:rPr>
        <w:t xml:space="preserve"> s</w:t>
      </w:r>
      <w:r w:rsidRPr="172CBD4D">
        <w:rPr>
          <w:lang w:val="en-GB"/>
        </w:rPr>
        <w:t>uch as older people, disabled individuals, and families with chronic health needs</w:t>
      </w:r>
      <w:r w:rsidR="0867DA30" w:rsidRPr="172CBD4D">
        <w:rPr>
          <w:lang w:val="en-GB"/>
        </w:rPr>
        <w:t xml:space="preserve"> </w:t>
      </w:r>
      <w:r w:rsidRPr="172CBD4D">
        <w:rPr>
          <w:lang w:val="en-GB"/>
        </w:rPr>
        <w:t>are particularly vulnerable, as they often depend on fixed or limited incomes.</w:t>
      </w:r>
    </w:p>
    <w:p w14:paraId="4FAEF18E" w14:textId="73C44DA4" w:rsidR="5984BF6A" w:rsidRDefault="05C8C19C" w:rsidP="00C911E1">
      <w:pPr>
        <w:spacing w:before="240" w:after="240" w:line="360" w:lineRule="auto"/>
        <w:rPr>
          <w:lang w:val="en-GB"/>
        </w:rPr>
      </w:pPr>
      <w:r w:rsidRPr="172CBD4D">
        <w:rPr>
          <w:lang w:val="en-GB"/>
        </w:rPr>
        <w:t>The rise in living costs has made it harder for individuals to meet basic needs such as food, heating, and transport, all of which are important for maintaining good health. The crisis has also increased pressure on health and social care services. Financial stress, poor diet, and unstable housing have made people’s physical and mental health worse (Joseph Rowntree Foundation, 2024). At the same time, care providers are struggling with higher costs and fewer staff, which has led to reduced services and, in some cases, closures</w:t>
      </w:r>
      <w:r w:rsidR="00C911E1">
        <w:rPr>
          <w:lang w:val="en-GB"/>
        </w:rPr>
        <w:t xml:space="preserve"> </w:t>
      </w:r>
      <w:r w:rsidRPr="172CBD4D">
        <w:rPr>
          <w:lang w:val="en-GB"/>
        </w:rPr>
        <w:t>(Health</w:t>
      </w:r>
      <w:r w:rsidR="00C911E1">
        <w:rPr>
          <w:lang w:val="en-GB"/>
        </w:rPr>
        <w:t xml:space="preserve"> </w:t>
      </w:r>
      <w:r w:rsidRPr="172CBD4D">
        <w:rPr>
          <w:lang w:val="en-GB"/>
        </w:rPr>
        <w:t>Foundation, 202</w:t>
      </w:r>
      <w:r w:rsidR="4972880D" w:rsidRPr="172CBD4D">
        <w:rPr>
          <w:lang w:val="en-GB"/>
        </w:rPr>
        <w:t>2</w:t>
      </w:r>
      <w:r w:rsidRPr="172CBD4D">
        <w:rPr>
          <w:lang w:val="en-GB"/>
        </w:rPr>
        <w:t>).</w:t>
      </w:r>
      <w:r w:rsidR="5984BF6A">
        <w:br/>
      </w:r>
      <w:r w:rsidRPr="172CBD4D">
        <w:rPr>
          <w:lang w:val="en-GB"/>
        </w:rPr>
        <w:lastRenderedPageBreak/>
        <w:t>The cost-of-living crisis affects many groups within the UK’s health and social care system. Older people, disabled individuals, and low-income families often find it difficult to afford necessities. Many care workers, who are paid close to the minimum wage, are struggling financially and facing increased stress (Unison, 2023).</w:t>
      </w:r>
    </w:p>
    <w:p w14:paraId="5DF29A79" w14:textId="5348157C" w:rsidR="5984BF6A" w:rsidRDefault="05C8C19C" w:rsidP="172CBD4D">
      <w:pPr>
        <w:spacing w:before="240" w:after="240" w:line="360" w:lineRule="auto"/>
        <w:jc w:val="both"/>
        <w:rPr>
          <w:lang w:val="en-GB"/>
        </w:rPr>
      </w:pPr>
      <w:r w:rsidRPr="172CBD4D">
        <w:rPr>
          <w:lang w:val="en-GB"/>
        </w:rPr>
        <w:t xml:space="preserve">Health and care organisations also face increasing costs and cuts in local authority funding (NHS Confederation, </w:t>
      </w:r>
      <w:r w:rsidR="55CD7779" w:rsidRPr="172CBD4D">
        <w:rPr>
          <w:lang w:val="en-GB"/>
        </w:rPr>
        <w:t>N D</w:t>
      </w:r>
      <w:r w:rsidRPr="172CBD4D">
        <w:rPr>
          <w:lang w:val="en-GB"/>
        </w:rPr>
        <w:t xml:space="preserve">). The Adult Social Care Workforce Reform Policy (Department of Health and Social Care, 2023) aims to address some of these pressures by improving pay, training, and recruitment, but implementation remains limited due to budget constraints. Policymakers are challenged to manage limited resources while still providing fair and equal care for everyone. Researching this issue is crucial because the cost-of-living crisis is deepening long-standing health inequalities. Lower-income households are already more likely to experience poorer health, shorter life expectancy, and higher dependency on public services (Marmot, </w:t>
      </w:r>
      <w:r w:rsidR="7D8BD5C2" w:rsidRPr="172CBD4D">
        <w:rPr>
          <w:lang w:val="en-GB"/>
        </w:rPr>
        <w:t>N D</w:t>
      </w:r>
      <w:r w:rsidRPr="172CBD4D">
        <w:rPr>
          <w:lang w:val="en-GB"/>
        </w:rPr>
        <w:t>). However, there is limited research on how the current economic situation is influencing people’s access to and the quality of health and social care services. Tackling the cost-of-living crisis will require sustained investment in the health and social care workforce, including fair pay, better working conditions, and increased local authority funding. Greater coordination between health and social care providers is also needed to deliver more effective and joined-up support for those in need.</w:t>
      </w:r>
    </w:p>
    <w:p w14:paraId="7AE7989D" w14:textId="2CB110CD" w:rsidR="5984BF6A" w:rsidRDefault="5984BF6A" w:rsidP="26DDFBB0">
      <w:pPr>
        <w:pStyle w:val="Heading3"/>
        <w:spacing w:before="281" w:after="281"/>
        <w:rPr>
          <w:color w:val="auto"/>
          <w:sz w:val="28"/>
          <w:szCs w:val="28"/>
          <w:lang w:val="en-GB"/>
        </w:rPr>
      </w:pPr>
      <w:bookmarkStart w:id="2" w:name="_Toc214288121"/>
      <w:r w:rsidRPr="172CBD4D">
        <w:rPr>
          <w:color w:val="auto"/>
          <w:sz w:val="28"/>
          <w:szCs w:val="28"/>
          <w:lang w:val="en-GB"/>
        </w:rPr>
        <w:t>Three Key Sources Supporting this Research</w:t>
      </w:r>
      <w:bookmarkEnd w:id="2"/>
    </w:p>
    <w:p w14:paraId="0FDBB34C" w14:textId="4CE375C7" w:rsidR="5984BF6A" w:rsidRDefault="5984BF6A" w:rsidP="00C911E1">
      <w:pPr>
        <w:pStyle w:val="ListParagraph"/>
        <w:numPr>
          <w:ilvl w:val="0"/>
          <w:numId w:val="1"/>
        </w:numPr>
        <w:spacing w:before="240" w:after="240" w:line="360" w:lineRule="auto"/>
        <w:rPr>
          <w:lang w:val="en-GB"/>
        </w:rPr>
      </w:pPr>
      <w:r w:rsidRPr="172CBD4D">
        <w:rPr>
          <w:b/>
          <w:bCs/>
          <w:lang w:val="en-GB"/>
        </w:rPr>
        <w:t>The</w:t>
      </w:r>
      <w:r w:rsidR="00C911E1">
        <w:rPr>
          <w:b/>
          <w:bCs/>
          <w:lang w:val="en-GB"/>
        </w:rPr>
        <w:t xml:space="preserve"> </w:t>
      </w:r>
      <w:r w:rsidRPr="172CBD4D">
        <w:rPr>
          <w:b/>
          <w:bCs/>
          <w:lang w:val="en-GB"/>
        </w:rPr>
        <w:t>King’s Fund (2023):</w:t>
      </w:r>
      <w:r>
        <w:br/>
      </w:r>
      <w:r w:rsidRPr="172CBD4D">
        <w:rPr>
          <w:lang w:val="en-GB"/>
        </w:rPr>
        <w:t>This source explores how the cost-of-living crisis has affected health and wellbeing across the UK, using recent data and case studies. It provides credible evidence on the growing link between financial hardship, poor health outcomes, and increased pressure on health and care services. The King’s Fund also offers valuable policy perspectives, helping to explain how national and local systems are responding to these challenges.</w:t>
      </w:r>
    </w:p>
    <w:p w14:paraId="4F2DEB76" w14:textId="2934084C" w:rsidR="5984BF6A" w:rsidRDefault="05C8C19C" w:rsidP="00C911E1">
      <w:pPr>
        <w:pStyle w:val="ListParagraph"/>
        <w:numPr>
          <w:ilvl w:val="0"/>
          <w:numId w:val="1"/>
        </w:numPr>
        <w:spacing w:before="240" w:after="240" w:line="360" w:lineRule="auto"/>
        <w:rPr>
          <w:lang w:val="en-GB"/>
        </w:rPr>
      </w:pPr>
      <w:r w:rsidRPr="172CBD4D">
        <w:rPr>
          <w:b/>
          <w:bCs/>
          <w:lang w:val="en-GB"/>
        </w:rPr>
        <w:t>Health Foundation (202</w:t>
      </w:r>
      <w:r w:rsidR="7863133C" w:rsidRPr="172CBD4D">
        <w:rPr>
          <w:b/>
          <w:bCs/>
          <w:lang w:val="en-GB"/>
        </w:rPr>
        <w:t>2</w:t>
      </w:r>
      <w:r w:rsidRPr="172CBD4D">
        <w:rPr>
          <w:b/>
          <w:bCs/>
          <w:lang w:val="en-GB"/>
        </w:rPr>
        <w:t>):</w:t>
      </w:r>
      <w:r w:rsidR="5984BF6A">
        <w:br/>
      </w:r>
      <w:r w:rsidRPr="172CBD4D">
        <w:rPr>
          <w:lang w:val="en-GB"/>
        </w:rPr>
        <w:t xml:space="preserve">The Health Foundation analyses how rising inflation and living costs have deepened existing health inequalities. It highlights how reduced access to essentials such as food, housing, and heating directly harms people’s wellbeing. The organisation also examines the financial strain on NHS and social care providers, noting that higher operational costs and staff shortages are limiting </w:t>
      </w:r>
      <w:r w:rsidRPr="172CBD4D">
        <w:rPr>
          <w:lang w:val="en-GB"/>
        </w:rPr>
        <w:lastRenderedPageBreak/>
        <w:t>service capacity. This source reinforces the view that the cost-of-living crisis is both a social and public health concern.</w:t>
      </w:r>
    </w:p>
    <w:p w14:paraId="7015EEC3" w14:textId="3A7B58DF" w:rsidR="172CBD4D" w:rsidRDefault="172CBD4D" w:rsidP="172CBD4D">
      <w:pPr>
        <w:pStyle w:val="ListParagraph"/>
        <w:spacing w:before="240" w:after="240" w:line="360" w:lineRule="auto"/>
        <w:jc w:val="both"/>
        <w:rPr>
          <w:lang w:val="en-GB"/>
        </w:rPr>
      </w:pPr>
    </w:p>
    <w:p w14:paraId="0EE8D973" w14:textId="2ADD83DE" w:rsidR="26DDFBB0" w:rsidRPr="00C911E1" w:rsidRDefault="5984BF6A" w:rsidP="26DDFBB0">
      <w:pPr>
        <w:pStyle w:val="ListParagraph"/>
        <w:numPr>
          <w:ilvl w:val="0"/>
          <w:numId w:val="1"/>
        </w:numPr>
        <w:spacing w:before="240" w:after="240" w:line="360" w:lineRule="auto"/>
        <w:rPr>
          <w:lang w:val="en-GB"/>
        </w:rPr>
      </w:pPr>
      <w:r w:rsidRPr="172CBD4D">
        <w:rPr>
          <w:b/>
          <w:bCs/>
          <w:lang w:val="en-GB"/>
        </w:rPr>
        <w:t>Joseph Rowntree Foundation (2024):</w:t>
      </w:r>
      <w:r>
        <w:br/>
      </w:r>
      <w:r w:rsidRPr="172CBD4D">
        <w:rPr>
          <w:lang w:val="en-GB"/>
        </w:rPr>
        <w:t>This source provides up-to-date evidence on poverty and inequality, particularly how these issues relate to health and social care outcomes. It offers detailed statistics on food insecurity, fuel poverty, and low-income households, showing how economic pressures affect daily life and wellbeing. The Foundation’s research gives strong contextual support for this study, helping to connect economic data with real-life experiences of individuals and families affected by the crisis.</w:t>
      </w:r>
    </w:p>
    <w:p w14:paraId="523250DC" w14:textId="538F6B45" w:rsidR="4326A66A" w:rsidRDefault="0A4A24C2" w:rsidP="7440F159">
      <w:pPr>
        <w:spacing w:before="240" w:after="240" w:line="360" w:lineRule="auto"/>
        <w:rPr>
          <w:rFonts w:eastAsia="Arial" w:cs="Arial"/>
          <w:b/>
          <w:bCs/>
          <w:sz w:val="28"/>
          <w:szCs w:val="28"/>
        </w:rPr>
      </w:pPr>
      <w:bookmarkStart w:id="3" w:name="_Toc214288122"/>
      <w:r w:rsidRPr="172CBD4D">
        <w:rPr>
          <w:rStyle w:val="Heading1Char"/>
          <w:rFonts w:ascii="Arial" w:eastAsia="Arial" w:hAnsi="Arial" w:cs="Arial"/>
          <w:color w:val="auto"/>
        </w:rPr>
        <w:t>Research Methodology</w:t>
      </w:r>
      <w:bookmarkEnd w:id="3"/>
      <w:r w:rsidR="3618DC51" w:rsidRPr="172CBD4D">
        <w:rPr>
          <w:rStyle w:val="Heading1Char"/>
          <w:rFonts w:ascii="Arial" w:eastAsia="Arial" w:hAnsi="Arial" w:cs="Arial"/>
          <w:color w:val="auto"/>
        </w:rPr>
        <w:t xml:space="preserve">                                                                      </w:t>
      </w:r>
      <w:r w:rsidR="646AF1F8" w:rsidRPr="172CBD4D">
        <w:rPr>
          <w:rStyle w:val="Heading1Char"/>
          <w:rFonts w:ascii="Arial" w:eastAsia="Arial" w:hAnsi="Arial" w:cs="Arial"/>
          <w:color w:val="auto"/>
        </w:rPr>
        <w:t xml:space="preserve"> </w:t>
      </w:r>
      <w:r w:rsidR="4326A66A" w:rsidRPr="172CBD4D">
        <w:rPr>
          <w:rFonts w:eastAsia="Arial" w:cs="Arial"/>
          <w:lang w:val="en-GB"/>
        </w:rPr>
        <w:t>Research</w:t>
      </w:r>
      <w:r w:rsidR="4326A66A" w:rsidRPr="172CBD4D">
        <w:rPr>
          <w:rFonts w:eastAsia="Arial" w:cs="Arial"/>
          <w:color w:val="FF0000"/>
          <w:lang w:val="en-GB"/>
        </w:rPr>
        <w:t xml:space="preserve"> </w:t>
      </w:r>
      <w:r w:rsidR="4326A66A" w:rsidRPr="172CBD4D">
        <w:rPr>
          <w:rFonts w:eastAsia="Arial" w:cs="Arial"/>
          <w:lang w:val="en-GB"/>
        </w:rPr>
        <w:t>methodology refers to the systematic approach used to collect, analyse, and interpret data to answer a research question (Bryman, 2016). In health and social care, three main types of research methodology are commonly used</w:t>
      </w:r>
      <w:r w:rsidR="6FBFF6EC" w:rsidRPr="172CBD4D">
        <w:rPr>
          <w:rFonts w:eastAsia="Arial" w:cs="Arial"/>
          <w:lang w:val="en-GB"/>
        </w:rPr>
        <w:t xml:space="preserve"> which are</w:t>
      </w:r>
      <w:r w:rsidR="4326A66A" w:rsidRPr="172CBD4D">
        <w:rPr>
          <w:rFonts w:eastAsia="Arial" w:cs="Arial"/>
          <w:lang w:val="en-GB"/>
        </w:rPr>
        <w:t xml:space="preserve"> qualitative, quantitative, and mixed methods. Qualitative research focuses on understanding experiences, opinions, and behaviours, often through interviews, focus groups, or case studies (Silverman, 2020). Quantitative research, in contrast, focuses on numerical data and statistics, using surveys, experiments, or secondary statistical datasets (Creswell &amp; Creswell, 2018). Mixed-methods research combines both qualitative and quantitative approaches to provide a more comprehensive understanding of an issue (Creswell &amp; Creswell, 2018).</w:t>
      </w:r>
    </w:p>
    <w:p w14:paraId="1B675775" w14:textId="5995BD96" w:rsidR="4326A66A" w:rsidRDefault="41049B88" w:rsidP="172CBD4D">
      <w:pPr>
        <w:spacing w:before="240" w:after="240" w:line="360" w:lineRule="auto"/>
        <w:jc w:val="both"/>
      </w:pPr>
      <w:r w:rsidRPr="172CBD4D">
        <w:rPr>
          <w:rFonts w:eastAsia="Arial" w:cs="Arial"/>
          <w:lang w:val="en-GB"/>
        </w:rPr>
        <w:t>For this</w:t>
      </w:r>
      <w:r w:rsidR="3BB1CD6C" w:rsidRPr="172CBD4D">
        <w:rPr>
          <w:rFonts w:eastAsia="Arial" w:cs="Arial"/>
          <w:lang w:val="en-GB"/>
        </w:rPr>
        <w:t xml:space="preserve"> research, </w:t>
      </w:r>
      <w:r w:rsidRPr="172CBD4D">
        <w:rPr>
          <w:rFonts w:eastAsia="Arial" w:cs="Arial"/>
          <w:lang w:val="en-GB"/>
        </w:rPr>
        <w:t>a qualitative methodology is most appropriate. The aim is to explore the lived experiences of people affected by the cost-of-living crisis, including how financial pressures influence their health, access to care, and coping strategies (Joseph Rowntree Foundation, 2024; Health Foundation, 202</w:t>
      </w:r>
      <w:r w:rsidR="57BDB391" w:rsidRPr="172CBD4D">
        <w:rPr>
          <w:rFonts w:eastAsia="Arial" w:cs="Arial"/>
          <w:lang w:val="en-GB"/>
        </w:rPr>
        <w:t>2</w:t>
      </w:r>
      <w:r w:rsidRPr="172CBD4D">
        <w:rPr>
          <w:rFonts w:eastAsia="Arial" w:cs="Arial"/>
          <w:lang w:val="en-GB"/>
        </w:rPr>
        <w:t>). Semi-structured interviews or focus groups will allow participants to share their personal experiences, offering insights that numerical data alone cannot capture. This methodology is more suitable than quantitative approaches because it provides depth and context, highlighting the real-life impact of financial hardship on individuals and service provision.</w:t>
      </w:r>
    </w:p>
    <w:p w14:paraId="2DFA0F71" w14:textId="67F7C308" w:rsidR="00FF5E26" w:rsidRPr="007F2111" w:rsidRDefault="4326A66A" w:rsidP="00C911E1">
      <w:pPr>
        <w:spacing w:before="240" w:after="240" w:line="360" w:lineRule="auto"/>
        <w:jc w:val="both"/>
      </w:pPr>
      <w:r w:rsidRPr="172CBD4D">
        <w:rPr>
          <w:rFonts w:eastAsia="Arial" w:cs="Arial"/>
          <w:lang w:val="en-GB"/>
        </w:rPr>
        <w:t xml:space="preserve">Ethical considerations are central to this approach. Participants’ confidentiality, informed consent, and emotional wellbeing will be safeguarded (Bryman, 2016; Silverman, 2020). </w:t>
      </w:r>
      <w:r w:rsidRPr="172CBD4D">
        <w:rPr>
          <w:rFonts w:eastAsia="Arial" w:cs="Arial"/>
          <w:lang w:val="en-GB"/>
        </w:rPr>
        <w:lastRenderedPageBreak/>
        <w:t>Transparent analysis and flexible methods will ensure credibility and provide a detailed understanding of how economic pressures affect everyday life within the UK health and social care system.</w:t>
      </w:r>
      <w:r w:rsidR="703949F3" w:rsidRPr="172CBD4D">
        <w:rPr>
          <w:rFonts w:eastAsia="Arial" w:cs="Arial"/>
          <w:lang w:val="en-GB"/>
        </w:rPr>
        <w:t xml:space="preserve"> This will also help the research give a clearer and more honest picture of what people are going through.</w:t>
      </w:r>
    </w:p>
    <w:p w14:paraId="6634C178" w14:textId="77777777" w:rsidR="00C911E1" w:rsidRDefault="0CDB9962" w:rsidP="172CBD4D">
      <w:pPr>
        <w:spacing w:line="360" w:lineRule="auto"/>
        <w:jc w:val="both"/>
        <w:rPr>
          <w:b/>
          <w:bCs/>
          <w:sz w:val="28"/>
          <w:szCs w:val="28"/>
        </w:rPr>
      </w:pPr>
      <w:bookmarkStart w:id="4" w:name="_Toc214288123"/>
      <w:r w:rsidRPr="172CBD4D">
        <w:rPr>
          <w:rStyle w:val="Heading1Char"/>
          <w:rFonts w:ascii="Arial" w:eastAsia="Arial" w:hAnsi="Arial" w:cs="Arial"/>
          <w:color w:val="auto"/>
        </w:rPr>
        <w:t>Data Collection</w:t>
      </w:r>
      <w:bookmarkEnd w:id="4"/>
      <w:r w:rsidRPr="172CBD4D">
        <w:rPr>
          <w:rStyle w:val="Heading1Char"/>
          <w:rFonts w:ascii="Arial" w:eastAsia="Arial" w:hAnsi="Arial" w:cs="Arial"/>
          <w:color w:val="auto"/>
        </w:rPr>
        <w:t xml:space="preserve"> </w:t>
      </w:r>
      <w:r w:rsidR="513C3265" w:rsidRPr="172CBD4D">
        <w:rPr>
          <w:b/>
          <w:bCs/>
          <w:sz w:val="28"/>
          <w:szCs w:val="28"/>
        </w:rPr>
        <w:t xml:space="preserve">                                                                                  </w:t>
      </w:r>
      <w:r w:rsidR="0FB1D6B1" w:rsidRPr="172CBD4D">
        <w:rPr>
          <w:b/>
          <w:bCs/>
          <w:sz w:val="28"/>
          <w:szCs w:val="28"/>
        </w:rPr>
        <w:t xml:space="preserve">  </w:t>
      </w:r>
    </w:p>
    <w:p w14:paraId="2143B31B" w14:textId="4D2A2E08" w:rsidR="3FDE3F37" w:rsidRDefault="4D0AAB9B" w:rsidP="172CBD4D">
      <w:pPr>
        <w:spacing w:line="360" w:lineRule="auto"/>
        <w:jc w:val="both"/>
        <w:rPr>
          <w:rFonts w:cs="Arial"/>
        </w:rPr>
      </w:pPr>
      <w:r w:rsidRPr="172CBD4D">
        <w:rPr>
          <w:rFonts w:eastAsia="Arial" w:cs="Arial"/>
        </w:rPr>
        <w:t>Data collection can take two main forms</w:t>
      </w:r>
      <w:r w:rsidR="4174F718" w:rsidRPr="172CBD4D">
        <w:rPr>
          <w:rFonts w:eastAsia="Arial" w:cs="Arial"/>
        </w:rPr>
        <w:t xml:space="preserve"> which are </w:t>
      </w:r>
      <w:r w:rsidRPr="172CBD4D">
        <w:rPr>
          <w:rFonts w:eastAsia="Arial" w:cs="Arial"/>
        </w:rPr>
        <w:t>primary and secondary. Primary data refers to information gathered first-hand by the researcher, such as through interviews, observations or surveys, and offers direct insight linked to the research question (Bryman, 2016). Secondary data comes from information that already exists, like government reports or academic research, and it helps show bigger patterns that support the study. Using both types of data together can help build a stronger understanding of the issue, as primary data provides personal experiences while secondary data offers</w:t>
      </w:r>
      <w:r w:rsidR="08E508AC" w:rsidRPr="172CBD4D">
        <w:rPr>
          <w:rFonts w:eastAsia="Arial" w:cs="Arial"/>
        </w:rPr>
        <w:t xml:space="preserve"> </w:t>
      </w:r>
      <w:r w:rsidR="2134197B" w:rsidRPr="172CBD4D">
        <w:rPr>
          <w:rFonts w:eastAsia="Arial" w:cs="Arial"/>
        </w:rPr>
        <w:t>a wider</w:t>
      </w:r>
      <w:r w:rsidRPr="172CBD4D">
        <w:rPr>
          <w:rFonts w:eastAsia="Arial" w:cs="Arial"/>
        </w:rPr>
        <w:t xml:space="preserve"> national context.</w:t>
      </w:r>
    </w:p>
    <w:p w14:paraId="7A4068D6" w14:textId="45E685DA" w:rsidR="4D0AAB9B" w:rsidRDefault="4D0AAB9B" w:rsidP="7440F159">
      <w:pPr>
        <w:spacing w:before="240" w:after="240" w:line="360" w:lineRule="auto"/>
        <w:jc w:val="both"/>
      </w:pPr>
      <w:r w:rsidRPr="7440F159">
        <w:rPr>
          <w:rFonts w:eastAsia="Arial" w:cs="Arial"/>
        </w:rPr>
        <w:t xml:space="preserve">This research will mainly use primary data collected through semi-structured interviews with service users, care </w:t>
      </w:r>
      <w:r w:rsidR="6E7B6212" w:rsidRPr="7440F159">
        <w:rPr>
          <w:rFonts w:eastAsia="Arial" w:cs="Arial"/>
        </w:rPr>
        <w:t>workers,</w:t>
      </w:r>
      <w:r w:rsidRPr="7440F159">
        <w:rPr>
          <w:rFonts w:eastAsia="Arial" w:cs="Arial"/>
        </w:rPr>
        <w:t xml:space="preserve"> and health professionals. Interviews give people the chance to explain in their own words how money problems affect their daily lives, health, and access to care, giving more detail than numbers can. This method makes it possible to explore people’s personal experiences and understand the different ways the cost-of-living crisis impacts their wellbeing. Secondary data will also be used to support the findings from the interviews. Information from reliable sources like The King’s Fund and the Office for National Statistics will help compare what people say with national data, making the research stronger.</w:t>
      </w:r>
    </w:p>
    <w:p w14:paraId="32634278" w14:textId="10EF0D43" w:rsidR="7440F159" w:rsidRPr="00C911E1" w:rsidRDefault="4D0AAB9B" w:rsidP="00C911E1">
      <w:pPr>
        <w:spacing w:before="240" w:after="240" w:line="360" w:lineRule="auto"/>
        <w:jc w:val="both"/>
        <w:rPr>
          <w:rFonts w:eastAsia="Arial" w:cs="Arial"/>
        </w:rPr>
      </w:pPr>
      <w:r w:rsidRPr="7440F159">
        <w:rPr>
          <w:rFonts w:eastAsia="Arial" w:cs="Arial"/>
        </w:rPr>
        <w:t xml:space="preserve">Ethical considerations are central to this approach. Participants’ confidentiality, informed consent, and emotional wellbeing will be protected throughout the whole research process (Bryman, 2016; Silverman, 2020). It is important that participants feel safe, </w:t>
      </w:r>
      <w:r w:rsidR="03E44544" w:rsidRPr="7440F159">
        <w:rPr>
          <w:rFonts w:eastAsia="Arial" w:cs="Arial"/>
        </w:rPr>
        <w:t>respected,</w:t>
      </w:r>
      <w:r w:rsidRPr="7440F159">
        <w:rPr>
          <w:rFonts w:eastAsia="Arial" w:cs="Arial"/>
        </w:rPr>
        <w:t xml:space="preserve"> and able to speak freely during interviews. Also, speaking to different types of people will help build a clearer and more complete understanding of how the cost-of-living crisis affects them, which will make the results more </w:t>
      </w:r>
      <w:r w:rsidR="5A762EE9" w:rsidRPr="7440F159">
        <w:rPr>
          <w:rFonts w:eastAsia="Arial" w:cs="Arial"/>
        </w:rPr>
        <w:t xml:space="preserve">important and </w:t>
      </w:r>
      <w:r w:rsidRPr="7440F159">
        <w:rPr>
          <w:rFonts w:eastAsia="Arial" w:cs="Arial"/>
        </w:rPr>
        <w:t>trustworthy.</w:t>
      </w:r>
    </w:p>
    <w:p w14:paraId="3F0ECF94" w14:textId="77777777" w:rsidR="00C911E1" w:rsidRDefault="794DFDA9" w:rsidP="172CBD4D">
      <w:pPr>
        <w:spacing w:line="360" w:lineRule="auto"/>
        <w:jc w:val="both"/>
      </w:pPr>
      <w:r>
        <w:t xml:space="preserve">                                                                                                                                             </w:t>
      </w:r>
    </w:p>
    <w:p w14:paraId="0B444A87" w14:textId="77777777" w:rsidR="00C911E1" w:rsidRDefault="00C911E1" w:rsidP="172CBD4D">
      <w:pPr>
        <w:spacing w:line="360" w:lineRule="auto"/>
        <w:jc w:val="both"/>
      </w:pPr>
    </w:p>
    <w:p w14:paraId="7ED57C40" w14:textId="363E3356" w:rsidR="00C911E1" w:rsidRDefault="02677266" w:rsidP="172CBD4D">
      <w:pPr>
        <w:spacing w:line="360" w:lineRule="auto"/>
        <w:jc w:val="both"/>
      </w:pPr>
      <w:bookmarkStart w:id="5" w:name="_Toc214288124"/>
      <w:r w:rsidRPr="172CBD4D">
        <w:rPr>
          <w:rStyle w:val="Heading1Char"/>
          <w:rFonts w:ascii="Arial" w:eastAsia="Arial" w:hAnsi="Arial" w:cs="Arial"/>
          <w:color w:val="auto"/>
        </w:rPr>
        <w:lastRenderedPageBreak/>
        <w:t>Conclusion</w:t>
      </w:r>
      <w:bookmarkEnd w:id="5"/>
      <w:r>
        <w:t xml:space="preserve"> </w:t>
      </w:r>
      <w:r w:rsidR="01CC8D02">
        <w:t xml:space="preserve">                                                                                                                  </w:t>
      </w:r>
    </w:p>
    <w:p w14:paraId="6D549A1F" w14:textId="5F0C8DDF" w:rsidR="1A4B1719" w:rsidRPr="00C911E1" w:rsidRDefault="27F92AB0" w:rsidP="00C911E1">
      <w:pPr>
        <w:spacing w:line="360" w:lineRule="auto"/>
      </w:pPr>
      <w:r w:rsidRPr="172CBD4D">
        <w:rPr>
          <w:rFonts w:eastAsia="Arial" w:cs="Arial"/>
          <w:lang w:val="en-GB"/>
        </w:rPr>
        <w:t>This study has explored how the cost-of-living crisis affects service users within the UK’s health and social care system. Using a qualitative approach with interviews provided in-depth insights into personal experiences, while secondary data offered broader national context, ensuring findings are both personal and evidence based. The results highlight that rising living costs place significant strain on vulnerable individuals and increase pressures on care staff and organisations. Policymakers and care providers must prioritise targeted support for those most affected, fostering resilience within communities and the wider health and social care sector. Future research should continue to examine the experiences of service users and staff, ensuring that policies are informed by real-life evidence. By addressing the underlying causes of economic hardship, the UK can move towards a fairer, more resilient, and sustainable health and social care system that safeguards the wellbeing of its most vulnerable people.</w:t>
      </w:r>
    </w:p>
    <w:p w14:paraId="0DD226AA" w14:textId="70289EFD" w:rsidR="000C3233" w:rsidRPr="007F2111" w:rsidRDefault="2B89D0C3" w:rsidP="172CBD4D">
      <w:pPr>
        <w:pStyle w:val="Heading1"/>
        <w:spacing w:before="0" w:line="360" w:lineRule="auto"/>
        <w:jc w:val="both"/>
        <w:rPr>
          <w:rFonts w:ascii="Arial" w:eastAsia="Arial" w:hAnsi="Arial" w:cs="Arial"/>
          <w:color w:val="auto"/>
          <w:sz w:val="22"/>
          <w:szCs w:val="22"/>
        </w:rPr>
      </w:pPr>
      <w:bookmarkStart w:id="6" w:name="_Toc214288125"/>
      <w:r w:rsidRPr="172CBD4D">
        <w:rPr>
          <w:rFonts w:ascii="Arial" w:eastAsia="Arial" w:hAnsi="Arial" w:cs="Arial"/>
          <w:color w:val="auto"/>
        </w:rPr>
        <w:t>References</w:t>
      </w:r>
      <w:bookmarkEnd w:id="6"/>
      <w:r w:rsidR="58C5FBD2" w:rsidRPr="172CBD4D">
        <w:rPr>
          <w:rFonts w:ascii="Arial" w:eastAsia="Arial" w:hAnsi="Arial" w:cs="Arial"/>
          <w:color w:val="auto"/>
        </w:rPr>
        <w:t xml:space="preserve">                                                                                          </w:t>
      </w:r>
      <w:r w:rsidR="2074B3A2" w:rsidRPr="172CBD4D">
        <w:rPr>
          <w:rFonts w:ascii="Arial" w:eastAsia="Arial" w:hAnsi="Arial" w:cs="Arial"/>
          <w:color w:val="auto"/>
        </w:rPr>
        <w:t xml:space="preserve"> </w:t>
      </w:r>
    </w:p>
    <w:p w14:paraId="741DFB6D" w14:textId="420A88EB" w:rsidR="000C3233" w:rsidRPr="007F2111" w:rsidRDefault="434C0F1F" w:rsidP="2DAE4D1C">
      <w:pPr>
        <w:rPr>
          <w:rFonts w:eastAsia="Arial" w:cs="Arial"/>
        </w:rPr>
      </w:pPr>
      <w:r w:rsidRPr="20747840">
        <w:t>Bryman, A. (2016)</w:t>
      </w:r>
      <w:r w:rsidR="4927E503" w:rsidRPr="20747840">
        <w:t xml:space="preserve"> </w:t>
      </w:r>
      <w:r w:rsidRPr="20747840">
        <w:rPr>
          <w:i/>
          <w:iCs/>
        </w:rPr>
        <w:t>Social Research Methods</w:t>
      </w:r>
      <w:r w:rsidRPr="20747840">
        <w:t xml:space="preserve">. 5th ed. [online] Oxford: Oxford University Press. Available at: </w:t>
      </w:r>
      <w:hyperlink r:id="rId11">
        <w:r w:rsidRPr="20747840">
          <w:rPr>
            <w:rStyle w:val="Hyperlink"/>
          </w:rPr>
          <w:t>https://ktpu.kpi.ua/wp-content/uploads/2014/02/social-research-methods-alan-bryman.pdf</w:t>
        </w:r>
      </w:hyperlink>
      <w:r w:rsidRPr="20747840">
        <w:t>.</w:t>
      </w:r>
      <w:r w:rsidR="38C3A51F" w:rsidRPr="20747840">
        <w:t xml:space="preserve"> </w:t>
      </w:r>
      <w:r w:rsidR="38C3A51F" w:rsidRPr="20747840">
        <w:rPr>
          <w:rFonts w:eastAsia="Arial" w:cs="Arial"/>
        </w:rPr>
        <w:t>(Accessed: 25 October 2025).</w:t>
      </w:r>
    </w:p>
    <w:p w14:paraId="2409C31D" w14:textId="37BA705E" w:rsidR="000C3233" w:rsidRPr="007F2111" w:rsidRDefault="6483B2C6" w:rsidP="3A10AE16">
      <w:pPr>
        <w:rPr>
          <w:rFonts w:eastAsia="Arial" w:cs="Arial"/>
        </w:rPr>
      </w:pPr>
      <w:r w:rsidRPr="20747840">
        <w:rPr>
          <w:rFonts w:eastAsia="Arial" w:cs="Arial"/>
          <w:color w:val="000000" w:themeColor="text1"/>
        </w:rPr>
        <w:t xml:space="preserve">Creswell, J.W. and Creswell, J.D. (2018) </w:t>
      </w:r>
      <w:r w:rsidRPr="20747840">
        <w:rPr>
          <w:rFonts w:eastAsia="Arial" w:cs="Arial"/>
          <w:i/>
          <w:iCs/>
          <w:color w:val="000000" w:themeColor="text1"/>
        </w:rPr>
        <w:t>Research design: Qualitative, quantitative, and Mixed Methods Approaches</w:t>
      </w:r>
      <w:r w:rsidRPr="20747840">
        <w:rPr>
          <w:rFonts w:eastAsia="Arial" w:cs="Arial"/>
          <w:color w:val="000000" w:themeColor="text1"/>
        </w:rPr>
        <w:t>. 5th ed.</w:t>
      </w:r>
      <w:r w:rsidR="734DB20B" w:rsidRPr="20747840">
        <w:rPr>
          <w:rFonts w:eastAsia="Arial" w:cs="Arial"/>
          <w:color w:val="000000" w:themeColor="text1"/>
        </w:rPr>
        <w:t xml:space="preserve"> </w:t>
      </w:r>
      <w:r w:rsidRPr="20747840">
        <w:rPr>
          <w:rFonts w:eastAsia="Arial" w:cs="Arial"/>
          <w:color w:val="000000" w:themeColor="text1"/>
        </w:rPr>
        <w:t>SAGE Publications.</w:t>
      </w:r>
    </w:p>
    <w:p w14:paraId="3EE61480" w14:textId="3A85DD90" w:rsidR="7C14431F" w:rsidRDefault="136C7747" w:rsidP="26DDFBB0">
      <w:r w:rsidRPr="20747840">
        <w:rPr>
          <w:rFonts w:eastAsia="Arial" w:cs="Arial"/>
        </w:rPr>
        <w:t xml:space="preserve">Department of Health and Social Care (2023) </w:t>
      </w:r>
      <w:r w:rsidRPr="20747840">
        <w:rPr>
          <w:rFonts w:eastAsia="Arial" w:cs="Arial"/>
          <w:i/>
          <w:iCs/>
        </w:rPr>
        <w:t>Care workforce pathway for adult social care:</w:t>
      </w:r>
      <w:r w:rsidRPr="20747840">
        <w:rPr>
          <w:rFonts w:eastAsia="Arial" w:cs="Arial"/>
        </w:rPr>
        <w:t xml:space="preserve"> Available at: </w:t>
      </w:r>
      <w:hyperlink r:id="rId12">
        <w:r w:rsidRPr="20747840">
          <w:rPr>
            <w:rStyle w:val="Hyperlink"/>
            <w:rFonts w:eastAsia="Arial" w:cs="Arial"/>
          </w:rPr>
          <w:t>https://www.gov.uk/government/publications/care-workforce-pathway-for-adult-social-care/care-workforce-pathway-for-adult-social-care-overview</w:t>
        </w:r>
      </w:hyperlink>
      <w:r w:rsidRPr="20747840">
        <w:rPr>
          <w:rFonts w:eastAsia="Arial" w:cs="Arial"/>
        </w:rPr>
        <w:t xml:space="preserve"> (Accessed:</w:t>
      </w:r>
      <w:r w:rsidR="6E64C0DB" w:rsidRPr="20747840">
        <w:rPr>
          <w:rFonts w:eastAsia="Arial" w:cs="Arial"/>
        </w:rPr>
        <w:t xml:space="preserve"> 29 </w:t>
      </w:r>
      <w:r w:rsidR="6293B2B4" w:rsidRPr="20747840">
        <w:rPr>
          <w:rFonts w:eastAsia="Arial" w:cs="Arial"/>
        </w:rPr>
        <w:t>October 2025</w:t>
      </w:r>
      <w:r w:rsidRPr="20747840">
        <w:rPr>
          <w:rFonts w:eastAsia="Arial" w:cs="Arial"/>
        </w:rPr>
        <w:t>).</w:t>
      </w:r>
    </w:p>
    <w:p w14:paraId="41D051A5" w14:textId="5B7E09A1" w:rsidR="000C3233" w:rsidRPr="007F2111" w:rsidRDefault="6E06B62A" w:rsidP="3A10AE16">
      <w:pPr>
        <w:rPr>
          <w:rFonts w:eastAsia="Arial" w:cs="Arial"/>
        </w:rPr>
      </w:pPr>
      <w:r w:rsidRPr="20747840">
        <w:rPr>
          <w:rFonts w:eastAsia="Arial" w:cs="Arial"/>
        </w:rPr>
        <w:t>Health Foundation (202</w:t>
      </w:r>
      <w:r w:rsidR="47FE90E4" w:rsidRPr="20747840">
        <w:rPr>
          <w:rFonts w:eastAsia="Arial" w:cs="Arial"/>
        </w:rPr>
        <w:t>2</w:t>
      </w:r>
      <w:r w:rsidRPr="20747840">
        <w:rPr>
          <w:rFonts w:eastAsia="Arial" w:cs="Arial"/>
        </w:rPr>
        <w:t>)</w:t>
      </w:r>
      <w:r w:rsidR="2FD72FE5" w:rsidRPr="20747840">
        <w:rPr>
          <w:rFonts w:eastAsia="Arial" w:cs="Arial"/>
        </w:rPr>
        <w:t xml:space="preserve"> </w:t>
      </w:r>
      <w:r w:rsidRPr="20747840">
        <w:rPr>
          <w:rFonts w:eastAsia="Arial" w:cs="Arial"/>
          <w:i/>
          <w:iCs/>
        </w:rPr>
        <w:t xml:space="preserve">Health Inequalities and the Cost-of-Living </w:t>
      </w:r>
      <w:r w:rsidR="3CE902B1" w:rsidRPr="20747840">
        <w:rPr>
          <w:rFonts w:eastAsia="Arial" w:cs="Arial"/>
          <w:i/>
          <w:iCs/>
        </w:rPr>
        <w:t>Crisis. The</w:t>
      </w:r>
      <w:r w:rsidRPr="20747840">
        <w:rPr>
          <w:rFonts w:eastAsia="Arial" w:cs="Arial"/>
        </w:rPr>
        <w:t xml:space="preserve"> Health Foundation.</w:t>
      </w:r>
      <w:r w:rsidR="1327D76E" w:rsidRPr="20747840">
        <w:rPr>
          <w:rFonts w:eastAsia="Arial" w:cs="Arial"/>
        </w:rPr>
        <w:t xml:space="preserve"> </w:t>
      </w:r>
      <w:hyperlink r:id="rId13">
        <w:r w:rsidR="1327D76E" w:rsidRPr="20747840">
          <w:rPr>
            <w:rStyle w:val="Hyperlink"/>
            <w:rFonts w:eastAsia="Arial" w:cs="Arial"/>
          </w:rPr>
          <w:t>https://www.health.org.uk/features-and-opinion/blogs/the-cost-of-living-crisis-is-a-health-emergency-too</w:t>
        </w:r>
      </w:hyperlink>
      <w:r w:rsidR="26051995" w:rsidRPr="20747840">
        <w:rPr>
          <w:rFonts w:eastAsia="Arial" w:cs="Arial"/>
        </w:rPr>
        <w:t xml:space="preserve"> (Accessed: 27 October 2025).</w:t>
      </w:r>
    </w:p>
    <w:p w14:paraId="009013E6" w14:textId="35B82D59" w:rsidR="000C3233" w:rsidRPr="007F2111" w:rsidRDefault="7124846C" w:rsidP="3A10AE16">
      <w:pPr>
        <w:rPr>
          <w:rFonts w:eastAsia="Arial" w:cs="Arial"/>
        </w:rPr>
      </w:pPr>
      <w:r w:rsidRPr="20747840">
        <w:rPr>
          <w:rFonts w:eastAsia="Arial" w:cs="Arial"/>
        </w:rPr>
        <w:t>Institute for Public Policy Research (202</w:t>
      </w:r>
      <w:r w:rsidR="130D3F37" w:rsidRPr="20747840">
        <w:rPr>
          <w:rFonts w:eastAsia="Arial" w:cs="Arial"/>
        </w:rPr>
        <w:t>5</w:t>
      </w:r>
      <w:r w:rsidRPr="20747840">
        <w:rPr>
          <w:rFonts w:eastAsia="Arial" w:cs="Arial"/>
        </w:rPr>
        <w:t>)</w:t>
      </w:r>
      <w:r w:rsidR="6B166B98" w:rsidRPr="20747840">
        <w:rPr>
          <w:rFonts w:eastAsia="Arial" w:cs="Arial"/>
        </w:rPr>
        <w:t xml:space="preserve"> </w:t>
      </w:r>
      <w:r w:rsidRPr="20747840">
        <w:rPr>
          <w:rFonts w:eastAsia="Arial" w:cs="Arial"/>
          <w:i/>
          <w:iCs/>
        </w:rPr>
        <w:t>The Cost-of-Living Crisis: Health and Economic Impacts in the UK.</w:t>
      </w:r>
      <w:r w:rsidR="5682B27F" w:rsidRPr="20747840">
        <w:rPr>
          <w:rFonts w:eastAsia="Arial" w:cs="Arial"/>
          <w:i/>
          <w:iCs/>
        </w:rPr>
        <w:t xml:space="preserve"> </w:t>
      </w:r>
      <w:r w:rsidRPr="20747840">
        <w:rPr>
          <w:rFonts w:eastAsia="Arial" w:cs="Arial"/>
        </w:rPr>
        <w:t xml:space="preserve">IPPR. Available at: </w:t>
      </w:r>
      <w:hyperlink r:id="rId14">
        <w:r w:rsidRPr="20747840">
          <w:rPr>
            <w:rStyle w:val="Hyperlink"/>
            <w:rFonts w:eastAsia="Arial" w:cs="Arial"/>
          </w:rPr>
          <w:t>https://www.ippr.org</w:t>
        </w:r>
      </w:hyperlink>
      <w:r w:rsidRPr="20747840">
        <w:rPr>
          <w:rFonts w:eastAsia="Arial" w:cs="Arial"/>
        </w:rPr>
        <w:t xml:space="preserve"> (Accessed: 25 October 2025).</w:t>
      </w:r>
    </w:p>
    <w:p w14:paraId="6CB52F45" w14:textId="3636D664" w:rsidR="000C3233" w:rsidRPr="007F2111" w:rsidRDefault="5CD11357" w:rsidP="3A10AE16">
      <w:pPr>
        <w:spacing w:after="0"/>
        <w:rPr>
          <w:rFonts w:eastAsia="Arial" w:cs="Arial"/>
        </w:rPr>
      </w:pPr>
      <w:r w:rsidRPr="20747840">
        <w:rPr>
          <w:rFonts w:eastAsia="Arial" w:cs="Arial"/>
        </w:rPr>
        <w:t xml:space="preserve">Joseph Rowntree Foundation (2024) </w:t>
      </w:r>
      <w:r w:rsidRPr="20747840">
        <w:rPr>
          <w:rFonts w:eastAsia="Arial" w:cs="Arial"/>
          <w:i/>
          <w:iCs/>
        </w:rPr>
        <w:t>UK Poverty Report 2024.</w:t>
      </w:r>
      <w:r w:rsidRPr="20747840">
        <w:rPr>
          <w:rFonts w:eastAsia="Arial" w:cs="Arial"/>
        </w:rPr>
        <w:t xml:space="preserve"> York: Joseph Rowntree Foundation.</w:t>
      </w:r>
    </w:p>
    <w:p w14:paraId="3BE1D579" w14:textId="24198F70" w:rsidR="1A4B1719" w:rsidRDefault="1A4B1719" w:rsidP="1A4B1719">
      <w:pPr>
        <w:spacing w:after="0"/>
        <w:rPr>
          <w:rFonts w:eastAsia="Arial" w:cs="Arial"/>
        </w:rPr>
      </w:pPr>
    </w:p>
    <w:p w14:paraId="41BBBBBD" w14:textId="237CF183" w:rsidR="000C3233" w:rsidRPr="007F2111" w:rsidRDefault="1DB5D832" w:rsidP="3A10AE16">
      <w:pPr>
        <w:spacing w:after="0"/>
        <w:rPr>
          <w:rFonts w:eastAsia="Arial" w:cs="Arial"/>
        </w:rPr>
      </w:pPr>
      <w:r w:rsidRPr="20747840">
        <w:rPr>
          <w:rFonts w:eastAsia="Arial" w:cs="Arial"/>
        </w:rPr>
        <w:lastRenderedPageBreak/>
        <w:t>Marmot, M. (</w:t>
      </w:r>
      <w:r w:rsidR="672DCB9F" w:rsidRPr="20747840">
        <w:rPr>
          <w:rFonts w:eastAsia="Arial" w:cs="Arial"/>
        </w:rPr>
        <w:t>N D</w:t>
      </w:r>
      <w:r w:rsidRPr="20747840">
        <w:rPr>
          <w:rFonts w:eastAsia="Arial" w:cs="Arial"/>
        </w:rPr>
        <w:t>)</w:t>
      </w:r>
      <w:r w:rsidR="76B60374" w:rsidRPr="20747840">
        <w:rPr>
          <w:rFonts w:eastAsia="Arial" w:cs="Arial"/>
        </w:rPr>
        <w:t xml:space="preserve"> </w:t>
      </w:r>
      <w:r w:rsidR="4C9165B8" w:rsidRPr="20747840">
        <w:rPr>
          <w:rFonts w:eastAsia="Arial" w:cs="Arial"/>
          <w:i/>
          <w:iCs/>
        </w:rPr>
        <w:t>Health</w:t>
      </w:r>
      <w:r w:rsidRPr="20747840">
        <w:rPr>
          <w:rFonts w:eastAsia="Arial" w:cs="Arial"/>
          <w:i/>
          <w:iCs/>
        </w:rPr>
        <w:t xml:space="preserve"> Equity in England: The Marmot Review 10 Years On.</w:t>
      </w:r>
      <w:r w:rsidR="5BEEB4C5" w:rsidRPr="20747840">
        <w:rPr>
          <w:rFonts w:eastAsia="Arial" w:cs="Arial"/>
          <w:i/>
          <w:iCs/>
        </w:rPr>
        <w:t xml:space="preserve"> </w:t>
      </w:r>
      <w:r w:rsidRPr="20747840">
        <w:rPr>
          <w:rFonts w:eastAsia="Arial" w:cs="Arial"/>
        </w:rPr>
        <w:t>Institute of Health Equity.</w:t>
      </w:r>
      <w:r w:rsidR="30B7DD8E" w:rsidRPr="20747840">
        <w:rPr>
          <w:rFonts w:eastAsia="Arial" w:cs="Arial"/>
        </w:rPr>
        <w:t xml:space="preserve"> </w:t>
      </w:r>
      <w:hyperlink r:id="rId15">
        <w:r w:rsidR="30B7DD8E" w:rsidRPr="20747840">
          <w:rPr>
            <w:rStyle w:val="Hyperlink"/>
            <w:rFonts w:eastAsia="Arial" w:cs="Arial"/>
          </w:rPr>
          <w:t>https://www.instituteofhealthequity.org/the-marmot-review-10-years-on</w:t>
        </w:r>
      </w:hyperlink>
      <w:r w:rsidR="3318064D" w:rsidRPr="20747840">
        <w:rPr>
          <w:rFonts w:eastAsia="Arial" w:cs="Arial"/>
        </w:rPr>
        <w:t xml:space="preserve"> (Accessed: 30 October 2025)</w:t>
      </w:r>
    </w:p>
    <w:p w14:paraId="16854B9F" w14:textId="7DFE4D23" w:rsidR="6483B2C6" w:rsidRDefault="6483B2C6" w:rsidP="20747840">
      <w:pPr>
        <w:spacing w:before="240" w:after="240"/>
        <w:rPr>
          <w:rFonts w:eastAsia="Arial" w:cs="Arial"/>
        </w:rPr>
      </w:pPr>
      <w:r w:rsidRPr="20747840">
        <w:rPr>
          <w:rFonts w:eastAsia="Arial" w:cs="Arial"/>
          <w:color w:val="000000" w:themeColor="text1"/>
        </w:rPr>
        <w:t>‌</w:t>
      </w:r>
      <w:r w:rsidR="56077B6D" w:rsidRPr="20747840">
        <w:rPr>
          <w:rFonts w:eastAsia="Arial" w:cs="Arial"/>
        </w:rPr>
        <w:t>NHS Confederation (</w:t>
      </w:r>
      <w:r w:rsidR="0690DA97" w:rsidRPr="20747840">
        <w:rPr>
          <w:rFonts w:eastAsia="Arial" w:cs="Arial"/>
        </w:rPr>
        <w:t>N D</w:t>
      </w:r>
      <w:r w:rsidR="56077B6D" w:rsidRPr="20747840">
        <w:rPr>
          <w:rFonts w:eastAsia="Arial" w:cs="Arial"/>
        </w:rPr>
        <w:t xml:space="preserve">) </w:t>
      </w:r>
      <w:r w:rsidR="56077B6D" w:rsidRPr="20747840">
        <w:rPr>
          <w:rFonts w:eastAsia="Arial" w:cs="Arial"/>
          <w:i/>
          <w:iCs/>
        </w:rPr>
        <w:t>The cost-of-living crisis and NHS pressures</w:t>
      </w:r>
      <w:r w:rsidR="56077B6D" w:rsidRPr="20747840">
        <w:rPr>
          <w:rFonts w:eastAsia="Arial" w:cs="Arial"/>
        </w:rPr>
        <w:t xml:space="preserve">. NHS Confederation. Available at: </w:t>
      </w:r>
      <w:hyperlink r:id="rId16">
        <w:r w:rsidR="56077B6D" w:rsidRPr="20747840">
          <w:rPr>
            <w:rStyle w:val="Hyperlink"/>
            <w:rFonts w:eastAsia="Arial" w:cs="Arial"/>
          </w:rPr>
          <w:t>https://www.nhsconfed.org/topic/cost-living</w:t>
        </w:r>
      </w:hyperlink>
      <w:r w:rsidR="56077B6D" w:rsidRPr="20747840">
        <w:rPr>
          <w:rFonts w:eastAsia="Arial" w:cs="Arial"/>
        </w:rPr>
        <w:t xml:space="preserve"> (Accessed: 02 November 2025).</w:t>
      </w:r>
    </w:p>
    <w:p w14:paraId="78DDEF25" w14:textId="2F1B6BEE" w:rsidR="22A80F40" w:rsidRDefault="64046A9A" w:rsidP="20747840">
      <w:pPr>
        <w:spacing w:before="240" w:after="240"/>
        <w:rPr>
          <w:rFonts w:eastAsia="Arial" w:cs="Arial"/>
        </w:rPr>
      </w:pPr>
      <w:r w:rsidRPr="20747840">
        <w:rPr>
          <w:rFonts w:eastAsia="Arial" w:cs="Arial"/>
        </w:rPr>
        <w:t xml:space="preserve">Office for National Statistics (2024) </w:t>
      </w:r>
      <w:r w:rsidRPr="20747840">
        <w:rPr>
          <w:rFonts w:eastAsia="Arial" w:cs="Arial"/>
          <w:i/>
          <w:iCs/>
        </w:rPr>
        <w:t>Inflation and the cost of living in the UK: 2024 overview</w:t>
      </w:r>
      <w:r w:rsidRPr="20747840">
        <w:rPr>
          <w:rFonts w:eastAsia="Arial" w:cs="Arial"/>
        </w:rPr>
        <w:t xml:space="preserve">. Office for National Statistics. Available at:  </w:t>
      </w:r>
      <w:hyperlink r:id="rId17">
        <w:r w:rsidRPr="20747840">
          <w:rPr>
            <w:rStyle w:val="Hyperlink"/>
            <w:rFonts w:eastAsia="Arial" w:cs="Arial"/>
          </w:rPr>
          <w:t>https://www.ons.gov.uk/economy/inflationandpriceindices/articles/costofliving/latestinsights</w:t>
        </w:r>
      </w:hyperlink>
      <w:r w:rsidRPr="20747840">
        <w:rPr>
          <w:rFonts w:eastAsia="Arial" w:cs="Arial"/>
        </w:rPr>
        <w:t xml:space="preserve"> (Accessed: 29 October 2025).</w:t>
      </w:r>
    </w:p>
    <w:p w14:paraId="212DCBDF" w14:textId="1E9BB1E5" w:rsidR="22A80F40" w:rsidRDefault="4D1E4E73" w:rsidP="20747840">
      <w:pPr>
        <w:spacing w:before="240" w:after="240"/>
        <w:rPr>
          <w:rFonts w:eastAsia="Arial" w:cs="Arial"/>
        </w:rPr>
      </w:pPr>
      <w:r w:rsidRPr="20747840">
        <w:rPr>
          <w:rFonts w:eastAsia="Arial" w:cs="Arial"/>
        </w:rPr>
        <w:t xml:space="preserve">Silverman, D. (2020) </w:t>
      </w:r>
      <w:r w:rsidRPr="20747840">
        <w:rPr>
          <w:rFonts w:eastAsia="Arial" w:cs="Arial"/>
          <w:i/>
          <w:iCs/>
        </w:rPr>
        <w:t>Doing qualitative research</w:t>
      </w:r>
      <w:r w:rsidRPr="20747840">
        <w:rPr>
          <w:rFonts w:eastAsia="Arial" w:cs="Arial"/>
        </w:rPr>
        <w:t>. 5th ed.</w:t>
      </w:r>
      <w:r w:rsidR="612D85E7" w:rsidRPr="20747840">
        <w:rPr>
          <w:rFonts w:eastAsia="Arial" w:cs="Arial"/>
        </w:rPr>
        <w:t xml:space="preserve"> </w:t>
      </w:r>
      <w:r w:rsidRPr="20747840">
        <w:rPr>
          <w:rFonts w:eastAsia="Arial" w:cs="Arial"/>
        </w:rPr>
        <w:t xml:space="preserve">Sage. Available at: </w:t>
      </w:r>
      <w:hyperlink r:id="rId18">
        <w:r w:rsidRPr="20747840">
          <w:rPr>
            <w:rStyle w:val="Hyperlink"/>
            <w:rFonts w:eastAsia="Arial" w:cs="Arial"/>
          </w:rPr>
          <w:t>https://books.google.co.uk/books?id=7RwJEAAAQBAJ</w:t>
        </w:r>
      </w:hyperlink>
      <w:r w:rsidRPr="20747840">
        <w:rPr>
          <w:rFonts w:eastAsia="Arial" w:cs="Arial"/>
        </w:rPr>
        <w:t xml:space="preserve"> (Accessed 27 October 2025)</w:t>
      </w:r>
      <w:r w:rsidR="34328C35" w:rsidRPr="20747840">
        <w:rPr>
          <w:rFonts w:eastAsia="Arial" w:cs="Arial"/>
        </w:rPr>
        <w:t>.</w:t>
      </w:r>
    </w:p>
    <w:p w14:paraId="049F2F44" w14:textId="2BC214B7" w:rsidR="22A80F40" w:rsidRDefault="7C016F2F" w:rsidP="3A10AE16">
      <w:pPr>
        <w:spacing w:before="240" w:after="240"/>
        <w:rPr>
          <w:rFonts w:eastAsia="Arial" w:cs="Arial"/>
        </w:rPr>
      </w:pPr>
      <w:r w:rsidRPr="20747840">
        <w:rPr>
          <w:rFonts w:eastAsia="Arial" w:cs="Arial"/>
        </w:rPr>
        <w:t>Unison</w:t>
      </w:r>
      <w:r w:rsidR="09CF796D" w:rsidRPr="20747840">
        <w:rPr>
          <w:rFonts w:eastAsia="Arial" w:cs="Arial"/>
        </w:rPr>
        <w:t xml:space="preserve"> </w:t>
      </w:r>
      <w:r w:rsidRPr="20747840">
        <w:rPr>
          <w:rFonts w:eastAsia="Arial" w:cs="Arial"/>
        </w:rPr>
        <w:t>(</w:t>
      </w:r>
      <w:r w:rsidR="0C4CC632" w:rsidRPr="20747840">
        <w:rPr>
          <w:rFonts w:eastAsia="Arial" w:cs="Arial"/>
        </w:rPr>
        <w:t>N D</w:t>
      </w:r>
      <w:r w:rsidRPr="20747840">
        <w:rPr>
          <w:rFonts w:eastAsia="Arial" w:cs="Arial"/>
        </w:rPr>
        <w:t xml:space="preserve">) </w:t>
      </w:r>
      <w:r w:rsidRPr="20747840">
        <w:rPr>
          <w:rFonts w:eastAsia="Arial" w:cs="Arial"/>
          <w:i/>
          <w:iCs/>
        </w:rPr>
        <w:t xml:space="preserve">The Cost-of-Living Crisis: Impact on Care Workers. </w:t>
      </w:r>
      <w:r w:rsidRPr="20747840">
        <w:rPr>
          <w:rFonts w:eastAsia="Arial" w:cs="Arial"/>
        </w:rPr>
        <w:t xml:space="preserve">Unison. Available at: </w:t>
      </w:r>
      <w:hyperlink r:id="rId19">
        <w:r w:rsidRPr="20747840">
          <w:rPr>
            <w:rStyle w:val="Hyperlink"/>
            <w:rFonts w:eastAsia="Arial" w:cs="Arial"/>
          </w:rPr>
          <w:t>https://www.unison.org.uk</w:t>
        </w:r>
      </w:hyperlink>
      <w:r w:rsidRPr="20747840">
        <w:rPr>
          <w:rFonts w:eastAsia="Arial" w:cs="Arial"/>
        </w:rPr>
        <w:t xml:space="preserve"> (Accessed: 27 October 2025).</w:t>
      </w:r>
    </w:p>
    <w:p w14:paraId="430AD5A1" w14:textId="60B3B571" w:rsidR="3A10AE16" w:rsidRDefault="3A10AE16" w:rsidP="3A10AE16">
      <w:pPr>
        <w:spacing w:before="240" w:after="240"/>
        <w:rPr>
          <w:rFonts w:eastAsia="Arial" w:cs="Arial"/>
        </w:rPr>
      </w:pPr>
    </w:p>
    <w:p w14:paraId="660D106D" w14:textId="29EF7C20" w:rsidR="000C3233" w:rsidRPr="007F2111" w:rsidRDefault="000C3233" w:rsidP="3A10AE16">
      <w:pPr>
        <w:spacing w:before="240" w:after="240"/>
        <w:rPr>
          <w:rFonts w:eastAsia="Arial" w:cs="Arial"/>
          <w:color w:val="000000" w:themeColor="text1"/>
        </w:rPr>
      </w:pPr>
    </w:p>
    <w:sectPr w:rsidR="000C3233" w:rsidRPr="007F2111" w:rsidSect="00034616">
      <w:headerReference w:type="default" r:id="rId20"/>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4A95D" w14:textId="77777777" w:rsidR="00E926C3" w:rsidRDefault="00E926C3">
      <w:pPr>
        <w:spacing w:after="0" w:line="240" w:lineRule="auto"/>
      </w:pPr>
      <w:r>
        <w:separator/>
      </w:r>
    </w:p>
  </w:endnote>
  <w:endnote w:type="continuationSeparator" w:id="0">
    <w:p w14:paraId="6690FAD5" w14:textId="77777777" w:rsidR="00E926C3" w:rsidRDefault="00E92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5371F7C5" w14:paraId="7238C2BB" w14:textId="77777777" w:rsidTr="5371F7C5">
      <w:trPr>
        <w:trHeight w:val="300"/>
      </w:trPr>
      <w:tc>
        <w:tcPr>
          <w:tcW w:w="2880" w:type="dxa"/>
        </w:tcPr>
        <w:p w14:paraId="453A2432" w14:textId="24140B26" w:rsidR="5371F7C5" w:rsidRDefault="5371F7C5" w:rsidP="5371F7C5">
          <w:pPr>
            <w:pStyle w:val="Header"/>
            <w:ind w:left="-115"/>
          </w:pPr>
        </w:p>
      </w:tc>
      <w:tc>
        <w:tcPr>
          <w:tcW w:w="2880" w:type="dxa"/>
        </w:tcPr>
        <w:p w14:paraId="3BEDEE11" w14:textId="65018EAE" w:rsidR="5371F7C5" w:rsidRDefault="5371F7C5" w:rsidP="5371F7C5">
          <w:pPr>
            <w:pStyle w:val="Header"/>
            <w:jc w:val="center"/>
          </w:pPr>
          <w:r>
            <w:fldChar w:fldCharType="begin"/>
          </w:r>
          <w:r>
            <w:instrText>PAGE</w:instrText>
          </w:r>
          <w:r>
            <w:fldChar w:fldCharType="separate"/>
          </w:r>
          <w:r w:rsidR="002F44F3">
            <w:rPr>
              <w:noProof/>
            </w:rPr>
            <w:t>1</w:t>
          </w:r>
          <w:r>
            <w:fldChar w:fldCharType="end"/>
          </w:r>
        </w:p>
      </w:tc>
      <w:tc>
        <w:tcPr>
          <w:tcW w:w="2880" w:type="dxa"/>
        </w:tcPr>
        <w:p w14:paraId="0C53C0DB" w14:textId="116E5A09" w:rsidR="5371F7C5" w:rsidRDefault="5371F7C5" w:rsidP="5371F7C5">
          <w:pPr>
            <w:pStyle w:val="Header"/>
            <w:ind w:right="-115"/>
            <w:jc w:val="right"/>
          </w:pPr>
        </w:p>
      </w:tc>
    </w:tr>
  </w:tbl>
  <w:p w14:paraId="19D1D9BE" w14:textId="1C1982A8" w:rsidR="5371F7C5" w:rsidRDefault="5371F7C5" w:rsidP="5371F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D7EDB" w14:textId="77777777" w:rsidR="00E926C3" w:rsidRDefault="00E926C3">
      <w:pPr>
        <w:spacing w:after="0" w:line="240" w:lineRule="auto"/>
      </w:pPr>
      <w:r>
        <w:separator/>
      </w:r>
    </w:p>
  </w:footnote>
  <w:footnote w:type="continuationSeparator" w:id="0">
    <w:p w14:paraId="186CC536" w14:textId="77777777" w:rsidR="00E926C3" w:rsidRDefault="00E92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5371F7C5" w14:paraId="41A79CF6" w14:textId="77777777" w:rsidTr="5371F7C5">
      <w:trPr>
        <w:trHeight w:val="300"/>
      </w:trPr>
      <w:tc>
        <w:tcPr>
          <w:tcW w:w="2880" w:type="dxa"/>
        </w:tcPr>
        <w:p w14:paraId="54345BEF" w14:textId="716853CA" w:rsidR="5371F7C5" w:rsidRDefault="5371F7C5" w:rsidP="5371F7C5">
          <w:pPr>
            <w:pStyle w:val="Header"/>
            <w:ind w:left="-115"/>
          </w:pPr>
        </w:p>
      </w:tc>
      <w:tc>
        <w:tcPr>
          <w:tcW w:w="2880" w:type="dxa"/>
        </w:tcPr>
        <w:p w14:paraId="566204BD" w14:textId="69EA90F3" w:rsidR="5371F7C5" w:rsidRDefault="5371F7C5" w:rsidP="5371F7C5">
          <w:pPr>
            <w:pStyle w:val="Header"/>
            <w:jc w:val="center"/>
          </w:pPr>
        </w:p>
      </w:tc>
      <w:tc>
        <w:tcPr>
          <w:tcW w:w="2880" w:type="dxa"/>
        </w:tcPr>
        <w:p w14:paraId="64320974" w14:textId="2CAA75FA" w:rsidR="5371F7C5" w:rsidRDefault="5371F7C5" w:rsidP="5371F7C5">
          <w:pPr>
            <w:pStyle w:val="Header"/>
            <w:ind w:right="-115"/>
            <w:jc w:val="right"/>
          </w:pPr>
        </w:p>
      </w:tc>
    </w:tr>
  </w:tbl>
  <w:p w14:paraId="316D2D4B" w14:textId="01808911" w:rsidR="5371F7C5" w:rsidRDefault="5371F7C5" w:rsidP="5371F7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015639"/>
    <w:multiLevelType w:val="hybridMultilevel"/>
    <w:tmpl w:val="2E5E5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7B43278"/>
    <w:multiLevelType w:val="hybridMultilevel"/>
    <w:tmpl w:val="698E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103CE"/>
    <w:multiLevelType w:val="hybridMultilevel"/>
    <w:tmpl w:val="156672B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2" w15:restartNumberingAfterBreak="0">
    <w:nsid w:val="52360023"/>
    <w:multiLevelType w:val="hybridMultilevel"/>
    <w:tmpl w:val="22CC5018"/>
    <w:lvl w:ilvl="0" w:tplc="3A202728">
      <w:start w:val="1"/>
      <w:numFmt w:val="bullet"/>
      <w:lvlText w:val=""/>
      <w:lvlJc w:val="left"/>
      <w:pPr>
        <w:ind w:left="720" w:hanging="360"/>
      </w:pPr>
      <w:rPr>
        <w:rFonts w:ascii="Symbol" w:hAnsi="Symbol" w:hint="default"/>
      </w:rPr>
    </w:lvl>
    <w:lvl w:ilvl="1" w:tplc="8D28D078">
      <w:start w:val="1"/>
      <w:numFmt w:val="bullet"/>
      <w:lvlText w:val="o"/>
      <w:lvlJc w:val="left"/>
      <w:pPr>
        <w:ind w:left="1440" w:hanging="360"/>
      </w:pPr>
      <w:rPr>
        <w:rFonts w:ascii="Courier New" w:hAnsi="Courier New" w:hint="default"/>
      </w:rPr>
    </w:lvl>
    <w:lvl w:ilvl="2" w:tplc="05F4BEE8">
      <w:start w:val="1"/>
      <w:numFmt w:val="bullet"/>
      <w:lvlText w:val=""/>
      <w:lvlJc w:val="left"/>
      <w:pPr>
        <w:ind w:left="2160" w:hanging="360"/>
      </w:pPr>
      <w:rPr>
        <w:rFonts w:ascii="Wingdings" w:hAnsi="Wingdings" w:hint="default"/>
      </w:rPr>
    </w:lvl>
    <w:lvl w:ilvl="3" w:tplc="66DA20A4">
      <w:start w:val="1"/>
      <w:numFmt w:val="bullet"/>
      <w:lvlText w:val=""/>
      <w:lvlJc w:val="left"/>
      <w:pPr>
        <w:ind w:left="2880" w:hanging="360"/>
      </w:pPr>
      <w:rPr>
        <w:rFonts w:ascii="Symbol" w:hAnsi="Symbol" w:hint="default"/>
      </w:rPr>
    </w:lvl>
    <w:lvl w:ilvl="4" w:tplc="A80E9FEE">
      <w:start w:val="1"/>
      <w:numFmt w:val="bullet"/>
      <w:lvlText w:val="o"/>
      <w:lvlJc w:val="left"/>
      <w:pPr>
        <w:ind w:left="3600" w:hanging="360"/>
      </w:pPr>
      <w:rPr>
        <w:rFonts w:ascii="Courier New" w:hAnsi="Courier New" w:hint="default"/>
      </w:rPr>
    </w:lvl>
    <w:lvl w:ilvl="5" w:tplc="E70E9854">
      <w:start w:val="1"/>
      <w:numFmt w:val="bullet"/>
      <w:lvlText w:val=""/>
      <w:lvlJc w:val="left"/>
      <w:pPr>
        <w:ind w:left="4320" w:hanging="360"/>
      </w:pPr>
      <w:rPr>
        <w:rFonts w:ascii="Wingdings" w:hAnsi="Wingdings" w:hint="default"/>
      </w:rPr>
    </w:lvl>
    <w:lvl w:ilvl="6" w:tplc="344CC476">
      <w:start w:val="1"/>
      <w:numFmt w:val="bullet"/>
      <w:lvlText w:val=""/>
      <w:lvlJc w:val="left"/>
      <w:pPr>
        <w:ind w:left="5040" w:hanging="360"/>
      </w:pPr>
      <w:rPr>
        <w:rFonts w:ascii="Symbol" w:hAnsi="Symbol" w:hint="default"/>
      </w:rPr>
    </w:lvl>
    <w:lvl w:ilvl="7" w:tplc="542EDB96">
      <w:start w:val="1"/>
      <w:numFmt w:val="bullet"/>
      <w:lvlText w:val="o"/>
      <w:lvlJc w:val="left"/>
      <w:pPr>
        <w:ind w:left="5760" w:hanging="360"/>
      </w:pPr>
      <w:rPr>
        <w:rFonts w:ascii="Courier New" w:hAnsi="Courier New" w:hint="default"/>
      </w:rPr>
    </w:lvl>
    <w:lvl w:ilvl="8" w:tplc="99E68AAC">
      <w:start w:val="1"/>
      <w:numFmt w:val="bullet"/>
      <w:lvlText w:val=""/>
      <w:lvlJc w:val="left"/>
      <w:pPr>
        <w:ind w:left="6480" w:hanging="360"/>
      </w:pPr>
      <w:rPr>
        <w:rFonts w:ascii="Wingdings" w:hAnsi="Wingdings" w:hint="default"/>
      </w:rPr>
    </w:lvl>
  </w:abstractNum>
  <w:abstractNum w:abstractNumId="13" w15:restartNumberingAfterBreak="0">
    <w:nsid w:val="60C52006"/>
    <w:multiLevelType w:val="hybridMultilevel"/>
    <w:tmpl w:val="8CD41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983067">
    <w:abstractNumId w:val="12"/>
  </w:num>
  <w:num w:numId="2" w16cid:durableId="1437748442">
    <w:abstractNumId w:val="8"/>
  </w:num>
  <w:num w:numId="3" w16cid:durableId="1527597317">
    <w:abstractNumId w:val="6"/>
  </w:num>
  <w:num w:numId="4" w16cid:durableId="249849723">
    <w:abstractNumId w:val="5"/>
  </w:num>
  <w:num w:numId="5" w16cid:durableId="146946340">
    <w:abstractNumId w:val="4"/>
  </w:num>
  <w:num w:numId="6" w16cid:durableId="570048326">
    <w:abstractNumId w:val="7"/>
  </w:num>
  <w:num w:numId="7" w16cid:durableId="1479613898">
    <w:abstractNumId w:val="3"/>
  </w:num>
  <w:num w:numId="8" w16cid:durableId="1418745993">
    <w:abstractNumId w:val="2"/>
  </w:num>
  <w:num w:numId="9" w16cid:durableId="1214197217">
    <w:abstractNumId w:val="1"/>
  </w:num>
  <w:num w:numId="10" w16cid:durableId="224027117">
    <w:abstractNumId w:val="0"/>
  </w:num>
  <w:num w:numId="11" w16cid:durableId="411436332">
    <w:abstractNumId w:val="10"/>
  </w:num>
  <w:num w:numId="12" w16cid:durableId="644118499">
    <w:abstractNumId w:val="9"/>
  </w:num>
  <w:num w:numId="13" w16cid:durableId="1262687697">
    <w:abstractNumId w:val="11"/>
  </w:num>
  <w:num w:numId="14" w16cid:durableId="115757577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9434"/>
    <w:rsid w:val="000B4412"/>
    <w:rsid w:val="000B707E"/>
    <w:rsid w:val="000C3233"/>
    <w:rsid w:val="000E121D"/>
    <w:rsid w:val="000F257C"/>
    <w:rsid w:val="0012705A"/>
    <w:rsid w:val="00136936"/>
    <w:rsid w:val="0015074B"/>
    <w:rsid w:val="0029639D"/>
    <w:rsid w:val="002C19C0"/>
    <w:rsid w:val="002E432B"/>
    <w:rsid w:val="002F44F3"/>
    <w:rsid w:val="003142B5"/>
    <w:rsid w:val="00326F90"/>
    <w:rsid w:val="0034A0C5"/>
    <w:rsid w:val="003D1EB1"/>
    <w:rsid w:val="004C4BF4"/>
    <w:rsid w:val="005229CF"/>
    <w:rsid w:val="005C0B89"/>
    <w:rsid w:val="00714582"/>
    <w:rsid w:val="00787FFC"/>
    <w:rsid w:val="0079453B"/>
    <w:rsid w:val="007B01BE"/>
    <w:rsid w:val="007E2D80"/>
    <w:rsid w:val="007F2111"/>
    <w:rsid w:val="00825240"/>
    <w:rsid w:val="0085557B"/>
    <w:rsid w:val="008E310D"/>
    <w:rsid w:val="00911BE6"/>
    <w:rsid w:val="00965639"/>
    <w:rsid w:val="009C2AD3"/>
    <w:rsid w:val="00AA1D8D"/>
    <w:rsid w:val="00ACD2BB"/>
    <w:rsid w:val="00B25E7D"/>
    <w:rsid w:val="00B47730"/>
    <w:rsid w:val="00BF20D2"/>
    <w:rsid w:val="00C21B30"/>
    <w:rsid w:val="00C44B55"/>
    <w:rsid w:val="00C911E1"/>
    <w:rsid w:val="00CB0664"/>
    <w:rsid w:val="00D27015"/>
    <w:rsid w:val="00E926C3"/>
    <w:rsid w:val="00EB308A"/>
    <w:rsid w:val="00EC5C22"/>
    <w:rsid w:val="00ED788B"/>
    <w:rsid w:val="00F14292"/>
    <w:rsid w:val="00FC693F"/>
    <w:rsid w:val="00FF5E26"/>
    <w:rsid w:val="0154FF06"/>
    <w:rsid w:val="01637C6B"/>
    <w:rsid w:val="0184C080"/>
    <w:rsid w:val="01914B67"/>
    <w:rsid w:val="01CC8D02"/>
    <w:rsid w:val="02677266"/>
    <w:rsid w:val="02F6251D"/>
    <w:rsid w:val="0348E759"/>
    <w:rsid w:val="03E44544"/>
    <w:rsid w:val="03FE2C60"/>
    <w:rsid w:val="044945D4"/>
    <w:rsid w:val="045D915E"/>
    <w:rsid w:val="045DF4AD"/>
    <w:rsid w:val="04754080"/>
    <w:rsid w:val="05C8C19C"/>
    <w:rsid w:val="0614E897"/>
    <w:rsid w:val="0652D2C3"/>
    <w:rsid w:val="0690DA97"/>
    <w:rsid w:val="06A4D3AC"/>
    <w:rsid w:val="06D23E0E"/>
    <w:rsid w:val="0761BD84"/>
    <w:rsid w:val="0785A2A8"/>
    <w:rsid w:val="07C5B98C"/>
    <w:rsid w:val="081717E6"/>
    <w:rsid w:val="08224BF7"/>
    <w:rsid w:val="0833A230"/>
    <w:rsid w:val="083F905E"/>
    <w:rsid w:val="084157DA"/>
    <w:rsid w:val="0847BA72"/>
    <w:rsid w:val="0867DA30"/>
    <w:rsid w:val="08E508AC"/>
    <w:rsid w:val="0914BE91"/>
    <w:rsid w:val="099CCBA4"/>
    <w:rsid w:val="09CF796D"/>
    <w:rsid w:val="09FE65B6"/>
    <w:rsid w:val="0A0511EC"/>
    <w:rsid w:val="0A264EFD"/>
    <w:rsid w:val="0A40B79D"/>
    <w:rsid w:val="0A4A24C2"/>
    <w:rsid w:val="0A63C397"/>
    <w:rsid w:val="0A678FB7"/>
    <w:rsid w:val="0AB8C3DD"/>
    <w:rsid w:val="0B2502FA"/>
    <w:rsid w:val="0B7BAAA1"/>
    <w:rsid w:val="0BDD4E33"/>
    <w:rsid w:val="0C0951CC"/>
    <w:rsid w:val="0C4CC632"/>
    <w:rsid w:val="0C54D8C0"/>
    <w:rsid w:val="0CDB9962"/>
    <w:rsid w:val="0CEA3A85"/>
    <w:rsid w:val="0D1834E3"/>
    <w:rsid w:val="0D628AEC"/>
    <w:rsid w:val="0D9173C2"/>
    <w:rsid w:val="0E26BEA5"/>
    <w:rsid w:val="0E2C1E55"/>
    <w:rsid w:val="0E5F3BB2"/>
    <w:rsid w:val="0E7D6B30"/>
    <w:rsid w:val="0E865584"/>
    <w:rsid w:val="0F06A217"/>
    <w:rsid w:val="0F4CB990"/>
    <w:rsid w:val="0FB1D6B1"/>
    <w:rsid w:val="0FFE235E"/>
    <w:rsid w:val="1064EC16"/>
    <w:rsid w:val="10AB983E"/>
    <w:rsid w:val="10E02CEE"/>
    <w:rsid w:val="1155DF6E"/>
    <w:rsid w:val="119D0F5C"/>
    <w:rsid w:val="1255BF06"/>
    <w:rsid w:val="127C3EDE"/>
    <w:rsid w:val="1300A3A6"/>
    <w:rsid w:val="130D3F37"/>
    <w:rsid w:val="1310914F"/>
    <w:rsid w:val="1327D76E"/>
    <w:rsid w:val="136C7747"/>
    <w:rsid w:val="1396F210"/>
    <w:rsid w:val="13F226B0"/>
    <w:rsid w:val="14308D6D"/>
    <w:rsid w:val="1469561C"/>
    <w:rsid w:val="146C43F5"/>
    <w:rsid w:val="1486B92E"/>
    <w:rsid w:val="148C597F"/>
    <w:rsid w:val="148EA2FC"/>
    <w:rsid w:val="15239FA1"/>
    <w:rsid w:val="15328C6A"/>
    <w:rsid w:val="16352DEC"/>
    <w:rsid w:val="16473893"/>
    <w:rsid w:val="1654EEEE"/>
    <w:rsid w:val="1686181E"/>
    <w:rsid w:val="172CBD4D"/>
    <w:rsid w:val="17409206"/>
    <w:rsid w:val="176B8604"/>
    <w:rsid w:val="177706A4"/>
    <w:rsid w:val="177B0997"/>
    <w:rsid w:val="177F03FD"/>
    <w:rsid w:val="178C99E5"/>
    <w:rsid w:val="17BB2CAE"/>
    <w:rsid w:val="17C27240"/>
    <w:rsid w:val="17C57171"/>
    <w:rsid w:val="181928A4"/>
    <w:rsid w:val="18895CC1"/>
    <w:rsid w:val="1904F758"/>
    <w:rsid w:val="193D1333"/>
    <w:rsid w:val="194BED25"/>
    <w:rsid w:val="19B4881B"/>
    <w:rsid w:val="19D26D06"/>
    <w:rsid w:val="19F6B6CA"/>
    <w:rsid w:val="1A4B1719"/>
    <w:rsid w:val="1A8D34FC"/>
    <w:rsid w:val="1AC35233"/>
    <w:rsid w:val="1B1272E0"/>
    <w:rsid w:val="1BB7D096"/>
    <w:rsid w:val="1BC083EE"/>
    <w:rsid w:val="1C5A374B"/>
    <w:rsid w:val="1C6B8C70"/>
    <w:rsid w:val="1CE09923"/>
    <w:rsid w:val="1CE386C5"/>
    <w:rsid w:val="1D1CB691"/>
    <w:rsid w:val="1D203DDD"/>
    <w:rsid w:val="1D62CAA7"/>
    <w:rsid w:val="1D8118F4"/>
    <w:rsid w:val="1DB5D832"/>
    <w:rsid w:val="1E05991C"/>
    <w:rsid w:val="1E73D73A"/>
    <w:rsid w:val="1E96ED38"/>
    <w:rsid w:val="1EB4C16B"/>
    <w:rsid w:val="1ED122CB"/>
    <w:rsid w:val="1EF0F531"/>
    <w:rsid w:val="1F151218"/>
    <w:rsid w:val="1F15F619"/>
    <w:rsid w:val="1F264831"/>
    <w:rsid w:val="1F3BD3AC"/>
    <w:rsid w:val="1F6F5BB2"/>
    <w:rsid w:val="1FE61DC1"/>
    <w:rsid w:val="20747840"/>
    <w:rsid w:val="2074B3A2"/>
    <w:rsid w:val="207E5FA8"/>
    <w:rsid w:val="207F1755"/>
    <w:rsid w:val="21030861"/>
    <w:rsid w:val="21140A63"/>
    <w:rsid w:val="2132B887"/>
    <w:rsid w:val="2134197B"/>
    <w:rsid w:val="21D0286B"/>
    <w:rsid w:val="2237BD87"/>
    <w:rsid w:val="2275B10B"/>
    <w:rsid w:val="2276C205"/>
    <w:rsid w:val="22817F09"/>
    <w:rsid w:val="22A80F40"/>
    <w:rsid w:val="22F0AB91"/>
    <w:rsid w:val="22FA1C2D"/>
    <w:rsid w:val="22FA267E"/>
    <w:rsid w:val="230D9AA6"/>
    <w:rsid w:val="2319D2D7"/>
    <w:rsid w:val="2320CE0A"/>
    <w:rsid w:val="23B77CC0"/>
    <w:rsid w:val="23ED4F3A"/>
    <w:rsid w:val="23FE1A08"/>
    <w:rsid w:val="2436C52E"/>
    <w:rsid w:val="24782AD9"/>
    <w:rsid w:val="24984FFD"/>
    <w:rsid w:val="25456311"/>
    <w:rsid w:val="256ECC24"/>
    <w:rsid w:val="25A13324"/>
    <w:rsid w:val="25D9DB9A"/>
    <w:rsid w:val="26051995"/>
    <w:rsid w:val="261C8666"/>
    <w:rsid w:val="26892F2D"/>
    <w:rsid w:val="26C36883"/>
    <w:rsid w:val="26DACCD5"/>
    <w:rsid w:val="26DDFBB0"/>
    <w:rsid w:val="26EA3CA7"/>
    <w:rsid w:val="27089469"/>
    <w:rsid w:val="27D080E7"/>
    <w:rsid w:val="27F66789"/>
    <w:rsid w:val="27F92AB0"/>
    <w:rsid w:val="284EDC8B"/>
    <w:rsid w:val="2875DB69"/>
    <w:rsid w:val="2886826E"/>
    <w:rsid w:val="28914C01"/>
    <w:rsid w:val="28F72DBE"/>
    <w:rsid w:val="29913E8C"/>
    <w:rsid w:val="29B6507A"/>
    <w:rsid w:val="2A6FF74C"/>
    <w:rsid w:val="2A79130B"/>
    <w:rsid w:val="2ABD36E8"/>
    <w:rsid w:val="2AD72108"/>
    <w:rsid w:val="2ADAD71F"/>
    <w:rsid w:val="2B89D0C3"/>
    <w:rsid w:val="2B998169"/>
    <w:rsid w:val="2C5D49B1"/>
    <w:rsid w:val="2D11FE3A"/>
    <w:rsid w:val="2D1FDC30"/>
    <w:rsid w:val="2D3F1F24"/>
    <w:rsid w:val="2D510DCD"/>
    <w:rsid w:val="2DAE4D1C"/>
    <w:rsid w:val="2E045408"/>
    <w:rsid w:val="2E3AF244"/>
    <w:rsid w:val="2E7E8B7C"/>
    <w:rsid w:val="2E8B88C0"/>
    <w:rsid w:val="2E97C93B"/>
    <w:rsid w:val="2ED36DB8"/>
    <w:rsid w:val="2EEFDB03"/>
    <w:rsid w:val="2EF22044"/>
    <w:rsid w:val="2EF69313"/>
    <w:rsid w:val="2F011176"/>
    <w:rsid w:val="2F2C2FCE"/>
    <w:rsid w:val="2F6AD01B"/>
    <w:rsid w:val="2F73B4E0"/>
    <w:rsid w:val="2FB19624"/>
    <w:rsid w:val="2FD72FE5"/>
    <w:rsid w:val="3080B95C"/>
    <w:rsid w:val="30835752"/>
    <w:rsid w:val="30B7DD8E"/>
    <w:rsid w:val="31592652"/>
    <w:rsid w:val="31664F80"/>
    <w:rsid w:val="31C07F4F"/>
    <w:rsid w:val="3210A153"/>
    <w:rsid w:val="322C5652"/>
    <w:rsid w:val="325729D0"/>
    <w:rsid w:val="32C8A585"/>
    <w:rsid w:val="32DDA6FD"/>
    <w:rsid w:val="3318064D"/>
    <w:rsid w:val="336A08CF"/>
    <w:rsid w:val="337EE706"/>
    <w:rsid w:val="3389A545"/>
    <w:rsid w:val="338BE57E"/>
    <w:rsid w:val="3399E231"/>
    <w:rsid w:val="34044D12"/>
    <w:rsid w:val="34328C35"/>
    <w:rsid w:val="3438C579"/>
    <w:rsid w:val="358DE33B"/>
    <w:rsid w:val="35AEDA93"/>
    <w:rsid w:val="35DEB044"/>
    <w:rsid w:val="36153745"/>
    <w:rsid w:val="3618DC51"/>
    <w:rsid w:val="361C90C3"/>
    <w:rsid w:val="369BF703"/>
    <w:rsid w:val="3735FF6B"/>
    <w:rsid w:val="387B37B8"/>
    <w:rsid w:val="389E6A2E"/>
    <w:rsid w:val="38C1C830"/>
    <w:rsid w:val="38C3A51F"/>
    <w:rsid w:val="38CC5E8B"/>
    <w:rsid w:val="39007226"/>
    <w:rsid w:val="3954219B"/>
    <w:rsid w:val="395EFA29"/>
    <w:rsid w:val="3A10AE16"/>
    <w:rsid w:val="3A10FA42"/>
    <w:rsid w:val="3A489212"/>
    <w:rsid w:val="3A4A26B8"/>
    <w:rsid w:val="3A552598"/>
    <w:rsid w:val="3A60E692"/>
    <w:rsid w:val="3A6306A5"/>
    <w:rsid w:val="3A9EA30F"/>
    <w:rsid w:val="3AD5E7FE"/>
    <w:rsid w:val="3AD9DB6C"/>
    <w:rsid w:val="3B143A85"/>
    <w:rsid w:val="3B39AFEF"/>
    <w:rsid w:val="3B724816"/>
    <w:rsid w:val="3BB1CD6C"/>
    <w:rsid w:val="3BC9718B"/>
    <w:rsid w:val="3BD70A4B"/>
    <w:rsid w:val="3CBC348A"/>
    <w:rsid w:val="3CE902B1"/>
    <w:rsid w:val="3DA7E461"/>
    <w:rsid w:val="3DAED3EC"/>
    <w:rsid w:val="3DEAC10D"/>
    <w:rsid w:val="3E0678B8"/>
    <w:rsid w:val="3E16C574"/>
    <w:rsid w:val="3E20D147"/>
    <w:rsid w:val="3E22BCB0"/>
    <w:rsid w:val="3EAFB370"/>
    <w:rsid w:val="3F3F949D"/>
    <w:rsid w:val="3F5766A0"/>
    <w:rsid w:val="3FDE3F37"/>
    <w:rsid w:val="3FED9510"/>
    <w:rsid w:val="401D8067"/>
    <w:rsid w:val="404AE28E"/>
    <w:rsid w:val="4081CB44"/>
    <w:rsid w:val="4092C3D6"/>
    <w:rsid w:val="409F084F"/>
    <w:rsid w:val="40D9B3EB"/>
    <w:rsid w:val="40E6412C"/>
    <w:rsid w:val="41049B88"/>
    <w:rsid w:val="4174F718"/>
    <w:rsid w:val="418A025E"/>
    <w:rsid w:val="41954EAA"/>
    <w:rsid w:val="41DFD723"/>
    <w:rsid w:val="4316FFB9"/>
    <w:rsid w:val="4326A66A"/>
    <w:rsid w:val="434C0F1F"/>
    <w:rsid w:val="43595C8E"/>
    <w:rsid w:val="43BAE6C2"/>
    <w:rsid w:val="43C4E535"/>
    <w:rsid w:val="43E2747C"/>
    <w:rsid w:val="44B4C9EB"/>
    <w:rsid w:val="453A341D"/>
    <w:rsid w:val="4540B418"/>
    <w:rsid w:val="4543B56A"/>
    <w:rsid w:val="4560BF63"/>
    <w:rsid w:val="457C2B52"/>
    <w:rsid w:val="45A1F01E"/>
    <w:rsid w:val="45A771B2"/>
    <w:rsid w:val="46005597"/>
    <w:rsid w:val="4660488B"/>
    <w:rsid w:val="4669163F"/>
    <w:rsid w:val="46978812"/>
    <w:rsid w:val="46A4BE1E"/>
    <w:rsid w:val="47664B4E"/>
    <w:rsid w:val="47FE90E4"/>
    <w:rsid w:val="484F23DB"/>
    <w:rsid w:val="486D6BC5"/>
    <w:rsid w:val="4898967A"/>
    <w:rsid w:val="4927E503"/>
    <w:rsid w:val="4972880D"/>
    <w:rsid w:val="49E09344"/>
    <w:rsid w:val="4A1B3C34"/>
    <w:rsid w:val="4A3D61C1"/>
    <w:rsid w:val="4A416E4B"/>
    <w:rsid w:val="4A66E1E4"/>
    <w:rsid w:val="4AB11EDE"/>
    <w:rsid w:val="4ABAF909"/>
    <w:rsid w:val="4ABE2A37"/>
    <w:rsid w:val="4ACB3DF5"/>
    <w:rsid w:val="4B11757B"/>
    <w:rsid w:val="4BF2C328"/>
    <w:rsid w:val="4BF51E81"/>
    <w:rsid w:val="4C73B577"/>
    <w:rsid w:val="4C771842"/>
    <w:rsid w:val="4C820EB2"/>
    <w:rsid w:val="4C9165B8"/>
    <w:rsid w:val="4CADF6E9"/>
    <w:rsid w:val="4CB19847"/>
    <w:rsid w:val="4CDC2C78"/>
    <w:rsid w:val="4CFF24F0"/>
    <w:rsid w:val="4D0861AA"/>
    <w:rsid w:val="4D0AAB9B"/>
    <w:rsid w:val="4D1E4E73"/>
    <w:rsid w:val="4D3151B5"/>
    <w:rsid w:val="4DCD8CE0"/>
    <w:rsid w:val="4DF5561D"/>
    <w:rsid w:val="4E9534A0"/>
    <w:rsid w:val="4EA31C5E"/>
    <w:rsid w:val="4ECDC020"/>
    <w:rsid w:val="4EECD54B"/>
    <w:rsid w:val="4FCA3731"/>
    <w:rsid w:val="4FD939A0"/>
    <w:rsid w:val="501A9466"/>
    <w:rsid w:val="504807F4"/>
    <w:rsid w:val="5079CAA9"/>
    <w:rsid w:val="5094FAD9"/>
    <w:rsid w:val="50A9F391"/>
    <w:rsid w:val="50DC19E6"/>
    <w:rsid w:val="513C3265"/>
    <w:rsid w:val="519A04E9"/>
    <w:rsid w:val="5243C34C"/>
    <w:rsid w:val="530AEA06"/>
    <w:rsid w:val="5371F7C5"/>
    <w:rsid w:val="537AF574"/>
    <w:rsid w:val="53C24027"/>
    <w:rsid w:val="54B21991"/>
    <w:rsid w:val="54FDC33C"/>
    <w:rsid w:val="55A447B7"/>
    <w:rsid w:val="55CD7779"/>
    <w:rsid w:val="56077B6D"/>
    <w:rsid w:val="56493B19"/>
    <w:rsid w:val="5682B27F"/>
    <w:rsid w:val="56D83CD2"/>
    <w:rsid w:val="57BDB391"/>
    <w:rsid w:val="57EEA90B"/>
    <w:rsid w:val="58C5FBD2"/>
    <w:rsid w:val="58CC2D50"/>
    <w:rsid w:val="595FBE0B"/>
    <w:rsid w:val="5984BF6A"/>
    <w:rsid w:val="59A64F05"/>
    <w:rsid w:val="59A65ED0"/>
    <w:rsid w:val="59E54CA6"/>
    <w:rsid w:val="5A5AB640"/>
    <w:rsid w:val="5A762EE9"/>
    <w:rsid w:val="5AC2DEB4"/>
    <w:rsid w:val="5B365B51"/>
    <w:rsid w:val="5BE7E55E"/>
    <w:rsid w:val="5BEEB4C5"/>
    <w:rsid w:val="5BF853FA"/>
    <w:rsid w:val="5C3D08FE"/>
    <w:rsid w:val="5C3F9A42"/>
    <w:rsid w:val="5C4B6A2C"/>
    <w:rsid w:val="5C64CE71"/>
    <w:rsid w:val="5CA03937"/>
    <w:rsid w:val="5CB4860F"/>
    <w:rsid w:val="5CC14889"/>
    <w:rsid w:val="5CD11357"/>
    <w:rsid w:val="5CFA32D3"/>
    <w:rsid w:val="5D5719C8"/>
    <w:rsid w:val="5E2363EA"/>
    <w:rsid w:val="5E476E5A"/>
    <w:rsid w:val="5F21EF2C"/>
    <w:rsid w:val="5F4EA87E"/>
    <w:rsid w:val="6095C38B"/>
    <w:rsid w:val="60BEB0DF"/>
    <w:rsid w:val="60E55EC5"/>
    <w:rsid w:val="612D85E7"/>
    <w:rsid w:val="6152E5C1"/>
    <w:rsid w:val="615B8E55"/>
    <w:rsid w:val="6172EC8F"/>
    <w:rsid w:val="61733BEF"/>
    <w:rsid w:val="6274A381"/>
    <w:rsid w:val="62767770"/>
    <w:rsid w:val="6293B2B4"/>
    <w:rsid w:val="62A28E12"/>
    <w:rsid w:val="62B2D108"/>
    <w:rsid w:val="634458D7"/>
    <w:rsid w:val="634A3C5D"/>
    <w:rsid w:val="64046A9A"/>
    <w:rsid w:val="6457E2BE"/>
    <w:rsid w:val="646AF1F8"/>
    <w:rsid w:val="6479E331"/>
    <w:rsid w:val="6483B2C6"/>
    <w:rsid w:val="64B54BE1"/>
    <w:rsid w:val="64FD5BB6"/>
    <w:rsid w:val="6589C814"/>
    <w:rsid w:val="659DE876"/>
    <w:rsid w:val="65AE78A2"/>
    <w:rsid w:val="661CF442"/>
    <w:rsid w:val="662A87B3"/>
    <w:rsid w:val="6644CE23"/>
    <w:rsid w:val="6666CE4D"/>
    <w:rsid w:val="66D2105B"/>
    <w:rsid w:val="66D70419"/>
    <w:rsid w:val="672DCB9F"/>
    <w:rsid w:val="6772641C"/>
    <w:rsid w:val="68B433C9"/>
    <w:rsid w:val="68B8D5CB"/>
    <w:rsid w:val="68E97052"/>
    <w:rsid w:val="693A0BAA"/>
    <w:rsid w:val="6962F05F"/>
    <w:rsid w:val="6969F3D7"/>
    <w:rsid w:val="697A4474"/>
    <w:rsid w:val="69BA8F2C"/>
    <w:rsid w:val="69CCCA6F"/>
    <w:rsid w:val="69F34627"/>
    <w:rsid w:val="6A4F8561"/>
    <w:rsid w:val="6A717115"/>
    <w:rsid w:val="6A8574BF"/>
    <w:rsid w:val="6B166B98"/>
    <w:rsid w:val="6B71471D"/>
    <w:rsid w:val="6B74DE9F"/>
    <w:rsid w:val="6B8B37FA"/>
    <w:rsid w:val="6B9386F4"/>
    <w:rsid w:val="6BB4C935"/>
    <w:rsid w:val="6BE0D5F9"/>
    <w:rsid w:val="6C9773FB"/>
    <w:rsid w:val="6CBC238F"/>
    <w:rsid w:val="6CC4A2E0"/>
    <w:rsid w:val="6CD6781F"/>
    <w:rsid w:val="6D4A0889"/>
    <w:rsid w:val="6D667C36"/>
    <w:rsid w:val="6DECD05A"/>
    <w:rsid w:val="6E06B62A"/>
    <w:rsid w:val="6E5B2388"/>
    <w:rsid w:val="6E64C0DB"/>
    <w:rsid w:val="6E7B6212"/>
    <w:rsid w:val="6EDBAD13"/>
    <w:rsid w:val="6EE35768"/>
    <w:rsid w:val="6EFA67F4"/>
    <w:rsid w:val="6F33B071"/>
    <w:rsid w:val="6F5FCDBB"/>
    <w:rsid w:val="6F949B16"/>
    <w:rsid w:val="6FBFF6EC"/>
    <w:rsid w:val="702BE204"/>
    <w:rsid w:val="703949F3"/>
    <w:rsid w:val="7083FF82"/>
    <w:rsid w:val="708F9229"/>
    <w:rsid w:val="7090E464"/>
    <w:rsid w:val="71093F51"/>
    <w:rsid w:val="7124846C"/>
    <w:rsid w:val="713B2759"/>
    <w:rsid w:val="71B9B255"/>
    <w:rsid w:val="71EBA970"/>
    <w:rsid w:val="7208BD2F"/>
    <w:rsid w:val="72262619"/>
    <w:rsid w:val="723E8330"/>
    <w:rsid w:val="724F387F"/>
    <w:rsid w:val="725D42E3"/>
    <w:rsid w:val="725FEE75"/>
    <w:rsid w:val="727CACCE"/>
    <w:rsid w:val="72DCB4E8"/>
    <w:rsid w:val="72FF0FA3"/>
    <w:rsid w:val="733FF94D"/>
    <w:rsid w:val="734DB20B"/>
    <w:rsid w:val="73679CB5"/>
    <w:rsid w:val="73828F39"/>
    <w:rsid w:val="73F1C6BD"/>
    <w:rsid w:val="744046FE"/>
    <w:rsid w:val="7440F159"/>
    <w:rsid w:val="744BD207"/>
    <w:rsid w:val="746B10BD"/>
    <w:rsid w:val="74A3B5FC"/>
    <w:rsid w:val="74A98357"/>
    <w:rsid w:val="75614126"/>
    <w:rsid w:val="75E0F0FC"/>
    <w:rsid w:val="760AF9D2"/>
    <w:rsid w:val="7687DFC1"/>
    <w:rsid w:val="769FA6D8"/>
    <w:rsid w:val="76A85563"/>
    <w:rsid w:val="76B60374"/>
    <w:rsid w:val="770ED326"/>
    <w:rsid w:val="7719451B"/>
    <w:rsid w:val="776F7082"/>
    <w:rsid w:val="77E0A40B"/>
    <w:rsid w:val="7831A10A"/>
    <w:rsid w:val="7857C1B0"/>
    <w:rsid w:val="7863133C"/>
    <w:rsid w:val="78D1E879"/>
    <w:rsid w:val="794DFDA9"/>
    <w:rsid w:val="794E023C"/>
    <w:rsid w:val="795B34CB"/>
    <w:rsid w:val="798C8BCE"/>
    <w:rsid w:val="7A0E9391"/>
    <w:rsid w:val="7A191268"/>
    <w:rsid w:val="7A7A4AD6"/>
    <w:rsid w:val="7A8188B5"/>
    <w:rsid w:val="7B0D3F5D"/>
    <w:rsid w:val="7BB26F25"/>
    <w:rsid w:val="7BC97672"/>
    <w:rsid w:val="7C016F2F"/>
    <w:rsid w:val="7C12A069"/>
    <w:rsid w:val="7C14431F"/>
    <w:rsid w:val="7C27F2A8"/>
    <w:rsid w:val="7C54DEC1"/>
    <w:rsid w:val="7C826804"/>
    <w:rsid w:val="7C9516F6"/>
    <w:rsid w:val="7CCBC21B"/>
    <w:rsid w:val="7D249FCB"/>
    <w:rsid w:val="7D607905"/>
    <w:rsid w:val="7D8BD5C2"/>
    <w:rsid w:val="7DB64276"/>
    <w:rsid w:val="7E4D9E64"/>
    <w:rsid w:val="7E77DD6E"/>
    <w:rsid w:val="7EA8FA71"/>
    <w:rsid w:val="7EE5C74B"/>
    <w:rsid w:val="7EF52A89"/>
    <w:rsid w:val="7EFDA898"/>
    <w:rsid w:val="7F6F6464"/>
    <w:rsid w:val="7FC69B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545D6A"/>
  <w14:defaultImageDpi w14:val="300"/>
  <w15:docId w15:val="{772788B7-321F-4466-B831-A0165F980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14292"/>
    <w:rPr>
      <w:color w:val="0000FF" w:themeColor="hyperlink"/>
      <w:u w:val="single"/>
    </w:rPr>
  </w:style>
  <w:style w:type="character" w:styleId="UnresolvedMention">
    <w:name w:val="Unresolved Mention"/>
    <w:basedOn w:val="DefaultParagraphFont"/>
    <w:uiPriority w:val="99"/>
    <w:semiHidden/>
    <w:unhideWhenUsed/>
    <w:rsid w:val="00F14292"/>
    <w:rPr>
      <w:color w:val="605E5C"/>
      <w:shd w:val="clear" w:color="auto" w:fill="E1DFDD"/>
    </w:rPr>
  </w:style>
  <w:style w:type="character" w:styleId="FollowedHyperlink">
    <w:name w:val="FollowedHyperlink"/>
    <w:basedOn w:val="DefaultParagraphFont"/>
    <w:uiPriority w:val="99"/>
    <w:semiHidden/>
    <w:unhideWhenUsed/>
    <w:rsid w:val="00F14292"/>
    <w:rPr>
      <w:color w:val="800080" w:themeColor="followedHyperlink"/>
      <w:u w:val="single"/>
    </w:rPr>
  </w:style>
  <w:style w:type="paragraph" w:styleId="NormalWeb">
    <w:name w:val="Normal (Web)"/>
    <w:basedOn w:val="Normal"/>
    <w:uiPriority w:val="99"/>
    <w:semiHidden/>
    <w:unhideWhenUsed/>
    <w:rsid w:val="000B707E"/>
    <w:rPr>
      <w:rFonts w:ascii="Times New Roman" w:hAnsi="Times New Roman" w:cs="Times New Roman"/>
      <w:sz w:val="24"/>
      <w:szCs w:val="24"/>
    </w:rPr>
  </w:style>
  <w:style w:type="paragraph" w:styleId="TOC1">
    <w:name w:val="toc 1"/>
    <w:basedOn w:val="Normal"/>
    <w:next w:val="Normal"/>
    <w:uiPriority w:val="39"/>
    <w:unhideWhenUsed/>
    <w:rsid w:val="5371F7C5"/>
    <w:pPr>
      <w:spacing w:after="100"/>
    </w:pPr>
  </w:style>
  <w:style w:type="paragraph" w:styleId="TOC3">
    <w:name w:val="toc 3"/>
    <w:basedOn w:val="Normal"/>
    <w:next w:val="Normal"/>
    <w:uiPriority w:val="39"/>
    <w:unhideWhenUsed/>
    <w:rsid w:val="172CBD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org.uk/features-and-opinion/blogs/the-cost-of-living-crisis-is-a-health-emergency-too" TargetMode="External"/><Relationship Id="rId18" Type="http://schemas.openxmlformats.org/officeDocument/2006/relationships/hyperlink" Target="https://books.google.co.uk/books?id=7RwJEAAAQBAJ"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gov.uk/government/publications/care-workforce-pathway-for-adult-social-care/care-workforce-pathway-for-adult-social-care-overview?utm_source=chatgpt.com" TargetMode="External"/><Relationship Id="rId17" Type="http://schemas.openxmlformats.org/officeDocument/2006/relationships/hyperlink" Target="https://www.ons.gov.uk/economy/inflationandpriceindices/articles/costofliving/latestinsights" TargetMode="External"/><Relationship Id="rId2" Type="http://schemas.openxmlformats.org/officeDocument/2006/relationships/customXml" Target="../customXml/item2.xml"/><Relationship Id="rId16" Type="http://schemas.openxmlformats.org/officeDocument/2006/relationships/hyperlink" Target="https://www.nhsconfed.org/topic/cost-liv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ktpu.kpi.ua/wp-content/uploads/2014/02/social-research-methods-alan-bryman.pdf" TargetMode="External"/><Relationship Id="rId5" Type="http://schemas.openxmlformats.org/officeDocument/2006/relationships/numbering" Target="numbering.xml"/><Relationship Id="rId15" Type="http://schemas.openxmlformats.org/officeDocument/2006/relationships/hyperlink" Target="https://www.instituteofhealthequity.org/the-marmot-review-10-years-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nison.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ppr.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8d61ff8d51c88ec274eaf2451d90307">
  <xsd:schema xmlns:xsd="http://www.w3.org/2001/XMLSchema" xmlns:xs="http://www.w3.org/2001/XMLSchema" xmlns:p="http://schemas.microsoft.com/office/2006/metadata/properties" xmlns:ns3="3ef5847a-e696-4fee-a2c0-6c3f87568321" targetNamespace="http://schemas.microsoft.com/office/2006/metadata/properties" ma:root="true" ma:fieldsID="5d91bc55bff77e3d4b61fd29cc70211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DD88E7B-76B7-48DC-9B39-C79712C90267}">
  <ds:schemaRefs>
    <ds:schemaRef ds:uri="http://schemas.microsoft.com/sharepoint/v3/contenttype/forms"/>
  </ds:schemaRefs>
</ds:datastoreItem>
</file>

<file path=customXml/itemProps2.xml><?xml version="1.0" encoding="utf-8"?>
<ds:datastoreItem xmlns:ds="http://schemas.openxmlformats.org/officeDocument/2006/customXml" ds:itemID="{41527D48-5352-441B-BC39-661FDAD42C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483B7850-E672-4AF7-BDB6-6CF03792C40A}">
  <ds:schemaRefs>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purl.org/dc/dcmitype/"/>
    <ds:schemaRef ds:uri="3ef5847a-e696-4fee-a2c0-6c3f8756832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Shazia Kausar (2512942)</cp:lastModifiedBy>
  <cp:revision>2</cp:revision>
  <dcterms:created xsi:type="dcterms:W3CDTF">2025-11-17T16:10:00Z</dcterms:created>
  <dcterms:modified xsi:type="dcterms:W3CDTF">2025-11-17T16:10:00Z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