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AE0739" w14:textId="616B81DD" w:rsidR="006A4A64" w:rsidRDefault="002F3193">
      <w:pPr>
        <w:rPr>
          <w:b/>
          <w:bCs/>
          <w:sz w:val="36"/>
          <w:szCs w:val="36"/>
        </w:rPr>
      </w:pPr>
      <w:r w:rsidRPr="002F3193">
        <w:rPr>
          <w:b/>
          <w:bCs/>
          <w:sz w:val="36"/>
          <w:szCs w:val="36"/>
        </w:rPr>
        <w:t>Gobbet</w:t>
      </w:r>
    </w:p>
    <w:p w14:paraId="54D75E15" w14:textId="77EFCC49" w:rsidR="00875275" w:rsidRPr="00325D62" w:rsidRDefault="002F3193" w:rsidP="002F3193">
      <w:pPr>
        <w:rPr>
          <w:b/>
          <w:bCs/>
        </w:rPr>
      </w:pPr>
      <w:r w:rsidRPr="00325D62">
        <w:rPr>
          <w:b/>
          <w:bCs/>
        </w:rPr>
        <w:t xml:space="preserve">Write a 1000-word gobbet on Homer’s Iliad 24.776-803 (translation by Murray, </w:t>
      </w:r>
      <w:proofErr w:type="spellStart"/>
      <w:r w:rsidRPr="00325D62">
        <w:rPr>
          <w:b/>
          <w:bCs/>
        </w:rPr>
        <w:t>loeb</w:t>
      </w:r>
      <w:proofErr w:type="spellEnd"/>
      <w:r w:rsidRPr="00325D62">
        <w:rPr>
          <w:b/>
          <w:bCs/>
        </w:rPr>
        <w:t xml:space="preserve"> series, Harvard University Press) </w:t>
      </w:r>
    </w:p>
    <w:p w14:paraId="68F66B9B" w14:textId="77777777" w:rsidR="007E0245" w:rsidRPr="00875275" w:rsidRDefault="007E0245" w:rsidP="002F3193"/>
    <w:p w14:paraId="7E4612EE" w14:textId="50BF6F8A" w:rsidR="002F3193" w:rsidRDefault="001B6BCA" w:rsidP="002F3193">
      <w:r>
        <w:t xml:space="preserve">Hector’s funeral </w:t>
      </w:r>
      <w:r w:rsidR="00202B9E">
        <w:t>i</w:t>
      </w:r>
      <w:r w:rsidR="002E5CED">
        <w:t xml:space="preserve">n the Iliad </w:t>
      </w:r>
      <w:r w:rsidR="00BC674A">
        <w:t>is a</w:t>
      </w:r>
      <w:r w:rsidR="00147F39">
        <w:t>n eleven</w:t>
      </w:r>
      <w:r w:rsidR="000B1773">
        <w:t>-day burial</w:t>
      </w:r>
      <w:r w:rsidR="00BC674A">
        <w:t xml:space="preserve"> process w</w:t>
      </w:r>
      <w:r w:rsidR="006C5DA2">
        <w:t>hich includes the</w:t>
      </w:r>
      <w:r w:rsidR="00BC674A">
        <w:t xml:space="preserve"> cremation</w:t>
      </w:r>
      <w:r w:rsidR="006C5DA2">
        <w:t xml:space="preserve"> of his body</w:t>
      </w:r>
      <w:r w:rsidR="005C0C5D">
        <w:t xml:space="preserve">, </w:t>
      </w:r>
      <w:r w:rsidR="00BC674A">
        <w:t xml:space="preserve">a second burial of his </w:t>
      </w:r>
      <w:r w:rsidR="006C5DA2">
        <w:t>ashes</w:t>
      </w:r>
      <w:r w:rsidR="005C0C5D">
        <w:t xml:space="preserve"> and a feast taking place afterwards</w:t>
      </w:r>
      <w:r w:rsidR="000B1773">
        <w:t>. It is also a social process</w:t>
      </w:r>
      <w:r w:rsidR="004069A0">
        <w:t xml:space="preserve">, with his status as a prince </w:t>
      </w:r>
      <w:r w:rsidR="0031033B">
        <w:t xml:space="preserve">and his importance to the </w:t>
      </w:r>
      <w:r w:rsidR="000A20A2">
        <w:t xml:space="preserve">war </w:t>
      </w:r>
      <w:r w:rsidR="004069A0">
        <w:t xml:space="preserve">making his death a public </w:t>
      </w:r>
      <w:r w:rsidR="005C0C5D">
        <w:t xml:space="preserve">mourning </w:t>
      </w:r>
      <w:r w:rsidR="004069A0">
        <w:t>event</w:t>
      </w:r>
      <w:r w:rsidR="000A20A2">
        <w:t>. His death is so significant that it serves as part of the climax of the final book of the Iliad</w:t>
      </w:r>
      <w:r w:rsidR="00B80F58">
        <w:t xml:space="preserve"> and a turning point in the Trojan war</w:t>
      </w:r>
      <w:r w:rsidR="00802EC0">
        <w:t>.</w:t>
      </w:r>
      <w:r w:rsidR="005B7765">
        <w:t xml:space="preserve"> </w:t>
      </w:r>
      <w:r w:rsidR="00480BDB">
        <w:t xml:space="preserve">In the extract “countless throng made moan” </w:t>
      </w:r>
      <w:r w:rsidR="00D9409C">
        <w:t xml:space="preserve">and before it there are multiple laments from key characters such as </w:t>
      </w:r>
      <w:r w:rsidR="0046765A">
        <w:t xml:space="preserve">Helen “wailing” at the very start. </w:t>
      </w:r>
      <w:r w:rsidR="005B7765">
        <w:t xml:space="preserve">The war is actually put on hold through an agreement </w:t>
      </w:r>
      <w:r w:rsidR="0046765A">
        <w:t xml:space="preserve">for this </w:t>
      </w:r>
      <w:r w:rsidR="0092620F">
        <w:t>mourning</w:t>
      </w:r>
      <w:r w:rsidR="0046765A">
        <w:t xml:space="preserve"> </w:t>
      </w:r>
      <w:r w:rsidR="0092620F">
        <w:t xml:space="preserve">to take place, as </w:t>
      </w:r>
      <w:r w:rsidR="00E106EE">
        <w:t>the people of Troy concentrate all their efforts into it.</w:t>
      </w:r>
    </w:p>
    <w:p w14:paraId="00A7881F" w14:textId="03E430DA" w:rsidR="00802EC0" w:rsidRDefault="008825E5" w:rsidP="002F3193">
      <w:r>
        <w:t xml:space="preserve">The mortuary practices </w:t>
      </w:r>
      <w:r w:rsidR="004809BF">
        <w:t>shown in the Iliad are similar on both sides of the war, with both cremating their dead. This is unique as at the time there is more evidence of inhumation</w:t>
      </w:r>
      <w:r w:rsidR="00D06447">
        <w:t xml:space="preserve"> being used across bronze age Greece with cremation being more popular in parts of Asia</w:t>
      </w:r>
      <w:r w:rsidR="000871BB">
        <w:t xml:space="preserve"> </w:t>
      </w:r>
      <w:r w:rsidR="000A675E" w:rsidRPr="000A675E">
        <w:t>(Musgrave, 1990)</w:t>
      </w:r>
      <w:r w:rsidR="009E7CBE">
        <w:t>. This could suggest that this is a poetic choice to make the deaths more dramatic and thematic with the Iliad’s motif of fire</w:t>
      </w:r>
      <w:r w:rsidR="00A72EC0">
        <w:t xml:space="preserve"> rather than based on wider practices at the time. </w:t>
      </w:r>
      <w:r w:rsidR="00AF5C98">
        <w:t xml:space="preserve">Or that the poem changed over time as cremation </w:t>
      </w:r>
      <w:r w:rsidR="007870DE">
        <w:t>became more popular towards the very end of the bronze age and into the iron age</w:t>
      </w:r>
      <w:r w:rsidR="009A3BD4">
        <w:t>,</w:t>
      </w:r>
      <w:r w:rsidR="007870DE">
        <w:t xml:space="preserve"> as the f</w:t>
      </w:r>
      <w:r w:rsidR="005F3AAD">
        <w:t>ocus of funerary ritual shifted to</w:t>
      </w:r>
      <w:r w:rsidR="00F158DA">
        <w:t>wards a fiery spectacle</w:t>
      </w:r>
      <w:r w:rsidR="00E46EA3">
        <w:t xml:space="preserve"> </w:t>
      </w:r>
      <w:r w:rsidR="00E46EA3" w:rsidRPr="00E46EA3">
        <w:t>(Hatzaki, 2012)</w:t>
      </w:r>
      <w:r w:rsidR="009A3BD4">
        <w:t>.</w:t>
      </w:r>
    </w:p>
    <w:p w14:paraId="7CDD6A23" w14:textId="6489B420" w:rsidR="002869F5" w:rsidRDefault="00736EAC" w:rsidP="002F3193">
      <w:r>
        <w:t xml:space="preserve">The </w:t>
      </w:r>
      <w:r w:rsidR="00734E7E">
        <w:t xml:space="preserve">primary </w:t>
      </w:r>
      <w:r>
        <w:t>burial of Hector is very elaborate</w:t>
      </w:r>
      <w:r w:rsidR="00E41E13">
        <w:t>,</w:t>
      </w:r>
      <w:r>
        <w:t xml:space="preserve"> with the </w:t>
      </w:r>
      <w:r w:rsidR="00E41E13">
        <w:t>cremation</w:t>
      </w:r>
      <w:r>
        <w:t xml:space="preserve"> being at a seemingly massive and very public scale</w:t>
      </w:r>
      <w:r w:rsidR="00E41E13">
        <w:t xml:space="preserve"> as all the men of Troy </w:t>
      </w:r>
      <w:r w:rsidR="000411B2">
        <w:t xml:space="preserve">collect the wood for it across nine whole days. This suggests an incredibly large funeral pyre </w:t>
      </w:r>
      <w:r w:rsidR="008F1450">
        <w:t>for one body</w:t>
      </w:r>
      <w:r w:rsidR="00664CE6">
        <w:t>, with there possibly being multiple of them with Hector’s body being on the “topmost pyre”</w:t>
      </w:r>
      <w:r w:rsidR="007703A2">
        <w:t xml:space="preserve">. </w:t>
      </w:r>
      <w:r w:rsidR="00762D47">
        <w:t xml:space="preserve">This is also </w:t>
      </w:r>
      <w:r w:rsidR="00E46DA3">
        <w:t xml:space="preserve">suggested </w:t>
      </w:r>
      <w:r w:rsidR="00762D47">
        <w:t>when it burns from the dawn of the tenth day into the early dawn of the eleventh</w:t>
      </w:r>
      <w:r w:rsidR="00EB7D6A">
        <w:t>, a whole day and night</w:t>
      </w:r>
      <w:r w:rsidR="00E46DA3">
        <w:t xml:space="preserve">. </w:t>
      </w:r>
      <w:r w:rsidR="007703A2">
        <w:t xml:space="preserve">This shows Hector’s status </w:t>
      </w:r>
      <w:r w:rsidR="008C11C3">
        <w:t xml:space="preserve">through </w:t>
      </w:r>
      <w:r w:rsidR="00734E7E">
        <w:t>its</w:t>
      </w:r>
      <w:r w:rsidR="008C11C3">
        <w:t xml:space="preserve"> grandeur and the effort put into it</w:t>
      </w:r>
      <w:r w:rsidR="00734E7E">
        <w:t>,</w:t>
      </w:r>
      <w:r w:rsidR="008C11C3">
        <w:t xml:space="preserve"> but also how important he was to the people who are willing to put all this labour (and wood) into his last rites.</w:t>
      </w:r>
      <w:r w:rsidR="00BC1D52">
        <w:t xml:space="preserve"> The people also shed tears for him when he is put onto the pyre</w:t>
      </w:r>
      <w:r w:rsidR="005B7DD6">
        <w:t xml:space="preserve">, a </w:t>
      </w:r>
      <w:r w:rsidR="005D4A89">
        <w:t xml:space="preserve">communal </w:t>
      </w:r>
      <w:r w:rsidR="005B0CFE">
        <w:t xml:space="preserve">mourning </w:t>
      </w:r>
      <w:r w:rsidR="005D4A89">
        <w:t>f</w:t>
      </w:r>
      <w:r w:rsidR="00FC4244">
        <w:t>rom</w:t>
      </w:r>
      <w:r w:rsidR="005D4A89">
        <w:t xml:space="preserve"> the city after the </w:t>
      </w:r>
      <w:r w:rsidR="00FC4244">
        <w:t>many years of traumatic war they have endured</w:t>
      </w:r>
      <w:r w:rsidR="00D36DB5">
        <w:t xml:space="preserve"> which has only stopped for </w:t>
      </w:r>
      <w:r w:rsidR="00DD36EC">
        <w:t>eleven days because of Hector’s death.</w:t>
      </w:r>
      <w:r w:rsidR="00915FD6">
        <w:t xml:space="preserve"> There is also an element of funerary ritual in the collecting of wood for nine days</w:t>
      </w:r>
      <w:r w:rsidR="00133EA4">
        <w:t>, with it</w:t>
      </w:r>
      <w:r w:rsidR="003610B5">
        <w:t xml:space="preserve"> being </w:t>
      </w:r>
      <w:r w:rsidR="004F1A1D">
        <w:t xml:space="preserve">an intentional and symbolic action done by </w:t>
      </w:r>
      <w:r w:rsidR="006835DA">
        <w:t>the men of Troy</w:t>
      </w:r>
      <w:r w:rsidR="0099478C">
        <w:t xml:space="preserve"> as well as a sacrifice of wood and time, very precious time as it is </w:t>
      </w:r>
      <w:r w:rsidR="00436B8A">
        <w:t>whole days of respite from the war.</w:t>
      </w:r>
    </w:p>
    <w:p w14:paraId="7A7FB8F2" w14:textId="430601A3" w:rsidR="00B80F58" w:rsidRDefault="00734E7E" w:rsidP="002F3193">
      <w:r>
        <w:t>The secondary burial on the eleventh day</w:t>
      </w:r>
      <w:r w:rsidR="00EB7D6A">
        <w:t xml:space="preserve"> </w:t>
      </w:r>
      <w:r w:rsidR="00960BF4">
        <w:t>also shows Hector’s status</w:t>
      </w:r>
      <w:r w:rsidR="00B80126">
        <w:t xml:space="preserve"> and examples of funerary ritual</w:t>
      </w:r>
      <w:r w:rsidR="00955095">
        <w:t xml:space="preserve">. </w:t>
      </w:r>
      <w:r w:rsidR="00ED2ADB">
        <w:t>The fire is put out with wine</w:t>
      </w:r>
      <w:r w:rsidR="00FD6452">
        <w:t xml:space="preserve"> instead of water and Hector’s ashes are placed in a golden urn with </w:t>
      </w:r>
      <w:r w:rsidR="007B7152">
        <w:t>a purple robe around it.</w:t>
      </w:r>
      <w:r w:rsidR="00B00486">
        <w:t xml:space="preserve"> This</w:t>
      </w:r>
      <w:r w:rsidR="0044474B">
        <w:t xml:space="preserve"> </w:t>
      </w:r>
      <w:r w:rsidR="00445FC0">
        <w:t xml:space="preserve">ostentatious </w:t>
      </w:r>
      <w:r w:rsidR="0044474B">
        <w:t>burial container</w:t>
      </w:r>
      <w:r w:rsidR="00B00486">
        <w:t xml:space="preserve"> is elaborate enough to </w:t>
      </w:r>
      <w:r w:rsidR="00601BB7">
        <w:t xml:space="preserve">be </w:t>
      </w:r>
      <w:r w:rsidR="00C71F8C">
        <w:t>grave goods rather than simply being a funerary urn</w:t>
      </w:r>
      <w:r w:rsidR="00601BB7">
        <w:t xml:space="preserve"> wrapped in fabric and </w:t>
      </w:r>
      <w:r w:rsidR="00601BB7">
        <w:lastRenderedPageBreak/>
        <w:t>shows that they are willing to part with very valuable things even in the middle of the war in order to ensure they honour Hector properly</w:t>
      </w:r>
      <w:r w:rsidR="00891C0C">
        <w:t>, especially after Priam already paid a great ransom to get the body back.</w:t>
      </w:r>
      <w:r w:rsidR="00C57542">
        <w:t xml:space="preserve"> </w:t>
      </w:r>
      <w:r w:rsidR="00B26829">
        <w:t>The pyre being “quenched”</w:t>
      </w:r>
      <w:r w:rsidR="00241924">
        <w:t xml:space="preserve"> with wine is a ritual action of sacrifice and </w:t>
      </w:r>
      <w:r w:rsidR="006753F4">
        <w:t xml:space="preserve">libation to the gods, with the same being done with </w:t>
      </w:r>
      <w:r w:rsidR="00C73CCC">
        <w:t>Patroclus</w:t>
      </w:r>
      <w:r w:rsidR="005A3FEB">
        <w:t>’ pyre</w:t>
      </w:r>
      <w:r w:rsidR="00F930AB">
        <w:t>, as well as libations being a very common sacred act in Bronze Age Greece.</w:t>
      </w:r>
      <w:r w:rsidR="00345129">
        <w:t xml:space="preserve"> </w:t>
      </w:r>
      <w:r w:rsidR="00CE4CF9">
        <w:t xml:space="preserve">The personification of the fire being quenched rather than put out </w:t>
      </w:r>
      <w:r w:rsidR="0015167F">
        <w:t xml:space="preserve">could symbolically represent </w:t>
      </w:r>
      <w:r w:rsidR="001B0AC4">
        <w:t>it as a sacred thing that is being satisfied by what’s been offered to it rather than just burning out</w:t>
      </w:r>
      <w:r w:rsidR="00A12F83">
        <w:t>.</w:t>
      </w:r>
      <w:r w:rsidR="00436B8A">
        <w:t xml:space="preserve"> </w:t>
      </w:r>
    </w:p>
    <w:p w14:paraId="0B06957B" w14:textId="0880F8E5" w:rsidR="00B80F58" w:rsidRDefault="00436B8A" w:rsidP="002F3193">
      <w:r>
        <w:t xml:space="preserve">There is also an important social aspect to the secondary burial as instead of being done by </w:t>
      </w:r>
      <w:r w:rsidR="004E0DEB">
        <w:t xml:space="preserve">many, Hector’s bones are collected up by just </w:t>
      </w:r>
      <w:r w:rsidR="00380EAB">
        <w:t>“his brothers and his comrades”</w:t>
      </w:r>
      <w:r w:rsidR="005862F6">
        <w:t xml:space="preserve">. </w:t>
      </w:r>
      <w:r w:rsidR="004B0514">
        <w:t>This is significant as it shows how his final remains are being handled with care and that the handling of them is a reserved honour</w:t>
      </w:r>
      <w:r w:rsidR="00936405">
        <w:t xml:space="preserve">. They also mourn and cry during this process, </w:t>
      </w:r>
      <w:r w:rsidR="00D20454">
        <w:t xml:space="preserve">making it another social part of the grieving process for Hector’s family and friends. </w:t>
      </w:r>
      <w:r w:rsidR="002A073C">
        <w:t xml:space="preserve">It also shows how this is the last moment of </w:t>
      </w:r>
      <w:r w:rsidR="00842AAA">
        <w:t xml:space="preserve">familial </w:t>
      </w:r>
      <w:r w:rsidR="002A073C">
        <w:t xml:space="preserve">closeness with Hector as it is the final handling of his remains before they are </w:t>
      </w:r>
      <w:r w:rsidR="00842AAA">
        <w:t>buried</w:t>
      </w:r>
      <w:r w:rsidR="00277EC8">
        <w:t xml:space="preserve">. </w:t>
      </w:r>
      <w:r w:rsidR="007869D9">
        <w:t xml:space="preserve">It is also their job to </w:t>
      </w:r>
      <w:r w:rsidR="00F93BB2">
        <w:t>cover the urn with stones and heap the mound, completing the separation of Hector from the living</w:t>
      </w:r>
      <w:r w:rsidR="0064036D">
        <w:t xml:space="preserve">. </w:t>
      </w:r>
      <w:r w:rsidR="00AD7EAC">
        <w:t xml:space="preserve">The mound is also a physical and visual final resting place for Hector </w:t>
      </w:r>
      <w:r w:rsidR="00B50962">
        <w:t xml:space="preserve">that marks his status and </w:t>
      </w:r>
      <w:r w:rsidR="00FA0B01">
        <w:t xml:space="preserve">creates a site of social memory that </w:t>
      </w:r>
      <w:r w:rsidR="00B50962">
        <w:t>can be visited by the people of Troy.</w:t>
      </w:r>
    </w:p>
    <w:p w14:paraId="6B369BE5" w14:textId="7ECB86CA" w:rsidR="002F3193" w:rsidRDefault="002339DD">
      <w:r>
        <w:t>The final funerary process is the feast in Priam’s halls on the eleventh day</w:t>
      </w:r>
      <w:r w:rsidR="00474B7E">
        <w:t xml:space="preserve">, a ritual and social </w:t>
      </w:r>
      <w:r w:rsidR="00F25400">
        <w:t xml:space="preserve">action to honour the gods. </w:t>
      </w:r>
      <w:r w:rsidR="004E6942">
        <w:t xml:space="preserve">The people “gathering together duly feasted” </w:t>
      </w:r>
      <w:r w:rsidR="00E60935">
        <w:t>with the adverb “duly” s</w:t>
      </w:r>
      <w:r w:rsidR="00A24297">
        <w:t xml:space="preserve">howing that this is an important and </w:t>
      </w:r>
      <w:r w:rsidR="00A7640F">
        <w:t>expected</w:t>
      </w:r>
      <w:r w:rsidR="00A24297">
        <w:t xml:space="preserve"> part of the</w:t>
      </w:r>
      <w:r w:rsidR="00A7640F">
        <w:t xml:space="preserve"> burial practice for everyone to partake in. </w:t>
      </w:r>
      <w:r w:rsidR="00FA07A2">
        <w:t xml:space="preserve">The feast shows the relationship </w:t>
      </w:r>
      <w:r w:rsidR="00125659">
        <w:t>between</w:t>
      </w:r>
      <w:r w:rsidR="00FA07A2">
        <w:t xml:space="preserve"> the living and the divine</w:t>
      </w:r>
      <w:r w:rsidR="00125659">
        <w:t xml:space="preserve">, </w:t>
      </w:r>
      <w:r w:rsidR="00FA07A2">
        <w:t xml:space="preserve">with </w:t>
      </w:r>
      <w:r w:rsidR="00CC4E4C">
        <w:t>it being symbolic of the sacrificial relationship between humans and gods</w:t>
      </w:r>
      <w:r w:rsidR="00C4141E">
        <w:t xml:space="preserve"> </w:t>
      </w:r>
      <w:r w:rsidR="00C4141E" w:rsidRPr="00C4141E">
        <w:t>(Research Group for the Comparative Study of Feasting, 2017)</w:t>
      </w:r>
      <w:r w:rsidR="00125659">
        <w:t xml:space="preserve">. It also shows more personal relationships being men and gods, with </w:t>
      </w:r>
      <w:r w:rsidR="00F71D04">
        <w:t>“the king nurtured by Zeus”</w:t>
      </w:r>
      <w:r w:rsidR="00F4372A">
        <w:t xml:space="preserve"> as Zeus shows favour to Priam. This could be very literal as the gods often interact directly with the characters of the </w:t>
      </w:r>
      <w:r w:rsidR="00C61ED6">
        <w:t>Iliad,</w:t>
      </w:r>
      <w:r w:rsidR="00AF7F68">
        <w:t xml:space="preserve"> but it is also symbolic of how the Trojans have carried out the proper funeral rites for Hector and pleased the god. </w:t>
      </w:r>
      <w:r w:rsidR="00C61ED6">
        <w:t>The social aspe</w:t>
      </w:r>
      <w:r w:rsidR="00D72731">
        <w:t xml:space="preserve">ct of the feast with the people “gathering together” </w:t>
      </w:r>
      <w:r w:rsidR="005534A9">
        <w:t>show how the final part of the funeral is for the living to re</w:t>
      </w:r>
      <w:r w:rsidR="00AA408C">
        <w:t>-</w:t>
      </w:r>
      <w:r w:rsidR="001B6271">
        <w:t xml:space="preserve">establish new relationships after the loss of Hector. As they are gathered in the halls of Priam it also shows how as a </w:t>
      </w:r>
      <w:r w:rsidR="00EF023F">
        <w:t>host,</w:t>
      </w:r>
      <w:r w:rsidR="001B6271">
        <w:t xml:space="preserve"> he is </w:t>
      </w:r>
      <w:r w:rsidR="00304E1C">
        <w:t>restoring his social status as the king after the death of the prince</w:t>
      </w:r>
      <w:r w:rsidR="00432530">
        <w:t xml:space="preserve"> and making a personal sacrifice of his own food and drink on behalf of his son.</w:t>
      </w:r>
    </w:p>
    <w:p w14:paraId="2A319C41" w14:textId="77777777" w:rsidR="00325D62" w:rsidRDefault="00325D62"/>
    <w:p w14:paraId="57E557D1" w14:textId="4270754B" w:rsidR="00325D62" w:rsidRPr="00325D62" w:rsidRDefault="00325D62">
      <w:pPr>
        <w:rPr>
          <w:b/>
          <w:bCs/>
        </w:rPr>
      </w:pPr>
      <w:r w:rsidRPr="00325D62">
        <w:rPr>
          <w:b/>
          <w:bCs/>
        </w:rPr>
        <w:t>References</w:t>
      </w:r>
    </w:p>
    <w:p w14:paraId="0012D636" w14:textId="4C4BBD1F" w:rsidR="00325D62" w:rsidRDefault="000871BB">
      <w:r w:rsidRPr="000871BB">
        <w:t xml:space="preserve">Musgrave, J. (1990). Dust and </w:t>
      </w:r>
      <w:proofErr w:type="spellStart"/>
      <w:r w:rsidRPr="000871BB">
        <w:t>damn’d</w:t>
      </w:r>
      <w:proofErr w:type="spellEnd"/>
      <w:r w:rsidRPr="000871BB">
        <w:t xml:space="preserve"> oblivion: A study of cremation in ancient Greece. </w:t>
      </w:r>
      <w:r w:rsidRPr="000871BB">
        <w:rPr>
          <w:i/>
          <w:iCs/>
        </w:rPr>
        <w:t>The Annual of the British School at Athens</w:t>
      </w:r>
      <w:r w:rsidRPr="000871BB">
        <w:t>, 85, pp.271–299. doi:10.1017/s0068245400015689.</w:t>
      </w:r>
    </w:p>
    <w:p w14:paraId="0E5A3533" w14:textId="1BD20197" w:rsidR="00E46EA3" w:rsidRDefault="00B611C3">
      <w:r w:rsidRPr="00B611C3">
        <w:t xml:space="preserve">Hatzaki, E. (2012). Mortuary practices and ideology in bronze age and early iron age Crete. </w:t>
      </w:r>
      <w:r w:rsidRPr="00B611C3">
        <w:rPr>
          <w:i/>
          <w:iCs/>
        </w:rPr>
        <w:t>British School at Athens Studies</w:t>
      </w:r>
      <w:r w:rsidRPr="00B611C3">
        <w:t>, [online] 20, pp.307–313. Available at: https://www.jstor.org/stable/23541215 [Accessed 17 Oct. 2026].</w:t>
      </w:r>
    </w:p>
    <w:p w14:paraId="2FE1F285" w14:textId="02E8C363" w:rsidR="00C4141E" w:rsidRDefault="003C3CA4">
      <w:r w:rsidRPr="003C3CA4">
        <w:lastRenderedPageBreak/>
        <w:t xml:space="preserve">Research Group for the Comparative Study of Feasting. (2017). </w:t>
      </w:r>
      <w:r w:rsidRPr="003C3CA4">
        <w:rPr>
          <w:i/>
          <w:iCs/>
        </w:rPr>
        <w:t>Research program of director Kevin Solez</w:t>
      </w:r>
      <w:r w:rsidRPr="003C3CA4">
        <w:t>. [online] Available at: https://ravenresearchgroup.wordpress.com/research-program-of-director-kevin-solez/ [Accessed 17 Oct. 2026].</w:t>
      </w:r>
    </w:p>
    <w:p w14:paraId="44A976E2" w14:textId="77777777" w:rsidR="006806F1" w:rsidRPr="006806F1" w:rsidRDefault="006806F1" w:rsidP="006806F1">
      <w:r w:rsidRPr="006806F1">
        <w:t>No content generated by AI technologies has been presented as my own work</w:t>
      </w:r>
    </w:p>
    <w:p w14:paraId="64D23D86" w14:textId="77777777" w:rsidR="006806F1" w:rsidRPr="00EF023F" w:rsidRDefault="006806F1"/>
    <w:sectPr w:rsidR="006806F1" w:rsidRPr="00EF02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02057"/>
    <w:multiLevelType w:val="multilevel"/>
    <w:tmpl w:val="C87496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153183E"/>
    <w:multiLevelType w:val="hybridMultilevel"/>
    <w:tmpl w:val="FE9AE040"/>
    <w:lvl w:ilvl="0" w:tplc="A10279B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32017557">
    <w:abstractNumId w:val="1"/>
  </w:num>
  <w:num w:numId="2" w16cid:durableId="7821135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4A64"/>
    <w:rsid w:val="000411B2"/>
    <w:rsid w:val="000871BB"/>
    <w:rsid w:val="000A20A2"/>
    <w:rsid w:val="000A22DC"/>
    <w:rsid w:val="000A31C3"/>
    <w:rsid w:val="000A675E"/>
    <w:rsid w:val="000B1773"/>
    <w:rsid w:val="00125659"/>
    <w:rsid w:val="00133EA4"/>
    <w:rsid w:val="00147F39"/>
    <w:rsid w:val="0015167F"/>
    <w:rsid w:val="001A2C53"/>
    <w:rsid w:val="001B0AC4"/>
    <w:rsid w:val="001B6271"/>
    <w:rsid w:val="001B6BCA"/>
    <w:rsid w:val="001D4878"/>
    <w:rsid w:val="00202B9E"/>
    <w:rsid w:val="002339DD"/>
    <w:rsid w:val="00241924"/>
    <w:rsid w:val="00277EC8"/>
    <w:rsid w:val="002869F5"/>
    <w:rsid w:val="002A073C"/>
    <w:rsid w:val="002E5CED"/>
    <w:rsid w:val="002F3193"/>
    <w:rsid w:val="00304E1C"/>
    <w:rsid w:val="0031033B"/>
    <w:rsid w:val="00325D62"/>
    <w:rsid w:val="00345129"/>
    <w:rsid w:val="003610B5"/>
    <w:rsid w:val="00380EAB"/>
    <w:rsid w:val="003C3CA4"/>
    <w:rsid w:val="004069A0"/>
    <w:rsid w:val="00432530"/>
    <w:rsid w:val="00436B8A"/>
    <w:rsid w:val="0044474B"/>
    <w:rsid w:val="00445FC0"/>
    <w:rsid w:val="0045063C"/>
    <w:rsid w:val="0045632A"/>
    <w:rsid w:val="0046765A"/>
    <w:rsid w:val="00474B7E"/>
    <w:rsid w:val="004809BF"/>
    <w:rsid w:val="00480BDB"/>
    <w:rsid w:val="004B0514"/>
    <w:rsid w:val="004D06F8"/>
    <w:rsid w:val="004E0DEB"/>
    <w:rsid w:val="004E6942"/>
    <w:rsid w:val="004F1A1D"/>
    <w:rsid w:val="005534A9"/>
    <w:rsid w:val="005862F6"/>
    <w:rsid w:val="005A3FEB"/>
    <w:rsid w:val="005B0CFE"/>
    <w:rsid w:val="005B7765"/>
    <w:rsid w:val="005B7DD6"/>
    <w:rsid w:val="005C0C5D"/>
    <w:rsid w:val="005D4A89"/>
    <w:rsid w:val="005F3AAD"/>
    <w:rsid w:val="00601BB7"/>
    <w:rsid w:val="0062663B"/>
    <w:rsid w:val="0064036D"/>
    <w:rsid w:val="00647253"/>
    <w:rsid w:val="00664CE6"/>
    <w:rsid w:val="006753F4"/>
    <w:rsid w:val="006806F1"/>
    <w:rsid w:val="006835DA"/>
    <w:rsid w:val="006A4A64"/>
    <w:rsid w:val="006C5DA2"/>
    <w:rsid w:val="00706288"/>
    <w:rsid w:val="00734E7E"/>
    <w:rsid w:val="007363A8"/>
    <w:rsid w:val="00736EAC"/>
    <w:rsid w:val="00762D47"/>
    <w:rsid w:val="007703A2"/>
    <w:rsid w:val="007869D9"/>
    <w:rsid w:val="007870DE"/>
    <w:rsid w:val="007B7152"/>
    <w:rsid w:val="007E0245"/>
    <w:rsid w:val="00802EC0"/>
    <w:rsid w:val="00842AAA"/>
    <w:rsid w:val="00875275"/>
    <w:rsid w:val="008825E5"/>
    <w:rsid w:val="00891C0C"/>
    <w:rsid w:val="008C11C3"/>
    <w:rsid w:val="008F1450"/>
    <w:rsid w:val="00915FD6"/>
    <w:rsid w:val="0092620F"/>
    <w:rsid w:val="00936405"/>
    <w:rsid w:val="00955095"/>
    <w:rsid w:val="00960BF4"/>
    <w:rsid w:val="009848DB"/>
    <w:rsid w:val="0099478C"/>
    <w:rsid w:val="009A3BD4"/>
    <w:rsid w:val="009A4B41"/>
    <w:rsid w:val="009E1458"/>
    <w:rsid w:val="009E7CBE"/>
    <w:rsid w:val="009E7DDF"/>
    <w:rsid w:val="00A1281A"/>
    <w:rsid w:val="00A12F83"/>
    <w:rsid w:val="00A24297"/>
    <w:rsid w:val="00A72EC0"/>
    <w:rsid w:val="00A7640F"/>
    <w:rsid w:val="00AA408C"/>
    <w:rsid w:val="00AD7EAC"/>
    <w:rsid w:val="00AF4644"/>
    <w:rsid w:val="00AF5C98"/>
    <w:rsid w:val="00AF7F68"/>
    <w:rsid w:val="00B00486"/>
    <w:rsid w:val="00B020B5"/>
    <w:rsid w:val="00B26829"/>
    <w:rsid w:val="00B50962"/>
    <w:rsid w:val="00B611C3"/>
    <w:rsid w:val="00B80126"/>
    <w:rsid w:val="00B80F58"/>
    <w:rsid w:val="00BC1D52"/>
    <w:rsid w:val="00BC674A"/>
    <w:rsid w:val="00C4141E"/>
    <w:rsid w:val="00C57542"/>
    <w:rsid w:val="00C61ED6"/>
    <w:rsid w:val="00C71F8C"/>
    <w:rsid w:val="00C73CCC"/>
    <w:rsid w:val="00CC1497"/>
    <w:rsid w:val="00CC4E4C"/>
    <w:rsid w:val="00CE4CF9"/>
    <w:rsid w:val="00D06447"/>
    <w:rsid w:val="00D20454"/>
    <w:rsid w:val="00D3181D"/>
    <w:rsid w:val="00D36DB5"/>
    <w:rsid w:val="00D72731"/>
    <w:rsid w:val="00D9409C"/>
    <w:rsid w:val="00DD36EC"/>
    <w:rsid w:val="00E106EE"/>
    <w:rsid w:val="00E3235E"/>
    <w:rsid w:val="00E41E13"/>
    <w:rsid w:val="00E46DA3"/>
    <w:rsid w:val="00E46EA3"/>
    <w:rsid w:val="00E60935"/>
    <w:rsid w:val="00EB7D6A"/>
    <w:rsid w:val="00ED2ADB"/>
    <w:rsid w:val="00EF023F"/>
    <w:rsid w:val="00F158DA"/>
    <w:rsid w:val="00F25400"/>
    <w:rsid w:val="00F4372A"/>
    <w:rsid w:val="00F71D04"/>
    <w:rsid w:val="00F930AB"/>
    <w:rsid w:val="00F93BB2"/>
    <w:rsid w:val="00FA07A2"/>
    <w:rsid w:val="00FA0B01"/>
    <w:rsid w:val="00FC4244"/>
    <w:rsid w:val="00FD64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7C5E31"/>
  <w15:chartTrackingRefBased/>
  <w15:docId w15:val="{D62C9009-2A69-45AE-9579-AAE2E5A4DD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4A6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4A6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4A6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4A6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4A6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4A6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4A6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4A6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4A6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4A6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4A6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4A6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4A6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4A6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4A6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4A6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4A6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4A6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4A6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4A6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4A6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4A6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4A6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4A6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4A6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4A6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4A6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4A6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4A64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10" ma:contentTypeDescription="Create a new document." ma:contentTypeScope="" ma:versionID="d61ab4206ff597e28f7d0e1e701d7b55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ebfec3b90e779a42c48cfbc565d4be10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BillingMetadata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BillingMetadata" ma:index="12" nillable="true" ma:displayName="MediaServiceBillingMetadata" ma:hidden="true" ma:internalName="MediaServiceBillingMetadata" ma:readOnly="true">
      <xsd:simpleType>
        <xsd:restriction base="dms:Note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7D2FAE1-8664-4AF8-8144-9A04C0DD847D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customXml/itemProps2.xml><?xml version="1.0" encoding="utf-8"?>
<ds:datastoreItem xmlns:ds="http://schemas.openxmlformats.org/officeDocument/2006/customXml" ds:itemID="{F84C8E38-7EB7-4407-A628-8E0CD4BA8C8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9FD06D9-B7B6-45B2-86BC-3391FF59A3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1577</TotalTime>
  <Pages>3</Pages>
  <Words>973</Words>
  <Characters>5547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 Downing (2501427)</dc:creator>
  <cp:keywords/>
  <dc:description/>
  <cp:lastModifiedBy>Flo Downing (2501427)</cp:lastModifiedBy>
  <cp:revision>145</cp:revision>
  <dcterms:created xsi:type="dcterms:W3CDTF">2026-10-15T22:30:00Z</dcterms:created>
  <dcterms:modified xsi:type="dcterms:W3CDTF">2026-10-23T21:51:00Z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