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charts/chart1.xml" ContentType="application/vnd.openxmlformats-officedocument.drawingml.chart+xml"/>
  <Override PartName="/word/charts/colors1.xml" ContentType="application/vnd.ms-office.chartcolorstyle+xml"/>
  <Override PartName="/word/charts/style1.xml" ContentType="application/vnd.ms-office.chartstyle+xml"/>
  <Override PartName="/word/diagrams/colors1.xml" ContentType="application/vnd.openxmlformats-officedocument.drawingml.diagramColors+xml"/>
  <Override PartName="/word/diagrams/data1.xml" ContentType="application/vnd.openxmlformats-officedocument.drawingml.diagramData+xml"/>
  <Override PartName="/word/diagrams/drawing1.xml" ContentType="application/vnd.ms-office.drawingml.diagramDrawing+xml"/>
  <Override PartName="/word/diagrams/layout1.xml" ContentType="application/vnd.openxmlformats-officedocument.drawingml.diagramLayout+xml"/>
  <Override PartName="/word/diagrams/quickStyle1.xml" ContentType="application/vnd.openxmlformats-officedocument.drawingml.diagramStyle+xml"/>
  <Override PartName="/word/document.xml" ContentType="application/vnd.openxmlformats-officedocument.wordprocessingml.document.main+xml"/>
  <Override PartName="/word/fontTable.xml" ContentType="application/vnd.openxmlformats-officedocument.wordprocessingml.fontTable+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4478435">
      <w:pPr>
        <w:ind w:left="426"/>
        <w:rPr>
          <w:rFonts w:ascii="Arial" w:hAnsi="Arial" w:cs="Arial"/>
        </w:rPr>
      </w:pPr>
      <w:r>
        <w:drawing>
          <wp:anchor distT="0" distB="0" distL="114300" distR="114300" simplePos="0" relativeHeight="251659264" behindDoc="1" locked="0" layoutInCell="1" allowOverlap="1">
            <wp:simplePos x="0" y="0"/>
            <wp:positionH relativeFrom="page">
              <wp:align>center</wp:align>
            </wp:positionH>
            <wp:positionV relativeFrom="paragraph">
              <wp:posOffset>4445</wp:posOffset>
            </wp:positionV>
            <wp:extent cx="4152900" cy="1328420"/>
            <wp:effectExtent l="0" t="0" r="0" b="0"/>
            <wp:wrapTight wrapText="bothSides">
              <wp:wrapPolygon>
                <wp:start x="892" y="3407"/>
                <wp:lineTo x="892" y="8983"/>
                <wp:lineTo x="1288" y="13939"/>
                <wp:lineTo x="2378" y="17346"/>
                <wp:lineTo x="2477" y="17966"/>
                <wp:lineTo x="7332" y="17966"/>
                <wp:lineTo x="12881" y="17346"/>
                <wp:lineTo x="12980" y="13939"/>
                <wp:lineTo x="17141" y="13629"/>
                <wp:lineTo x="17339" y="9602"/>
                <wp:lineTo x="21204" y="8983"/>
                <wp:lineTo x="21402" y="5266"/>
                <wp:lineTo x="19321" y="3407"/>
                <wp:lineTo x="892" y="3407"/>
              </wp:wrapPolygon>
            </wp:wrapTight>
            <wp:docPr id="3" name="Picture 1" descr="SCVO | Sandwell Council of Voluntary Organisation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1" descr="SCVO | Sandwell Council of Voluntary Organisations."/>
                    <pic:cNvPicPr>
                      <a:picLocks noChangeAspect="1"/>
                    </pic:cNvPicPr>
                  </pic:nvPicPr>
                  <pic:blipFill>
                    <a:blip r:embed="rId7">
                      <a:extLst>
                        <a:ext uri="{28A0092B-C50C-407E-A947-70E740481C1C}">
                          <a14:useLocalDpi xmlns:a14="http://schemas.microsoft.com/office/drawing/2010/main" val="0"/>
                        </a:ext>
                      </a:extLst>
                    </a:blip>
                    <a:srcRect r="23643"/>
                    <a:stretch>
                      <a:fillRect/>
                    </a:stretch>
                  </pic:blipFill>
                  <pic:spPr>
                    <a:xfrm>
                      <a:off x="0" y="0"/>
                      <a:ext cx="4152900" cy="1328420"/>
                    </a:xfrm>
                    <a:prstGeom prst="rect">
                      <a:avLst/>
                    </a:prstGeom>
                    <a:noFill/>
                    <a:ln>
                      <a:noFill/>
                    </a:ln>
                  </pic:spPr>
                </pic:pic>
              </a:graphicData>
            </a:graphic>
          </wp:anchor>
        </w:drawing>
      </w:r>
    </w:p>
    <w:p w14:paraId="3A253CFB">
      <w:pPr>
        <w:spacing w:line="360" w:lineRule="auto"/>
        <w:ind w:left="426"/>
        <w:rPr>
          <w:rFonts w:ascii="Arial" w:hAnsi="Arial" w:cs="Arial"/>
          <w:szCs w:val="24"/>
        </w:rPr>
      </w:pPr>
    </w:p>
    <w:p w14:paraId="41A133E3">
      <w:pPr>
        <w:spacing w:line="360" w:lineRule="auto"/>
        <w:ind w:left="426"/>
        <w:rPr>
          <w:rFonts w:ascii="Arial" w:hAnsi="Arial" w:cs="Arial"/>
          <w:szCs w:val="24"/>
        </w:rPr>
      </w:pPr>
    </w:p>
    <w:p w14:paraId="605068F9">
      <w:pPr>
        <w:spacing w:line="360" w:lineRule="auto"/>
        <w:ind w:left="426"/>
        <w:rPr>
          <w:rFonts w:ascii="Arial" w:hAnsi="Arial" w:cs="Arial"/>
          <w:szCs w:val="24"/>
        </w:rPr>
      </w:pPr>
    </w:p>
    <w:p w14:paraId="543861DF">
      <w:pPr>
        <w:rPr>
          <w:rFonts w:ascii="Arial" w:hAnsi="Arial" w:cs="Arial"/>
        </w:rPr>
      </w:pPr>
    </w:p>
    <w:p w14:paraId="1B9C9B98">
      <w:pPr>
        <w:jc w:val="center"/>
        <w:rPr>
          <w:rFonts w:ascii="Aptos" w:hAnsi="Aptos"/>
          <w:b/>
          <w:bCs/>
          <w:sz w:val="36"/>
          <w:szCs w:val="36"/>
        </w:rPr>
      </w:pPr>
    </w:p>
    <w:p w14:paraId="216E92B4">
      <w:pPr>
        <w:jc w:val="center"/>
        <w:rPr>
          <w:rFonts w:ascii="Aptos" w:hAnsi="Aptos"/>
          <w:b/>
          <w:bCs/>
          <w:sz w:val="36"/>
          <w:szCs w:val="36"/>
        </w:rPr>
      </w:pPr>
      <w:r>
        <w:rPr>
          <w:rFonts w:ascii="Aptos" w:hAnsi="Aptos"/>
          <w:b/>
          <w:bCs/>
          <w:sz w:val="36"/>
          <w:szCs w:val="36"/>
        </w:rPr>
        <w:t xml:space="preserve">Methods and Search Strategy Academic Poster </w:t>
      </w:r>
    </w:p>
    <w:p w14:paraId="2C135EB3">
      <w:pPr>
        <w:jc w:val="center"/>
        <w:rPr>
          <w:rFonts w:ascii="Aptos" w:hAnsi="Aptos"/>
          <w:b/>
          <w:bCs/>
          <w:sz w:val="36"/>
          <w:szCs w:val="36"/>
        </w:rPr>
      </w:pPr>
    </w:p>
    <w:p w14:paraId="630B5F3A">
      <w:pPr>
        <w:jc w:val="center"/>
        <w:rPr>
          <w:rFonts w:ascii="Aptos" w:hAnsi="Aptos"/>
          <w:b/>
          <w:bCs/>
          <w:sz w:val="36"/>
          <w:szCs w:val="36"/>
        </w:rPr>
      </w:pPr>
    </w:p>
    <w:p w14:paraId="3260C959">
      <w:pPr>
        <w:jc w:val="center"/>
        <w:rPr>
          <w:rFonts w:ascii="Aptos" w:hAnsi="Aptos"/>
          <w:b/>
          <w:bCs/>
          <w:sz w:val="36"/>
          <w:szCs w:val="36"/>
        </w:rPr>
      </w:pPr>
    </w:p>
    <w:p w14:paraId="461920A4">
      <w:pPr>
        <w:tabs>
          <w:tab w:val="left" w:pos="6540"/>
        </w:tabs>
        <w:spacing w:line="360" w:lineRule="auto"/>
        <w:ind w:left="426"/>
        <w:rPr>
          <w:rFonts w:ascii="Aptos" w:hAnsi="Aptos" w:cs="Arial"/>
          <w:sz w:val="28"/>
          <w:szCs w:val="28"/>
          <w:lang w:val="nl-NL"/>
        </w:rPr>
      </w:pPr>
      <w:r>
        <w:rPr>
          <w:rFonts w:ascii="Aptos" w:hAnsi="Aptos" w:cs="Arial"/>
          <w:b/>
          <w:bCs/>
          <w:sz w:val="28"/>
          <w:szCs w:val="28"/>
          <w:lang w:val="nl-NL"/>
        </w:rPr>
        <w:t>Student name</w:t>
      </w:r>
      <w:r>
        <w:rPr>
          <w:rFonts w:ascii="Aptos" w:hAnsi="Aptos" w:cs="Arial"/>
          <w:sz w:val="28"/>
          <w:szCs w:val="28"/>
          <w:lang w:val="nl-NL"/>
        </w:rPr>
        <w:t>:</w:t>
      </w:r>
    </w:p>
    <w:p w14:paraId="4D060E17">
      <w:pPr>
        <w:tabs>
          <w:tab w:val="left" w:pos="6540"/>
        </w:tabs>
        <w:spacing w:line="360" w:lineRule="auto"/>
        <w:ind w:left="426"/>
        <w:rPr>
          <w:rFonts w:ascii="Aptos" w:hAnsi="Aptos" w:cs="Arial"/>
          <w:sz w:val="28"/>
          <w:szCs w:val="28"/>
          <w:lang w:val="nl-NL"/>
        </w:rPr>
      </w:pPr>
      <w:r>
        <w:rPr>
          <w:rFonts w:ascii="Aptos" w:hAnsi="Aptos" w:cs="Arial"/>
          <w:b/>
          <w:bCs/>
          <w:sz w:val="28"/>
          <w:szCs w:val="28"/>
          <w:lang w:val="nl-NL"/>
        </w:rPr>
        <w:t>Student ID</w:t>
      </w:r>
      <w:r>
        <w:rPr>
          <w:rFonts w:ascii="Aptos" w:hAnsi="Aptos" w:cs="Arial"/>
          <w:sz w:val="28"/>
          <w:szCs w:val="28"/>
          <w:lang w:val="nl-NL"/>
        </w:rPr>
        <w:t>:</w:t>
      </w:r>
    </w:p>
    <w:p w14:paraId="7C577260">
      <w:pPr>
        <w:tabs>
          <w:tab w:val="left" w:pos="6540"/>
        </w:tabs>
        <w:spacing w:line="360" w:lineRule="auto"/>
        <w:ind w:left="426"/>
        <w:rPr>
          <w:rFonts w:ascii="Aptos" w:hAnsi="Aptos" w:cs="Arial"/>
          <w:sz w:val="28"/>
          <w:szCs w:val="28"/>
          <w:lang w:val="nl-NL"/>
        </w:rPr>
      </w:pPr>
    </w:p>
    <w:p w14:paraId="41CBCDE7">
      <w:pPr>
        <w:tabs>
          <w:tab w:val="left" w:pos="6540"/>
        </w:tabs>
        <w:spacing w:line="360" w:lineRule="auto"/>
        <w:ind w:left="426"/>
        <w:rPr>
          <w:rFonts w:ascii="Aptos" w:hAnsi="Aptos" w:cs="Arial"/>
          <w:sz w:val="28"/>
          <w:szCs w:val="28"/>
          <w:lang w:val="nl-NL"/>
        </w:rPr>
      </w:pPr>
      <w:r>
        <w:rPr>
          <w:rFonts w:ascii="Aptos" w:hAnsi="Aptos" w:cs="Arial"/>
          <w:b/>
          <w:bCs/>
          <w:sz w:val="28"/>
          <w:szCs w:val="28"/>
          <w:lang w:val="nl-NL"/>
        </w:rPr>
        <w:t>Module name</w:t>
      </w:r>
      <w:r>
        <w:rPr>
          <w:rFonts w:ascii="Aptos" w:hAnsi="Aptos" w:cs="Arial"/>
          <w:sz w:val="28"/>
          <w:szCs w:val="28"/>
          <w:lang w:val="nl-NL"/>
        </w:rPr>
        <w:t xml:space="preserve">: </w:t>
      </w:r>
    </w:p>
    <w:p w14:paraId="42A6E8AA">
      <w:pPr>
        <w:tabs>
          <w:tab w:val="left" w:pos="6540"/>
        </w:tabs>
        <w:spacing w:line="360" w:lineRule="auto"/>
        <w:ind w:left="426"/>
        <w:rPr>
          <w:rFonts w:ascii="Aptos" w:hAnsi="Aptos" w:cs="Arial"/>
          <w:sz w:val="28"/>
          <w:szCs w:val="28"/>
        </w:rPr>
      </w:pPr>
      <w:r>
        <w:rPr>
          <w:rFonts w:ascii="Aptos" w:hAnsi="Aptos" w:cs="Arial"/>
          <w:b/>
          <w:bCs/>
          <w:sz w:val="28"/>
          <w:szCs w:val="28"/>
        </w:rPr>
        <w:t>Module code</w:t>
      </w:r>
      <w:r>
        <w:rPr>
          <w:rFonts w:ascii="Aptos" w:hAnsi="Aptos" w:cs="Arial"/>
          <w:sz w:val="28"/>
          <w:szCs w:val="28"/>
        </w:rPr>
        <w:t>:</w:t>
      </w:r>
    </w:p>
    <w:p w14:paraId="41A4DC93">
      <w:pPr>
        <w:jc w:val="center"/>
        <w:rPr>
          <w:rFonts w:ascii="Aptos" w:hAnsi="Aptos"/>
          <w:b/>
          <w:bCs/>
        </w:rPr>
        <w:sectPr>
          <w:headerReference r:id="rId5" w:type="first"/>
          <w:headerReference r:id="rId4" w:type="default"/>
          <w:pgSz w:w="12240" w:h="15840"/>
          <w:pgMar w:top="720" w:right="576" w:bottom="720" w:left="720" w:header="432" w:footer="288" w:gutter="0"/>
          <w:cols w:space="720" w:num="1"/>
          <w:titlePg/>
          <w:docGrid w:linePitch="360" w:charSpace="0"/>
        </w:sectPr>
      </w:pPr>
      <w:r>
        <w:rPr>
          <w:rFonts w:ascii="Aptos" w:hAnsi="Aptos"/>
          <w:b/>
          <w:bCs/>
        </w:rPr>
        <w:br w:type="page"/>
      </w:r>
    </w:p>
    <w:tbl>
      <w:tblPr>
        <w:tblStyle w:val="13"/>
        <w:tblW w:w="1461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225"/>
        <w:gridCol w:w="7391"/>
      </w:tblGrid>
      <w:tr w14:paraId="2F1EE6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7" w:hRule="atLeast"/>
        </w:trPr>
        <w:tc>
          <w:tcPr>
            <w:tcW w:w="14616" w:type="dxa"/>
            <w:gridSpan w:val="2"/>
            <w:shd w:val="clear" w:color="auto" w:fill="7E7E7E" w:themeFill="background1" w:themeFillShade="7F"/>
            <w:vAlign w:val="center"/>
          </w:tcPr>
          <w:p w14:paraId="080E7EB0">
            <w:pPr>
              <w:jc w:val="center"/>
              <w:rPr>
                <w:rFonts w:ascii="Aptos" w:hAnsi="Aptos"/>
                <w:b/>
                <w:bCs/>
              </w:rPr>
            </w:pPr>
            <w:r>
              <w:rPr>
                <w:rFonts w:hint="default" w:ascii="Aptos" w:hAnsi="Aptos"/>
                <w:b/>
                <w:bCs/>
                <w:sz w:val="36"/>
                <w:szCs w:val="36"/>
              </w:rPr>
              <w:t xml:space="preserve">The psychological effect of FGM on young girls: A </w:t>
            </w:r>
            <w:r>
              <w:rPr>
                <w:rFonts w:hint="default" w:ascii="Aptos" w:hAnsi="Aptos"/>
                <w:b/>
                <w:bCs/>
                <w:sz w:val="36"/>
                <w:szCs w:val="36"/>
                <w:lang w:val="en-US"/>
              </w:rPr>
              <w:t>S</w:t>
            </w:r>
            <w:bookmarkStart w:id="0" w:name="_GoBack"/>
            <w:bookmarkEnd w:id="0"/>
            <w:r>
              <w:rPr>
                <w:rFonts w:hint="default" w:ascii="Aptos" w:hAnsi="Aptos"/>
                <w:b/>
                <w:bCs/>
                <w:sz w:val="36"/>
                <w:szCs w:val="36"/>
              </w:rPr>
              <w:t>ystematic Review</w:t>
            </w:r>
          </w:p>
        </w:tc>
      </w:tr>
      <w:tr w14:paraId="51100E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56" w:hRule="atLeast"/>
        </w:trPr>
        <w:tc>
          <w:tcPr>
            <w:tcW w:w="7225" w:type="dxa"/>
          </w:tcPr>
          <w:p w14:paraId="7D5ABB49">
            <w:pPr>
              <w:shd w:val="clear" w:fill="9CC2E5" w:themeFill="accent5" w:themeFillTint="99"/>
              <w:rPr>
                <w:rFonts w:ascii="Aptos" w:hAnsi="Aptos"/>
                <w:b/>
                <w:bCs/>
              </w:rPr>
            </w:pPr>
            <w:r>
              <w:rPr>
                <w:rFonts w:ascii="Aptos" w:hAnsi="Aptos"/>
                <w:b/>
                <w:bCs/>
                <w:sz w:val="40"/>
                <w:szCs w:val="40"/>
              </w:rPr>
              <w:t>01</w:t>
            </w:r>
            <w:r>
              <w:rPr>
                <w:rFonts w:ascii="Aptos" w:hAnsi="Aptos"/>
              </w:rPr>
              <w:t xml:space="preserve">  </w:t>
            </w:r>
            <w:r>
              <w:rPr>
                <w:rFonts w:ascii="Aptos" w:hAnsi="Aptos"/>
                <w:b/>
                <w:bCs/>
              </w:rPr>
              <w:t xml:space="preserve">Introduction and Research Aim </w:t>
            </w:r>
          </w:p>
          <w:p w14:paraId="7BD0BE4C">
            <w:pPr>
              <w:shd w:val="clear" w:fill="9CC2E5" w:themeFill="accent5" w:themeFillTint="99"/>
              <w:spacing w:line="360" w:lineRule="auto"/>
              <w:jc w:val="both"/>
              <w:rPr>
                <w:rFonts w:hint="default" w:ascii="Aptos" w:hAnsi="Aptos"/>
              </w:rPr>
            </w:pPr>
            <w:r>
              <w:rPr>
                <w:rFonts w:hint="default" w:ascii="Aptos" w:hAnsi="Aptos"/>
              </w:rPr>
              <w:t xml:space="preserve">This methodology outlines the process </w:t>
            </w:r>
            <w:r>
              <w:rPr>
                <w:rFonts w:hint="default" w:ascii="Aptos" w:hAnsi="Aptos"/>
                <w:lang w:val="en-US"/>
              </w:rPr>
              <w:t xml:space="preserve">of the </w:t>
            </w:r>
            <w:r>
              <w:rPr>
                <w:rFonts w:hint="default" w:ascii="Aptos" w:hAnsi="Aptos"/>
              </w:rPr>
              <w:t xml:space="preserve">systematic </w:t>
            </w:r>
            <w:r>
              <w:rPr>
                <w:rFonts w:hint="default" w:ascii="Aptos" w:hAnsi="Aptos"/>
                <w:lang w:val="en-US"/>
              </w:rPr>
              <w:t xml:space="preserve">review </w:t>
            </w:r>
            <w:r>
              <w:rPr>
                <w:rFonts w:hint="default" w:ascii="Aptos" w:hAnsi="Aptos"/>
              </w:rPr>
              <w:t xml:space="preserve">in which </w:t>
            </w:r>
            <w:r>
              <w:rPr>
                <w:rFonts w:hint="default" w:ascii="Aptos" w:hAnsi="Aptos"/>
                <w:lang w:val="en-US"/>
              </w:rPr>
              <w:t>a structured,</w:t>
            </w:r>
            <w:r>
              <w:rPr>
                <w:rFonts w:hint="default" w:ascii="Aptos" w:hAnsi="Aptos"/>
              </w:rPr>
              <w:t xml:space="preserve"> desk-based approach was used to identify, assess</w:t>
            </w:r>
            <w:r>
              <w:rPr>
                <w:rFonts w:hint="default" w:ascii="Aptos" w:hAnsi="Aptos"/>
                <w:lang w:val="en-US"/>
              </w:rPr>
              <w:t>,</w:t>
            </w:r>
            <w:r>
              <w:rPr>
                <w:rFonts w:hint="default" w:ascii="Aptos" w:hAnsi="Aptos"/>
              </w:rPr>
              <w:t xml:space="preserve"> and synthesise available evidence. A systematic methodology is essential </w:t>
            </w:r>
            <w:r>
              <w:rPr>
                <w:rFonts w:hint="default" w:ascii="Aptos" w:hAnsi="Aptos"/>
                <w:lang w:val="en-US"/>
              </w:rPr>
              <w:t>as it helps e</w:t>
            </w:r>
            <w:r>
              <w:rPr>
                <w:rFonts w:hint="default" w:ascii="Aptos" w:hAnsi="Aptos"/>
              </w:rPr>
              <w:t>nsure that there is no arbitrary selection of sources</w:t>
            </w:r>
            <w:r>
              <w:rPr>
                <w:rFonts w:hint="default" w:ascii="Aptos" w:hAnsi="Aptos"/>
                <w:lang w:val="en-US"/>
              </w:rPr>
              <w:t>, making</w:t>
            </w:r>
            <w:r>
              <w:rPr>
                <w:rFonts w:hint="default" w:ascii="Aptos" w:hAnsi="Aptos"/>
              </w:rPr>
              <w:t xml:space="preserve"> the review process more reproducible (Page et al., 2021). The poster details the key methodological stages, such as searching, validation, analysis, eligibility criteria</w:t>
            </w:r>
            <w:r>
              <w:rPr>
                <w:rFonts w:hint="default" w:ascii="Aptos" w:hAnsi="Aptos"/>
                <w:lang w:val="en-US"/>
              </w:rPr>
              <w:t>,</w:t>
            </w:r>
            <w:r>
              <w:rPr>
                <w:rFonts w:hint="default" w:ascii="Aptos" w:hAnsi="Aptos"/>
              </w:rPr>
              <w:t xml:space="preserve"> and ethical issues.</w:t>
            </w:r>
          </w:p>
          <w:p w14:paraId="228E2571">
            <w:pPr>
              <w:shd w:val="clear" w:fill="9CC2E5" w:themeFill="accent5" w:themeFillTint="99"/>
              <w:spacing w:line="360" w:lineRule="auto"/>
              <w:jc w:val="both"/>
              <w:rPr>
                <w:rFonts w:hint="default" w:ascii="Aptos" w:hAnsi="Aptos"/>
              </w:rPr>
            </w:pPr>
            <w:r>
              <w:rPr>
                <w:rFonts w:hint="default" w:ascii="Aptos" w:hAnsi="Aptos"/>
              </w:rPr>
              <w:t>The aim of this systematic review is to critically examine the psychological effects of female genital mutilation (FGM) on young girls, synthesising recent evidence on mental health outcomes, contributing factors, and support needs to inform health and social care policy, practice, and interventions.</w:t>
            </w:r>
          </w:p>
        </w:tc>
        <w:tc>
          <w:tcPr>
            <w:tcW w:w="7391" w:type="dxa"/>
          </w:tcPr>
          <w:p w14:paraId="512F9F0B">
            <w:pPr>
              <w:shd w:val="clear" w:fill="A8D08D" w:themeFill="accent6" w:themeFillTint="99"/>
              <w:rPr>
                <w:rFonts w:ascii="Aptos" w:hAnsi="Aptos"/>
              </w:rPr>
            </w:pPr>
            <w:r>
              <w:rPr>
                <w:rFonts w:ascii="Aptos" w:hAnsi="Aptos"/>
                <w:b/>
                <w:bCs/>
                <w:sz w:val="40"/>
                <w:szCs w:val="40"/>
              </w:rPr>
              <w:t xml:space="preserve">02 </w:t>
            </w:r>
            <w:r>
              <w:rPr>
                <w:rFonts w:ascii="Aptos" w:hAnsi="Aptos"/>
                <w:b/>
                <w:bCs/>
              </w:rPr>
              <w:t>Search Strategy</w:t>
            </w:r>
            <w:r>
              <w:rPr>
                <w:rFonts w:ascii="Aptos" w:hAnsi="Aptos"/>
              </w:rPr>
              <w:t xml:space="preserve"> </w:t>
            </w:r>
          </w:p>
          <w:p w14:paraId="3B21E797">
            <w:pPr>
              <w:shd w:val="clear" w:fill="A8D08D" w:themeFill="accent6" w:themeFillTint="99"/>
              <w:spacing w:line="360" w:lineRule="auto"/>
              <w:jc w:val="both"/>
              <w:rPr>
                <w:rFonts w:hint="default" w:ascii="Aptos" w:hAnsi="Aptos"/>
                <w:lang w:val="en-GB"/>
              </w:rPr>
            </w:pPr>
            <w:r>
              <w:rPr>
                <w:rFonts w:hint="default" w:ascii="Aptos" w:hAnsi="Aptos"/>
                <w:lang w:val="en-GB"/>
              </w:rPr>
              <w:t>A search strategy is a systematic and planned approach to finding relevant evidence from information sources</w:t>
            </w:r>
            <w:r>
              <w:rPr>
                <w:rFonts w:hint="default" w:ascii="Aptos" w:hAnsi="Aptos"/>
                <w:lang w:val="en-US"/>
              </w:rPr>
              <w:t xml:space="preserve"> (MacFarlane et al., 2022)</w:t>
            </w:r>
            <w:r>
              <w:rPr>
                <w:rFonts w:hint="default" w:ascii="Aptos" w:hAnsi="Aptos"/>
                <w:lang w:val="en-GB"/>
              </w:rPr>
              <w:t>. It</w:t>
            </w:r>
            <w:r>
              <w:rPr>
                <w:rFonts w:hint="default" w:ascii="Aptos" w:hAnsi="Aptos"/>
                <w:lang w:val="en-US"/>
              </w:rPr>
              <w:t xml:space="preserve"> </w:t>
            </w:r>
            <w:r>
              <w:rPr>
                <w:rFonts w:hint="default" w:ascii="Aptos" w:hAnsi="Aptos"/>
                <w:lang w:val="en-GB"/>
              </w:rPr>
              <w:t>ind</w:t>
            </w:r>
            <w:r>
              <w:rPr>
                <w:rFonts w:hint="default" w:ascii="Aptos" w:hAnsi="Aptos"/>
                <w:lang w:val="en-US"/>
              </w:rPr>
              <w:t>icates</w:t>
            </w:r>
            <w:r>
              <w:rPr>
                <w:rFonts w:hint="default" w:ascii="Aptos" w:hAnsi="Aptos"/>
                <w:lang w:val="en-GB"/>
              </w:rPr>
              <w:t xml:space="preserve"> details of the database or website searched, search terms, limitations</w:t>
            </w:r>
            <w:r>
              <w:rPr>
                <w:rFonts w:hint="default" w:ascii="Aptos" w:hAnsi="Aptos"/>
                <w:lang w:val="en-US"/>
              </w:rPr>
              <w:t>,</w:t>
            </w:r>
            <w:r>
              <w:rPr>
                <w:rFonts w:hint="default" w:ascii="Aptos" w:hAnsi="Aptos"/>
                <w:lang w:val="en-GB"/>
              </w:rPr>
              <w:t xml:space="preserve"> and combinations of terms used so the process can be evaluated and replicated (Page et al., 2021). To come up with the keywords for this review, the research aim was used as the basis such as Female genital mutilation, FGM/C, psychological effects, mental health, anxiety, depression, PTSD, trauma, young girls</w:t>
            </w:r>
            <w:r>
              <w:rPr>
                <w:rFonts w:hint="default" w:ascii="Aptos" w:hAnsi="Aptos"/>
                <w:lang w:val="en-US"/>
              </w:rPr>
              <w:t>,</w:t>
            </w:r>
            <w:r>
              <w:rPr>
                <w:rFonts w:hint="default" w:ascii="Aptos" w:hAnsi="Aptos"/>
                <w:lang w:val="en-GB"/>
              </w:rPr>
              <w:t xml:space="preserve"> and adolescents. Synonyms were joined with OR</w:t>
            </w:r>
            <w:r>
              <w:rPr>
                <w:rFonts w:hint="default" w:ascii="Aptos" w:hAnsi="Aptos"/>
                <w:lang w:val="en-US"/>
              </w:rPr>
              <w:t>, whereas</w:t>
            </w:r>
            <w:r>
              <w:rPr>
                <w:rFonts w:hint="default" w:ascii="Aptos" w:hAnsi="Aptos"/>
                <w:lang w:val="en-GB"/>
              </w:rPr>
              <w:t xml:space="preserve"> key concepts</w:t>
            </w:r>
            <w:r>
              <w:rPr>
                <w:rFonts w:hint="default" w:ascii="Aptos" w:hAnsi="Aptos"/>
                <w:lang w:val="en-US"/>
              </w:rPr>
              <w:t xml:space="preserve"> were</w:t>
            </w:r>
            <w:r>
              <w:rPr>
                <w:rFonts w:hint="default" w:ascii="Aptos" w:hAnsi="Aptos"/>
                <w:lang w:val="en-GB"/>
              </w:rPr>
              <w:t xml:space="preserve"> joined with AND. This </w:t>
            </w:r>
            <w:r>
              <w:rPr>
                <w:rFonts w:hint="default" w:ascii="Aptos" w:hAnsi="Aptos"/>
                <w:lang w:val="en-US"/>
              </w:rPr>
              <w:t xml:space="preserve">resulted in </w:t>
            </w:r>
            <w:r>
              <w:rPr>
                <w:rFonts w:hint="default" w:ascii="Aptos" w:hAnsi="Aptos"/>
                <w:lang w:val="en-GB"/>
              </w:rPr>
              <w:t xml:space="preserve">more coverage </w:t>
            </w:r>
            <w:r>
              <w:rPr>
                <w:rFonts w:hint="default" w:ascii="Aptos" w:hAnsi="Aptos"/>
                <w:lang w:val="en-US"/>
              </w:rPr>
              <w:t>while keeping</w:t>
            </w:r>
            <w:r>
              <w:rPr>
                <w:rFonts w:hint="default" w:ascii="Aptos" w:hAnsi="Aptos"/>
                <w:lang w:val="en-GB"/>
              </w:rPr>
              <w:t xml:space="preserve"> relevance.</w:t>
            </w:r>
          </w:p>
        </w:tc>
      </w:tr>
      <w:tr w14:paraId="56FBFF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56" w:hRule="atLeast"/>
        </w:trPr>
        <w:tc>
          <w:tcPr>
            <w:tcW w:w="7225" w:type="dxa"/>
          </w:tcPr>
          <w:p w14:paraId="30AEBD55">
            <w:pPr>
              <w:shd w:val="clear" w:fill="2E75B5" w:themeFill="accent5" w:themeFillShade="BF"/>
              <w:rPr>
                <w:rFonts w:ascii="Aptos" w:hAnsi="Aptos"/>
              </w:rPr>
            </w:pPr>
            <w:r>
              <w:rPr>
                <w:rFonts w:ascii="Aptos" w:hAnsi="Aptos"/>
                <w:b/>
                <w:bCs/>
                <w:sz w:val="40"/>
                <w:szCs w:val="40"/>
              </w:rPr>
              <w:t>03</w:t>
            </w:r>
            <w:r>
              <w:rPr>
                <w:rFonts w:ascii="Aptos" w:hAnsi="Aptos"/>
              </w:rPr>
              <w:t xml:space="preserve"> </w:t>
            </w:r>
            <w:r>
              <w:rPr>
                <w:rFonts w:ascii="Aptos" w:hAnsi="Aptos"/>
                <w:b/>
                <w:bCs/>
              </w:rPr>
              <w:t>Searching for Information</w:t>
            </w:r>
            <w:r>
              <w:rPr>
                <w:rFonts w:ascii="Aptos" w:hAnsi="Aptos"/>
              </w:rPr>
              <w:t xml:space="preserve"> </w:t>
            </w:r>
          </w:p>
          <w:p w14:paraId="5354021A">
            <w:pPr>
              <w:shd w:val="clear" w:fill="2E75B5" w:themeFill="accent5" w:themeFillShade="BF"/>
              <w:spacing w:line="360" w:lineRule="auto"/>
              <w:jc w:val="both"/>
              <w:rPr>
                <w:rFonts w:hint="default" w:ascii="Aptos" w:hAnsi="Aptos"/>
                <w:lang w:val="en-GB"/>
              </w:rPr>
            </w:pPr>
            <w:r>
              <w:rPr>
                <w:rFonts w:hint="default" w:ascii="Aptos" w:hAnsi="Aptos"/>
                <w:lang w:val="en-GB"/>
              </w:rPr>
              <w:t>The literature search concentrated on</w:t>
            </w:r>
            <w:r>
              <w:rPr>
                <w:rFonts w:hint="default" w:ascii="Aptos" w:hAnsi="Aptos"/>
                <w:lang w:val="en-US"/>
              </w:rPr>
              <w:t xml:space="preserve"> databases, like</w:t>
            </w:r>
            <w:r>
              <w:rPr>
                <w:rFonts w:hint="default" w:ascii="Aptos" w:hAnsi="Aptos"/>
                <w:lang w:val="en-GB"/>
              </w:rPr>
              <w:t xml:space="preserve"> PubMed, CINAHL, PsycINFO, Scopus, Google Scholar</w:t>
            </w:r>
            <w:r>
              <w:rPr>
                <w:rFonts w:hint="default" w:ascii="Aptos" w:hAnsi="Aptos"/>
                <w:lang w:val="en-US"/>
              </w:rPr>
              <w:t>,</w:t>
            </w:r>
            <w:r>
              <w:rPr>
                <w:rFonts w:hint="default" w:ascii="Aptos" w:hAnsi="Aptos"/>
                <w:lang w:val="en-GB"/>
              </w:rPr>
              <w:t xml:space="preserve"> and </w:t>
            </w:r>
            <w:r>
              <w:rPr>
                <w:rFonts w:hint="default" w:ascii="Aptos" w:hAnsi="Aptos"/>
                <w:lang w:val="en-US"/>
              </w:rPr>
              <w:t>UWTSD</w:t>
            </w:r>
            <w:r>
              <w:rPr>
                <w:rFonts w:hint="default" w:ascii="Aptos" w:hAnsi="Aptos"/>
                <w:lang w:val="en-GB"/>
              </w:rPr>
              <w:t xml:space="preserve"> library, due to the cross-disciplinary nature of the topic involving medicine, nursing, psychology, public health</w:t>
            </w:r>
            <w:r>
              <w:rPr>
                <w:rFonts w:hint="default" w:ascii="Aptos" w:hAnsi="Aptos"/>
                <w:lang w:val="en-US"/>
              </w:rPr>
              <w:t xml:space="preserve">, </w:t>
            </w:r>
            <w:r>
              <w:rPr>
                <w:rFonts w:hint="default" w:ascii="Aptos" w:hAnsi="Aptos"/>
                <w:lang w:val="en-GB"/>
              </w:rPr>
              <w:t>and social care. Authoritative</w:t>
            </w:r>
            <w:r>
              <w:rPr>
                <w:rFonts w:hint="default" w:ascii="Aptos" w:hAnsi="Aptos"/>
                <w:lang w:val="en-US"/>
              </w:rPr>
              <w:t xml:space="preserve"> </w:t>
            </w:r>
            <w:r>
              <w:rPr>
                <w:rFonts w:hint="default" w:ascii="Aptos" w:hAnsi="Aptos"/>
                <w:lang w:val="en-GB"/>
              </w:rPr>
              <w:t>policy and practice evidence was also found on WHO and UNICEF websites as well as on the websites of NHS and the UK government. The searches have been limited to the period 201</w:t>
            </w:r>
            <w:r>
              <w:rPr>
                <w:rFonts w:hint="default" w:ascii="Aptos" w:hAnsi="Aptos"/>
                <w:lang w:val="en-US"/>
              </w:rPr>
              <w:t>7</w:t>
            </w:r>
            <w:r>
              <w:rPr>
                <w:rFonts w:hint="default" w:ascii="Aptos" w:hAnsi="Aptos"/>
                <w:lang w:val="en-GB"/>
              </w:rPr>
              <w:t>–2026, and</w:t>
            </w:r>
            <w:r>
              <w:rPr>
                <w:rFonts w:hint="default" w:ascii="Aptos" w:hAnsi="Aptos"/>
                <w:lang w:val="en-US"/>
              </w:rPr>
              <w:t xml:space="preserve"> </w:t>
            </w:r>
            <w:r>
              <w:rPr>
                <w:rFonts w:hint="default" w:ascii="Aptos" w:hAnsi="Aptos"/>
                <w:lang w:val="en-GB"/>
              </w:rPr>
              <w:t xml:space="preserve">English language, as the review is focused on recent evidence. However, more older relevant  methodological or foundational resources were included when needed. Search terms were further narrowed down when initial search terms gave too many irrelevant or too few relevant hits. To find potentially relevant studies that were not identified </w:t>
            </w:r>
            <w:r>
              <w:rPr>
                <w:rFonts w:hint="default" w:ascii="Aptos" w:hAnsi="Aptos"/>
                <w:lang w:val="en-US"/>
              </w:rPr>
              <w:t>via</w:t>
            </w:r>
            <w:r>
              <w:rPr>
                <w:rFonts w:hint="default" w:ascii="Aptos" w:hAnsi="Aptos"/>
                <w:lang w:val="en-GB"/>
              </w:rPr>
              <w:t xml:space="preserve"> database searching, reference-list checking was also employed. This transparency is vital as database coverage and indexing vary</w:t>
            </w:r>
            <w:r>
              <w:rPr>
                <w:rFonts w:hint="default" w:ascii="Aptos" w:hAnsi="Aptos"/>
                <w:lang w:val="en-US"/>
              </w:rPr>
              <w:t>, implying that</w:t>
            </w:r>
            <w:r>
              <w:rPr>
                <w:rFonts w:hint="default" w:ascii="Aptos" w:hAnsi="Aptos"/>
                <w:lang w:val="en-GB"/>
              </w:rPr>
              <w:t xml:space="preserve"> no single database </w:t>
            </w:r>
            <w:r>
              <w:rPr>
                <w:rFonts w:hint="default" w:ascii="Aptos" w:hAnsi="Aptos"/>
                <w:lang w:val="en-US"/>
              </w:rPr>
              <w:t>can</w:t>
            </w:r>
            <w:r>
              <w:rPr>
                <w:rFonts w:hint="default" w:ascii="Aptos" w:hAnsi="Aptos"/>
                <w:lang w:val="en-GB"/>
              </w:rPr>
              <w:t xml:space="preserve"> have a full evidence base (Page et al., 2021).</w:t>
            </w:r>
          </w:p>
        </w:tc>
        <w:tc>
          <w:tcPr>
            <w:tcW w:w="7391" w:type="dxa"/>
          </w:tcPr>
          <w:p w14:paraId="54995ADA">
            <w:pPr>
              <w:shd w:val="clear" w:fill="538135" w:themeFill="accent6" w:themeFillShade="BF"/>
              <w:rPr>
                <w:rFonts w:ascii="Aptos" w:hAnsi="Aptos"/>
              </w:rPr>
            </w:pPr>
            <w:r>
              <w:rPr>
                <w:rFonts w:ascii="Aptos" w:hAnsi="Aptos"/>
                <w:b/>
                <w:bCs/>
                <w:sz w:val="40"/>
                <w:szCs w:val="40"/>
              </w:rPr>
              <w:t>04</w:t>
            </w:r>
            <w:r>
              <w:rPr>
                <w:rFonts w:ascii="Aptos" w:hAnsi="Aptos"/>
              </w:rPr>
              <w:t xml:space="preserve"> </w:t>
            </w:r>
            <w:r>
              <w:rPr>
                <w:rFonts w:ascii="Aptos" w:hAnsi="Aptos"/>
                <w:b/>
                <w:bCs/>
              </w:rPr>
              <w:t>Picture / Graph / Visual Aid / Statistics</w:t>
            </w:r>
            <w:r>
              <w:rPr>
                <w:rFonts w:ascii="Aptos" w:hAnsi="Aptos"/>
              </w:rPr>
              <w:t xml:space="preserve"> </w:t>
            </w:r>
          </w:p>
          <w:p w14:paraId="2BBB997C">
            <w:pPr>
              <w:shd w:val="clear" w:fill="538135" w:themeFill="accent6" w:themeFillShade="BF"/>
              <w:spacing w:line="360" w:lineRule="auto"/>
              <w:jc w:val="both"/>
              <w:rPr>
                <w:rFonts w:ascii="Aptos" w:hAnsi="Aptos"/>
              </w:rPr>
            </w:pPr>
            <w:r>
              <w:drawing>
                <wp:inline distT="0" distB="0" distL="114300" distR="114300">
                  <wp:extent cx="4234180" cy="1845310"/>
                  <wp:effectExtent l="4445" t="4445" r="13335" b="9525"/>
                  <wp:docPr id="2" name="Chart 1" descr="7b0a202020202263686172745265734964223a202234363130333534220a7d0a"/>
                  <wp:cNvGraphicFramePr/>
                  <a:graphic xmlns:a="http://schemas.openxmlformats.org/drawingml/2006/main">
                    <a:graphicData uri="http://schemas.openxmlformats.org/drawingml/2006/chart">
                      <c:chart xmlns:c="http://schemas.openxmlformats.org/drawingml/2006/chart" xmlns:r="http://schemas.openxmlformats.org/officeDocument/2006/relationships" r:id="rId8"/>
                    </a:graphicData>
                  </a:graphic>
                </wp:inline>
              </w:drawing>
            </w:r>
            <w:r>
              <w:rPr>
                <w:rFonts w:ascii="Aptos" w:hAnsi="Aptos"/>
              </w:rPr>
              <w:t xml:space="preserve"> </w:t>
            </w:r>
          </w:p>
          <w:p w14:paraId="3908978E">
            <w:pPr>
              <w:shd w:val="clear" w:fill="538135" w:themeFill="accent6" w:themeFillShade="BF"/>
              <w:spacing w:line="360" w:lineRule="auto"/>
              <w:jc w:val="both"/>
              <w:rPr>
                <w:rFonts w:hint="default" w:ascii="Aptos" w:hAnsi="Aptos"/>
                <w:lang w:val="en-US"/>
              </w:rPr>
            </w:pPr>
            <w:r>
              <w:rPr>
                <w:rFonts w:hint="default" w:ascii="Aptos" w:hAnsi="Aptos"/>
                <w:lang w:val="en-US"/>
              </w:rPr>
              <w:t xml:space="preserve">Source: </w:t>
            </w:r>
            <w:r>
              <w:rPr>
                <w:rFonts w:hint="default" w:ascii="Aptos" w:hAnsi="Aptos"/>
                <w:lang w:val="en-US"/>
              </w:rPr>
              <w:fldChar w:fldCharType="begin"/>
            </w:r>
            <w:r>
              <w:rPr>
                <w:rFonts w:hint="default" w:ascii="Aptos" w:hAnsi="Aptos"/>
                <w:lang w:val="en-US"/>
              </w:rPr>
              <w:instrText xml:space="preserve"> HYPERLINK "https://data.unicef.org/resources/female-genital-mutilation-a-global-concern-2024/" </w:instrText>
            </w:r>
            <w:r>
              <w:rPr>
                <w:rFonts w:hint="default" w:ascii="Aptos" w:hAnsi="Aptos"/>
                <w:lang w:val="en-US"/>
              </w:rPr>
              <w:fldChar w:fldCharType="separate"/>
            </w:r>
            <w:r>
              <w:rPr>
                <w:rStyle w:val="10"/>
                <w:rFonts w:hint="default" w:ascii="Aptos" w:hAnsi="Aptos"/>
                <w:lang w:val="en-US"/>
              </w:rPr>
              <w:t>UNICEF, 2024</w:t>
            </w:r>
            <w:r>
              <w:rPr>
                <w:rFonts w:hint="default" w:ascii="Aptos" w:hAnsi="Aptos"/>
                <w:lang w:val="en-US"/>
              </w:rPr>
              <w:fldChar w:fldCharType="end"/>
            </w:r>
            <w:r>
              <w:rPr>
                <w:rFonts w:hint="default" w:ascii="Aptos" w:hAnsi="Aptos"/>
                <w:lang w:val="en-US"/>
              </w:rPr>
              <w:t>)</w:t>
            </w:r>
          </w:p>
        </w:tc>
      </w:tr>
      <w:tr w14:paraId="71279A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83" w:hRule="atLeast"/>
        </w:trPr>
        <w:tc>
          <w:tcPr>
            <w:tcW w:w="14616" w:type="dxa"/>
            <w:gridSpan w:val="2"/>
          </w:tcPr>
          <w:p w14:paraId="559B5E23">
            <w:pPr>
              <w:shd w:val="clear" w:fill="C55911" w:themeFill="accent2" w:themeFillShade="BF"/>
              <w:jc w:val="center"/>
              <w:rPr>
                <w:rFonts w:ascii="Aptos" w:hAnsi="Aptos"/>
                <w:b/>
                <w:bCs/>
              </w:rPr>
            </w:pPr>
            <w:r>
              <w:rPr>
                <w:rFonts w:ascii="Aptos" w:hAnsi="Aptos"/>
                <w:b/>
                <w:bCs/>
                <w:sz w:val="40"/>
                <w:szCs w:val="40"/>
              </w:rPr>
              <w:t>05</w:t>
            </w:r>
            <w:r>
              <w:rPr>
                <w:rFonts w:ascii="Aptos" w:hAnsi="Aptos"/>
              </w:rPr>
              <w:t xml:space="preserve"> </w:t>
            </w:r>
            <w:r>
              <w:rPr>
                <w:rFonts w:ascii="Aptos" w:hAnsi="Aptos"/>
                <w:b/>
                <w:bCs/>
              </w:rPr>
              <w:t>Research Validation and Analysis</w:t>
            </w:r>
          </w:p>
          <w:p w14:paraId="4F1D4C44">
            <w:pPr>
              <w:shd w:val="clear" w:fill="C55911" w:themeFill="accent2" w:themeFillShade="BF"/>
              <w:spacing w:line="360" w:lineRule="auto"/>
              <w:jc w:val="both"/>
              <w:rPr>
                <w:rFonts w:hint="default" w:ascii="Aptos" w:hAnsi="Aptos"/>
                <w:lang w:val="en-GB"/>
              </w:rPr>
            </w:pPr>
            <w:r>
              <w:rPr>
                <w:rFonts w:hint="default" w:ascii="Aptos" w:hAnsi="Aptos"/>
                <w:lang w:val="en-GB"/>
              </w:rPr>
              <w:t xml:space="preserve">Research validation is the process of determining </w:t>
            </w:r>
            <w:r>
              <w:rPr>
                <w:rFonts w:hint="default" w:ascii="Aptos" w:hAnsi="Aptos"/>
                <w:lang w:val="en-US"/>
              </w:rPr>
              <w:t xml:space="preserve">if </w:t>
            </w:r>
            <w:r>
              <w:rPr>
                <w:rFonts w:hint="default" w:ascii="Aptos" w:hAnsi="Aptos"/>
                <w:lang w:val="en-GB"/>
              </w:rPr>
              <w:t>evidence is credible, relevant</w:t>
            </w:r>
            <w:r>
              <w:rPr>
                <w:rFonts w:hint="default" w:ascii="Aptos" w:hAnsi="Aptos"/>
                <w:lang w:val="en-US"/>
              </w:rPr>
              <w:t>,</w:t>
            </w:r>
            <w:r>
              <w:rPr>
                <w:rFonts w:hint="default" w:ascii="Aptos" w:hAnsi="Aptos"/>
                <w:lang w:val="en-GB"/>
              </w:rPr>
              <w:t xml:space="preserve"> and methodologically valid to support the conclusions of a review</w:t>
            </w:r>
            <w:r>
              <w:rPr>
                <w:rFonts w:hint="default" w:ascii="Aptos" w:hAnsi="Aptos"/>
                <w:lang w:val="en-US"/>
              </w:rPr>
              <w:t xml:space="preserve"> (Muka et al., 2020)</w:t>
            </w:r>
            <w:r>
              <w:rPr>
                <w:rFonts w:hint="default" w:ascii="Aptos" w:hAnsi="Aptos"/>
                <w:lang w:val="en-GB"/>
              </w:rPr>
              <w:t xml:space="preserve">. This is especially critical when using secondary literature since information from poor-quality or inaccurate sources would lead to an inaccurate overall synthesis. The sources were scanned by their titles and abstracts, and then the sources were evaluated for Currency, Relevance, Authority, Accuracy and Purpose (CRAAP). </w:t>
            </w:r>
            <w:r>
              <w:rPr>
                <w:rFonts w:hint="default" w:ascii="Aptos" w:hAnsi="Aptos"/>
                <w:lang w:val="en-US"/>
              </w:rPr>
              <w:t>nonetheless, t</w:t>
            </w:r>
            <w:r>
              <w:rPr>
                <w:rFonts w:hint="default" w:ascii="Aptos" w:hAnsi="Aptos"/>
                <w:lang w:val="en-GB"/>
              </w:rPr>
              <w:t xml:space="preserve">he CRAAP framework has limitation as it only offers a general appraisal structure </w:t>
            </w:r>
            <w:r>
              <w:rPr>
                <w:rFonts w:hint="default" w:ascii="Aptos" w:hAnsi="Aptos"/>
                <w:lang w:val="en-US"/>
              </w:rPr>
              <w:t>instead of</w:t>
            </w:r>
            <w:r>
              <w:rPr>
                <w:rFonts w:hint="default" w:ascii="Aptos" w:hAnsi="Aptos"/>
                <w:lang w:val="en-GB"/>
              </w:rPr>
              <w:t xml:space="preserve"> a complete replacement of conducting formal risk-of-bias assessment. Methodological quality</w:t>
            </w:r>
            <w:r>
              <w:rPr>
                <w:rFonts w:hint="default" w:ascii="Aptos" w:hAnsi="Aptos"/>
                <w:lang w:val="en-US"/>
              </w:rPr>
              <w:t>,</w:t>
            </w:r>
            <w:r>
              <w:rPr>
                <w:rFonts w:hint="default" w:ascii="Aptos" w:hAnsi="Aptos"/>
                <w:lang w:val="en-GB"/>
              </w:rPr>
              <w:t xml:space="preserve"> relevance</w:t>
            </w:r>
            <w:r>
              <w:rPr>
                <w:rFonts w:hint="default" w:ascii="Aptos" w:hAnsi="Aptos"/>
                <w:lang w:val="en-US"/>
              </w:rPr>
              <w:t>,</w:t>
            </w:r>
            <w:r>
              <w:rPr>
                <w:rFonts w:hint="default" w:ascii="Aptos" w:hAnsi="Aptos"/>
                <w:lang w:val="en-GB"/>
              </w:rPr>
              <w:t xml:space="preserve"> and authority were therefore </w:t>
            </w:r>
            <w:r>
              <w:rPr>
                <w:rFonts w:hint="default" w:ascii="Aptos" w:hAnsi="Aptos"/>
                <w:lang w:val="en-US"/>
              </w:rPr>
              <w:t>judged</w:t>
            </w:r>
            <w:r>
              <w:rPr>
                <w:rFonts w:hint="default" w:ascii="Aptos" w:hAnsi="Aptos"/>
                <w:lang w:val="en-GB"/>
              </w:rPr>
              <w:t xml:space="preserve"> primary criteria </w:t>
            </w:r>
            <w:r>
              <w:rPr>
                <w:rFonts w:hint="default" w:ascii="Aptos" w:hAnsi="Aptos"/>
                <w:lang w:val="en-US"/>
              </w:rPr>
              <w:t>for</w:t>
            </w:r>
            <w:r>
              <w:rPr>
                <w:rFonts w:hint="default" w:ascii="Aptos" w:hAnsi="Aptos"/>
                <w:lang w:val="en-GB"/>
              </w:rPr>
              <w:t xml:space="preserve"> evaluat</w:t>
            </w:r>
            <w:r>
              <w:rPr>
                <w:rFonts w:hint="default" w:ascii="Aptos" w:hAnsi="Aptos"/>
                <w:lang w:val="en-US"/>
              </w:rPr>
              <w:t>ing</w:t>
            </w:r>
            <w:r>
              <w:rPr>
                <w:rFonts w:hint="default" w:ascii="Aptos" w:hAnsi="Aptos"/>
                <w:lang w:val="en-GB"/>
              </w:rPr>
              <w:t xml:space="preserve"> evidence. T</w:t>
            </w:r>
            <w:r>
              <w:rPr>
                <w:rFonts w:hint="default" w:ascii="Aptos" w:hAnsi="Aptos"/>
                <w:lang w:val="en-US"/>
              </w:rPr>
              <w:t>hen t</w:t>
            </w:r>
            <w:r>
              <w:rPr>
                <w:rFonts w:hint="default" w:ascii="Aptos" w:hAnsi="Aptos"/>
                <w:lang w:val="en-GB"/>
              </w:rPr>
              <w:t>hematic analysis identified common themes across studies, and related codes were clustered to form themes related to the review objectives (Page et al., 2021; Braun and Clarke, 2022).</w:t>
            </w:r>
          </w:p>
        </w:tc>
      </w:tr>
      <w:tr w14:paraId="1159AF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56" w:hRule="atLeast"/>
        </w:trPr>
        <w:tc>
          <w:tcPr>
            <w:tcW w:w="7225" w:type="dxa"/>
          </w:tcPr>
          <w:p w14:paraId="398EE9B0">
            <w:pPr>
              <w:shd w:val="clear" w:fill="A4A4A4" w:themeFill="background1" w:themeFillShade="A5"/>
              <w:rPr>
                <w:rFonts w:ascii="Aptos" w:hAnsi="Aptos"/>
              </w:rPr>
            </w:pPr>
            <w:r>
              <w:rPr>
                <w:rFonts w:ascii="Aptos" w:hAnsi="Aptos"/>
                <w:b/>
                <w:bCs/>
                <w:sz w:val="40"/>
                <w:szCs w:val="40"/>
              </w:rPr>
              <w:t>06</w:t>
            </w:r>
            <w:r>
              <w:rPr>
                <w:rFonts w:ascii="Aptos" w:hAnsi="Aptos"/>
              </w:rPr>
              <w:t xml:space="preserve"> </w:t>
            </w:r>
            <w:r>
              <w:rPr>
                <w:rFonts w:ascii="Aptos" w:hAnsi="Aptos"/>
                <w:b/>
                <w:bCs/>
              </w:rPr>
              <w:t>Inclusion Criteria</w:t>
            </w:r>
            <w:r>
              <w:rPr>
                <w:rFonts w:ascii="Aptos" w:hAnsi="Aptos"/>
              </w:rPr>
              <w:t xml:space="preserve"> </w:t>
            </w:r>
          </w:p>
          <w:p w14:paraId="31683A46">
            <w:pPr>
              <w:shd w:val="clear" w:fill="A4A4A4" w:themeFill="background1" w:themeFillShade="A5"/>
              <w:spacing w:line="360" w:lineRule="auto"/>
              <w:jc w:val="both"/>
              <w:rPr>
                <w:rFonts w:hint="default" w:ascii="Aptos" w:hAnsi="Aptos"/>
                <w:lang w:val="en-GB"/>
              </w:rPr>
            </w:pPr>
            <w:r>
              <w:rPr>
                <w:rFonts w:hint="default" w:ascii="Aptos" w:hAnsi="Aptos"/>
                <w:lang w:val="en-GB"/>
              </w:rPr>
              <w:t>Studies were included where they:</w:t>
            </w:r>
          </w:p>
          <w:p w14:paraId="22B04D40">
            <w:pPr>
              <w:numPr>
                <w:ilvl w:val="0"/>
                <w:numId w:val="1"/>
              </w:numPr>
              <w:shd w:val="clear" w:fill="A4A4A4" w:themeFill="background1" w:themeFillShade="A5"/>
              <w:spacing w:line="360" w:lineRule="auto"/>
              <w:ind w:left="418" w:leftChars="0" w:hanging="418" w:firstLineChars="0"/>
              <w:jc w:val="both"/>
              <w:rPr>
                <w:rFonts w:hint="default" w:ascii="Aptos" w:hAnsi="Aptos"/>
                <w:lang w:val="en-GB"/>
              </w:rPr>
            </w:pPr>
            <w:r>
              <w:rPr>
                <w:rFonts w:hint="default" w:ascii="Aptos" w:hAnsi="Aptos"/>
                <w:lang w:val="en-GB"/>
              </w:rPr>
              <w:t xml:space="preserve">Examined FGM/FGM/C and psychological or mental health outcomes. </w:t>
            </w:r>
          </w:p>
          <w:p w14:paraId="3E5B5AF5">
            <w:pPr>
              <w:numPr>
                <w:ilvl w:val="0"/>
                <w:numId w:val="1"/>
              </w:numPr>
              <w:shd w:val="clear" w:fill="A4A4A4" w:themeFill="background1" w:themeFillShade="A5"/>
              <w:spacing w:line="360" w:lineRule="auto"/>
              <w:ind w:left="418" w:leftChars="0" w:hanging="418" w:firstLineChars="0"/>
              <w:jc w:val="both"/>
              <w:rPr>
                <w:rFonts w:hint="default" w:ascii="Aptos" w:hAnsi="Aptos"/>
                <w:lang w:val="en-GB"/>
              </w:rPr>
            </w:pPr>
            <w:r>
              <w:rPr>
                <w:rFonts w:hint="default" w:ascii="Aptos" w:hAnsi="Aptos"/>
                <w:lang w:val="en-GB"/>
              </w:rPr>
              <w:t xml:space="preserve">Focused on girls, adolescents or relevant survivor populations. </w:t>
            </w:r>
          </w:p>
          <w:p w14:paraId="4B8F792D">
            <w:pPr>
              <w:numPr>
                <w:ilvl w:val="0"/>
                <w:numId w:val="1"/>
              </w:numPr>
              <w:shd w:val="clear" w:fill="A4A4A4" w:themeFill="background1" w:themeFillShade="A5"/>
              <w:spacing w:line="360" w:lineRule="auto"/>
              <w:ind w:left="418" w:leftChars="0" w:hanging="418" w:firstLineChars="0"/>
              <w:jc w:val="both"/>
              <w:rPr>
                <w:rFonts w:hint="default" w:ascii="Aptos" w:hAnsi="Aptos"/>
                <w:lang w:val="en-GB"/>
              </w:rPr>
            </w:pPr>
            <w:r>
              <w:rPr>
                <w:rFonts w:hint="default" w:ascii="Aptos" w:hAnsi="Aptos"/>
                <w:lang w:val="en-GB"/>
              </w:rPr>
              <w:t xml:space="preserve">Were published predominantly between 2016 and 2026. </w:t>
            </w:r>
          </w:p>
          <w:p w14:paraId="3752259C">
            <w:pPr>
              <w:numPr>
                <w:ilvl w:val="0"/>
                <w:numId w:val="1"/>
              </w:numPr>
              <w:shd w:val="clear" w:fill="A4A4A4" w:themeFill="background1" w:themeFillShade="A5"/>
              <w:spacing w:line="360" w:lineRule="auto"/>
              <w:ind w:left="418" w:leftChars="0" w:hanging="418" w:firstLineChars="0"/>
              <w:jc w:val="both"/>
              <w:rPr>
                <w:rFonts w:hint="default" w:ascii="Aptos" w:hAnsi="Aptos"/>
                <w:lang w:val="en-GB"/>
              </w:rPr>
            </w:pPr>
            <w:r>
              <w:rPr>
                <w:rFonts w:hint="default" w:ascii="Aptos" w:hAnsi="Aptos"/>
                <w:lang w:val="en-GB"/>
              </w:rPr>
              <w:t xml:space="preserve">Were peer-reviewed empirical studies, systematic reviews or credible evidence reports. </w:t>
            </w:r>
          </w:p>
          <w:p w14:paraId="01C00A20">
            <w:pPr>
              <w:numPr>
                <w:ilvl w:val="0"/>
                <w:numId w:val="1"/>
              </w:numPr>
              <w:shd w:val="clear" w:fill="A4A4A4" w:themeFill="background1" w:themeFillShade="A5"/>
              <w:spacing w:line="360" w:lineRule="auto"/>
              <w:ind w:left="418" w:leftChars="0" w:hanging="418" w:firstLineChars="0"/>
              <w:jc w:val="both"/>
              <w:rPr>
                <w:rFonts w:hint="default" w:ascii="Aptos" w:hAnsi="Aptos"/>
                <w:lang w:val="en-GB"/>
              </w:rPr>
            </w:pPr>
            <w:r>
              <w:rPr>
                <w:rFonts w:hint="default" w:ascii="Aptos" w:hAnsi="Aptos"/>
                <w:lang w:val="en-GB"/>
              </w:rPr>
              <w:t xml:space="preserve">Provided sufficient information to assess their relevance and quality. </w:t>
            </w:r>
          </w:p>
          <w:p w14:paraId="06D71DCD">
            <w:pPr>
              <w:keepNext w:val="0"/>
              <w:keepLines w:val="0"/>
              <w:widowControl/>
              <w:numPr>
                <w:ilvl w:val="0"/>
                <w:numId w:val="1"/>
              </w:numPr>
              <w:suppressLineNumbers w:val="0"/>
              <w:shd w:val="clear" w:fill="A4A4A4" w:themeFill="background1" w:themeFillShade="A5"/>
              <w:spacing w:before="0" w:beforeAutospacing="1" w:after="0" w:afterAutospacing="1"/>
              <w:ind w:left="418" w:leftChars="0" w:hanging="418" w:firstLineChars="0"/>
              <w:rPr>
                <w:rFonts w:ascii="Aptos" w:hAnsi="Aptos"/>
              </w:rPr>
            </w:pPr>
            <w:r>
              <w:rPr>
                <w:rFonts w:hint="default" w:ascii="Aptos" w:hAnsi="Aptos"/>
                <w:lang w:val="en-GB"/>
              </w:rPr>
              <w:t>Included international evidence relevant to understanding psychological consequences, prevention or support.</w:t>
            </w:r>
          </w:p>
        </w:tc>
        <w:tc>
          <w:tcPr>
            <w:tcW w:w="7391" w:type="dxa"/>
          </w:tcPr>
          <w:p w14:paraId="51867809">
            <w:pPr>
              <w:shd w:val="clear" w:fill="BE8F00" w:themeFill="accent4" w:themeFillShade="BF"/>
              <w:rPr>
                <w:rFonts w:ascii="Aptos" w:hAnsi="Aptos"/>
              </w:rPr>
            </w:pPr>
            <w:r>
              <w:rPr>
                <w:rFonts w:ascii="Aptos" w:hAnsi="Aptos"/>
                <w:b/>
                <w:bCs/>
                <w:sz w:val="40"/>
                <w:szCs w:val="40"/>
              </w:rPr>
              <w:t>07</w:t>
            </w:r>
            <w:r>
              <w:rPr>
                <w:rFonts w:ascii="Aptos" w:hAnsi="Aptos"/>
              </w:rPr>
              <w:t xml:space="preserve"> </w:t>
            </w:r>
            <w:r>
              <w:rPr>
                <w:rFonts w:ascii="Aptos" w:hAnsi="Aptos"/>
                <w:b/>
                <w:bCs/>
              </w:rPr>
              <w:t>Exclusion Criteria</w:t>
            </w:r>
            <w:r>
              <w:rPr>
                <w:rFonts w:ascii="Aptos" w:hAnsi="Aptos"/>
              </w:rPr>
              <w:t xml:space="preserve"> </w:t>
            </w:r>
          </w:p>
          <w:p w14:paraId="62EFC610">
            <w:pPr>
              <w:shd w:val="clear" w:fill="BE8F00" w:themeFill="accent4" w:themeFillShade="BF"/>
              <w:spacing w:line="360" w:lineRule="auto"/>
              <w:jc w:val="both"/>
              <w:rPr>
                <w:rFonts w:hint="default" w:ascii="Aptos" w:hAnsi="Aptos"/>
                <w:lang w:val="en-GB"/>
              </w:rPr>
            </w:pPr>
            <w:r>
              <w:rPr>
                <w:rFonts w:hint="default" w:ascii="Aptos" w:hAnsi="Aptos"/>
                <w:lang w:val="en-GB"/>
              </w:rPr>
              <w:t>Studies were excluded where they:</w:t>
            </w:r>
          </w:p>
          <w:p w14:paraId="402AAF0A">
            <w:pPr>
              <w:numPr>
                <w:ilvl w:val="0"/>
                <w:numId w:val="2"/>
              </w:numPr>
              <w:shd w:val="clear" w:fill="BE8F00" w:themeFill="accent4" w:themeFillShade="BF"/>
              <w:spacing w:line="360" w:lineRule="auto"/>
              <w:ind w:left="418" w:leftChars="0" w:hanging="418" w:firstLineChars="0"/>
              <w:jc w:val="both"/>
              <w:rPr>
                <w:rFonts w:hint="default" w:ascii="Aptos" w:hAnsi="Aptos"/>
                <w:lang w:val="en-GB"/>
              </w:rPr>
            </w:pPr>
            <w:r>
              <w:rPr>
                <w:rFonts w:hint="default" w:ascii="Aptos" w:hAnsi="Aptos"/>
                <w:lang w:val="en-GB"/>
              </w:rPr>
              <w:t xml:space="preserve">Focused exclusively on physical, obstetric or surgical complications without psychological outcomes. </w:t>
            </w:r>
          </w:p>
          <w:p w14:paraId="19AB9D68">
            <w:pPr>
              <w:numPr>
                <w:ilvl w:val="0"/>
                <w:numId w:val="2"/>
              </w:numPr>
              <w:shd w:val="clear" w:fill="BE8F00" w:themeFill="accent4" w:themeFillShade="BF"/>
              <w:spacing w:line="360" w:lineRule="auto"/>
              <w:ind w:left="418" w:leftChars="0" w:hanging="418" w:firstLineChars="0"/>
              <w:jc w:val="both"/>
              <w:rPr>
                <w:rFonts w:hint="default" w:ascii="Aptos" w:hAnsi="Aptos"/>
                <w:lang w:val="en-GB"/>
              </w:rPr>
            </w:pPr>
            <w:r>
              <w:rPr>
                <w:rFonts w:hint="default" w:ascii="Aptos" w:hAnsi="Aptos"/>
                <w:lang w:val="en-GB"/>
              </w:rPr>
              <w:t xml:space="preserve">Were unrelated to FGM or did not address the review population. </w:t>
            </w:r>
          </w:p>
          <w:p w14:paraId="07B2CFEE">
            <w:pPr>
              <w:numPr>
                <w:ilvl w:val="0"/>
                <w:numId w:val="2"/>
              </w:numPr>
              <w:shd w:val="clear" w:fill="BE8F00" w:themeFill="accent4" w:themeFillShade="BF"/>
              <w:spacing w:line="360" w:lineRule="auto"/>
              <w:ind w:left="418" w:leftChars="0" w:hanging="418" w:firstLineChars="0"/>
              <w:jc w:val="both"/>
              <w:rPr>
                <w:rFonts w:hint="default" w:ascii="Aptos" w:hAnsi="Aptos"/>
                <w:lang w:val="en-GB"/>
              </w:rPr>
            </w:pPr>
            <w:r>
              <w:rPr>
                <w:rFonts w:hint="default" w:ascii="Aptos" w:hAnsi="Aptos"/>
                <w:lang w:val="en-GB"/>
              </w:rPr>
              <w:t xml:space="preserve">Were duplicate publications. </w:t>
            </w:r>
          </w:p>
          <w:p w14:paraId="208105DF">
            <w:pPr>
              <w:numPr>
                <w:ilvl w:val="0"/>
                <w:numId w:val="2"/>
              </w:numPr>
              <w:shd w:val="clear" w:fill="BE8F00" w:themeFill="accent4" w:themeFillShade="BF"/>
              <w:spacing w:line="360" w:lineRule="auto"/>
              <w:ind w:left="418" w:leftChars="0" w:hanging="418" w:firstLineChars="0"/>
              <w:jc w:val="both"/>
              <w:rPr>
                <w:rFonts w:hint="default" w:ascii="Aptos" w:hAnsi="Aptos"/>
                <w:lang w:val="en-GB"/>
              </w:rPr>
            </w:pPr>
            <w:r>
              <w:rPr>
                <w:rFonts w:hint="default" w:ascii="Aptos" w:hAnsi="Aptos"/>
                <w:lang w:val="en-GB"/>
              </w:rPr>
              <w:t xml:space="preserve">Were opinion articles, blogs, news reports or non-academic commentary. </w:t>
            </w:r>
          </w:p>
          <w:p w14:paraId="7149006F">
            <w:pPr>
              <w:numPr>
                <w:ilvl w:val="0"/>
                <w:numId w:val="2"/>
              </w:numPr>
              <w:shd w:val="clear" w:fill="BE8F00" w:themeFill="accent4" w:themeFillShade="BF"/>
              <w:spacing w:line="360" w:lineRule="auto"/>
              <w:ind w:left="418" w:leftChars="0" w:hanging="418" w:firstLineChars="0"/>
              <w:jc w:val="both"/>
              <w:rPr>
                <w:rFonts w:hint="default" w:ascii="Aptos" w:hAnsi="Aptos"/>
                <w:lang w:val="en-GB"/>
              </w:rPr>
            </w:pPr>
            <w:r>
              <w:rPr>
                <w:rFonts w:hint="default" w:ascii="Aptos" w:hAnsi="Aptos"/>
                <w:lang w:val="en-GB"/>
              </w:rPr>
              <w:t xml:space="preserve">Lacked sufficient methodological information to judge credibility. </w:t>
            </w:r>
          </w:p>
          <w:p w14:paraId="4E568238">
            <w:pPr>
              <w:numPr>
                <w:ilvl w:val="0"/>
                <w:numId w:val="2"/>
              </w:numPr>
              <w:shd w:val="clear" w:fill="BE8F00" w:themeFill="accent4" w:themeFillShade="BF"/>
              <w:spacing w:line="360" w:lineRule="auto"/>
              <w:ind w:left="418" w:leftChars="0" w:hanging="418" w:firstLineChars="0"/>
              <w:jc w:val="both"/>
              <w:rPr>
                <w:rFonts w:hint="default" w:ascii="Aptos" w:hAnsi="Aptos"/>
                <w:lang w:val="en-GB"/>
              </w:rPr>
            </w:pPr>
            <w:r>
              <w:rPr>
                <w:rFonts w:hint="default" w:ascii="Aptos" w:hAnsi="Aptos"/>
                <w:lang w:val="en-GB"/>
              </w:rPr>
              <w:t xml:space="preserve">Were published before 2016, unless considered essential for methodological or foundational purposes. </w:t>
            </w:r>
          </w:p>
          <w:p w14:paraId="42E49DE1">
            <w:pPr>
              <w:numPr>
                <w:ilvl w:val="0"/>
                <w:numId w:val="2"/>
              </w:numPr>
              <w:shd w:val="clear" w:fill="BE8F00" w:themeFill="accent4" w:themeFillShade="BF"/>
              <w:spacing w:line="360" w:lineRule="auto"/>
              <w:ind w:left="418" w:leftChars="0" w:hanging="418" w:firstLineChars="0"/>
              <w:jc w:val="both"/>
              <w:rPr>
                <w:rFonts w:ascii="Aptos" w:hAnsi="Aptos"/>
              </w:rPr>
            </w:pPr>
            <w:r>
              <w:rPr>
                <w:rFonts w:hint="default" w:ascii="Aptos" w:hAnsi="Aptos"/>
                <w:lang w:val="en-GB"/>
              </w:rPr>
              <w:t>Were not available in English.</w:t>
            </w:r>
          </w:p>
        </w:tc>
      </w:tr>
      <w:tr w14:paraId="583C9C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66" w:hRule="atLeast"/>
        </w:trPr>
        <w:tc>
          <w:tcPr>
            <w:tcW w:w="14616" w:type="dxa"/>
            <w:gridSpan w:val="2"/>
            <w:shd w:val="clear" w:color="auto" w:fill="F4B083" w:themeFill="accent2" w:themeFillTint="99"/>
          </w:tcPr>
          <w:p w14:paraId="44C8BC9D">
            <w:pPr>
              <w:jc w:val="center"/>
              <w:rPr>
                <w:rFonts w:ascii="Aptos" w:hAnsi="Aptos"/>
                <w:b/>
                <w:bCs/>
              </w:rPr>
            </w:pPr>
            <w:r>
              <w:rPr>
                <w:rFonts w:ascii="Aptos" w:hAnsi="Aptos"/>
                <w:b/>
                <w:bCs/>
                <w:sz w:val="40"/>
                <w:szCs w:val="40"/>
              </w:rPr>
              <w:t>08</w:t>
            </w:r>
            <w:r>
              <w:rPr>
                <w:rFonts w:ascii="Aptos" w:hAnsi="Aptos"/>
              </w:rPr>
              <w:t xml:space="preserve"> </w:t>
            </w:r>
            <w:r>
              <w:rPr>
                <w:rFonts w:ascii="Aptos" w:hAnsi="Aptos"/>
                <w:b/>
                <w:bCs/>
              </w:rPr>
              <w:t>Ethical Considerations</w:t>
            </w:r>
          </w:p>
          <w:p w14:paraId="18F2E785">
            <w:pPr>
              <w:numPr>
                <w:ilvl w:val="0"/>
                <w:numId w:val="3"/>
              </w:numPr>
              <w:rPr>
                <w:rFonts w:ascii="Aptos" w:hAnsi="Aptos"/>
                <w:lang w:val="en-GB"/>
              </w:rPr>
            </w:pPr>
            <w:r>
              <w:rPr>
                <w:rFonts w:hint="default" w:ascii="Aptos" w:hAnsi="Aptos"/>
                <w:lang w:val="en-GB"/>
              </w:rPr>
              <w:t>Ethics in secondary research involves accurate selection, interpretation, and presentation of information gotten from available from secondary sources (Gathama, 2025). Even though this review was not conducted with primary participants or direct data collection, ethical responsibilities were still important.</w:t>
            </w:r>
          </w:p>
          <w:p w14:paraId="28D04039">
            <w:pPr>
              <w:rPr>
                <w:rFonts w:ascii="Aptos" w:hAnsi="Aptos"/>
                <w:lang w:val="en-GB"/>
              </w:rPr>
            </w:pPr>
            <w:r>
              <w:rPr>
                <w:rFonts w:ascii="Aptos" w:hAnsi="Aptos"/>
              </w:rPr>
              <w:drawing>
                <wp:anchor distT="0" distB="0" distL="114300" distR="114300" simplePos="0" relativeHeight="251660288" behindDoc="1" locked="0" layoutInCell="1" allowOverlap="1">
                  <wp:simplePos x="0" y="0"/>
                  <wp:positionH relativeFrom="column">
                    <wp:posOffset>42545</wp:posOffset>
                  </wp:positionH>
                  <wp:positionV relativeFrom="paragraph">
                    <wp:posOffset>147955</wp:posOffset>
                  </wp:positionV>
                  <wp:extent cx="8886825" cy="2124075"/>
                  <wp:effectExtent l="38100" t="0" r="9525" b="9525"/>
                  <wp:wrapTight wrapText="bothSides">
                    <wp:wrapPolygon>
                      <wp:start x="-93" y="0"/>
                      <wp:lineTo x="-93" y="21503"/>
                      <wp:lineTo x="21577" y="21503"/>
                      <wp:lineTo x="21577" y="0"/>
                      <wp:lineTo x="-93" y="0"/>
                    </wp:wrapPolygon>
                  </wp:wrapTight>
                  <wp:docPr id="623136086" name="Diagram 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9" r:lo="rId10" r:qs="rId11" r:cs="rId12"/>
                    </a:graphicData>
                  </a:graphic>
                </wp:anchor>
              </w:drawing>
            </w:r>
          </w:p>
        </w:tc>
      </w:tr>
    </w:tbl>
    <w:p w14:paraId="53F82A21">
      <w:pPr>
        <w:sectPr>
          <w:pgSz w:w="15840" w:h="12240" w:orient="landscape"/>
          <w:pgMar w:top="720" w:right="720" w:bottom="576" w:left="720" w:header="432" w:footer="288" w:gutter="0"/>
          <w:cols w:space="720" w:num="1"/>
          <w:titlePg/>
          <w:docGrid w:linePitch="360" w:charSpace="0"/>
        </w:sectPr>
      </w:pPr>
    </w:p>
    <w:p w14:paraId="489BBCE1">
      <w:r>
        <w:rPr>
          <w:rFonts w:ascii="Arial" w:hAnsi="Arial" w:cs="Arial"/>
          <w:b/>
          <w:bCs/>
          <w:sz w:val="28"/>
          <w:szCs w:val="28"/>
        </w:rPr>
        <w:t>References</w:t>
      </w:r>
    </w:p>
    <w:p w14:paraId="2C178E88">
      <w:pPr>
        <w:numPr>
          <w:ilvl w:val="0"/>
          <w:numId w:val="3"/>
        </w:numPr>
        <w:rPr>
          <w:rFonts w:hint="default" w:ascii="Aptos" w:hAnsi="Aptos"/>
          <w:lang w:val="en-GB"/>
        </w:rPr>
      </w:pPr>
      <w:r>
        <w:rPr>
          <w:rFonts w:hint="default" w:ascii="Aptos" w:hAnsi="Aptos"/>
          <w:lang w:val="en-GB"/>
        </w:rPr>
        <w:t xml:space="preserve">Blakeslee, S. (2004) ‘The CRAAP test’, </w:t>
      </w:r>
      <w:r>
        <w:rPr>
          <w:rFonts w:hint="default" w:ascii="Aptos" w:hAnsi="Aptos"/>
          <w:i/>
          <w:iCs/>
          <w:lang w:val="en-GB"/>
        </w:rPr>
        <w:t>LOEX Quarterly, 31</w:t>
      </w:r>
      <w:r>
        <w:rPr>
          <w:rFonts w:hint="default" w:ascii="Aptos" w:hAnsi="Aptos"/>
          <w:lang w:val="en-GB"/>
        </w:rPr>
        <w:t>(3), p. 4.</w:t>
      </w:r>
    </w:p>
    <w:p w14:paraId="19C226EB">
      <w:pPr>
        <w:numPr>
          <w:ilvl w:val="0"/>
          <w:numId w:val="3"/>
        </w:numPr>
        <w:rPr>
          <w:rFonts w:hint="default" w:ascii="Aptos" w:hAnsi="Aptos"/>
          <w:lang w:val="en-GB"/>
        </w:rPr>
      </w:pPr>
      <w:r>
        <w:rPr>
          <w:rFonts w:hint="default" w:ascii="Aptos" w:hAnsi="Aptos"/>
          <w:lang w:val="en-GB"/>
        </w:rPr>
        <w:t xml:space="preserve">Braun, V. and Clarke, V. (2022) </w:t>
      </w:r>
      <w:r>
        <w:rPr>
          <w:rFonts w:hint="default" w:ascii="Aptos" w:hAnsi="Aptos"/>
          <w:i/>
          <w:iCs/>
          <w:lang w:val="en-GB"/>
        </w:rPr>
        <w:t>Thematic analysis: a practical guide.</w:t>
      </w:r>
      <w:r>
        <w:rPr>
          <w:rFonts w:hint="default" w:ascii="Aptos" w:hAnsi="Aptos"/>
          <w:lang w:val="en-GB"/>
        </w:rPr>
        <w:t xml:space="preserve"> London: SAGE Publications.</w:t>
      </w:r>
    </w:p>
    <w:p w14:paraId="24AA93D9">
      <w:pPr>
        <w:numPr>
          <w:ilvl w:val="0"/>
          <w:numId w:val="3"/>
        </w:numPr>
        <w:rPr>
          <w:rFonts w:hint="default" w:ascii="Aptos" w:hAnsi="Aptos"/>
          <w:lang w:val="en-GB"/>
        </w:rPr>
      </w:pPr>
      <w:r>
        <w:rPr>
          <w:rFonts w:hint="default" w:ascii="Aptos" w:hAnsi="Aptos"/>
          <w:lang w:val="en-GB"/>
        </w:rPr>
        <w:t xml:space="preserve">Gathama, P.N. (2025) </w:t>
      </w:r>
      <w:r>
        <w:rPr>
          <w:rFonts w:hint="default" w:ascii="Aptos" w:hAnsi="Aptos"/>
          <w:i/>
          <w:iCs/>
          <w:lang w:val="en-GB"/>
        </w:rPr>
        <w:t>Understanding the ethics of secondary data analysis.</w:t>
      </w:r>
      <w:r>
        <w:rPr>
          <w:rFonts w:hint="default" w:ascii="Aptos" w:hAnsi="Aptos"/>
          <w:lang w:val="en-GB"/>
        </w:rPr>
        <w:t xml:space="preserve"> Thousand Oaks, CA: SAGE Publications.</w:t>
      </w:r>
    </w:p>
    <w:p w14:paraId="73B640AC">
      <w:pPr>
        <w:numPr>
          <w:ilvl w:val="0"/>
          <w:numId w:val="3"/>
        </w:numPr>
        <w:rPr>
          <w:rFonts w:hint="default" w:ascii="Aptos" w:hAnsi="Aptos"/>
          <w:lang w:val="en-GB"/>
        </w:rPr>
      </w:pPr>
      <w:r>
        <w:rPr>
          <w:rFonts w:hint="default" w:ascii="Aptos" w:hAnsi="Aptos"/>
          <w:lang w:val="en-GB"/>
        </w:rPr>
        <w:t xml:space="preserve">Keles, E., Bilge, Y., Öztürk, M., Bektemur, G., Eker, H.H., Erkok, U., Mohamed, S.H. and Ali, K.Y. (2025) 'Mental health outcomes and post-traumatic stress disorder associated with female genital mutilation', </w:t>
      </w:r>
      <w:r>
        <w:rPr>
          <w:rFonts w:hint="default" w:ascii="Aptos" w:hAnsi="Aptos"/>
          <w:i/>
          <w:iCs/>
          <w:lang w:val="en-GB"/>
        </w:rPr>
        <w:t>Scientific Reports, 15</w:t>
      </w:r>
      <w:r>
        <w:rPr>
          <w:rFonts w:hint="default" w:ascii="Aptos" w:hAnsi="Aptos"/>
          <w:lang w:val="en-GB"/>
        </w:rPr>
        <w:t>(1), p.19489.</w:t>
      </w:r>
    </w:p>
    <w:p w14:paraId="565CB114">
      <w:pPr>
        <w:numPr>
          <w:ilvl w:val="0"/>
          <w:numId w:val="3"/>
        </w:numPr>
        <w:rPr>
          <w:rFonts w:hint="default" w:ascii="Aptos" w:hAnsi="Aptos"/>
          <w:lang w:val="en-GB"/>
        </w:rPr>
      </w:pPr>
      <w:r>
        <w:rPr>
          <w:rFonts w:hint="default" w:ascii="Aptos" w:hAnsi="Aptos"/>
          <w:lang w:val="en-GB"/>
        </w:rPr>
        <w:t xml:space="preserve">Letsoalo, D.L. and Semenya, M.V. (2025) 'The psychosocial effects of female genital mutilation in sub-Saharan Africa: a scoping review', </w:t>
      </w:r>
      <w:r>
        <w:rPr>
          <w:rFonts w:hint="default" w:ascii="Aptos" w:hAnsi="Aptos"/>
          <w:i/>
          <w:iCs/>
          <w:lang w:val="en-GB"/>
        </w:rPr>
        <w:t>Women &amp; Health, 65</w:t>
      </w:r>
      <w:r>
        <w:rPr>
          <w:rFonts w:hint="default" w:ascii="Aptos" w:hAnsi="Aptos"/>
          <w:lang w:val="en-GB"/>
        </w:rPr>
        <w:t>(7), pp.618–637.</w:t>
      </w:r>
    </w:p>
    <w:p w14:paraId="3EBCF2ED">
      <w:pPr>
        <w:numPr>
          <w:ilvl w:val="0"/>
          <w:numId w:val="3"/>
        </w:numPr>
        <w:rPr>
          <w:rFonts w:hint="default" w:ascii="Aptos" w:hAnsi="Aptos"/>
          <w:lang w:val="en-GB"/>
        </w:rPr>
      </w:pPr>
      <w:r>
        <w:rPr>
          <w:rFonts w:hint="default" w:ascii="Aptos" w:hAnsi="Aptos"/>
          <w:lang w:val="en-GB"/>
        </w:rPr>
        <w:t xml:space="preserve">MacFarlane, A., Russell-Rose, T. and Shokraneh, F. (2022) ‘Search strategy formulation for systematic reviews: Issues, challenges and opportunities’, </w:t>
      </w:r>
      <w:r>
        <w:rPr>
          <w:rFonts w:hint="default" w:ascii="Aptos" w:hAnsi="Aptos"/>
          <w:i/>
          <w:iCs/>
          <w:lang w:val="en-GB"/>
        </w:rPr>
        <w:t>Intelligent Systems with Applications, 15</w:t>
      </w:r>
      <w:r>
        <w:rPr>
          <w:rFonts w:hint="default" w:ascii="Aptos" w:hAnsi="Aptos"/>
          <w:lang w:val="en-GB"/>
        </w:rPr>
        <w:t>, p. 200091.</w:t>
      </w:r>
    </w:p>
    <w:p w14:paraId="5253BB49">
      <w:pPr>
        <w:numPr>
          <w:ilvl w:val="0"/>
          <w:numId w:val="3"/>
        </w:numPr>
        <w:rPr>
          <w:rFonts w:hint="default" w:ascii="Aptos" w:hAnsi="Aptos"/>
          <w:lang w:val="en-GB"/>
        </w:rPr>
      </w:pPr>
      <w:r>
        <w:rPr>
          <w:rFonts w:hint="default" w:ascii="Aptos" w:hAnsi="Aptos"/>
          <w:lang w:val="en-GB"/>
        </w:rPr>
        <w:t xml:space="preserve">Muka, T., Glisic, M., Milic, J., Verhoog, S., Bohlius, J., Bramer, W., Chowdhury, R. and Franco, O.H. (2020) ‘A 24-step guide on how to design, conduct, and successfully publish a systematic review and meta-analysis in medical research’, </w:t>
      </w:r>
      <w:r>
        <w:rPr>
          <w:rFonts w:hint="default" w:ascii="Aptos" w:hAnsi="Aptos"/>
          <w:i/>
          <w:iCs/>
          <w:lang w:val="en-GB"/>
        </w:rPr>
        <w:t>European Journal of Epidemiology, 35</w:t>
      </w:r>
      <w:r>
        <w:rPr>
          <w:rFonts w:hint="default" w:ascii="Aptos" w:hAnsi="Aptos"/>
          <w:lang w:val="en-GB"/>
        </w:rPr>
        <w:t xml:space="preserve">(1), pp. 49–60. </w:t>
      </w:r>
    </w:p>
    <w:p w14:paraId="47996F86">
      <w:pPr>
        <w:numPr>
          <w:ilvl w:val="0"/>
          <w:numId w:val="3"/>
        </w:numPr>
      </w:pPr>
      <w:r>
        <w:rPr>
          <w:rFonts w:hint="default" w:ascii="Aptos" w:hAnsi="Aptos"/>
          <w:lang w:val="en-GB"/>
        </w:rPr>
        <w:t xml:space="preserve">Page, M.J., McKenzie, J.E., Bossuyt, P.M., Boutron, I., Hoffmann, T.C., Mulrow, C.D., Shamseer, L., Tetzlaff, J.M., Akl, E.A., Brennan, S.E., Chou, R., Glanville, J., Grimshaw, J.M., Hróbjartsson, A., Lalu, M.M., Li, T., Loder, E.W., Mayo-Wilson, E., McDonald, S., McGuinness, L.A., Stewart, L.A., Thomas, J., Tricco, A.C., Welch, V.A., Whiting, P. and Moher, D. (2021) 'The PRISMA 2020 statement: an updated guideline for reporting systematic reviews', </w:t>
      </w:r>
      <w:r>
        <w:rPr>
          <w:rFonts w:hint="default" w:ascii="Aptos" w:hAnsi="Aptos"/>
          <w:i/>
          <w:iCs/>
          <w:lang w:val="en-GB"/>
        </w:rPr>
        <w:t>BMJ, 372</w:t>
      </w:r>
      <w:r>
        <w:rPr>
          <w:rFonts w:hint="default" w:ascii="Aptos" w:hAnsi="Aptos"/>
          <w:lang w:val="en-GB"/>
        </w:rPr>
        <w:t>, n71.</w:t>
      </w:r>
    </w:p>
    <w:sectPr>
      <w:pgSz w:w="12240" w:h="15840"/>
      <w:pgMar w:top="720" w:right="576" w:bottom="720" w:left="720" w:header="432" w:footer="288" w:gutter="0"/>
      <w:cols w:space="720" w:num="1"/>
      <w:titlePg/>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黑体">
    <w:altName w:val="SimSun"/>
    <w:panose1 w:val="02010600030101010101"/>
    <w:charset w:val="86"/>
    <w:family w:val="auto"/>
    <w:pitch w:val="default"/>
    <w:sig w:usb0="00000001" w:usb1="080E0000" w:usb2="00000010" w:usb3="00000000" w:csb0="00040000" w:csb1="00000000"/>
  </w:font>
  <w:font w:name="Courier New">
    <w:panose1 w:val="02070309020205020404"/>
    <w:charset w:val="00"/>
    <w:family w:val="modern"/>
    <w:pitch w:val="default"/>
    <w:sig w:usb0="E0002EFF" w:usb1="C0007843" w:usb2="00000009" w:usb3="00000000" w:csb0="400001FF" w:csb1="FFFF0000"/>
  </w:font>
  <w:font w:name="Wingdings">
    <w:panose1 w:val="05000000000000000000"/>
    <w:charset w:val="02"/>
    <w:family w:val="auto"/>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等线">
    <w:altName w:val="Microsoft YaHei"/>
    <w:panose1 w:val="00000000000000000000"/>
    <w:charset w:val="86"/>
    <w:family w:val="auto"/>
    <w:pitch w:val="default"/>
    <w:sig w:usb0="00000000" w:usb1="00000000" w:usb2="00000000" w:usb3="00000000" w:csb0="00000000" w:csb1="00000000"/>
  </w:font>
  <w:font w:name="Century Schoolbook">
    <w:panose1 w:val="02040604050505020304"/>
    <w:charset w:val="86"/>
    <w:family w:val="roman"/>
    <w:pitch w:val="default"/>
    <w:sig w:usb0="00000287" w:usb1="00000000" w:usb2="00000000" w:usb3="00000000" w:csb0="2000009F" w:csb1="DFD70000"/>
  </w:font>
  <w:font w:name="Aptos">
    <w:altName w:val="Segoe UI"/>
    <w:panose1 w:val="00000000000000000000"/>
    <w:charset w:val="00"/>
    <w:family w:val="swiss"/>
    <w:pitch w:val="default"/>
    <w:sig w:usb0="00000000" w:usb1="00000000" w:usb2="00000000" w:usb3="00000000" w:csb0="0000019F" w:csb1="00000000"/>
  </w:font>
  <w:font w:name="Segoe UI">
    <w:panose1 w:val="020B0502040204020203"/>
    <w:charset w:val="00"/>
    <w:family w:val="auto"/>
    <w:pitch w:val="default"/>
    <w:sig w:usb0="E4002EFF" w:usb1="C000E47F" w:usb2="00000009" w:usb3="00000000" w:csb0="200001FF" w:csb1="00000000"/>
  </w:font>
  <w:font w:name="Century Schoolbook">
    <w:panose1 w:val="02040604050505020304"/>
    <w:charset w:val="00"/>
    <w:family w:val="auto"/>
    <w:pitch w:val="default"/>
    <w:sig w:usb0="00000287" w:usb1="00000000" w:usb2="00000000" w:usb3="00000000" w:csb0="2000009F" w:csb1="DFD7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pPr>
      <w:r>
        <w:separator/>
      </w:r>
    </w:p>
  </w:footnote>
  <w:footnote w:type="continuationSeparator" w:id="1">
    <w:p>
      <w:pPr>
        <w:spacing w:before="0" w:after="0"/>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1920CB3">
    <w:pPr>
      <w:pStyle w:val="9"/>
    </w:pPr>
    <w:r>
      <w:t>`</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50F81C2">
    <w:pPr>
      <w:pStyle w:val="9"/>
    </w:pPr>
  </w:p>
  <w:p w14:paraId="68BF0258">
    <w:pPr>
      <w:pStyle w:val="9"/>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FBC71540"/>
    <w:multiLevelType w:val="singleLevel"/>
    <w:tmpl w:val="FBC71540"/>
    <w:lvl w:ilvl="0" w:tentative="0">
      <w:start w:val="1"/>
      <w:numFmt w:val="bullet"/>
      <w:lvlText w:val=""/>
      <w:lvlJc w:val="left"/>
      <w:pPr>
        <w:tabs>
          <w:tab w:val="left" w:pos="420"/>
        </w:tabs>
        <w:ind w:left="418" w:leftChars="0" w:hanging="418" w:firstLineChars="0"/>
      </w:pPr>
      <w:rPr>
        <w:rFonts w:hint="default" w:ascii="Wingdings" w:hAnsi="Wingdings" w:cs="Wingdings"/>
        <w:sz w:val="13"/>
      </w:rPr>
    </w:lvl>
  </w:abstractNum>
  <w:abstractNum w:abstractNumId="1">
    <w:nsid w:val="082645F3"/>
    <w:multiLevelType w:val="multilevel"/>
    <w:tmpl w:val="082645F3"/>
    <w:lvl w:ilvl="0" w:tentative="0">
      <w:start w:val="1"/>
      <w:numFmt w:val="bullet"/>
      <w:lvlText w:val="•"/>
      <w:lvlJc w:val="left"/>
      <w:pPr>
        <w:tabs>
          <w:tab w:val="left" w:pos="720"/>
        </w:tabs>
        <w:ind w:left="720" w:hanging="360"/>
      </w:pPr>
      <w:rPr>
        <w:rFonts w:hint="default" w:ascii="Arial" w:hAnsi="Arial"/>
      </w:rPr>
    </w:lvl>
    <w:lvl w:ilvl="1" w:tentative="0">
      <w:start w:val="1"/>
      <w:numFmt w:val="bullet"/>
      <w:lvlText w:val="•"/>
      <w:lvlJc w:val="left"/>
      <w:pPr>
        <w:tabs>
          <w:tab w:val="left" w:pos="1440"/>
        </w:tabs>
        <w:ind w:left="1440" w:hanging="360"/>
      </w:pPr>
      <w:rPr>
        <w:rFonts w:hint="default" w:ascii="Arial" w:hAnsi="Arial"/>
      </w:rPr>
    </w:lvl>
    <w:lvl w:ilvl="2" w:tentative="0">
      <w:start w:val="1"/>
      <w:numFmt w:val="bullet"/>
      <w:lvlText w:val="•"/>
      <w:lvlJc w:val="left"/>
      <w:pPr>
        <w:tabs>
          <w:tab w:val="left" w:pos="2160"/>
        </w:tabs>
        <w:ind w:left="2160" w:hanging="360"/>
      </w:pPr>
      <w:rPr>
        <w:rFonts w:hint="default" w:ascii="Arial" w:hAnsi="Arial"/>
      </w:rPr>
    </w:lvl>
    <w:lvl w:ilvl="3" w:tentative="0">
      <w:start w:val="1"/>
      <w:numFmt w:val="bullet"/>
      <w:lvlText w:val="•"/>
      <w:lvlJc w:val="left"/>
      <w:pPr>
        <w:tabs>
          <w:tab w:val="left" w:pos="2880"/>
        </w:tabs>
        <w:ind w:left="2880" w:hanging="360"/>
      </w:pPr>
      <w:rPr>
        <w:rFonts w:hint="default" w:ascii="Arial" w:hAnsi="Arial"/>
      </w:rPr>
    </w:lvl>
    <w:lvl w:ilvl="4" w:tentative="0">
      <w:start w:val="1"/>
      <w:numFmt w:val="bullet"/>
      <w:lvlText w:val="•"/>
      <w:lvlJc w:val="left"/>
      <w:pPr>
        <w:tabs>
          <w:tab w:val="left" w:pos="3600"/>
        </w:tabs>
        <w:ind w:left="3600" w:hanging="360"/>
      </w:pPr>
      <w:rPr>
        <w:rFonts w:hint="default" w:ascii="Arial" w:hAnsi="Arial"/>
      </w:rPr>
    </w:lvl>
    <w:lvl w:ilvl="5" w:tentative="0">
      <w:start w:val="1"/>
      <w:numFmt w:val="bullet"/>
      <w:lvlText w:val="•"/>
      <w:lvlJc w:val="left"/>
      <w:pPr>
        <w:tabs>
          <w:tab w:val="left" w:pos="4320"/>
        </w:tabs>
        <w:ind w:left="4320" w:hanging="360"/>
      </w:pPr>
      <w:rPr>
        <w:rFonts w:hint="default" w:ascii="Arial" w:hAnsi="Arial"/>
      </w:rPr>
    </w:lvl>
    <w:lvl w:ilvl="6" w:tentative="0">
      <w:start w:val="1"/>
      <w:numFmt w:val="bullet"/>
      <w:lvlText w:val="•"/>
      <w:lvlJc w:val="left"/>
      <w:pPr>
        <w:tabs>
          <w:tab w:val="left" w:pos="5040"/>
        </w:tabs>
        <w:ind w:left="5040" w:hanging="360"/>
      </w:pPr>
      <w:rPr>
        <w:rFonts w:hint="default" w:ascii="Arial" w:hAnsi="Arial"/>
      </w:rPr>
    </w:lvl>
    <w:lvl w:ilvl="7" w:tentative="0">
      <w:start w:val="1"/>
      <w:numFmt w:val="bullet"/>
      <w:lvlText w:val="•"/>
      <w:lvlJc w:val="left"/>
      <w:pPr>
        <w:tabs>
          <w:tab w:val="left" w:pos="5760"/>
        </w:tabs>
        <w:ind w:left="5760" w:hanging="360"/>
      </w:pPr>
      <w:rPr>
        <w:rFonts w:hint="default" w:ascii="Arial" w:hAnsi="Arial"/>
      </w:rPr>
    </w:lvl>
    <w:lvl w:ilvl="8" w:tentative="0">
      <w:start w:val="1"/>
      <w:numFmt w:val="bullet"/>
      <w:lvlText w:val="•"/>
      <w:lvlJc w:val="left"/>
      <w:pPr>
        <w:tabs>
          <w:tab w:val="left" w:pos="6480"/>
        </w:tabs>
        <w:ind w:left="6480" w:hanging="360"/>
      </w:pPr>
      <w:rPr>
        <w:rFonts w:hint="default" w:ascii="Arial" w:hAnsi="Arial"/>
      </w:rPr>
    </w:lvl>
  </w:abstractNum>
  <w:abstractNum w:abstractNumId="2">
    <w:nsid w:val="6E237E85"/>
    <w:multiLevelType w:val="singleLevel"/>
    <w:tmpl w:val="6E237E85"/>
    <w:lvl w:ilvl="0" w:tentative="0">
      <w:start w:val="1"/>
      <w:numFmt w:val="bullet"/>
      <w:lvlText w:val=""/>
      <w:lvlJc w:val="left"/>
      <w:pPr>
        <w:tabs>
          <w:tab w:val="left" w:pos="420"/>
        </w:tabs>
        <w:ind w:left="418" w:leftChars="0" w:hanging="418" w:firstLineChars="0"/>
      </w:pPr>
      <w:rPr>
        <w:rFonts w:hint="default" w:ascii="Wingdings" w:hAnsi="Wingdings" w:cs="Wingdings"/>
        <w:sz w:val="13"/>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74"/>
  <w:removePersonalInformation/>
  <w:displayBackgroundShape w:val="1"/>
  <w:bordersDoNotSurroundHeader w:val="0"/>
  <w:bordersDoNotSurroundFooter w:val="0"/>
  <w:stylePaneFormatFilter w:val="5004" w:allStyles="0" w:customStyles="0" w:latentStyles="1" w:stylesInUse="0" w:headingStyles="0" w:numberingStyles="0" w:tableStyles="0" w:directFormattingOnRuns="0" w:directFormattingOnParagraphs="0" w:directFormattingOnNumbering="0" w:directFormattingOnTables="0" w:clearFormatting="1" w:top3HeadingStyles="0" w:visibleStyles="1" w:alternateStyleNames="0"/>
  <w:attachedTemplate r:id="rId1"/>
  <w:documentProtection w:enforcement="0"/>
  <w:defaultTabStop w:val="720"/>
  <w:displayHorizontalDrawingGridEvery w:val="1"/>
  <w:displayVerticalDrawingGridEvery w:val="1"/>
  <w:noPunctuationKerning w:val="1"/>
  <w:characterSpacingControl w:val="doNotCompress"/>
  <w:footnotePr>
    <w:footnote w:id="0"/>
    <w:footnote w:id="1"/>
  </w:footnotePr>
  <w:compat>
    <w:doNotExpandShiftReturn/>
    <w:doNotWrapTextWithPunct/>
    <w:doNotUseEastAsianBreakRules/>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23C19"/>
    <w:rsid w:val="00002366"/>
    <w:rsid w:val="00023293"/>
    <w:rsid w:val="00061977"/>
    <w:rsid w:val="00063B85"/>
    <w:rsid w:val="0008782A"/>
    <w:rsid w:val="000A065A"/>
    <w:rsid w:val="000E56ED"/>
    <w:rsid w:val="00106FC5"/>
    <w:rsid w:val="00120DEC"/>
    <w:rsid w:val="00123C19"/>
    <w:rsid w:val="001A2DAB"/>
    <w:rsid w:val="001C55B6"/>
    <w:rsid w:val="001D6CC4"/>
    <w:rsid w:val="00206405"/>
    <w:rsid w:val="002341AD"/>
    <w:rsid w:val="00253267"/>
    <w:rsid w:val="002823CD"/>
    <w:rsid w:val="00287787"/>
    <w:rsid w:val="00291685"/>
    <w:rsid w:val="0029329C"/>
    <w:rsid w:val="002B0A3D"/>
    <w:rsid w:val="002F26AB"/>
    <w:rsid w:val="003007A7"/>
    <w:rsid w:val="003257E1"/>
    <w:rsid w:val="00325DEC"/>
    <w:rsid w:val="00346FFA"/>
    <w:rsid w:val="00385494"/>
    <w:rsid w:val="003A3069"/>
    <w:rsid w:val="003C20B5"/>
    <w:rsid w:val="003E545F"/>
    <w:rsid w:val="003F03D2"/>
    <w:rsid w:val="003F1E1A"/>
    <w:rsid w:val="004045E5"/>
    <w:rsid w:val="00421496"/>
    <w:rsid w:val="00422C27"/>
    <w:rsid w:val="0044367C"/>
    <w:rsid w:val="0044412C"/>
    <w:rsid w:val="004642F0"/>
    <w:rsid w:val="00500564"/>
    <w:rsid w:val="0051102B"/>
    <w:rsid w:val="00516CC0"/>
    <w:rsid w:val="005475F0"/>
    <w:rsid w:val="00582081"/>
    <w:rsid w:val="005838BC"/>
    <w:rsid w:val="005B57E1"/>
    <w:rsid w:val="005E61E0"/>
    <w:rsid w:val="005F0F31"/>
    <w:rsid w:val="005F7D75"/>
    <w:rsid w:val="006024ED"/>
    <w:rsid w:val="0061793F"/>
    <w:rsid w:val="0062123A"/>
    <w:rsid w:val="006605F8"/>
    <w:rsid w:val="006676A1"/>
    <w:rsid w:val="006833BD"/>
    <w:rsid w:val="006D2642"/>
    <w:rsid w:val="006E2D42"/>
    <w:rsid w:val="00720FEE"/>
    <w:rsid w:val="00764B6F"/>
    <w:rsid w:val="007C7319"/>
    <w:rsid w:val="007D43B3"/>
    <w:rsid w:val="007F20B4"/>
    <w:rsid w:val="007F525E"/>
    <w:rsid w:val="00802FF1"/>
    <w:rsid w:val="0082695D"/>
    <w:rsid w:val="0083044C"/>
    <w:rsid w:val="00846694"/>
    <w:rsid w:val="0085182D"/>
    <w:rsid w:val="00867E5F"/>
    <w:rsid w:val="008709F5"/>
    <w:rsid w:val="00877A91"/>
    <w:rsid w:val="00884E86"/>
    <w:rsid w:val="00890534"/>
    <w:rsid w:val="00891124"/>
    <w:rsid w:val="008927FF"/>
    <w:rsid w:val="008B0F18"/>
    <w:rsid w:val="008C1616"/>
    <w:rsid w:val="008E3921"/>
    <w:rsid w:val="0090027B"/>
    <w:rsid w:val="00905238"/>
    <w:rsid w:val="0094702A"/>
    <w:rsid w:val="00967DAB"/>
    <w:rsid w:val="00990E76"/>
    <w:rsid w:val="00991A53"/>
    <w:rsid w:val="00996F4E"/>
    <w:rsid w:val="009F71FE"/>
    <w:rsid w:val="00A27D8D"/>
    <w:rsid w:val="00A31F33"/>
    <w:rsid w:val="00A70A62"/>
    <w:rsid w:val="00A71DA8"/>
    <w:rsid w:val="00A90A7A"/>
    <w:rsid w:val="00AB1210"/>
    <w:rsid w:val="00AB5409"/>
    <w:rsid w:val="00AB770D"/>
    <w:rsid w:val="00AF2088"/>
    <w:rsid w:val="00AF5FB0"/>
    <w:rsid w:val="00B0080A"/>
    <w:rsid w:val="00B0538C"/>
    <w:rsid w:val="00B376E4"/>
    <w:rsid w:val="00B37AB8"/>
    <w:rsid w:val="00B418DE"/>
    <w:rsid w:val="00B47FE7"/>
    <w:rsid w:val="00B67824"/>
    <w:rsid w:val="00BE15BA"/>
    <w:rsid w:val="00C20ED0"/>
    <w:rsid w:val="00C31D85"/>
    <w:rsid w:val="00C348A8"/>
    <w:rsid w:val="00C34FA0"/>
    <w:rsid w:val="00C46111"/>
    <w:rsid w:val="00C47DCC"/>
    <w:rsid w:val="00C83332"/>
    <w:rsid w:val="00C95E04"/>
    <w:rsid w:val="00CC0A8F"/>
    <w:rsid w:val="00CC24B6"/>
    <w:rsid w:val="00CD3A64"/>
    <w:rsid w:val="00CE08CD"/>
    <w:rsid w:val="00D0664A"/>
    <w:rsid w:val="00D210FA"/>
    <w:rsid w:val="00D30F1D"/>
    <w:rsid w:val="00D57231"/>
    <w:rsid w:val="00D87B48"/>
    <w:rsid w:val="00D91203"/>
    <w:rsid w:val="00D94FD1"/>
    <w:rsid w:val="00E41692"/>
    <w:rsid w:val="00E55D74"/>
    <w:rsid w:val="00E81234"/>
    <w:rsid w:val="00E9037E"/>
    <w:rsid w:val="00EA120D"/>
    <w:rsid w:val="00EA49C3"/>
    <w:rsid w:val="00EB5E14"/>
    <w:rsid w:val="00EB6F36"/>
    <w:rsid w:val="00ED1049"/>
    <w:rsid w:val="00EE19D9"/>
    <w:rsid w:val="00EF26FC"/>
    <w:rsid w:val="00F37523"/>
    <w:rsid w:val="00F50168"/>
    <w:rsid w:val="00F50D34"/>
    <w:rsid w:val="00F52F83"/>
    <w:rsid w:val="00F61360"/>
    <w:rsid w:val="00FC538A"/>
    <w:rsid w:val="00FE2B9F"/>
    <w:rsid w:val="00FF3CF0"/>
    <w:rsid w:val="00FF4076"/>
    <w:rsid w:val="06FF6376"/>
    <w:rsid w:val="0A271B17"/>
    <w:rsid w:val="221F3F17"/>
    <w:rsid w:val="2464246A"/>
    <w:rsid w:val="32D90204"/>
    <w:rsid w:val="3A0D6C5B"/>
    <w:rsid w:val="3D3B6EF9"/>
    <w:rsid w:val="480150F5"/>
    <w:rsid w:val="489E1036"/>
    <w:rsid w:val="4C5950B5"/>
    <w:rsid w:val="71642387"/>
    <w:rsid w:val="7AC74319"/>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2"/>
    </o:shapelayout>
  </w:shapeDefaul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SimSun"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nhideWhenUsed="0" w:uiPriority="9" w:semiHidden="0" w:name="heading 2"/>
    <w:lsdException w:qFormat="1" w:unhideWhenUsed="0" w:uiPriority="9" w:name="heading 3"/>
    <w:lsdException w:qFormat="1" w:unhideWhenUsed="0" w:uiPriority="0" w:name="heading 4"/>
    <w:lsdException w:qFormat="1" w:unhideWhenUsed="0" w:uiPriority="9" w:name="heading 5"/>
    <w:lsdException w:qFormat="1" w:unhideWhenUsed="0" w:uiPriority="9" w:name="heading 6"/>
    <w:lsdException w:qFormat="1" w:unhideWhenUsed="0" w:uiPriority="9" w:name="heading 7"/>
    <w:lsdException w:qFormat="1" w:unhideWhenUsed="0" w:uiPriority="9" w:name="heading 8"/>
    <w:lsdException w:qFormat="1" w:unhideWhenUsed="0"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nhideWhenUsed="0" w:uiPriority="99" w:semiHidden="0" w:name="header"/>
    <w:lsdException w:qFormat="1" w:unhideWhenUsed="0"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nhideWhenUsed="0"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semiHidden="0"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unhideWhenUsed="0" w:uiPriority="11"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name="Hyperlink"/>
    <w:lsdException w:uiPriority="99" w:name="FollowedHyperlink"/>
    <w:lsdException w:qFormat="1" w:unhideWhenUsed="0" w:uiPriority="22" w:name="Strong"/>
    <w:lsdException w:qFormat="1" w:unhideWhenUsed="0" w:uiPriority="20" w:name="Emphasis"/>
    <w:lsdException w:uiPriority="99" w:name="Document Map"/>
    <w:lsdException w:uiPriority="99" w:name="Plain Text"/>
    <w:lsdException w:uiPriority="99" w:name="E-mail Signature"/>
    <w:lsdException w:qFormat="1"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39" w:semiHidden="0" w:name="Table Grid"/>
    <w:lsdException w:uiPriority="99" w:name="Table Theme"/>
    <w:lsdException w:qFormat="1" w:unhideWhenUsed="0" w:uiPriority="99" w:name="Placeholder Text"/>
    <w:lsdException w:qFormat="1" w:unhideWhenUsed="0" w:uiPriority="1"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qFormat="1" w:unhideWhenUsed="0" w:uiPriority="29" w:semiHidden="0" w:name="Quote"/>
    <w:lsdException w:qFormat="1" w:unhideWhenUsed="0" w:uiPriority="3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spacing w:after="220"/>
    </w:pPr>
    <w:rPr>
      <w:rFonts w:asciiTheme="minorHAnsi" w:hAnsiTheme="minorHAnsi" w:eastAsiaTheme="minorHAnsi" w:cstheme="minorBidi"/>
      <w:sz w:val="22"/>
      <w:szCs w:val="22"/>
      <w:lang w:val="en-US" w:eastAsia="en-US" w:bidi="ar-SA"/>
    </w:rPr>
  </w:style>
  <w:style w:type="paragraph" w:styleId="2">
    <w:name w:val="heading 1"/>
    <w:basedOn w:val="1"/>
    <w:next w:val="1"/>
    <w:link w:val="18"/>
    <w:qFormat/>
    <w:uiPriority w:val="9"/>
    <w:pPr>
      <w:spacing w:after="240"/>
      <w:outlineLvl w:val="0"/>
    </w:pPr>
    <w:rPr>
      <w:rFonts w:asciiTheme="majorHAnsi" w:hAnsiTheme="majorHAnsi"/>
      <w:b/>
      <w:color w:val="44546A" w:themeColor="text2"/>
      <w:spacing w:val="10"/>
      <w:sz w:val="28"/>
      <w14:textFill>
        <w14:solidFill>
          <w14:schemeClr w14:val="tx2"/>
        </w14:solidFill>
      </w14:textFill>
    </w:rPr>
  </w:style>
  <w:style w:type="paragraph" w:styleId="3">
    <w:name w:val="heading 2"/>
    <w:basedOn w:val="1"/>
    <w:next w:val="1"/>
    <w:link w:val="26"/>
    <w:qFormat/>
    <w:uiPriority w:val="9"/>
    <w:pPr>
      <w:spacing w:after="240"/>
      <w:outlineLvl w:val="1"/>
    </w:pPr>
    <w:rPr>
      <w:rFonts w:asciiTheme="majorHAnsi" w:hAnsiTheme="majorHAnsi"/>
      <w:b/>
      <w:color w:val="FFFFFF" w:themeColor="background1"/>
      <w:spacing w:val="10"/>
      <w:sz w:val="28"/>
      <w14:textFill>
        <w14:solidFill>
          <w14:schemeClr w14:val="bg1"/>
        </w14:solidFill>
      </w14:textFill>
    </w:rPr>
  </w:style>
  <w:style w:type="paragraph" w:styleId="4">
    <w:name w:val="heading 4"/>
    <w:next w:val="1"/>
    <w:link w:val="15"/>
    <w:semiHidden/>
    <w:qFormat/>
    <w:uiPriority w:val="0"/>
    <w:pPr>
      <w:spacing w:after="240"/>
      <w:outlineLvl w:val="3"/>
    </w:pPr>
    <w:rPr>
      <w:rFonts w:eastAsia="Times New Roman" w:cs="Arial" w:asciiTheme="minorHAnsi" w:hAnsiTheme="minorHAnsi"/>
      <w:b/>
      <w:color w:val="ED7D31" w:themeColor="accent2"/>
      <w:spacing w:val="10"/>
      <w:sz w:val="28"/>
      <w:szCs w:val="32"/>
      <w:lang w:val="en-US" w:eastAsia="en-US" w:bidi="ar-SA"/>
      <w14:textFill>
        <w14:solidFill>
          <w14:schemeClr w14:val="accent2"/>
        </w14:solidFill>
      </w14:textFill>
    </w:rPr>
  </w:style>
  <w:style w:type="character" w:default="1" w:styleId="5">
    <w:name w:val="Default Paragraph Font"/>
    <w:unhideWhenUsed/>
    <w:qFormat/>
    <w:uiPriority w:val="1"/>
  </w:style>
  <w:style w:type="table" w:default="1" w:styleId="6">
    <w:name w:val="Normal Table"/>
    <w:semiHidden/>
    <w:unhideWhenUsed/>
    <w:qFormat/>
    <w:uiPriority w:val="99"/>
    <w:tblPr>
      <w:tblCellMar>
        <w:top w:w="0" w:type="dxa"/>
        <w:left w:w="108" w:type="dxa"/>
        <w:bottom w:w="0" w:type="dxa"/>
        <w:right w:w="108" w:type="dxa"/>
      </w:tblCellMar>
    </w:tblPr>
  </w:style>
  <w:style w:type="character" w:styleId="7">
    <w:name w:val="Emphasis"/>
    <w:basedOn w:val="5"/>
    <w:semiHidden/>
    <w:qFormat/>
    <w:uiPriority w:val="20"/>
    <w:rPr>
      <w:i/>
      <w:iCs/>
    </w:rPr>
  </w:style>
  <w:style w:type="paragraph" w:styleId="8">
    <w:name w:val="footer"/>
    <w:basedOn w:val="1"/>
    <w:link w:val="29"/>
    <w:semiHidden/>
    <w:qFormat/>
    <w:uiPriority w:val="99"/>
    <w:pPr>
      <w:spacing w:after="0"/>
    </w:pPr>
  </w:style>
  <w:style w:type="paragraph" w:styleId="9">
    <w:name w:val="header"/>
    <w:basedOn w:val="1"/>
    <w:link w:val="28"/>
    <w:qFormat/>
    <w:uiPriority w:val="99"/>
    <w:pPr>
      <w:spacing w:after="0"/>
    </w:pPr>
  </w:style>
  <w:style w:type="character" w:styleId="10">
    <w:name w:val="Hyperlink"/>
    <w:basedOn w:val="5"/>
    <w:semiHidden/>
    <w:unhideWhenUsed/>
    <w:qFormat/>
    <w:uiPriority w:val="99"/>
    <w:rPr>
      <w:color w:val="0000FF"/>
      <w:u w:val="single"/>
    </w:rPr>
  </w:style>
  <w:style w:type="paragraph" w:styleId="11">
    <w:name w:val="Normal (Web)"/>
    <w:semiHidden/>
    <w:unhideWhenUsed/>
    <w:qFormat/>
    <w:uiPriority w:val="99"/>
    <w:pPr>
      <w:spacing w:before="0" w:beforeAutospacing="1" w:after="0" w:afterAutospacing="1"/>
      <w:ind w:left="0" w:right="0"/>
      <w:jc w:val="left"/>
    </w:pPr>
    <w:rPr>
      <w:rFonts w:ascii="Times New Roman" w:hAnsi="Times New Roman" w:eastAsia="SimSun" w:cs="Times New Roman"/>
      <w:kern w:val="0"/>
      <w:sz w:val="24"/>
      <w:szCs w:val="24"/>
      <w:lang w:val="en-US" w:eastAsia="zh-CN" w:bidi="ar"/>
    </w:rPr>
  </w:style>
  <w:style w:type="character" w:styleId="12">
    <w:name w:val="Strong"/>
    <w:basedOn w:val="5"/>
    <w:semiHidden/>
    <w:qFormat/>
    <w:uiPriority w:val="22"/>
    <w:rPr>
      <w:b/>
      <w:bCs/>
    </w:rPr>
  </w:style>
  <w:style w:type="table" w:styleId="13">
    <w:name w:val="Table Grid"/>
    <w:basedOn w:val="6"/>
    <w:qFormat/>
    <w:uiPriority w:val="3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14">
    <w:name w:val="Title"/>
    <w:basedOn w:val="1"/>
    <w:next w:val="1"/>
    <w:link w:val="16"/>
    <w:qFormat/>
    <w:uiPriority w:val="10"/>
    <w:pPr>
      <w:spacing w:after="200"/>
      <w:contextualSpacing/>
      <w:jc w:val="center"/>
    </w:pPr>
    <w:rPr>
      <w:rFonts w:asciiTheme="majorHAnsi" w:hAnsiTheme="majorHAnsi" w:eastAsiaTheme="majorEastAsia" w:cstheme="majorBidi"/>
      <w:b/>
      <w:color w:val="FFFFFF" w:themeColor="background1"/>
      <w:spacing w:val="-10"/>
      <w:kern w:val="28"/>
      <w:sz w:val="48"/>
      <w:szCs w:val="56"/>
      <w14:textFill>
        <w14:solidFill>
          <w14:schemeClr w14:val="bg1"/>
        </w14:solidFill>
      </w14:textFill>
    </w:rPr>
  </w:style>
  <w:style w:type="character" w:customStyle="1" w:styleId="15">
    <w:name w:val="Heading 4 Char"/>
    <w:basedOn w:val="5"/>
    <w:link w:val="4"/>
    <w:semiHidden/>
    <w:qFormat/>
    <w:uiPriority w:val="0"/>
    <w:rPr>
      <w:rFonts w:eastAsia="Times New Roman" w:cs="Arial"/>
      <w:b/>
      <w:color w:val="ED7D31" w:themeColor="accent2"/>
      <w:spacing w:val="10"/>
      <w:sz w:val="28"/>
      <w:szCs w:val="32"/>
      <w14:textFill>
        <w14:solidFill>
          <w14:schemeClr w14:val="accent2"/>
        </w14:solidFill>
      </w14:textFill>
    </w:rPr>
  </w:style>
  <w:style w:type="character" w:customStyle="1" w:styleId="16">
    <w:name w:val="Title Char"/>
    <w:basedOn w:val="5"/>
    <w:link w:val="14"/>
    <w:qFormat/>
    <w:uiPriority w:val="10"/>
    <w:rPr>
      <w:rFonts w:asciiTheme="majorHAnsi" w:hAnsiTheme="majorHAnsi" w:eastAsiaTheme="majorEastAsia" w:cstheme="majorBidi"/>
      <w:b/>
      <w:color w:val="FFFFFF" w:themeColor="background1"/>
      <w:spacing w:val="-10"/>
      <w:kern w:val="28"/>
      <w:sz w:val="48"/>
      <w:szCs w:val="56"/>
      <w14:textFill>
        <w14:solidFill>
          <w14:schemeClr w14:val="bg1"/>
        </w14:solidFill>
      </w14:textFill>
    </w:rPr>
  </w:style>
  <w:style w:type="paragraph" w:styleId="17">
    <w:name w:val="List Paragraph"/>
    <w:basedOn w:val="1"/>
    <w:qFormat/>
    <w:uiPriority w:val="34"/>
    <w:pPr>
      <w:ind w:left="720"/>
      <w:contextualSpacing/>
    </w:pPr>
  </w:style>
  <w:style w:type="character" w:customStyle="1" w:styleId="18">
    <w:name w:val="Heading 1 Char"/>
    <w:basedOn w:val="5"/>
    <w:link w:val="2"/>
    <w:qFormat/>
    <w:uiPriority w:val="9"/>
    <w:rPr>
      <w:rFonts w:asciiTheme="majorHAnsi" w:hAnsiTheme="majorHAnsi"/>
      <w:b/>
      <w:color w:val="44546A" w:themeColor="text2"/>
      <w:spacing w:val="10"/>
      <w:sz w:val="28"/>
      <w14:textFill>
        <w14:solidFill>
          <w14:schemeClr w14:val="tx2"/>
        </w14:solidFill>
      </w14:textFill>
    </w:rPr>
  </w:style>
  <w:style w:type="character" w:customStyle="1" w:styleId="19">
    <w:name w:val="Hashtag"/>
    <w:basedOn w:val="5"/>
    <w:semiHidden/>
    <w:qFormat/>
    <w:uiPriority w:val="99"/>
    <w:rPr>
      <w:color w:val="2B579A"/>
      <w:shd w:val="clear" w:color="auto" w:fill="E6E6E6"/>
    </w:rPr>
  </w:style>
  <w:style w:type="character" w:customStyle="1" w:styleId="20">
    <w:name w:val="Intense Emphasis"/>
    <w:basedOn w:val="5"/>
    <w:semiHidden/>
    <w:qFormat/>
    <w:uiPriority w:val="21"/>
    <w:rPr>
      <w:i/>
      <w:iCs/>
      <w:color w:val="4472C4" w:themeColor="accent1"/>
      <w14:textFill>
        <w14:solidFill>
          <w14:schemeClr w14:val="accent1"/>
        </w14:solidFill>
      </w14:textFill>
    </w:rPr>
  </w:style>
  <w:style w:type="paragraph" w:styleId="21">
    <w:name w:val="Intense Quote"/>
    <w:basedOn w:val="1"/>
    <w:next w:val="1"/>
    <w:link w:val="22"/>
    <w:semiHidden/>
    <w:qFormat/>
    <w:uiPriority w:val="30"/>
    <w:pPr>
      <w:pBdr>
        <w:top w:val="single" w:color="4472C4" w:themeColor="accent1" w:sz="4" w:space="10"/>
        <w:bottom w:val="single" w:color="4472C4" w:themeColor="accent1" w:sz="4" w:space="10"/>
      </w:pBdr>
      <w:spacing w:before="360" w:after="360"/>
      <w:ind w:left="864" w:right="864"/>
      <w:jc w:val="center"/>
    </w:pPr>
    <w:rPr>
      <w:i/>
      <w:iCs/>
      <w:color w:val="4472C4" w:themeColor="accent1"/>
      <w14:textFill>
        <w14:solidFill>
          <w14:schemeClr w14:val="accent1"/>
        </w14:solidFill>
      </w14:textFill>
    </w:rPr>
  </w:style>
  <w:style w:type="character" w:customStyle="1" w:styleId="22">
    <w:name w:val="Intense Quote Char"/>
    <w:basedOn w:val="5"/>
    <w:link w:val="21"/>
    <w:semiHidden/>
    <w:qFormat/>
    <w:uiPriority w:val="30"/>
    <w:rPr>
      <w:rFonts w:eastAsia="Times New Roman" w:cs="Times New Roman"/>
      <w:i/>
      <w:iCs/>
      <w:color w:val="4472C4" w:themeColor="accent1"/>
      <w:sz w:val="21"/>
      <w14:textFill>
        <w14:solidFill>
          <w14:schemeClr w14:val="accent1"/>
        </w14:solidFill>
      </w14:textFill>
    </w:rPr>
  </w:style>
  <w:style w:type="character" w:customStyle="1" w:styleId="23">
    <w:name w:val="Intense Reference"/>
    <w:basedOn w:val="5"/>
    <w:semiHidden/>
    <w:qFormat/>
    <w:uiPriority w:val="32"/>
    <w:rPr>
      <w:b/>
      <w:bCs/>
      <w:smallCaps/>
      <w:color w:val="4472C4" w:themeColor="accent1"/>
      <w:spacing w:val="5"/>
      <w14:textFill>
        <w14:solidFill>
          <w14:schemeClr w14:val="accent1"/>
        </w14:solidFill>
      </w14:textFill>
    </w:rPr>
  </w:style>
  <w:style w:type="character" w:customStyle="1" w:styleId="24">
    <w:name w:val="Subtle Reference"/>
    <w:basedOn w:val="5"/>
    <w:semiHidden/>
    <w:qFormat/>
    <w:uiPriority w:val="31"/>
    <w:rPr>
      <w:smallCaps/>
      <w:color w:val="595959" w:themeColor="text1" w:themeTint="A6"/>
      <w14:textFill>
        <w14:solidFill>
          <w14:schemeClr w14:val="tx1">
            <w14:lumMod w14:val="65000"/>
            <w14:lumOff w14:val="35000"/>
          </w14:schemeClr>
        </w14:solidFill>
      </w14:textFill>
    </w:rPr>
  </w:style>
  <w:style w:type="character" w:customStyle="1" w:styleId="25">
    <w:name w:val="Unresolved Mention"/>
    <w:basedOn w:val="5"/>
    <w:semiHidden/>
    <w:qFormat/>
    <w:uiPriority w:val="99"/>
    <w:rPr>
      <w:color w:val="808080"/>
      <w:shd w:val="clear" w:color="auto" w:fill="E6E6E6"/>
    </w:rPr>
  </w:style>
  <w:style w:type="character" w:customStyle="1" w:styleId="26">
    <w:name w:val="Heading 2 Char"/>
    <w:basedOn w:val="5"/>
    <w:link w:val="3"/>
    <w:qFormat/>
    <w:uiPriority w:val="9"/>
    <w:rPr>
      <w:rFonts w:asciiTheme="majorHAnsi" w:hAnsiTheme="majorHAnsi"/>
      <w:b/>
      <w:color w:val="FFFFFF" w:themeColor="background1"/>
      <w:spacing w:val="10"/>
      <w:sz w:val="28"/>
      <w14:textFill>
        <w14:solidFill>
          <w14:schemeClr w14:val="bg1"/>
        </w14:solidFill>
      </w14:textFill>
    </w:rPr>
  </w:style>
  <w:style w:type="paragraph" w:customStyle="1" w:styleId="27">
    <w:name w:val="Normal Text Dark Background"/>
    <w:basedOn w:val="1"/>
    <w:qFormat/>
    <w:uiPriority w:val="0"/>
    <w:rPr>
      <w:color w:val="FFFFFF" w:themeColor="background1"/>
      <w14:textFill>
        <w14:solidFill>
          <w14:schemeClr w14:val="bg1"/>
        </w14:solidFill>
      </w14:textFill>
    </w:rPr>
  </w:style>
  <w:style w:type="character" w:customStyle="1" w:styleId="28">
    <w:name w:val="Header Char"/>
    <w:basedOn w:val="5"/>
    <w:link w:val="9"/>
    <w:qFormat/>
    <w:uiPriority w:val="99"/>
  </w:style>
  <w:style w:type="character" w:customStyle="1" w:styleId="29">
    <w:name w:val="Footer Char"/>
    <w:basedOn w:val="5"/>
    <w:link w:val="8"/>
    <w:semiHidden/>
    <w:qFormat/>
    <w:uiPriority w:val="99"/>
  </w:style>
  <w:style w:type="paragraph" w:styleId="30">
    <w:name w:val="No Spacing"/>
    <w:semiHidden/>
    <w:qFormat/>
    <w:uiPriority w:val="1"/>
    <w:pPr>
      <w:spacing w:after="220"/>
    </w:pPr>
    <w:rPr>
      <w:rFonts w:eastAsia="Times New Roman" w:cs="Times New Roman" w:asciiTheme="minorHAnsi" w:hAnsiTheme="minorHAnsi"/>
      <w:sz w:val="22"/>
      <w:szCs w:val="22"/>
      <w:lang w:val="en-US" w:eastAsia="en-US" w:bidi="ar-SA"/>
    </w:rPr>
  </w:style>
  <w:style w:type="character" w:styleId="31">
    <w:name w:val="Placeholder Text"/>
    <w:basedOn w:val="5"/>
    <w:semiHidden/>
    <w:qFormat/>
    <w:uiPriority w:val="99"/>
    <w:rPr>
      <w:color w:val="808080"/>
    </w:rPr>
  </w:style>
  <w:style w:type="paragraph" w:styleId="32">
    <w:name w:val="Quote"/>
    <w:basedOn w:val="1"/>
    <w:next w:val="1"/>
    <w:link w:val="33"/>
    <w:qFormat/>
    <w:uiPriority w:val="29"/>
    <w:pPr>
      <w:spacing w:after="200"/>
      <w:jc w:val="center"/>
    </w:pPr>
    <w:rPr>
      <w:rFonts w:asciiTheme="majorHAnsi" w:hAnsiTheme="majorHAnsi"/>
      <w:b/>
      <w:color w:val="44546A" w:themeColor="text2"/>
      <w:spacing w:val="-10"/>
      <w:sz w:val="48"/>
      <w:szCs w:val="100"/>
      <w14:textFill>
        <w14:solidFill>
          <w14:schemeClr w14:val="tx2"/>
        </w14:solidFill>
      </w14:textFill>
    </w:rPr>
  </w:style>
  <w:style w:type="character" w:customStyle="1" w:styleId="33">
    <w:name w:val="Quote Char"/>
    <w:basedOn w:val="5"/>
    <w:link w:val="32"/>
    <w:qFormat/>
    <w:uiPriority w:val="29"/>
    <w:rPr>
      <w:rFonts w:asciiTheme="majorHAnsi" w:hAnsiTheme="majorHAnsi"/>
      <w:b/>
      <w:color w:val="44546A" w:themeColor="text2"/>
      <w:spacing w:val="-10"/>
      <w:sz w:val="48"/>
      <w:szCs w:val="100"/>
      <w14:textFill>
        <w14:solidFill>
          <w14:schemeClr w14:val="tx2"/>
        </w14:solidFill>
      </w14:textFill>
    </w:rPr>
  </w:style>
</w:styles>
</file>

<file path=word/_rels/document.xml.rels><?xml version="1.0" encoding="UTF-8" standalone="yes"?>
<Relationships xmlns="http://schemas.openxmlformats.org/package/2006/relationships"><Relationship Id="rId9" Type="http://schemas.openxmlformats.org/officeDocument/2006/relationships/diagramData" Target="diagrams/data1.xml"/><Relationship Id="rId8" Type="http://schemas.openxmlformats.org/officeDocument/2006/relationships/chart" Target="charts/chart1.xml"/><Relationship Id="rId7" Type="http://schemas.openxmlformats.org/officeDocument/2006/relationships/image" Target="media/image1.png"/><Relationship Id="rId6" Type="http://schemas.openxmlformats.org/officeDocument/2006/relationships/theme" Target="theme/theme1.xml"/><Relationship Id="rId5" Type="http://schemas.openxmlformats.org/officeDocument/2006/relationships/header" Target="header2.xml"/><Relationship Id="rId4" Type="http://schemas.openxmlformats.org/officeDocument/2006/relationships/header" Target="header1.xml"/><Relationship Id="rId3" Type="http://schemas.openxmlformats.org/officeDocument/2006/relationships/footnotes" Target="footnotes.xml"/><Relationship Id="rId2" Type="http://schemas.openxmlformats.org/officeDocument/2006/relationships/settings" Target="settings.xml"/><Relationship Id="rId19" Type="http://schemas.openxmlformats.org/officeDocument/2006/relationships/fontTable" Target="fontTable.xml"/><Relationship Id="rId18" Type="http://schemas.openxmlformats.org/officeDocument/2006/relationships/customXml" Target="../customXml/item4.xml"/><Relationship Id="rId17" Type="http://schemas.openxmlformats.org/officeDocument/2006/relationships/customXml" Target="../customXml/item3.xml"/><Relationship Id="rId16" Type="http://schemas.openxmlformats.org/officeDocument/2006/relationships/customXml" Target="../customXml/item2.xml"/><Relationship Id="rId15" Type="http://schemas.openxmlformats.org/officeDocument/2006/relationships/customXml" Target="../customXml/item1.xml"/><Relationship Id="rId14" Type="http://schemas.openxmlformats.org/officeDocument/2006/relationships/numbering" Target="numbering.xml"/><Relationship Id="rId13" Type="http://schemas.microsoft.com/office/2007/relationships/diagramDrawing" Target="diagrams/drawing1.xml"/><Relationship Id="rId12" Type="http://schemas.openxmlformats.org/officeDocument/2006/relationships/diagramColors" Target="diagrams/colors1.xml"/><Relationship Id="rId11" Type="http://schemas.openxmlformats.org/officeDocument/2006/relationships/diagramQuickStyle" Target="diagrams/quickStyle1.xml"/><Relationship Id="rId10" Type="http://schemas.openxmlformats.org/officeDocument/2006/relationships/diagramLayout" Target="diagrams/layout1.xml"/><Relationship Id="rId1" Type="http://schemas.openxmlformats.org/officeDocument/2006/relationships/styles" Target="styles.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e.koutsogeorgou\AppData\Roaming\Microsoft\Templates\Education%20brochure.dotx" TargetMode="External"/></Relationships>
</file>

<file path=word/charts/_rels/chart1.xml.rels><?xml version="1.0" encoding="UTF-8" standalone="yes"?>
<Relationships xmlns="http://schemas.openxmlformats.org/package/2006/relationships"><Relationship Id="rId3" Type="http://schemas.microsoft.com/office/2011/relationships/chartColorStyle" Target="colors1.xml"/><Relationship Id="rId2" Type="http://schemas.microsoft.com/office/2011/relationships/chartStyle" Target="style1.xml"/><Relationship Id="rId1" Type="http://schemas.openxmlformats.org/officeDocument/2006/relationships/oleObject" Target="file:///C:\Users\HomePC\Downloads\XLS_FGM-Girls-prevalence-database_Mar-2025.xlsx" TargetMode="External"/></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zh-CN"/>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0" vertOverflow="ellipsis" vert="horz" wrap="square" anchor="ctr" anchorCtr="1"/>
          <a:lstStyle/>
          <a:p>
            <a:pPr>
              <a:defRPr lang="zh-CN" sz="1400" b="1" i="0" u="none" strike="noStrike" kern="1200" baseline="0">
                <a:solidFill>
                  <a:schemeClr val="tx1">
                    <a:lumMod val="75000"/>
                    <a:lumOff val="25000"/>
                  </a:schemeClr>
                </a:solidFill>
                <a:latin typeface="+mn-lt"/>
                <a:ea typeface="+mn-ea"/>
                <a:cs typeface="+mn-cs"/>
              </a:defRPr>
            </a:pPr>
            <a:r>
              <a:t>Countries</a:t>
            </a:r>
          </a:p>
        </c:rich>
      </c:tx>
      <c:layout>
        <c:manualLayout>
          <c:xMode val="edge"/>
          <c:yMode val="edge"/>
          <c:x val="0.435525699494638"/>
          <c:y val="0.86564863292612"/>
        </c:manualLayout>
      </c:layout>
      <c:overlay val="0"/>
      <c:spPr>
        <a:noFill/>
        <a:ln>
          <a:noFill/>
        </a:ln>
        <a:effectLst/>
      </c:spPr>
    </c:title>
    <c:autoTitleDeleted val="0"/>
    <c:plotArea>
      <c:layout>
        <c:manualLayout>
          <c:layoutTarget val="inner"/>
          <c:xMode val="edge"/>
          <c:yMode val="edge"/>
          <c:x val="0.0289473684210526"/>
          <c:y val="0.219022687609075"/>
          <c:w val="0.942105263157895"/>
          <c:h val="0.491797556719023"/>
        </c:manualLayout>
      </c:layout>
      <c:barChart>
        <c:barDir val="col"/>
        <c:grouping val="clustered"/>
        <c:varyColors val="0"/>
        <c:ser>
          <c:idx val="0"/>
          <c:order val="0"/>
          <c:tx>
            <c:strRef>
              <c:f>'[XLS_FGM-Girls-prevalence-database_Mar-2025.xlsx]Sheet1'!$B$1</c:f>
              <c:strCache>
                <c:ptCount val="1"/>
                <c:pt idx="0">
                  <c:v>FGM prevalence among girls aged 0 to 14 years (%)</c:v>
                </c:pt>
              </c:strCache>
            </c:strRef>
          </c:tx>
          <c:spPr>
            <a:solidFill>
              <a:schemeClr val="accent2"/>
            </a:solidFill>
            <a:ln>
              <a:noFill/>
            </a:ln>
            <a:effectLst/>
          </c:spPr>
          <c:invertIfNegative val="0"/>
          <c:dLbls>
            <c:numFmt formatCode="General" sourceLinked="1"/>
            <c:spPr>
              <a:noFill/>
              <a:ln>
                <a:noFill/>
              </a:ln>
              <a:effectLst/>
            </c:spPr>
            <c:txPr>
              <a:bodyPr rot="0" spcFirstLastPara="0" vertOverflow="ellipsis" vert="horz" wrap="square" lIns="38100" tIns="19050" rIns="38100" bIns="19050" anchor="ctr" anchorCtr="1"/>
              <a:lstStyle/>
              <a:p>
                <a:pPr>
                  <a:defRPr lang="zh-CN" sz="1000" b="0" i="0" u="none" strike="noStrike" kern="1200" baseline="0">
                    <a:solidFill>
                      <a:schemeClr val="tx1">
                        <a:lumMod val="75000"/>
                        <a:lumOff val="25000"/>
                      </a:schemeClr>
                    </a:solidFill>
                    <a:latin typeface="+mn-lt"/>
                    <a:ea typeface="+mn-ea"/>
                    <a:cs typeface="+mn-cs"/>
                  </a:defRPr>
                </a:pPr>
              </a:p>
            </c:txPr>
            <c:dLblPos val="outEnd"/>
            <c:showLegendKey val="0"/>
            <c:showVal val="1"/>
            <c:showCatName val="0"/>
            <c:showSerName val="0"/>
            <c:showPercent val="0"/>
            <c:showBubbleSize val="0"/>
            <c:showLeaderLines val="0"/>
            <c:extLst>
              <c:ext xmlns:c15="http://schemas.microsoft.com/office/drawing/2012/chart" uri="{CE6537A1-D6FC-4f65-9D91-7224C49458BB}">
                <c15:layout/>
                <c15:showLeaderLines val="1"/>
                <c15:leaderLines>
                  <c:spPr>
                    <a:ln w="9525" cap="flat" cmpd="sng" algn="ctr">
                      <a:solidFill>
                        <a:schemeClr val="tx1">
                          <a:lumMod val="35000"/>
                          <a:lumOff val="65000"/>
                        </a:schemeClr>
                      </a:solidFill>
                      <a:round/>
                    </a:ln>
                    <a:effectLst/>
                  </c:spPr>
                </c15:leaderLines>
              </c:ext>
            </c:extLst>
          </c:dLbls>
          <c:cat>
            <c:strRef>
              <c:f>'[XLS_FGM-Girls-prevalence-database_Mar-2025.xlsx]Sheet1'!$A$2:$A$10</c:f>
              <c:strCache>
                <c:ptCount val="9"/>
                <c:pt idx="0">
                  <c:v>Burkina Faso</c:v>
                </c:pt>
                <c:pt idx="1">
                  <c:v>Egypt</c:v>
                </c:pt>
                <c:pt idx="2">
                  <c:v>Eritrea</c:v>
                </c:pt>
                <c:pt idx="3">
                  <c:v>Indonesia</c:v>
                </c:pt>
                <c:pt idx="4">
                  <c:v>Kenya</c:v>
                </c:pt>
                <c:pt idx="5">
                  <c:v>Mali</c:v>
                </c:pt>
                <c:pt idx="6">
                  <c:v>Nigeria</c:v>
                </c:pt>
                <c:pt idx="7">
                  <c:v>Uganda</c:v>
                </c:pt>
                <c:pt idx="8">
                  <c:v>Yemen</c:v>
                </c:pt>
              </c:strCache>
            </c:strRef>
          </c:cat>
          <c:val>
            <c:numRef>
              <c:f>'[XLS_FGM-Girls-prevalence-database_Mar-2025.xlsx]Sheet1'!$B$2:$B$10</c:f>
              <c:numCache>
                <c:formatCode>0</c:formatCode>
                <c:ptCount val="9"/>
                <c:pt idx="0">
                  <c:v>9.4</c:v>
                </c:pt>
                <c:pt idx="1">
                  <c:v>14.1</c:v>
                </c:pt>
                <c:pt idx="2">
                  <c:v>33.2</c:v>
                </c:pt>
                <c:pt idx="3">
                  <c:v>55</c:v>
                </c:pt>
                <c:pt idx="4">
                  <c:v>1.6</c:v>
                </c:pt>
                <c:pt idx="5">
                  <c:v>72.7</c:v>
                </c:pt>
                <c:pt idx="6">
                  <c:v>8.2</c:v>
                </c:pt>
                <c:pt idx="7">
                  <c:v>1.3</c:v>
                </c:pt>
                <c:pt idx="8">
                  <c:v>15</c:v>
                </c:pt>
              </c:numCache>
            </c:numRef>
          </c:val>
        </c:ser>
        <c:dLbls>
          <c:showLegendKey val="0"/>
          <c:showVal val="1"/>
          <c:showCatName val="0"/>
          <c:showSerName val="0"/>
          <c:showPercent val="0"/>
          <c:showBubbleSize val="0"/>
        </c:dLbls>
        <c:gapWidth val="246"/>
        <c:overlap val="-28"/>
        <c:axId val="341613349"/>
        <c:axId val="560006140"/>
      </c:barChart>
      <c:catAx>
        <c:axId val="341613349"/>
        <c:scaling>
          <c:orientation val="minMax"/>
        </c:scaling>
        <c:delete val="0"/>
        <c:axPos val="b"/>
        <c:numFmt formatCode="General" sourceLinked="1"/>
        <c:majorTickMark val="out"/>
        <c:minorTickMark val="none"/>
        <c:tickLblPos val="nextTo"/>
        <c:spPr>
          <a:noFill/>
          <a:ln w="9525" cap="flat" cmpd="sng" algn="ctr">
            <a:solidFill>
              <a:schemeClr val="tx1">
                <a:lumMod val="15000"/>
                <a:lumOff val="85000"/>
              </a:schemeClr>
            </a:solidFill>
            <a:round/>
          </a:ln>
          <a:effectLst/>
        </c:spPr>
        <c:txPr>
          <a:bodyPr rot="-60000000" spcFirstLastPara="0" vertOverflow="ellipsis" vert="horz" wrap="square" anchor="ctr" anchorCtr="1"/>
          <a:lstStyle/>
          <a:p>
            <a:pPr>
              <a:defRPr lang="zh-CN" sz="900" b="0" i="0" u="none" strike="noStrike" kern="1200" baseline="0">
                <a:solidFill>
                  <a:schemeClr val="tx1">
                    <a:lumMod val="65000"/>
                    <a:lumOff val="35000"/>
                  </a:schemeClr>
                </a:solidFill>
                <a:latin typeface="+mn-lt"/>
                <a:ea typeface="+mn-ea"/>
                <a:cs typeface="+mn-cs"/>
              </a:defRPr>
            </a:pPr>
          </a:p>
        </c:txPr>
        <c:crossAx val="560006140"/>
        <c:crosses val="autoZero"/>
        <c:auto val="1"/>
        <c:lblAlgn val="ctr"/>
        <c:lblOffset val="100"/>
        <c:noMultiLvlLbl val="0"/>
      </c:catAx>
      <c:valAx>
        <c:axId val="560006140"/>
        <c:scaling>
          <c:orientation val="minMax"/>
        </c:scaling>
        <c:delete val="0"/>
        <c:axPos val="l"/>
        <c:majorGridlines>
          <c:spPr>
            <a:ln w="9525" cap="flat" cmpd="sng" algn="ctr">
              <a:solidFill>
                <a:schemeClr val="lt1">
                  <a:lumMod val="90200"/>
                </a:schemeClr>
              </a:solidFill>
              <a:round/>
            </a:ln>
            <a:effectLst/>
          </c:spPr>
        </c:majorGridlines>
        <c:numFmt formatCode="0" sourceLinked="1"/>
        <c:majorTickMark val="out"/>
        <c:minorTickMark val="none"/>
        <c:tickLblPos val="nextTo"/>
        <c:spPr>
          <a:noFill/>
          <a:ln>
            <a:noFill/>
          </a:ln>
          <a:effectLst/>
        </c:spPr>
        <c:txPr>
          <a:bodyPr rot="-60000000" spcFirstLastPara="0" vertOverflow="ellipsis" vert="horz" wrap="square" anchor="ctr" anchorCtr="1"/>
          <a:lstStyle/>
          <a:p>
            <a:pPr>
              <a:defRPr lang="zh-CN" sz="900" b="0" i="0" u="none" strike="noStrike" kern="1200" baseline="0">
                <a:solidFill>
                  <a:schemeClr val="tx1">
                    <a:lumMod val="65000"/>
                    <a:lumOff val="35000"/>
                  </a:schemeClr>
                </a:solidFill>
                <a:latin typeface="+mn-lt"/>
                <a:ea typeface="+mn-ea"/>
                <a:cs typeface="+mn-cs"/>
              </a:defRPr>
            </a:pPr>
          </a:p>
        </c:txPr>
        <c:crossAx val="341613349"/>
        <c:crosses val="autoZero"/>
        <c:crossBetween val="between"/>
      </c:valAx>
      <c:spPr>
        <a:noFill/>
        <a:ln>
          <a:noFill/>
        </a:ln>
        <a:effectLst/>
      </c:spPr>
    </c:plotArea>
    <c:legend>
      <c:legendPos val="b"/>
      <c:layout>
        <c:manualLayout>
          <c:xMode val="edge"/>
          <c:yMode val="edge"/>
          <c:x val="0.234265222482436"/>
          <c:y val="0.0473385689354276"/>
        </c:manualLayout>
      </c:layout>
      <c:overlay val="0"/>
      <c:spPr>
        <a:noFill/>
        <a:ln>
          <a:noFill/>
        </a:ln>
        <a:effectLst/>
      </c:spPr>
      <c:txPr>
        <a:bodyPr rot="0" spcFirstLastPara="0" vertOverflow="ellipsis" vert="horz" wrap="square" anchor="ctr" anchorCtr="1"/>
        <a:lstStyle/>
        <a:p>
          <a:pPr>
            <a:defRPr lang="zh-CN" sz="900" b="0" i="0" u="none" strike="noStrike" kern="1200" baseline="0">
              <a:solidFill>
                <a:schemeClr val="tx1">
                  <a:lumMod val="65000"/>
                  <a:lumOff val="35000"/>
                </a:schemeClr>
              </a:solidFill>
              <a:latin typeface="+mn-lt"/>
              <a:ea typeface="+mn-ea"/>
              <a:cs typeface="+mn-cs"/>
            </a:defRPr>
          </a:pPr>
        </a:p>
      </c:txPr>
    </c:legend>
    <c:plotVisOnly val="1"/>
    <c:dispBlanksAs val="gap"/>
    <c:showDLblsOverMax val="0"/>
    <c:extLst>
      <c:ext uri="{0b15fc19-7d7d-44ad-8c2d-2c3a37ce22c3}">
        <chartProps xmlns="https://web.wps.cn/et/2018/main" chartId="{13631afc-f13f-4d00-b894-3dc41fd192ea}"/>
      </c:ext>
    </c:extLst>
  </c:chart>
  <c:spPr>
    <a:solidFill>
      <a:schemeClr val="bg1"/>
    </a:solidFill>
    <a:ln w="9525" cap="flat" cmpd="sng" algn="ctr">
      <a:solidFill>
        <a:schemeClr val="tx1">
          <a:lumMod val="15000"/>
          <a:lumOff val="85000"/>
        </a:schemeClr>
      </a:solidFill>
      <a:round/>
    </a:ln>
    <a:effectLst/>
  </c:spPr>
  <c:txPr>
    <a:bodyPr/>
    <a:lstStyle/>
    <a:p>
      <a:pPr>
        <a:defRPr lang="zh-CN"/>
      </a:pPr>
    </a:p>
  </c:txPr>
  <c:externalData r:id="rId1">
    <c:autoUpdate val="0"/>
  </c:externalData>
</c:chartSpace>
</file>

<file path=word/charts/colors1.xml><?xml version="1.0" encoding="utf-8"?>
<cs:colorStyle xmlns:cs="http://schemas.microsoft.com/office/drawing/2012/chartStyle" xmlns:a="http://schemas.openxmlformats.org/drawingml/2006/main" meth="cycle" id="12">
  <a:schemeClr val="accent2"/>
  <a:schemeClr val="accent4"/>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100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10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1000" kern="1200"/>
    <cs:bodyPr rot="0" spcFirstLastPara="1" vertOverflow="clip" horzOverflow="clip" vert="horz" wrap="square" lIns="36576" tIns="18288" rIns="36576" bIns="18288" anchor="ctr" anchorCtr="1">
      <a:spAutoFit/>
    </cs:bodyPr>
  </cs:dataLabelCallout>
  <cs:dataPoint>
    <cs:lnRef idx="0">
      <cs:styleClr val="auto"/>
    </cs:lnRef>
    <cs:fillRef idx="1">
      <cs:styleClr val="auto"/>
    </cs:fillRef>
    <cs:effectRef idx="0"/>
    <cs:fontRef idx="minor">
      <a:schemeClr val="dk1"/>
    </cs:fontRef>
    <cs:spPr>
      <a:ln>
        <a:noFill/>
      </a:ln>
      <a:effectLst/>
    </cs:spPr>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lt1">
            <a:lumMod val="902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75000"/>
        <a:lumOff val="25000"/>
      </a:schemeClr>
    </cs:fontRef>
    <cs:defRPr sz="1400" b="1" kern="120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node0">
    <dgm:fillClrLst meth="repeat">
      <a:schemeClr val="accent1"/>
    </dgm:fillClrLst>
    <dgm:linClrLst meth="repeat">
      <a:schemeClr val="l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colorsDef>
</file>

<file path=word/diagrams/data1.xml><?xml version="1.0" encoding="utf-8"?>
<dgm:dataModel xmlns:dgm="http://schemas.openxmlformats.org/drawingml/2006/diagram" xmlns:a="http://schemas.openxmlformats.org/drawingml/2006/main">
  <dgm:ptLst>
    <dgm:pt modelId="{7634D104-7D93-4DC9-AA78-CFDC22EB2B7D}" type="doc">
      <dgm:prSet loTypeId="list" loCatId="list" qsTypeId="urn:microsoft.com/office/officeart/2005/8/quickstyle/simple1" qsCatId="simple" csTypeId="urn:microsoft.com/office/officeart/2005/8/colors/accent1_2" csCatId="accent1" phldr="1"/>
      <dgm:spPr/>
      <dgm:t>
        <a:bodyPr/>
        <a:p>
          <a:endParaRPr lang="en-GB"/>
        </a:p>
      </dgm:t>
    </dgm:pt>
    <dgm:pt modelId="{D895BCAF-11FD-4161-9460-71155FF594D5}">
      <dgm:prSet phldr="0" custT="0"/>
      <dgm:spPr/>
      <dgm:t>
        <a:bodyPr vert="horz" wrap="square"/>
        <a:p>
          <a:pPr>
            <a:lnSpc>
              <a:spcPct val="150000"/>
            </a:lnSpc>
            <a:spcBef>
              <a:spcPct val="0"/>
            </a:spcBef>
            <a:spcAft>
              <a:spcPct val="35000"/>
            </a:spcAft>
          </a:pPr>
          <a:r>
            <a:rPr lang="en-GB" b="1" i="0">
              <a:latin typeface="Aptos" pitchFamily="2" charset="0"/>
            </a:rPr>
            <a:t>Academic integrity </a:t>
          </a:r>
          <a:r>
            <a:rPr lang="en-US" altLang="en-GB" b="1" i="0">
              <a:latin typeface="Aptos" pitchFamily="2" charset="0"/>
            </a:rPr>
            <a:t>and Transparency</a:t>
          </a:r>
          <a:r>
            <a:rPr lang="en-GB" b="1" i="0">
              <a:latin typeface="Aptos" pitchFamily="2" charset="0"/>
            </a:rPr>
            <a:t>:</a:t>
          </a:r>
          <a:r>
            <a:rPr lang="en-GB">
              <a:latin typeface="Aptos" pitchFamily="2" charset="0"/>
            </a:rPr>
            <a:t/>
          </a:r>
          <a:endParaRPr lang="en-GB">
            <a:latin typeface="Aptos" pitchFamily="2" charset="0"/>
          </a:endParaRPr>
        </a:p>
      </dgm:t>
    </dgm:pt>
    <dgm:pt modelId="{55C24B6C-44F8-45FA-AE8C-D7852F8F756E}" cxnId="{BCBEA780-8D74-4085-BC15-3A50D288460B}" type="parTrans">
      <dgm:prSet/>
      <dgm:spPr/>
      <dgm:t>
        <a:bodyPr/>
        <a:p>
          <a:pPr>
            <a:lnSpc>
              <a:spcPct val="150000"/>
            </a:lnSpc>
          </a:pPr>
          <a:endParaRPr lang="en-GB">
            <a:latin typeface="Aptos" pitchFamily="2" charset="0"/>
          </a:endParaRPr>
        </a:p>
      </dgm:t>
    </dgm:pt>
    <dgm:pt modelId="{1D8F6D8C-F89F-400C-A451-06369F630D13}" cxnId="{BCBEA780-8D74-4085-BC15-3A50D288460B}" type="sibTrans">
      <dgm:prSet/>
      <dgm:spPr/>
      <dgm:t>
        <a:bodyPr/>
        <a:p>
          <a:pPr>
            <a:lnSpc>
              <a:spcPct val="150000"/>
            </a:lnSpc>
          </a:pPr>
          <a:endParaRPr lang="en-GB">
            <a:latin typeface="Aptos" pitchFamily="2" charset="0"/>
          </a:endParaRPr>
        </a:p>
      </dgm:t>
    </dgm:pt>
    <dgm:pt modelId="{DD8DD7F7-557F-4529-952E-996BE575A6CC}">
      <dgm:prSet phldr="0" custT="0"/>
      <dgm:spPr/>
      <dgm:t>
        <a:bodyPr vert="horz" wrap="square"/>
        <a:p>
          <a:pPr>
            <a:lnSpc>
              <a:spcPct val="150000"/>
            </a:lnSpc>
            <a:spcBef>
              <a:spcPct val="0"/>
            </a:spcBef>
            <a:spcAft>
              <a:spcPct val="15000"/>
            </a:spcAft>
          </a:pPr>
          <a:r>
            <a:rPr lang="en-US" altLang="en-GB" b="0" i="0" dirty="0">
              <a:latin typeface="Aptos" pitchFamily="2" charset="0"/>
            </a:rPr>
            <a:t>A</a:t>
          </a:r>
          <a:r>
            <a:rPr lang="en-GB" b="0" i="0" dirty="0">
              <a:latin typeface="Aptos" pitchFamily="2" charset="0"/>
            </a:rPr>
            <a:t>ccurately acknowledge all sources.</a:t>
          </a:r>
          <a:r>
            <a:rPr lang="en-GB" b="0" i="0" dirty="0">
              <a:latin typeface="Aptos" pitchFamily="2" charset="0"/>
            </a:rPr>
            <a:t> </a:t>
          </a:r>
          <a:r>
            <a:rPr lang="en-GB" dirty="0">
              <a:latin typeface="Aptos" pitchFamily="2" charset="0"/>
            </a:rPr>
            <a:t/>
          </a:r>
          <a:endParaRPr lang="en-GB" dirty="0">
            <a:latin typeface="Aptos" pitchFamily="2" charset="0"/>
          </a:endParaRPr>
        </a:p>
      </dgm:t>
    </dgm:pt>
    <dgm:pt modelId="{898A7FBF-8854-4FCD-8F75-6D0A10D342BF}" cxnId="{935CD369-7E41-4818-8886-5479B59D7CA0}" type="parTrans">
      <dgm:prSet/>
      <dgm:spPr/>
      <dgm:t>
        <a:bodyPr/>
        <a:p>
          <a:pPr>
            <a:lnSpc>
              <a:spcPct val="150000"/>
            </a:lnSpc>
          </a:pPr>
          <a:endParaRPr lang="en-GB">
            <a:latin typeface="Aptos" pitchFamily="2" charset="0"/>
          </a:endParaRPr>
        </a:p>
      </dgm:t>
    </dgm:pt>
    <dgm:pt modelId="{069345D4-AF17-4BE2-BEFD-16AAD453ED22}" cxnId="{935CD369-7E41-4818-8886-5479B59D7CA0}" type="sibTrans">
      <dgm:prSet/>
      <dgm:spPr/>
      <dgm:t>
        <a:bodyPr/>
        <a:p>
          <a:pPr>
            <a:lnSpc>
              <a:spcPct val="150000"/>
            </a:lnSpc>
          </a:pPr>
          <a:endParaRPr lang="en-GB">
            <a:latin typeface="Aptos" pitchFamily="2" charset="0"/>
          </a:endParaRPr>
        </a:p>
      </dgm:t>
    </dgm:pt>
    <dgm:pt modelId="{4366BE51-158B-4489-BA75-AA4DB1C89D0E}">
      <dgm:prSet phldr="0" custT="0"/>
      <dgm:spPr/>
      <dgm:t>
        <a:bodyPr vert="horz" wrap="square"/>
        <a:p>
          <a:pPr>
            <a:lnSpc>
              <a:spcPct val="150000"/>
            </a:lnSpc>
            <a:spcBef>
              <a:spcPct val="0"/>
            </a:spcBef>
            <a:spcAft>
              <a:spcPct val="15000"/>
            </a:spcAft>
          </a:pPr>
          <a:r>
            <a:rPr lang="en-US" altLang="en-GB" b="0" i="0" dirty="0">
              <a:latin typeface="Aptos" pitchFamily="2" charset="0"/>
            </a:rPr>
            <a:t>Made sure not to</a:t>
          </a:r>
          <a:r>
            <a:rPr lang="en-GB" b="0" i="0" dirty="0">
              <a:latin typeface="Aptos" pitchFamily="2" charset="0"/>
            </a:rPr>
            <a:t> plagiaris</a:t>
          </a:r>
          <a:r>
            <a:rPr lang="en-US" altLang="en-GB" b="0" i="0" dirty="0">
              <a:latin typeface="Aptos" pitchFamily="2" charset="0"/>
            </a:rPr>
            <a:t>e</a:t>
          </a:r>
          <a:r>
            <a:rPr lang="en-GB" b="0" i="0" dirty="0">
              <a:latin typeface="Aptos" pitchFamily="2" charset="0"/>
            </a:rPr>
            <a:t>.</a:t>
          </a:r>
          <a:r>
            <a:rPr lang="en-GB" b="0" i="0" dirty="0">
              <a:latin typeface="Aptos" pitchFamily="2" charset="0"/>
            </a:rPr>
            <a:t/>
          </a:r>
          <a:endParaRPr lang="en-GB" b="0" i="0" dirty="0">
            <a:latin typeface="Aptos" pitchFamily="2" charset="0"/>
          </a:endParaRPr>
        </a:p>
      </dgm:t>
    </dgm:pt>
    <dgm:pt modelId="{6955802C-BC67-45A6-B198-91B6BBC639EB}" cxnId="{9C98C447-87EC-4468-8F17-B4CDF6F5296C}" type="parTrans">
      <dgm:prSet/>
      <dgm:spPr/>
    </dgm:pt>
    <dgm:pt modelId="{055C2452-E705-4A9A-984B-0EBF7C084767}" cxnId="{9C98C447-87EC-4468-8F17-B4CDF6F5296C}" type="sibTrans">
      <dgm:prSet/>
      <dgm:spPr/>
    </dgm:pt>
    <dgm:pt modelId="{6E06A9DC-0497-4FCC-A81E-299D49929066}">
      <dgm:prSet phldr="0" custT="0"/>
      <dgm:spPr/>
      <dgm:t>
        <a:bodyPr vert="horz" wrap="square"/>
        <a:p>
          <a:pPr>
            <a:lnSpc>
              <a:spcPct val="150000"/>
            </a:lnSpc>
            <a:spcBef>
              <a:spcPct val="0"/>
            </a:spcBef>
            <a:spcAft>
              <a:spcPct val="15000"/>
            </a:spcAft>
          </a:pPr>
          <a:r>
            <a:rPr lang="en-US" altLang="en-GB" dirty="0">
              <a:latin typeface="Aptos" pitchFamily="2" charset="0"/>
            </a:rPr>
            <a:t>Cl</a:t>
          </a:r>
          <a:r>
            <a:rPr lang="en-GB" dirty="0">
              <a:latin typeface="Aptos" pitchFamily="2" charset="0"/>
            </a:rPr>
            <a:t>early explain how literature was selected and analysed.</a:t>
          </a:r>
          <a:r>
            <a:rPr lang="en-GB" dirty="0">
              <a:latin typeface="Aptos" pitchFamily="2" charset="0"/>
            </a:rPr>
            <a:t/>
          </a:r>
          <a:endParaRPr lang="en-GB" dirty="0">
            <a:latin typeface="Aptos" pitchFamily="2" charset="0"/>
          </a:endParaRPr>
        </a:p>
      </dgm:t>
    </dgm:pt>
    <dgm:pt modelId="{9A21EF51-54C8-47AB-B289-C69E3B3EB322}" cxnId="{15AB4736-ADBD-4DEF-AA8E-30F2D48DA7E7}" type="parTrans">
      <dgm:prSet/>
      <dgm:spPr/>
    </dgm:pt>
    <dgm:pt modelId="{2E1B01BE-BA3F-4242-AA39-DF53CD736235}" cxnId="{15AB4736-ADBD-4DEF-AA8E-30F2D48DA7E7}" type="sibTrans">
      <dgm:prSet/>
      <dgm:spPr/>
    </dgm:pt>
    <dgm:pt modelId="{D2F35989-0D76-4707-8851-E95507DAC780}">
      <dgm:prSet phldr="0" custT="0"/>
      <dgm:spPr/>
      <dgm:t>
        <a:bodyPr vert="horz" wrap="square"/>
        <a:p>
          <a:pPr>
            <a:lnSpc>
              <a:spcPct val="150000"/>
            </a:lnSpc>
            <a:spcBef>
              <a:spcPct val="0"/>
            </a:spcBef>
            <a:spcAft>
              <a:spcPct val="35000"/>
            </a:spcAft>
          </a:pPr>
          <a:r>
            <a:rPr lang="en-GB" b="1" i="0">
              <a:latin typeface="Aptos" pitchFamily="2" charset="0"/>
            </a:rPr>
            <a:t>Accurate representation</a:t>
          </a:r>
          <a:r>
            <a:rPr lang="en-GB" b="1" i="0">
              <a:latin typeface="Aptos" pitchFamily="2" charset="0"/>
            </a:rPr>
            <a:t>:</a:t>
          </a:r>
          <a:r>
            <a:rPr lang="en-GB">
              <a:latin typeface="Aptos" pitchFamily="2" charset="0"/>
            </a:rPr>
            <a:t/>
          </a:r>
          <a:endParaRPr lang="en-GB">
            <a:latin typeface="Aptos" pitchFamily="2" charset="0"/>
          </a:endParaRPr>
        </a:p>
      </dgm:t>
    </dgm:pt>
    <dgm:pt modelId="{95A47F62-7CA1-4144-B825-A44483178729}" cxnId="{61DF950F-71BD-438A-B287-794CCCCE45CA}" type="parTrans">
      <dgm:prSet/>
      <dgm:spPr/>
      <dgm:t>
        <a:bodyPr/>
        <a:p>
          <a:pPr>
            <a:lnSpc>
              <a:spcPct val="150000"/>
            </a:lnSpc>
          </a:pPr>
          <a:endParaRPr lang="en-GB">
            <a:latin typeface="Aptos" pitchFamily="2" charset="0"/>
          </a:endParaRPr>
        </a:p>
      </dgm:t>
    </dgm:pt>
    <dgm:pt modelId="{B96B68E4-E5AE-4BB2-A658-AF9FA9406E6C}" cxnId="{61DF950F-71BD-438A-B287-794CCCCE45CA}" type="sibTrans">
      <dgm:prSet/>
      <dgm:spPr/>
      <dgm:t>
        <a:bodyPr/>
        <a:p>
          <a:pPr>
            <a:lnSpc>
              <a:spcPct val="150000"/>
            </a:lnSpc>
          </a:pPr>
          <a:endParaRPr lang="en-GB">
            <a:latin typeface="Aptos" pitchFamily="2" charset="0"/>
          </a:endParaRPr>
        </a:p>
      </dgm:t>
    </dgm:pt>
    <dgm:pt modelId="{B8AA4B07-C565-4CCF-9950-02D7DCC3515C}">
      <dgm:prSet phldr="0" custT="0"/>
      <dgm:spPr/>
      <dgm:t>
        <a:bodyPr vert="horz" wrap="square"/>
        <a:p>
          <a:pPr>
            <a:lnSpc>
              <a:spcPct val="150000"/>
            </a:lnSpc>
            <a:spcBef>
              <a:spcPct val="0"/>
            </a:spcBef>
            <a:spcAft>
              <a:spcPct val="15000"/>
            </a:spcAft>
          </a:pPr>
          <a:r>
            <a:rPr lang="en-GB" b="0" i="0">
              <a:latin typeface="Aptos" pitchFamily="2" charset="0"/>
            </a:rPr>
            <a:t>P</a:t>
          </a:r>
          <a:r>
            <a:rPr lang="en-US" altLang="en-GB" b="0" i="0">
              <a:latin typeface="Aptos" pitchFamily="2" charset="0"/>
            </a:rPr>
            <a:t>roperly present data so as</a:t>
          </a:r>
          <a:r>
            <a:rPr lang="en-GB">
              <a:latin typeface="Aptos" pitchFamily="2" charset="0"/>
            </a:rPr>
            <a:t> not distort authors' findings</a:t>
          </a:r>
          <a:endParaRPr lang="en-GB">
            <a:latin typeface="Aptos" pitchFamily="2" charset="0"/>
          </a:endParaRPr>
        </a:p>
      </dgm:t>
    </dgm:pt>
    <dgm:pt modelId="{7CE0ECD8-FF60-40FC-834A-69289342858B}" cxnId="{A0375E92-0276-4C8B-B4C0-41BBC5196A75}" type="parTrans">
      <dgm:prSet/>
      <dgm:spPr/>
      <dgm:t>
        <a:bodyPr/>
        <a:p>
          <a:pPr>
            <a:lnSpc>
              <a:spcPct val="150000"/>
            </a:lnSpc>
          </a:pPr>
          <a:endParaRPr lang="en-GB">
            <a:latin typeface="Aptos" pitchFamily="2" charset="0"/>
          </a:endParaRPr>
        </a:p>
      </dgm:t>
    </dgm:pt>
    <dgm:pt modelId="{BA44317E-0141-443D-B3B3-5D8A23F7257D}" cxnId="{A0375E92-0276-4C8B-B4C0-41BBC5196A75}" type="sibTrans">
      <dgm:prSet/>
      <dgm:spPr/>
      <dgm:t>
        <a:bodyPr/>
        <a:p>
          <a:pPr>
            <a:lnSpc>
              <a:spcPct val="150000"/>
            </a:lnSpc>
          </a:pPr>
          <a:endParaRPr lang="en-GB">
            <a:latin typeface="Aptos" pitchFamily="2" charset="0"/>
          </a:endParaRPr>
        </a:p>
      </dgm:t>
    </dgm:pt>
    <dgm:pt modelId="{5674B894-A55E-4559-8EA7-028C3F32E4B2}">
      <dgm:prSet phldr="0" custT="0"/>
      <dgm:spPr/>
      <dgm:t>
        <a:bodyPr vert="horz" wrap="square"/>
        <a:p>
          <a:pPr>
            <a:lnSpc>
              <a:spcPct val="150000"/>
            </a:lnSpc>
            <a:spcBef>
              <a:spcPct val="0"/>
            </a:spcBef>
            <a:spcAft>
              <a:spcPct val="35000"/>
            </a:spcAft>
          </a:pPr>
          <a:r>
            <a:rPr lang="en-GB" b="1" i="0">
              <a:latin typeface="Aptos" pitchFamily="2" charset="0"/>
            </a:rPr>
            <a:t>Avoidance of bias </a:t>
          </a:r>
          <a:r>
            <a:rPr lang="en-US" altLang="en-GB" b="1" i="0">
              <a:latin typeface="Aptos" pitchFamily="2" charset="0"/>
            </a:rPr>
            <a:t>and Sensitive reporting</a:t>
          </a:r>
          <a:r>
            <a:rPr lang="en-GB" b="1" i="0">
              <a:latin typeface="Aptos" pitchFamily="2" charset="0"/>
            </a:rPr>
            <a:t>:</a:t>
          </a:r>
          <a:r>
            <a:rPr lang="en-GB">
              <a:latin typeface="Aptos" pitchFamily="2" charset="0"/>
            </a:rPr>
            <a:t> </a:t>
          </a:r>
          <a:r>
            <a:rPr/>
            <a:t/>
          </a:r>
          <a:endParaRPr/>
        </a:p>
      </dgm:t>
    </dgm:pt>
    <dgm:pt modelId="{CF4D6B60-7FC7-4A9C-B7E1-C22EA10EB381}" cxnId="{4366FA86-C4F1-433D-B4B5-36EFA0166F35}" type="parTrans">
      <dgm:prSet/>
      <dgm:spPr/>
      <dgm:t>
        <a:bodyPr/>
        <a:p>
          <a:pPr>
            <a:lnSpc>
              <a:spcPct val="150000"/>
            </a:lnSpc>
          </a:pPr>
          <a:endParaRPr lang="en-GB">
            <a:latin typeface="Aptos" pitchFamily="2" charset="0"/>
          </a:endParaRPr>
        </a:p>
      </dgm:t>
    </dgm:pt>
    <dgm:pt modelId="{94E754A5-C7C4-42B9-A350-BD17338F58B9}" cxnId="{4366FA86-C4F1-433D-B4B5-36EFA0166F35}" type="sibTrans">
      <dgm:prSet/>
      <dgm:spPr/>
      <dgm:t>
        <a:bodyPr/>
        <a:p>
          <a:pPr>
            <a:lnSpc>
              <a:spcPct val="150000"/>
            </a:lnSpc>
          </a:pPr>
          <a:endParaRPr lang="en-GB">
            <a:latin typeface="Aptos" pitchFamily="2" charset="0"/>
          </a:endParaRPr>
        </a:p>
      </dgm:t>
    </dgm:pt>
    <dgm:pt modelId="{31ECEDD7-80EF-414B-BE50-B610D566367B}">
      <dgm:prSet phldr="0" custT="0"/>
      <dgm:spPr/>
      <dgm:t>
        <a:bodyPr vert="horz" wrap="square"/>
        <a:p>
          <a:pPr>
            <a:lnSpc>
              <a:spcPct val="150000"/>
            </a:lnSpc>
            <a:spcBef>
              <a:spcPct val="0"/>
            </a:spcBef>
            <a:spcAft>
              <a:spcPct val="15000"/>
            </a:spcAft>
          </a:pPr>
          <a:r>
            <a:rPr lang="en-US" altLang="en-GB" b="0" i="0">
              <a:latin typeface="Aptos" pitchFamily="2" charset="0"/>
            </a:rPr>
            <a:t>R</a:t>
          </a:r>
          <a:r>
            <a:rPr lang="en-GB" b="0" i="0">
              <a:latin typeface="Aptos" pitchFamily="2" charset="0"/>
            </a:rPr>
            <a:t>eport supportive and contradictory evidence fairly.</a:t>
          </a:r>
          <a:endParaRPr lang="en-GB" b="0" i="0">
            <a:latin typeface="Aptos" pitchFamily="2" charset="0"/>
          </a:endParaRPr>
        </a:p>
      </dgm:t>
    </dgm:pt>
    <dgm:pt modelId="{20439AF7-F994-4596-8154-7958604637F8}" cxnId="{883869BB-D3E7-46F4-A8AE-437AB53B7C73}" type="parTrans">
      <dgm:prSet/>
      <dgm:spPr/>
      <dgm:t>
        <a:bodyPr/>
        <a:p>
          <a:pPr>
            <a:lnSpc>
              <a:spcPct val="150000"/>
            </a:lnSpc>
          </a:pPr>
          <a:endParaRPr lang="en-GB">
            <a:latin typeface="Aptos" pitchFamily="2" charset="0"/>
          </a:endParaRPr>
        </a:p>
      </dgm:t>
    </dgm:pt>
    <dgm:pt modelId="{BAE7B1D5-018D-43C6-93C5-0E28100285E0}" cxnId="{883869BB-D3E7-46F4-A8AE-437AB53B7C73}" type="sibTrans">
      <dgm:prSet/>
      <dgm:spPr/>
      <dgm:t>
        <a:bodyPr/>
        <a:p>
          <a:pPr>
            <a:lnSpc>
              <a:spcPct val="150000"/>
            </a:lnSpc>
          </a:pPr>
          <a:endParaRPr lang="en-GB">
            <a:latin typeface="Aptos" pitchFamily="2" charset="0"/>
          </a:endParaRPr>
        </a:p>
      </dgm:t>
    </dgm:pt>
    <dgm:pt modelId="{BE625B92-64A0-41E5-AB5F-393FA54CCED1}">
      <dgm:prSet phldr="0" custT="0"/>
      <dgm:spPr/>
      <dgm:t>
        <a:bodyPr vert="horz" wrap="square"/>
        <a:p>
          <a:pPr>
            <a:lnSpc>
              <a:spcPct val="150000"/>
            </a:lnSpc>
            <a:spcBef>
              <a:spcPct val="0"/>
            </a:spcBef>
            <a:spcAft>
              <a:spcPct val="15000"/>
            </a:spcAft>
          </a:pPr>
          <a:r>
            <a:rPr lang="en-US" altLang="en-GB">
              <a:latin typeface="Aptos" pitchFamily="2" charset="0"/>
            </a:rPr>
            <a:t>D</a:t>
          </a:r>
          <a:r>
            <a:rPr lang="en-GB">
              <a:latin typeface="Aptos" pitchFamily="2" charset="0"/>
            </a:rPr>
            <a:t>iscuss FGM without stereotyping affected communities.</a:t>
          </a:r>
          <a:r>
            <a:rPr lang="en-GB">
              <a:latin typeface="Aptos" pitchFamily="2" charset="0"/>
            </a:rPr>
            <a:t/>
          </a:r>
          <a:endParaRPr lang="en-GB">
            <a:latin typeface="Aptos" pitchFamily="2" charset="0"/>
          </a:endParaRPr>
        </a:p>
      </dgm:t>
    </dgm:pt>
    <dgm:pt modelId="{53805BAB-4E82-47EB-BBEF-EE2E12FCF747}" cxnId="{02830CB5-7245-4268-864E-DD85BF596CF3}" type="parTrans">
      <dgm:prSet/>
      <dgm:spPr/>
    </dgm:pt>
    <dgm:pt modelId="{609976B5-D0E5-40A6-8659-7EE869C3E2A1}" cxnId="{02830CB5-7245-4268-864E-DD85BF596CF3}" type="sibTrans">
      <dgm:prSet/>
      <dgm:spPr/>
    </dgm:pt>
    <dgm:pt modelId="{DED7677A-A811-4E99-A359-AF267F66CB3B}">
      <dgm:prSet phldr="0" custT="0"/>
      <dgm:spPr/>
      <dgm:t>
        <a:bodyPr vert="horz" wrap="square"/>
        <a:p>
          <a:pPr>
            <a:lnSpc>
              <a:spcPct val="150000"/>
            </a:lnSpc>
            <a:spcBef>
              <a:spcPct val="0"/>
            </a:spcBef>
            <a:spcAft>
              <a:spcPct val="35000"/>
            </a:spcAft>
          </a:pPr>
          <a:r>
            <a:rPr lang="en-GB" b="1" i="0" dirty="0">
              <a:latin typeface="Aptos" pitchFamily="2" charset="0"/>
            </a:rPr>
            <a:t>Confidentiality</a:t>
          </a:r>
          <a:r>
            <a:rPr lang="en-GB" b="1" i="0" dirty="0">
              <a:latin typeface="Aptos" pitchFamily="2" charset="0"/>
            </a:rPr>
            <a:t>:</a:t>
          </a:r>
          <a:r>
            <a:rPr lang="en-GB" dirty="0">
              <a:latin typeface="Aptos" pitchFamily="2" charset="0"/>
            </a:rPr>
            <a:t/>
          </a:r>
          <a:endParaRPr lang="en-GB" dirty="0">
            <a:latin typeface="Aptos" pitchFamily="2" charset="0"/>
          </a:endParaRPr>
        </a:p>
      </dgm:t>
    </dgm:pt>
    <dgm:pt modelId="{F38EF5EE-50CB-434C-B7C2-9D5B46BCDA7A}" cxnId="{C6050500-E2CB-41A3-8E29-7CC0493750CC}" type="parTrans">
      <dgm:prSet/>
      <dgm:spPr/>
      <dgm:t>
        <a:bodyPr/>
        <a:p>
          <a:pPr>
            <a:lnSpc>
              <a:spcPct val="150000"/>
            </a:lnSpc>
          </a:pPr>
          <a:endParaRPr lang="en-GB">
            <a:latin typeface="Aptos" pitchFamily="2" charset="0"/>
          </a:endParaRPr>
        </a:p>
      </dgm:t>
    </dgm:pt>
    <dgm:pt modelId="{9F4A521B-0AB9-4C49-8D3E-A4522CDAC745}" cxnId="{C6050500-E2CB-41A3-8E29-7CC0493750CC}" type="sibTrans">
      <dgm:prSet/>
      <dgm:spPr/>
      <dgm:t>
        <a:bodyPr/>
        <a:p>
          <a:pPr>
            <a:lnSpc>
              <a:spcPct val="150000"/>
            </a:lnSpc>
          </a:pPr>
          <a:endParaRPr lang="en-GB">
            <a:latin typeface="Aptos" pitchFamily="2" charset="0"/>
          </a:endParaRPr>
        </a:p>
      </dgm:t>
    </dgm:pt>
    <dgm:pt modelId="{7D9AB477-3831-4B66-903C-51888FAB2EF1}">
      <dgm:prSet phldr="0" custT="0"/>
      <dgm:spPr/>
      <dgm:t>
        <a:bodyPr vert="horz" wrap="square"/>
        <a:p>
          <a:pPr>
            <a:lnSpc>
              <a:spcPct val="150000"/>
            </a:lnSpc>
            <a:spcBef>
              <a:spcPct val="0"/>
            </a:spcBef>
            <a:spcAft>
              <a:spcPct val="15000"/>
            </a:spcAft>
          </a:pPr>
          <a:r>
            <a:rPr lang="en-US" altLang="en-GB" b="0" i="0">
              <a:latin typeface="Aptos" pitchFamily="2" charset="0"/>
            </a:rPr>
            <a:t>N</a:t>
          </a:r>
          <a:r>
            <a:rPr lang="en-GB" b="0" i="0">
              <a:latin typeface="Aptos" pitchFamily="2" charset="0"/>
            </a:rPr>
            <a:t>o new personal or identifiable participant data were collected.</a:t>
          </a:r>
          <a:r>
            <a:rPr lang="en-GB" b="0" i="0">
              <a:latin typeface="Aptos" pitchFamily="2" charset="0"/>
            </a:rPr>
            <a:t> </a:t>
          </a:r>
          <a:r>
            <a:rPr lang="en-GB">
              <a:latin typeface="Aptos" pitchFamily="2" charset="0"/>
            </a:rPr>
            <a:t/>
          </a:r>
          <a:endParaRPr lang="en-GB">
            <a:latin typeface="Aptos" pitchFamily="2" charset="0"/>
          </a:endParaRPr>
        </a:p>
      </dgm:t>
    </dgm:pt>
    <dgm:pt modelId="{1C5BF6D7-9EA3-4496-9259-CCFB570AB9BC}" cxnId="{2250041E-7A23-4852-94D9-C8B490ADC697}" type="parTrans">
      <dgm:prSet/>
      <dgm:spPr/>
      <dgm:t>
        <a:bodyPr/>
        <a:p>
          <a:pPr>
            <a:lnSpc>
              <a:spcPct val="150000"/>
            </a:lnSpc>
          </a:pPr>
          <a:endParaRPr lang="en-GB">
            <a:latin typeface="Aptos" pitchFamily="2" charset="0"/>
          </a:endParaRPr>
        </a:p>
      </dgm:t>
    </dgm:pt>
    <dgm:pt modelId="{13866862-3E71-49D6-8E54-5828906B8520}" cxnId="{2250041E-7A23-4852-94D9-C8B490ADC697}" type="sibTrans">
      <dgm:prSet/>
      <dgm:spPr/>
      <dgm:t>
        <a:bodyPr/>
        <a:p>
          <a:pPr>
            <a:lnSpc>
              <a:spcPct val="150000"/>
            </a:lnSpc>
          </a:pPr>
          <a:endParaRPr lang="en-GB">
            <a:latin typeface="Aptos" pitchFamily="2" charset="0"/>
          </a:endParaRPr>
        </a:p>
      </dgm:t>
    </dgm:pt>
    <dgm:pt modelId="{15D7D02F-9806-4A7F-A42D-FE7E83343FED}" type="pres">
      <dgm:prSet presAssocID="{7634D104-7D93-4DC9-AA78-CFDC22EB2B7D}" presName="Name0" presStyleCnt="0">
        <dgm:presLayoutVars>
          <dgm:dir/>
          <dgm:animLvl val="lvl"/>
          <dgm:resizeHandles val="exact"/>
        </dgm:presLayoutVars>
      </dgm:prSet>
      <dgm:spPr/>
    </dgm:pt>
    <dgm:pt modelId="{060EE54F-9EBC-4508-90E0-A71D8106BA41}" type="pres">
      <dgm:prSet presAssocID="{D895BCAF-11FD-4161-9460-71155FF594D5}" presName="composite" presStyleCnt="0"/>
      <dgm:spPr/>
    </dgm:pt>
    <dgm:pt modelId="{5E4A68E9-45A9-433C-B39E-FA98BC5055EA}" type="pres">
      <dgm:prSet presAssocID="{D895BCAF-11FD-4161-9460-71155FF594D5}" presName="parTx" presStyleLbl="alignNode1" presStyleIdx="0" presStyleCnt="4">
        <dgm:presLayoutVars>
          <dgm:chMax val="0"/>
          <dgm:chPref val="0"/>
          <dgm:bulletEnabled val="1"/>
        </dgm:presLayoutVars>
      </dgm:prSet>
      <dgm:spPr/>
    </dgm:pt>
    <dgm:pt modelId="{0916EB88-9427-4C81-A0D0-B1BC4D25BFB9}" type="pres">
      <dgm:prSet presAssocID="{D895BCAF-11FD-4161-9460-71155FF594D5}" presName="desTx" presStyleLbl="alignAccFollowNode1" presStyleIdx="0" presStyleCnt="4">
        <dgm:presLayoutVars>
          <dgm:bulletEnabled val="1"/>
        </dgm:presLayoutVars>
      </dgm:prSet>
      <dgm:spPr/>
    </dgm:pt>
    <dgm:pt modelId="{5A8A88A5-B4F4-47DC-BABC-220E75C6B14E}" type="pres">
      <dgm:prSet presAssocID="{1D8F6D8C-F89F-400C-A451-06369F630D13}" presName="space" presStyleCnt="0"/>
      <dgm:spPr/>
    </dgm:pt>
    <dgm:pt modelId="{ABE7DA82-7937-4173-A683-867FD7F4045F}" type="pres">
      <dgm:prSet presAssocID="{D2F35989-0D76-4707-8851-E95507DAC780}" presName="composite" presStyleCnt="0"/>
      <dgm:spPr/>
    </dgm:pt>
    <dgm:pt modelId="{0F07604D-46A6-4ADA-B996-B9E43A897BA8}" type="pres">
      <dgm:prSet presAssocID="{D2F35989-0D76-4707-8851-E95507DAC780}" presName="parTx" presStyleLbl="alignNode1" presStyleIdx="1" presStyleCnt="4">
        <dgm:presLayoutVars>
          <dgm:chMax val="0"/>
          <dgm:chPref val="0"/>
          <dgm:bulletEnabled val="1"/>
        </dgm:presLayoutVars>
      </dgm:prSet>
      <dgm:spPr/>
    </dgm:pt>
    <dgm:pt modelId="{D9C43641-36D4-43D5-A2FD-0F9F6D2C43BC}" type="pres">
      <dgm:prSet presAssocID="{D2F35989-0D76-4707-8851-E95507DAC780}" presName="desTx" presStyleLbl="alignAccFollowNode1" presStyleIdx="1" presStyleCnt="4">
        <dgm:presLayoutVars>
          <dgm:bulletEnabled val="1"/>
        </dgm:presLayoutVars>
      </dgm:prSet>
      <dgm:spPr/>
    </dgm:pt>
    <dgm:pt modelId="{8D77E0EF-A152-4EF7-A7FC-CC6FAF7F6B43}" type="pres">
      <dgm:prSet presAssocID="{B96B68E4-E5AE-4BB2-A658-AF9FA9406E6C}" presName="space" presStyleCnt="0"/>
      <dgm:spPr/>
    </dgm:pt>
    <dgm:pt modelId="{D3157F63-FA9E-47B4-8FF4-EE6DAC4A8479}" type="pres">
      <dgm:prSet presAssocID="{5674B894-A55E-4559-8EA7-028C3F32E4B2}" presName="composite" presStyleCnt="0"/>
      <dgm:spPr/>
    </dgm:pt>
    <dgm:pt modelId="{594F44BC-596E-4978-9BF4-2F7DCCF10A7F}" type="pres">
      <dgm:prSet presAssocID="{5674B894-A55E-4559-8EA7-028C3F32E4B2}" presName="parTx" presStyleLbl="alignNode1" presStyleIdx="2" presStyleCnt="4">
        <dgm:presLayoutVars>
          <dgm:chMax val="0"/>
          <dgm:chPref val="0"/>
          <dgm:bulletEnabled val="1"/>
        </dgm:presLayoutVars>
      </dgm:prSet>
      <dgm:spPr/>
    </dgm:pt>
    <dgm:pt modelId="{B4F89DDA-DC7D-4C4E-967D-E22B07A05DB1}" type="pres">
      <dgm:prSet presAssocID="{5674B894-A55E-4559-8EA7-028C3F32E4B2}" presName="desTx" presStyleLbl="alignAccFollowNode1" presStyleIdx="2" presStyleCnt="4">
        <dgm:presLayoutVars>
          <dgm:bulletEnabled val="1"/>
        </dgm:presLayoutVars>
      </dgm:prSet>
      <dgm:spPr/>
    </dgm:pt>
    <dgm:pt modelId="{3A60D635-F235-4B71-8993-A550528BFBFB}" type="pres">
      <dgm:prSet presAssocID="{94E754A5-C7C4-42B9-A350-BD17338F58B9}" presName="space" presStyleCnt="0"/>
      <dgm:spPr/>
    </dgm:pt>
    <dgm:pt modelId="{F2A85F99-7F33-46A4-9E84-7525455EC96E}" type="pres">
      <dgm:prSet presAssocID="{DED7677A-A811-4E99-A359-AF267F66CB3B}" presName="composite" presStyleCnt="0"/>
      <dgm:spPr/>
    </dgm:pt>
    <dgm:pt modelId="{4B0BA49E-53FB-4A48-8A53-1DCC68267D3A}" type="pres">
      <dgm:prSet presAssocID="{DED7677A-A811-4E99-A359-AF267F66CB3B}" presName="parTx" presStyleLbl="alignNode1" presStyleIdx="3" presStyleCnt="4">
        <dgm:presLayoutVars>
          <dgm:chMax val="0"/>
          <dgm:chPref val="0"/>
          <dgm:bulletEnabled val="1"/>
        </dgm:presLayoutVars>
      </dgm:prSet>
      <dgm:spPr/>
    </dgm:pt>
    <dgm:pt modelId="{0426731F-8A3C-42F1-804E-8F6D7BF28D02}" type="pres">
      <dgm:prSet presAssocID="{DED7677A-A811-4E99-A359-AF267F66CB3B}" presName="desTx" presStyleLbl="alignAccFollowNode1" presStyleIdx="3" presStyleCnt="4">
        <dgm:presLayoutVars>
          <dgm:bulletEnabled val="1"/>
        </dgm:presLayoutVars>
      </dgm:prSet>
      <dgm:spPr/>
    </dgm:pt>
  </dgm:ptLst>
  <dgm:cxnLst>
    <dgm:cxn modelId="{BCBEA780-8D74-4085-BC15-3A50D288460B}" srcId="{7634D104-7D93-4DC9-AA78-CFDC22EB2B7D}" destId="{D895BCAF-11FD-4161-9460-71155FF594D5}" srcOrd="0" destOrd="0" parTransId="{55C24B6C-44F8-45FA-AE8C-D7852F8F756E}" sibTransId="{1D8F6D8C-F89F-400C-A451-06369F630D13}"/>
    <dgm:cxn modelId="{935CD369-7E41-4818-8886-5479B59D7CA0}" srcId="{D895BCAF-11FD-4161-9460-71155FF594D5}" destId="{DD8DD7F7-557F-4529-952E-996BE575A6CC}" srcOrd="0" destOrd="0" parTransId="{898A7FBF-8854-4FCD-8F75-6D0A10D342BF}" sibTransId="{069345D4-AF17-4BE2-BEFD-16AAD453ED22}"/>
    <dgm:cxn modelId="{9C98C447-87EC-4468-8F17-B4CDF6F5296C}" srcId="{D895BCAF-11FD-4161-9460-71155FF594D5}" destId="{4366BE51-158B-4489-BA75-AA4DB1C89D0E}" srcOrd="1" destOrd="0" parTransId="{6955802C-BC67-45A6-B198-91B6BBC639EB}" sibTransId="{055C2452-E705-4A9A-984B-0EBF7C084767}"/>
    <dgm:cxn modelId="{15AB4736-ADBD-4DEF-AA8E-30F2D48DA7E7}" srcId="{D895BCAF-11FD-4161-9460-71155FF594D5}" destId="{6E06A9DC-0497-4FCC-A81E-299D49929066}" srcOrd="2" destOrd="0" parTransId="{9A21EF51-54C8-47AB-B289-C69E3B3EB322}" sibTransId="{2E1B01BE-BA3F-4242-AA39-DF53CD736235}"/>
    <dgm:cxn modelId="{61DF950F-71BD-438A-B287-794CCCCE45CA}" srcId="{7634D104-7D93-4DC9-AA78-CFDC22EB2B7D}" destId="{D2F35989-0D76-4707-8851-E95507DAC780}" srcOrd="1" destOrd="0" parTransId="{95A47F62-7CA1-4144-B825-A44483178729}" sibTransId="{B96B68E4-E5AE-4BB2-A658-AF9FA9406E6C}"/>
    <dgm:cxn modelId="{A0375E92-0276-4C8B-B4C0-41BBC5196A75}" srcId="{D2F35989-0D76-4707-8851-E95507DAC780}" destId="{B8AA4B07-C565-4CCF-9950-02D7DCC3515C}" srcOrd="0" destOrd="1" parTransId="{7CE0ECD8-FF60-40FC-834A-69289342858B}" sibTransId="{BA44317E-0141-443D-B3B3-5D8A23F7257D}"/>
    <dgm:cxn modelId="{4366FA86-C4F1-433D-B4B5-36EFA0166F35}" srcId="{7634D104-7D93-4DC9-AA78-CFDC22EB2B7D}" destId="{5674B894-A55E-4559-8EA7-028C3F32E4B2}" srcOrd="2" destOrd="0" parTransId="{CF4D6B60-7FC7-4A9C-B7E1-C22EA10EB381}" sibTransId="{94E754A5-C7C4-42B9-A350-BD17338F58B9}"/>
    <dgm:cxn modelId="{883869BB-D3E7-46F4-A8AE-437AB53B7C73}" srcId="{5674B894-A55E-4559-8EA7-028C3F32E4B2}" destId="{31ECEDD7-80EF-414B-BE50-B610D566367B}" srcOrd="0" destOrd="2" parTransId="{20439AF7-F994-4596-8154-7958604637F8}" sibTransId="{BAE7B1D5-018D-43C6-93C5-0E28100285E0}"/>
    <dgm:cxn modelId="{02830CB5-7245-4268-864E-DD85BF596CF3}" srcId="{5674B894-A55E-4559-8EA7-028C3F32E4B2}" destId="{BE625B92-64A0-41E5-AB5F-393FA54CCED1}" srcOrd="1" destOrd="2" parTransId="{53805BAB-4E82-47EB-BBEF-EE2E12FCF747}" sibTransId="{609976B5-D0E5-40A6-8659-7EE869C3E2A1}"/>
    <dgm:cxn modelId="{C6050500-E2CB-41A3-8E29-7CC0493750CC}" srcId="{7634D104-7D93-4DC9-AA78-CFDC22EB2B7D}" destId="{DED7677A-A811-4E99-A359-AF267F66CB3B}" srcOrd="3" destOrd="0" parTransId="{F38EF5EE-50CB-434C-B7C2-9D5B46BCDA7A}" sibTransId="{9F4A521B-0AB9-4C49-8D3E-A4522CDAC745}"/>
    <dgm:cxn modelId="{2250041E-7A23-4852-94D9-C8B490ADC697}" srcId="{DED7677A-A811-4E99-A359-AF267F66CB3B}" destId="{7D9AB477-3831-4B66-903C-51888FAB2EF1}" srcOrd="0" destOrd="3" parTransId="{1C5BF6D7-9EA3-4496-9259-CCFB570AB9BC}" sibTransId="{13866862-3E71-49D6-8E54-5828906B8520}"/>
    <dgm:cxn modelId="{3C6D89C0-AF98-4C79-9D73-68C6222F2808}" type="presOf" srcId="{7634D104-7D93-4DC9-AA78-CFDC22EB2B7D}" destId="{15D7D02F-9806-4A7F-A42D-FE7E83343FED}" srcOrd="0" destOrd="0" presId="urn:microsoft.com/office/officeart/2005/8/layout/hList1"/>
    <dgm:cxn modelId="{7D2E6ABA-5CA2-4EC2-8A21-4F288E6DB17E}" type="presParOf" srcId="{15D7D02F-9806-4A7F-A42D-FE7E83343FED}" destId="{060EE54F-9EBC-4508-90E0-A71D8106BA41}" srcOrd="0" destOrd="0" presId="urn:microsoft.com/office/officeart/2005/8/layout/hList1"/>
    <dgm:cxn modelId="{BC301123-EFCD-453E-AAD8-EC688D593FA5}" type="presParOf" srcId="{060EE54F-9EBC-4508-90E0-A71D8106BA41}" destId="{5E4A68E9-45A9-433C-B39E-FA98BC5055EA}" srcOrd="0" destOrd="0" presId="urn:microsoft.com/office/officeart/2005/8/layout/hList1"/>
    <dgm:cxn modelId="{50EFA261-1B40-485C-874F-23D131A08856}" type="presOf" srcId="{D895BCAF-11FD-4161-9460-71155FF594D5}" destId="{5E4A68E9-45A9-433C-B39E-FA98BC5055EA}" srcOrd="0" destOrd="0" presId="urn:microsoft.com/office/officeart/2005/8/layout/hList1"/>
    <dgm:cxn modelId="{0C15E1F6-C219-4E6B-92F5-F4190683F6ED}" type="presParOf" srcId="{060EE54F-9EBC-4508-90E0-A71D8106BA41}" destId="{0916EB88-9427-4C81-A0D0-B1BC4D25BFB9}" srcOrd="1" destOrd="0" presId="urn:microsoft.com/office/officeart/2005/8/layout/hList1"/>
    <dgm:cxn modelId="{D7D944E3-C1F6-4074-8560-3D1206079DEE}" type="presOf" srcId="{DD8DD7F7-557F-4529-952E-996BE575A6CC}" destId="{0916EB88-9427-4C81-A0D0-B1BC4D25BFB9}" srcOrd="0" destOrd="0" presId="urn:microsoft.com/office/officeart/2005/8/layout/hList1"/>
    <dgm:cxn modelId="{0D707BFD-4B2A-4A98-813D-BF060CC0B52D}" type="presOf" srcId="{4366BE51-158B-4489-BA75-AA4DB1C89D0E}" destId="{0916EB88-9427-4C81-A0D0-B1BC4D25BFB9}" srcOrd="0" destOrd="1" presId="urn:microsoft.com/office/officeart/2005/8/layout/hList1"/>
    <dgm:cxn modelId="{570BBFB2-6051-4A76-AA76-852F38EBCD7C}" type="presOf" srcId="{6E06A9DC-0497-4FCC-A81E-299D49929066}" destId="{0916EB88-9427-4C81-A0D0-B1BC4D25BFB9}" srcOrd="0" destOrd="2" presId="urn:microsoft.com/office/officeart/2005/8/layout/hList1"/>
    <dgm:cxn modelId="{5E065BCF-4BE6-4A92-A25C-38908E3F0C48}" type="presParOf" srcId="{15D7D02F-9806-4A7F-A42D-FE7E83343FED}" destId="{5A8A88A5-B4F4-47DC-BABC-220E75C6B14E}" srcOrd="1" destOrd="0" presId="urn:microsoft.com/office/officeart/2005/8/layout/hList1"/>
    <dgm:cxn modelId="{DA7EC9EC-722B-4E90-ACF5-07CB0F635B82}" type="presParOf" srcId="{15D7D02F-9806-4A7F-A42D-FE7E83343FED}" destId="{ABE7DA82-7937-4173-A683-867FD7F4045F}" srcOrd="2" destOrd="0" presId="urn:microsoft.com/office/officeart/2005/8/layout/hList1"/>
    <dgm:cxn modelId="{EA3F14DC-1F64-49AC-BE4B-69637A29C0D9}" type="presParOf" srcId="{ABE7DA82-7937-4173-A683-867FD7F4045F}" destId="{0F07604D-46A6-4ADA-B996-B9E43A897BA8}" srcOrd="0" destOrd="2" presId="urn:microsoft.com/office/officeart/2005/8/layout/hList1"/>
    <dgm:cxn modelId="{2DF14188-E135-44E3-A3B8-77349811A014}" type="presOf" srcId="{D2F35989-0D76-4707-8851-E95507DAC780}" destId="{0F07604D-46A6-4ADA-B996-B9E43A897BA8}" srcOrd="0" destOrd="0" presId="urn:microsoft.com/office/officeart/2005/8/layout/hList1"/>
    <dgm:cxn modelId="{5CD10ED4-BA2A-4B31-8604-C6E3A4B94683}" type="presParOf" srcId="{ABE7DA82-7937-4173-A683-867FD7F4045F}" destId="{D9C43641-36D4-43D5-A2FD-0F9F6D2C43BC}" srcOrd="1" destOrd="2" presId="urn:microsoft.com/office/officeart/2005/8/layout/hList1"/>
    <dgm:cxn modelId="{236FF357-CB55-433B-91B1-394B1A0F71EC}" type="presOf" srcId="{B8AA4B07-C565-4CCF-9950-02D7DCC3515C}" destId="{D9C43641-36D4-43D5-A2FD-0F9F6D2C43BC}" srcOrd="0" destOrd="0" presId="urn:microsoft.com/office/officeart/2005/8/layout/hList1"/>
    <dgm:cxn modelId="{1172B755-518F-4DED-AC2D-8850CEE04B9C}" type="presParOf" srcId="{15D7D02F-9806-4A7F-A42D-FE7E83343FED}" destId="{8D77E0EF-A152-4EF7-A7FC-CC6FAF7F6B43}" srcOrd="3" destOrd="0" presId="urn:microsoft.com/office/officeart/2005/8/layout/hList1"/>
    <dgm:cxn modelId="{830A8D00-7D65-4580-91A2-5C06D44E5012}" type="presParOf" srcId="{15D7D02F-9806-4A7F-A42D-FE7E83343FED}" destId="{D3157F63-FA9E-47B4-8FF4-EE6DAC4A8479}" srcOrd="4" destOrd="0" presId="urn:microsoft.com/office/officeart/2005/8/layout/hList1"/>
    <dgm:cxn modelId="{CDEF5F81-5B9F-4E56-AE47-D2FF714A5476}" type="presParOf" srcId="{D3157F63-FA9E-47B4-8FF4-EE6DAC4A8479}" destId="{594F44BC-596E-4978-9BF4-2F7DCCF10A7F}" srcOrd="0" destOrd="4" presId="urn:microsoft.com/office/officeart/2005/8/layout/hList1"/>
    <dgm:cxn modelId="{C4344501-5068-42A1-9F81-2657DE7550EB}" type="presOf" srcId="{5674B894-A55E-4559-8EA7-028C3F32E4B2}" destId="{594F44BC-596E-4978-9BF4-2F7DCCF10A7F}" srcOrd="0" destOrd="0" presId="urn:microsoft.com/office/officeart/2005/8/layout/hList1"/>
    <dgm:cxn modelId="{2A1B446A-27F5-4EA1-8B1A-DA9D8A42B420}" type="presParOf" srcId="{D3157F63-FA9E-47B4-8FF4-EE6DAC4A8479}" destId="{B4F89DDA-DC7D-4C4E-967D-E22B07A05DB1}" srcOrd="1" destOrd="4" presId="urn:microsoft.com/office/officeart/2005/8/layout/hList1"/>
    <dgm:cxn modelId="{F975E16F-337B-49C2-A3B5-EE42B3570913}" type="presOf" srcId="{31ECEDD7-80EF-414B-BE50-B610D566367B}" destId="{B4F89DDA-DC7D-4C4E-967D-E22B07A05DB1}" srcOrd="0" destOrd="0" presId="urn:microsoft.com/office/officeart/2005/8/layout/hList1"/>
    <dgm:cxn modelId="{BC200F6F-1282-42C0-9BF8-A62463325C97}" type="presOf" srcId="{BE625B92-64A0-41E5-AB5F-393FA54CCED1}" destId="{B4F89DDA-DC7D-4C4E-967D-E22B07A05DB1}" srcOrd="0" destOrd="1" presId="urn:microsoft.com/office/officeart/2005/8/layout/hList1"/>
    <dgm:cxn modelId="{12E1409E-C86E-4F84-8BFD-876D92BFEB56}" type="presParOf" srcId="{15D7D02F-9806-4A7F-A42D-FE7E83343FED}" destId="{3A60D635-F235-4B71-8993-A550528BFBFB}" srcOrd="5" destOrd="0" presId="urn:microsoft.com/office/officeart/2005/8/layout/hList1"/>
    <dgm:cxn modelId="{337FA727-506C-4FBF-A564-DE621F49906C}" type="presParOf" srcId="{15D7D02F-9806-4A7F-A42D-FE7E83343FED}" destId="{F2A85F99-7F33-46A4-9E84-7525455EC96E}" srcOrd="6" destOrd="0" presId="urn:microsoft.com/office/officeart/2005/8/layout/hList1"/>
    <dgm:cxn modelId="{2A3AB39E-9070-45D9-A0BE-EA57FE5FF709}" type="presParOf" srcId="{F2A85F99-7F33-46A4-9E84-7525455EC96E}" destId="{4B0BA49E-53FB-4A48-8A53-1DCC68267D3A}" srcOrd="0" destOrd="6" presId="urn:microsoft.com/office/officeart/2005/8/layout/hList1"/>
    <dgm:cxn modelId="{494C45E7-4182-4935-B224-4843993BAF56}" type="presOf" srcId="{DED7677A-A811-4E99-A359-AF267F66CB3B}" destId="{4B0BA49E-53FB-4A48-8A53-1DCC68267D3A}" srcOrd="0" destOrd="0" presId="urn:microsoft.com/office/officeart/2005/8/layout/hList1"/>
    <dgm:cxn modelId="{B89BC975-C396-4CC7-9250-8F5D6DE63239}" type="presParOf" srcId="{F2A85F99-7F33-46A4-9E84-7525455EC96E}" destId="{0426731F-8A3C-42F1-804E-8F6D7BF28D02}" srcOrd="1" destOrd="6" presId="urn:microsoft.com/office/officeart/2005/8/layout/hList1"/>
    <dgm:cxn modelId="{BD2AD9E3-073E-4208-B3ED-8DAD9EB5C0BB}" type="presOf" srcId="{7D9AB477-3831-4B66-903C-51888FAB2EF1}" destId="{0426731F-8A3C-42F1-804E-8F6D7BF28D02}" srcOrd="0" destOrd="0" presId="urn:microsoft.com/office/officeart/2005/8/layout/hList1"/>
  </dgm:cxnLst>
  <dgm:bg/>
  <dgm:whole/>
  <dgm:extLst>
    <a:ext uri="http://schemas.microsoft.com/office/drawing/2008/diagram">
      <dsp:dataModelExt xmlns:dsp="http://schemas.microsoft.com/office/drawing/2008/diagram" relId="rId13"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xmlns:r="http://schemas.openxmlformats.org/officeDocument/2006/relationships">
  <dsp:spTree>
    <dsp:nvGrpSpPr>
      <dsp:cNvPr id="2" name="Group 1"/>
      <dsp:cNvGrpSpPr/>
    </dsp:nvGrpSpPr>
    <dsp:grpSpPr>
      <a:xfrm>
        <a:off x="0" y="0"/>
        <a:ext cx="8886825" cy="2124075"/>
        <a:chOff x="0" y="0"/>
        <a:chExt cx="8886825" cy="2124075"/>
      </a:xfrm>
    </dsp:grpSpPr>
    <dsp:sp modelId="{5E4A68E9-45A9-433C-B39E-FA98BC5055EA}">
      <dsp:nvSpPr>
        <dsp:cNvPr id="3" name="Rectangle 2"/>
        <dsp:cNvSpPr/>
      </dsp:nvSpPr>
      <dsp:spPr bwMode="white">
        <a:xfrm>
          <a:off x="0" y="30798"/>
          <a:ext cx="2010594" cy="592455"/>
        </a:xfrm>
        <a:prstGeom prst="rect">
          <a:avLst/>
        </a:prstGeom>
      </dsp:spPr>
      <dsp:style>
        <a:lnRef idx="2">
          <a:schemeClr val="accent1"/>
        </a:lnRef>
        <a:fillRef idx="1">
          <a:schemeClr val="accent1"/>
        </a:fillRef>
        <a:effectRef idx="0">
          <a:scrgbClr r="0" g="0" b="0"/>
        </a:effectRef>
        <a:fontRef idx="minor">
          <a:schemeClr val="lt1"/>
        </a:fontRef>
      </dsp:style>
      <dsp:txBody>
        <a:bodyPr vert="horz" wrap="square" lIns="78232" tIns="44704" rIns="78232" bIns="44704" anchor="ctr"/>
        <a:lstStyle>
          <a:lvl1pPr algn="ctr">
            <a:defRPr sz="1100"/>
          </a:lvl1pPr>
          <a:lvl2pPr marL="57150" indent="-57150" algn="ctr">
            <a:defRPr sz="800"/>
          </a:lvl2pPr>
          <a:lvl3pPr marL="114300" indent="-57150" algn="ctr">
            <a:defRPr sz="800"/>
          </a:lvl3pPr>
          <a:lvl4pPr marL="171450" indent="-57150" algn="ctr">
            <a:defRPr sz="800"/>
          </a:lvl4pPr>
          <a:lvl5pPr marL="228600" indent="-57150" algn="ctr">
            <a:defRPr sz="800"/>
          </a:lvl5pPr>
          <a:lvl6pPr marL="285750" indent="-57150" algn="ctr">
            <a:defRPr sz="800"/>
          </a:lvl6pPr>
          <a:lvl7pPr marL="342900" indent="-57150" algn="ctr">
            <a:defRPr sz="800"/>
          </a:lvl7pPr>
          <a:lvl8pPr marL="400050" indent="-57150" algn="ctr">
            <a:defRPr sz="800"/>
          </a:lvl8pPr>
          <a:lvl9pPr marL="457200" indent="-57150" algn="ctr">
            <a:defRPr sz="800"/>
          </a:lvl9pPr>
        </a:lstStyle>
        <a:p>
          <a:pPr lvl="0">
            <a:lnSpc>
              <a:spcPct val="150000"/>
            </a:lnSpc>
            <a:spcBef>
              <a:spcPct val="0"/>
            </a:spcBef>
            <a:spcAft>
              <a:spcPct val="35000"/>
            </a:spcAft>
          </a:pPr>
          <a:r>
            <a:rPr lang="en-GB" b="1" i="0">
              <a:latin typeface="Aptos" pitchFamily="2" charset="0"/>
            </a:rPr>
            <a:t>Academic integrity </a:t>
          </a:r>
          <a:r>
            <a:rPr lang="en-US" altLang="en-GB" b="1" i="0">
              <a:latin typeface="Aptos" pitchFamily="2" charset="0"/>
            </a:rPr>
            <a:t>and Transparency</a:t>
          </a:r>
          <a:r>
            <a:rPr lang="en-GB" b="1" i="0">
              <a:latin typeface="Aptos" pitchFamily="2" charset="0"/>
            </a:rPr>
            <a:t>:</a:t>
          </a:r>
          <a:endParaRPr lang="en-GB">
            <a:latin typeface="Aptos" pitchFamily="2" charset="0"/>
          </a:endParaRPr>
        </a:p>
      </dsp:txBody>
      <dsp:txXfrm>
        <a:off x="0" y="30798"/>
        <a:ext cx="2010594" cy="592455"/>
      </dsp:txXfrm>
    </dsp:sp>
    <dsp:sp modelId="{0916EB88-9427-4C81-A0D0-B1BC4D25BFB9}">
      <dsp:nvSpPr>
        <dsp:cNvPr id="4" name="Rectangle 3"/>
        <dsp:cNvSpPr/>
      </dsp:nvSpPr>
      <dsp:spPr bwMode="white">
        <a:xfrm>
          <a:off x="0" y="623253"/>
          <a:ext cx="2010594" cy="1470025"/>
        </a:xfrm>
        <a:prstGeom prst="rect">
          <a:avLst/>
        </a:prstGeom>
      </dsp:spPr>
      <dsp:style>
        <a:lnRef idx="2">
          <a:schemeClr val="accent1">
            <a:alpha val="90000"/>
            <a:tint val="40000"/>
          </a:schemeClr>
        </a:lnRef>
        <a:fillRef idx="1">
          <a:schemeClr val="accent1">
            <a:alpha val="90000"/>
            <a:tint val="40000"/>
          </a:schemeClr>
        </a:fillRef>
        <a:effectRef idx="0">
          <a:scrgbClr r="0" g="0" b="0"/>
        </a:effectRef>
        <a:fontRef idx="minor"/>
      </dsp:style>
      <dsp:txBody>
        <a:bodyPr vert="horz" wrap="square" lIns="58674" tIns="58674" rIns="78232" bIns="88011" anchor="t"/>
        <a:lstStyle>
          <a:lvl1pPr algn="l">
            <a:defRPr sz="1100"/>
          </a:lvl1pPr>
          <a:lvl2pPr marL="57150" indent="-57150" algn="l">
            <a:defRPr sz="1100"/>
          </a:lvl2pPr>
          <a:lvl3pPr marL="114300" indent="-57150" algn="l">
            <a:defRPr sz="1100"/>
          </a:lvl3pPr>
          <a:lvl4pPr marL="171450" indent="-57150" algn="l">
            <a:defRPr sz="1100"/>
          </a:lvl4pPr>
          <a:lvl5pPr marL="228600" indent="-57150" algn="l">
            <a:defRPr sz="1100"/>
          </a:lvl5pPr>
          <a:lvl6pPr marL="285750" indent="-57150" algn="l">
            <a:defRPr sz="1100"/>
          </a:lvl6pPr>
          <a:lvl7pPr marL="342900" indent="-57150" algn="l">
            <a:defRPr sz="1100"/>
          </a:lvl7pPr>
          <a:lvl8pPr marL="400050" indent="-57150" algn="l">
            <a:defRPr sz="1100"/>
          </a:lvl8pPr>
          <a:lvl9pPr marL="457200" indent="-57150" algn="l">
            <a:defRPr sz="1100"/>
          </a:lvl9pPr>
        </a:lstStyle>
        <a:p>
          <a:pPr lvl="1">
            <a:lnSpc>
              <a:spcPct val="150000"/>
            </a:lnSpc>
            <a:spcBef>
              <a:spcPct val="0"/>
            </a:spcBef>
            <a:spcAft>
              <a:spcPct val="15000"/>
            </a:spcAft>
            <a:buChar char="•"/>
          </a:pPr>
          <a:r>
            <a:rPr lang="en-US" altLang="en-GB" b="0" i="0" dirty="0">
              <a:solidFill>
                <a:schemeClr val="dk1"/>
              </a:solidFill>
              <a:latin typeface="Aptos" pitchFamily="2" charset="0"/>
            </a:rPr>
            <a:t>A</a:t>
          </a:r>
          <a:r>
            <a:rPr lang="en-GB" b="0" i="0" dirty="0">
              <a:solidFill>
                <a:schemeClr val="dk1"/>
              </a:solidFill>
              <a:latin typeface="Aptos" pitchFamily="2" charset="0"/>
            </a:rPr>
            <a:t>ccurately acknowledge all sources.</a:t>
          </a:r>
          <a:r>
            <a:rPr lang="en-GB" b="0" i="0" dirty="0">
              <a:solidFill>
                <a:schemeClr val="dk1"/>
              </a:solidFill>
              <a:latin typeface="Aptos" pitchFamily="2" charset="0"/>
            </a:rPr>
            <a:t> </a:t>
          </a:r>
          <a:endParaRPr lang="en-GB" dirty="0">
            <a:solidFill>
              <a:schemeClr val="dk1"/>
            </a:solidFill>
            <a:latin typeface="Aptos" pitchFamily="2" charset="0"/>
          </a:endParaRPr>
        </a:p>
        <a:p>
          <a:pPr lvl="1">
            <a:lnSpc>
              <a:spcPct val="150000"/>
            </a:lnSpc>
            <a:spcBef>
              <a:spcPct val="0"/>
            </a:spcBef>
            <a:spcAft>
              <a:spcPct val="15000"/>
            </a:spcAft>
            <a:buChar char="•"/>
          </a:pPr>
          <a:r>
            <a:rPr lang="en-US" altLang="en-GB" b="0" i="0" dirty="0">
              <a:solidFill>
                <a:schemeClr val="dk1"/>
              </a:solidFill>
              <a:latin typeface="Aptos" pitchFamily="2" charset="0"/>
            </a:rPr>
            <a:t>Made sure not to</a:t>
          </a:r>
          <a:r>
            <a:rPr lang="en-GB" b="0" i="0" dirty="0">
              <a:solidFill>
                <a:schemeClr val="dk1"/>
              </a:solidFill>
              <a:latin typeface="Aptos" pitchFamily="2" charset="0"/>
            </a:rPr>
            <a:t> plagiaris</a:t>
          </a:r>
          <a:r>
            <a:rPr lang="en-US" altLang="en-GB" b="0" i="0" dirty="0">
              <a:solidFill>
                <a:schemeClr val="dk1"/>
              </a:solidFill>
              <a:latin typeface="Aptos" pitchFamily="2" charset="0"/>
            </a:rPr>
            <a:t>e</a:t>
          </a:r>
          <a:r>
            <a:rPr lang="en-GB" b="0" i="0" dirty="0">
              <a:solidFill>
                <a:schemeClr val="dk1"/>
              </a:solidFill>
              <a:latin typeface="Aptos" pitchFamily="2" charset="0"/>
            </a:rPr>
            <a:t>.</a:t>
          </a:r>
          <a:endParaRPr lang="en-GB" b="0" i="0" dirty="0">
            <a:solidFill>
              <a:schemeClr val="dk1"/>
            </a:solidFill>
            <a:latin typeface="Aptos" pitchFamily="2" charset="0"/>
          </a:endParaRPr>
        </a:p>
        <a:p>
          <a:pPr lvl="1">
            <a:lnSpc>
              <a:spcPct val="150000"/>
            </a:lnSpc>
            <a:spcBef>
              <a:spcPct val="0"/>
            </a:spcBef>
            <a:spcAft>
              <a:spcPct val="15000"/>
            </a:spcAft>
            <a:buChar char="•"/>
          </a:pPr>
          <a:r>
            <a:rPr lang="en-US" altLang="en-GB" dirty="0">
              <a:solidFill>
                <a:schemeClr val="dk1"/>
              </a:solidFill>
              <a:latin typeface="Aptos" pitchFamily="2" charset="0"/>
            </a:rPr>
            <a:t>Cl</a:t>
          </a:r>
          <a:r>
            <a:rPr lang="en-GB" dirty="0">
              <a:solidFill>
                <a:schemeClr val="dk1"/>
              </a:solidFill>
              <a:latin typeface="Aptos" pitchFamily="2" charset="0"/>
            </a:rPr>
            <a:t>early explain how literature was selected and analysed.</a:t>
          </a:r>
          <a:endParaRPr lang="en-GB" dirty="0">
            <a:solidFill>
              <a:schemeClr val="dk1"/>
            </a:solidFill>
            <a:latin typeface="Aptos" pitchFamily="2" charset="0"/>
          </a:endParaRPr>
        </a:p>
      </dsp:txBody>
      <dsp:txXfrm>
        <a:off x="0" y="623253"/>
        <a:ext cx="2010594" cy="1470025"/>
      </dsp:txXfrm>
    </dsp:sp>
    <dsp:sp modelId="{0F07604D-46A6-4ADA-B996-B9E43A897BA8}">
      <dsp:nvSpPr>
        <dsp:cNvPr id="5" name="Rectangle 4"/>
        <dsp:cNvSpPr/>
      </dsp:nvSpPr>
      <dsp:spPr bwMode="white">
        <a:xfrm>
          <a:off x="2292077" y="30798"/>
          <a:ext cx="2010594" cy="592455"/>
        </a:xfrm>
        <a:prstGeom prst="rect">
          <a:avLst/>
        </a:prstGeom>
      </dsp:spPr>
      <dsp:style>
        <a:lnRef idx="2">
          <a:schemeClr val="accent1"/>
        </a:lnRef>
        <a:fillRef idx="1">
          <a:schemeClr val="accent1"/>
        </a:fillRef>
        <a:effectRef idx="0">
          <a:scrgbClr r="0" g="0" b="0"/>
        </a:effectRef>
        <a:fontRef idx="minor">
          <a:schemeClr val="lt1"/>
        </a:fontRef>
      </dsp:style>
      <dsp:txBody>
        <a:bodyPr vert="horz" wrap="square" lIns="78232" tIns="44704" rIns="78232" bIns="44704" anchor="ctr"/>
        <a:lstStyle>
          <a:lvl1pPr algn="ctr">
            <a:defRPr sz="1100"/>
          </a:lvl1pPr>
          <a:lvl2pPr marL="57150" indent="-57150" algn="ctr">
            <a:defRPr sz="800"/>
          </a:lvl2pPr>
          <a:lvl3pPr marL="114300" indent="-57150" algn="ctr">
            <a:defRPr sz="800"/>
          </a:lvl3pPr>
          <a:lvl4pPr marL="171450" indent="-57150" algn="ctr">
            <a:defRPr sz="800"/>
          </a:lvl4pPr>
          <a:lvl5pPr marL="228600" indent="-57150" algn="ctr">
            <a:defRPr sz="800"/>
          </a:lvl5pPr>
          <a:lvl6pPr marL="285750" indent="-57150" algn="ctr">
            <a:defRPr sz="800"/>
          </a:lvl6pPr>
          <a:lvl7pPr marL="342900" indent="-57150" algn="ctr">
            <a:defRPr sz="800"/>
          </a:lvl7pPr>
          <a:lvl8pPr marL="400050" indent="-57150" algn="ctr">
            <a:defRPr sz="800"/>
          </a:lvl8pPr>
          <a:lvl9pPr marL="457200" indent="-57150" algn="ctr">
            <a:defRPr sz="800"/>
          </a:lvl9pPr>
        </a:lstStyle>
        <a:p>
          <a:pPr lvl="0">
            <a:lnSpc>
              <a:spcPct val="150000"/>
            </a:lnSpc>
            <a:spcBef>
              <a:spcPct val="0"/>
            </a:spcBef>
            <a:spcAft>
              <a:spcPct val="35000"/>
            </a:spcAft>
          </a:pPr>
          <a:r>
            <a:rPr lang="en-GB" b="1" i="0">
              <a:latin typeface="Aptos" pitchFamily="2" charset="0"/>
            </a:rPr>
            <a:t>Accurate representation</a:t>
          </a:r>
          <a:r>
            <a:rPr lang="en-GB" b="1" i="0">
              <a:latin typeface="Aptos" pitchFamily="2" charset="0"/>
            </a:rPr>
            <a:t>:</a:t>
          </a:r>
          <a:endParaRPr lang="en-GB">
            <a:latin typeface="Aptos" pitchFamily="2" charset="0"/>
          </a:endParaRPr>
        </a:p>
      </dsp:txBody>
      <dsp:txXfrm>
        <a:off x="2292077" y="30798"/>
        <a:ext cx="2010594" cy="592455"/>
      </dsp:txXfrm>
    </dsp:sp>
    <dsp:sp modelId="{D9C43641-36D4-43D5-A2FD-0F9F6D2C43BC}">
      <dsp:nvSpPr>
        <dsp:cNvPr id="6" name="Rectangle 5"/>
        <dsp:cNvSpPr/>
      </dsp:nvSpPr>
      <dsp:spPr bwMode="white">
        <a:xfrm>
          <a:off x="2292077" y="623253"/>
          <a:ext cx="2010594" cy="1470025"/>
        </a:xfrm>
        <a:prstGeom prst="rect">
          <a:avLst/>
        </a:prstGeom>
      </dsp:spPr>
      <dsp:style>
        <a:lnRef idx="2">
          <a:schemeClr val="accent1">
            <a:alpha val="90000"/>
            <a:tint val="40000"/>
          </a:schemeClr>
        </a:lnRef>
        <a:fillRef idx="1">
          <a:schemeClr val="accent1">
            <a:alpha val="90000"/>
            <a:tint val="40000"/>
          </a:schemeClr>
        </a:fillRef>
        <a:effectRef idx="0">
          <a:scrgbClr r="0" g="0" b="0"/>
        </a:effectRef>
        <a:fontRef idx="minor"/>
      </dsp:style>
      <dsp:txBody>
        <a:bodyPr vert="horz" wrap="square" lIns="58674" tIns="58674" rIns="78232" bIns="88011" anchor="t"/>
        <a:lstStyle>
          <a:lvl1pPr algn="l">
            <a:defRPr sz="1100"/>
          </a:lvl1pPr>
          <a:lvl2pPr marL="57150" indent="-57150" algn="l">
            <a:defRPr sz="1100"/>
          </a:lvl2pPr>
          <a:lvl3pPr marL="114300" indent="-57150" algn="l">
            <a:defRPr sz="1100"/>
          </a:lvl3pPr>
          <a:lvl4pPr marL="171450" indent="-57150" algn="l">
            <a:defRPr sz="1100"/>
          </a:lvl4pPr>
          <a:lvl5pPr marL="228600" indent="-57150" algn="l">
            <a:defRPr sz="1100"/>
          </a:lvl5pPr>
          <a:lvl6pPr marL="285750" indent="-57150" algn="l">
            <a:defRPr sz="1100"/>
          </a:lvl6pPr>
          <a:lvl7pPr marL="342900" indent="-57150" algn="l">
            <a:defRPr sz="1100"/>
          </a:lvl7pPr>
          <a:lvl8pPr marL="400050" indent="-57150" algn="l">
            <a:defRPr sz="1100"/>
          </a:lvl8pPr>
          <a:lvl9pPr marL="457200" indent="-57150" algn="l">
            <a:defRPr sz="1100"/>
          </a:lvl9pPr>
        </a:lstStyle>
        <a:p>
          <a:pPr lvl="1">
            <a:lnSpc>
              <a:spcPct val="150000"/>
            </a:lnSpc>
            <a:spcBef>
              <a:spcPct val="0"/>
            </a:spcBef>
            <a:spcAft>
              <a:spcPct val="15000"/>
            </a:spcAft>
            <a:buChar char="•"/>
          </a:pPr>
          <a:r>
            <a:rPr lang="en-GB" b="0" i="0">
              <a:solidFill>
                <a:schemeClr val="dk1"/>
              </a:solidFill>
              <a:latin typeface="Aptos" pitchFamily="2" charset="0"/>
            </a:rPr>
            <a:t>P</a:t>
          </a:r>
          <a:r>
            <a:rPr lang="en-US" altLang="en-GB" b="0" i="0">
              <a:solidFill>
                <a:schemeClr val="dk1"/>
              </a:solidFill>
              <a:latin typeface="Aptos" pitchFamily="2" charset="0"/>
            </a:rPr>
            <a:t>roperly present data so as</a:t>
          </a:r>
          <a:r>
            <a:rPr lang="en-GB">
              <a:solidFill>
                <a:schemeClr val="dk1"/>
              </a:solidFill>
              <a:latin typeface="Aptos" pitchFamily="2" charset="0"/>
            </a:rPr>
            <a:t> not distort authors' findings</a:t>
          </a:r>
          <a:endParaRPr lang="en-GB">
            <a:solidFill>
              <a:schemeClr val="dk1"/>
            </a:solidFill>
            <a:latin typeface="Aptos" pitchFamily="2" charset="0"/>
          </a:endParaRPr>
        </a:p>
      </dsp:txBody>
      <dsp:txXfrm>
        <a:off x="2292077" y="623253"/>
        <a:ext cx="2010594" cy="1470025"/>
      </dsp:txXfrm>
    </dsp:sp>
    <dsp:sp modelId="{594F44BC-596E-4978-9BF4-2F7DCCF10A7F}">
      <dsp:nvSpPr>
        <dsp:cNvPr id="7" name="Rectangle 6"/>
        <dsp:cNvSpPr/>
      </dsp:nvSpPr>
      <dsp:spPr bwMode="white">
        <a:xfrm>
          <a:off x="4584154" y="30798"/>
          <a:ext cx="2010594" cy="592455"/>
        </a:xfrm>
        <a:prstGeom prst="rect">
          <a:avLst/>
        </a:prstGeom>
      </dsp:spPr>
      <dsp:style>
        <a:lnRef idx="2">
          <a:schemeClr val="accent1"/>
        </a:lnRef>
        <a:fillRef idx="1">
          <a:schemeClr val="accent1"/>
        </a:fillRef>
        <a:effectRef idx="0">
          <a:scrgbClr r="0" g="0" b="0"/>
        </a:effectRef>
        <a:fontRef idx="minor">
          <a:schemeClr val="lt1"/>
        </a:fontRef>
      </dsp:style>
      <dsp:txBody>
        <a:bodyPr vert="horz" wrap="square" lIns="78232" tIns="44704" rIns="78232" bIns="44704" anchor="ctr"/>
        <a:lstStyle>
          <a:lvl1pPr algn="ctr">
            <a:defRPr sz="1100"/>
          </a:lvl1pPr>
          <a:lvl2pPr marL="57150" indent="-57150" algn="ctr">
            <a:defRPr sz="800"/>
          </a:lvl2pPr>
          <a:lvl3pPr marL="114300" indent="-57150" algn="ctr">
            <a:defRPr sz="800"/>
          </a:lvl3pPr>
          <a:lvl4pPr marL="171450" indent="-57150" algn="ctr">
            <a:defRPr sz="800"/>
          </a:lvl4pPr>
          <a:lvl5pPr marL="228600" indent="-57150" algn="ctr">
            <a:defRPr sz="800"/>
          </a:lvl5pPr>
          <a:lvl6pPr marL="285750" indent="-57150" algn="ctr">
            <a:defRPr sz="800"/>
          </a:lvl6pPr>
          <a:lvl7pPr marL="342900" indent="-57150" algn="ctr">
            <a:defRPr sz="800"/>
          </a:lvl7pPr>
          <a:lvl8pPr marL="400050" indent="-57150" algn="ctr">
            <a:defRPr sz="800"/>
          </a:lvl8pPr>
          <a:lvl9pPr marL="457200" indent="-57150" algn="ctr">
            <a:defRPr sz="800"/>
          </a:lvl9pPr>
        </a:lstStyle>
        <a:p>
          <a:pPr lvl="0">
            <a:lnSpc>
              <a:spcPct val="150000"/>
            </a:lnSpc>
            <a:spcBef>
              <a:spcPct val="0"/>
            </a:spcBef>
            <a:spcAft>
              <a:spcPct val="35000"/>
            </a:spcAft>
          </a:pPr>
          <a:r>
            <a:rPr lang="en-GB" b="1" i="0">
              <a:latin typeface="Aptos" pitchFamily="2" charset="0"/>
            </a:rPr>
            <a:t>Avoidance of bias </a:t>
          </a:r>
          <a:r>
            <a:rPr lang="en-US" altLang="en-GB" b="1" i="0">
              <a:latin typeface="Aptos" pitchFamily="2" charset="0"/>
            </a:rPr>
            <a:t>and Sensitive reporting</a:t>
          </a:r>
          <a:r>
            <a:rPr lang="en-GB" b="1" i="0">
              <a:latin typeface="Aptos" pitchFamily="2" charset="0"/>
            </a:rPr>
            <a:t>:</a:t>
          </a:r>
          <a:r>
            <a:rPr lang="en-GB">
              <a:latin typeface="Aptos" pitchFamily="2" charset="0"/>
            </a:rPr>
            <a:t> </a:t>
          </a:r>
        </a:p>
      </dsp:txBody>
      <dsp:txXfrm>
        <a:off x="4584154" y="30798"/>
        <a:ext cx="2010594" cy="592455"/>
      </dsp:txXfrm>
    </dsp:sp>
    <dsp:sp modelId="{B4F89DDA-DC7D-4C4E-967D-E22B07A05DB1}">
      <dsp:nvSpPr>
        <dsp:cNvPr id="8" name="Rectangle 7"/>
        <dsp:cNvSpPr/>
      </dsp:nvSpPr>
      <dsp:spPr bwMode="white">
        <a:xfrm>
          <a:off x="4584154" y="623253"/>
          <a:ext cx="2010594" cy="1470025"/>
        </a:xfrm>
        <a:prstGeom prst="rect">
          <a:avLst/>
        </a:prstGeom>
      </dsp:spPr>
      <dsp:style>
        <a:lnRef idx="2">
          <a:schemeClr val="accent1">
            <a:alpha val="90000"/>
            <a:tint val="40000"/>
          </a:schemeClr>
        </a:lnRef>
        <a:fillRef idx="1">
          <a:schemeClr val="accent1">
            <a:alpha val="90000"/>
            <a:tint val="40000"/>
          </a:schemeClr>
        </a:fillRef>
        <a:effectRef idx="0">
          <a:scrgbClr r="0" g="0" b="0"/>
        </a:effectRef>
        <a:fontRef idx="minor"/>
      </dsp:style>
      <dsp:txBody>
        <a:bodyPr vert="horz" wrap="square" lIns="58674" tIns="58674" rIns="78232" bIns="88011" anchor="t"/>
        <a:lstStyle>
          <a:lvl1pPr algn="l">
            <a:defRPr sz="1100"/>
          </a:lvl1pPr>
          <a:lvl2pPr marL="57150" indent="-57150" algn="l">
            <a:defRPr sz="1100"/>
          </a:lvl2pPr>
          <a:lvl3pPr marL="114300" indent="-57150" algn="l">
            <a:defRPr sz="1100"/>
          </a:lvl3pPr>
          <a:lvl4pPr marL="171450" indent="-57150" algn="l">
            <a:defRPr sz="1100"/>
          </a:lvl4pPr>
          <a:lvl5pPr marL="228600" indent="-57150" algn="l">
            <a:defRPr sz="1100"/>
          </a:lvl5pPr>
          <a:lvl6pPr marL="285750" indent="-57150" algn="l">
            <a:defRPr sz="1100"/>
          </a:lvl6pPr>
          <a:lvl7pPr marL="342900" indent="-57150" algn="l">
            <a:defRPr sz="1100"/>
          </a:lvl7pPr>
          <a:lvl8pPr marL="400050" indent="-57150" algn="l">
            <a:defRPr sz="1100"/>
          </a:lvl8pPr>
          <a:lvl9pPr marL="457200" indent="-57150" algn="l">
            <a:defRPr sz="1100"/>
          </a:lvl9pPr>
        </a:lstStyle>
        <a:p>
          <a:pPr lvl="1">
            <a:lnSpc>
              <a:spcPct val="150000"/>
            </a:lnSpc>
            <a:spcBef>
              <a:spcPct val="0"/>
            </a:spcBef>
            <a:spcAft>
              <a:spcPct val="15000"/>
            </a:spcAft>
            <a:buChar char="•"/>
          </a:pPr>
          <a:r>
            <a:rPr lang="en-US" altLang="en-GB" b="0" i="0">
              <a:solidFill>
                <a:schemeClr val="dk1"/>
              </a:solidFill>
              <a:latin typeface="Aptos" pitchFamily="2" charset="0"/>
            </a:rPr>
            <a:t>R</a:t>
          </a:r>
          <a:r>
            <a:rPr lang="en-GB" b="0" i="0">
              <a:solidFill>
                <a:schemeClr val="dk1"/>
              </a:solidFill>
              <a:latin typeface="Aptos" pitchFamily="2" charset="0"/>
            </a:rPr>
            <a:t>eport supportive and contradictory evidence fairly.</a:t>
          </a:r>
          <a:endParaRPr lang="en-GB" b="0" i="0">
            <a:solidFill>
              <a:schemeClr val="dk1"/>
            </a:solidFill>
            <a:latin typeface="Aptos" pitchFamily="2" charset="0"/>
          </a:endParaRPr>
        </a:p>
        <a:p>
          <a:pPr lvl="1">
            <a:lnSpc>
              <a:spcPct val="150000"/>
            </a:lnSpc>
            <a:spcBef>
              <a:spcPct val="0"/>
            </a:spcBef>
            <a:spcAft>
              <a:spcPct val="15000"/>
            </a:spcAft>
            <a:buChar char="•"/>
          </a:pPr>
          <a:r>
            <a:rPr lang="en-US" altLang="en-GB">
              <a:solidFill>
                <a:schemeClr val="dk1"/>
              </a:solidFill>
              <a:latin typeface="Aptos" pitchFamily="2" charset="0"/>
            </a:rPr>
            <a:t>D</a:t>
          </a:r>
          <a:r>
            <a:rPr lang="en-GB">
              <a:solidFill>
                <a:schemeClr val="dk1"/>
              </a:solidFill>
              <a:latin typeface="Aptos" pitchFamily="2" charset="0"/>
            </a:rPr>
            <a:t>iscuss FGM without stereotyping affected communities.</a:t>
          </a:r>
          <a:endParaRPr lang="en-GB">
            <a:solidFill>
              <a:schemeClr val="dk1"/>
            </a:solidFill>
            <a:latin typeface="Aptos" pitchFamily="2" charset="0"/>
          </a:endParaRPr>
        </a:p>
      </dsp:txBody>
      <dsp:txXfrm>
        <a:off x="4584154" y="623253"/>
        <a:ext cx="2010594" cy="1470025"/>
      </dsp:txXfrm>
    </dsp:sp>
    <dsp:sp modelId="{4B0BA49E-53FB-4A48-8A53-1DCC68267D3A}">
      <dsp:nvSpPr>
        <dsp:cNvPr id="9" name="Rectangle 8"/>
        <dsp:cNvSpPr/>
      </dsp:nvSpPr>
      <dsp:spPr bwMode="white">
        <a:xfrm>
          <a:off x="6876231" y="30798"/>
          <a:ext cx="2010594" cy="592455"/>
        </a:xfrm>
        <a:prstGeom prst="rect">
          <a:avLst/>
        </a:prstGeom>
      </dsp:spPr>
      <dsp:style>
        <a:lnRef idx="2">
          <a:schemeClr val="accent1"/>
        </a:lnRef>
        <a:fillRef idx="1">
          <a:schemeClr val="accent1"/>
        </a:fillRef>
        <a:effectRef idx="0">
          <a:scrgbClr r="0" g="0" b="0"/>
        </a:effectRef>
        <a:fontRef idx="minor">
          <a:schemeClr val="lt1"/>
        </a:fontRef>
      </dsp:style>
      <dsp:txBody>
        <a:bodyPr vert="horz" wrap="square" lIns="78232" tIns="44704" rIns="78232" bIns="44704" anchor="ctr"/>
        <a:lstStyle>
          <a:lvl1pPr algn="ctr">
            <a:defRPr sz="1100"/>
          </a:lvl1pPr>
          <a:lvl2pPr marL="57150" indent="-57150" algn="ctr">
            <a:defRPr sz="800"/>
          </a:lvl2pPr>
          <a:lvl3pPr marL="114300" indent="-57150" algn="ctr">
            <a:defRPr sz="800"/>
          </a:lvl3pPr>
          <a:lvl4pPr marL="171450" indent="-57150" algn="ctr">
            <a:defRPr sz="800"/>
          </a:lvl4pPr>
          <a:lvl5pPr marL="228600" indent="-57150" algn="ctr">
            <a:defRPr sz="800"/>
          </a:lvl5pPr>
          <a:lvl6pPr marL="285750" indent="-57150" algn="ctr">
            <a:defRPr sz="800"/>
          </a:lvl6pPr>
          <a:lvl7pPr marL="342900" indent="-57150" algn="ctr">
            <a:defRPr sz="800"/>
          </a:lvl7pPr>
          <a:lvl8pPr marL="400050" indent="-57150" algn="ctr">
            <a:defRPr sz="800"/>
          </a:lvl8pPr>
          <a:lvl9pPr marL="457200" indent="-57150" algn="ctr">
            <a:defRPr sz="800"/>
          </a:lvl9pPr>
        </a:lstStyle>
        <a:p>
          <a:pPr lvl="0">
            <a:lnSpc>
              <a:spcPct val="150000"/>
            </a:lnSpc>
            <a:spcBef>
              <a:spcPct val="0"/>
            </a:spcBef>
            <a:spcAft>
              <a:spcPct val="35000"/>
            </a:spcAft>
          </a:pPr>
          <a:r>
            <a:rPr lang="en-GB" b="1" i="0" dirty="0">
              <a:latin typeface="Aptos" pitchFamily="2" charset="0"/>
            </a:rPr>
            <a:t>Confidentiality</a:t>
          </a:r>
          <a:r>
            <a:rPr lang="en-GB" b="1" i="0" dirty="0">
              <a:latin typeface="Aptos" pitchFamily="2" charset="0"/>
            </a:rPr>
            <a:t>:</a:t>
          </a:r>
          <a:endParaRPr lang="en-GB" dirty="0">
            <a:latin typeface="Aptos" pitchFamily="2" charset="0"/>
          </a:endParaRPr>
        </a:p>
      </dsp:txBody>
      <dsp:txXfrm>
        <a:off x="6876231" y="30798"/>
        <a:ext cx="2010594" cy="592455"/>
      </dsp:txXfrm>
    </dsp:sp>
    <dsp:sp modelId="{0426731F-8A3C-42F1-804E-8F6D7BF28D02}">
      <dsp:nvSpPr>
        <dsp:cNvPr id="10" name="Rectangle 9"/>
        <dsp:cNvSpPr/>
      </dsp:nvSpPr>
      <dsp:spPr bwMode="white">
        <a:xfrm>
          <a:off x="6876231" y="623253"/>
          <a:ext cx="2010594" cy="1470025"/>
        </a:xfrm>
        <a:prstGeom prst="rect">
          <a:avLst/>
        </a:prstGeom>
      </dsp:spPr>
      <dsp:style>
        <a:lnRef idx="2">
          <a:schemeClr val="accent1">
            <a:alpha val="90000"/>
            <a:tint val="40000"/>
          </a:schemeClr>
        </a:lnRef>
        <a:fillRef idx="1">
          <a:schemeClr val="accent1">
            <a:alpha val="90000"/>
            <a:tint val="40000"/>
          </a:schemeClr>
        </a:fillRef>
        <a:effectRef idx="0">
          <a:scrgbClr r="0" g="0" b="0"/>
        </a:effectRef>
        <a:fontRef idx="minor"/>
      </dsp:style>
      <dsp:txBody>
        <a:bodyPr vert="horz" wrap="square" lIns="58674" tIns="58674" rIns="78232" bIns="88011" anchor="t"/>
        <a:lstStyle>
          <a:lvl1pPr algn="l">
            <a:defRPr sz="1100"/>
          </a:lvl1pPr>
          <a:lvl2pPr marL="57150" indent="-57150" algn="l">
            <a:defRPr sz="1100"/>
          </a:lvl2pPr>
          <a:lvl3pPr marL="114300" indent="-57150" algn="l">
            <a:defRPr sz="1100"/>
          </a:lvl3pPr>
          <a:lvl4pPr marL="171450" indent="-57150" algn="l">
            <a:defRPr sz="1100"/>
          </a:lvl4pPr>
          <a:lvl5pPr marL="228600" indent="-57150" algn="l">
            <a:defRPr sz="1100"/>
          </a:lvl5pPr>
          <a:lvl6pPr marL="285750" indent="-57150" algn="l">
            <a:defRPr sz="1100"/>
          </a:lvl6pPr>
          <a:lvl7pPr marL="342900" indent="-57150" algn="l">
            <a:defRPr sz="1100"/>
          </a:lvl7pPr>
          <a:lvl8pPr marL="400050" indent="-57150" algn="l">
            <a:defRPr sz="1100"/>
          </a:lvl8pPr>
          <a:lvl9pPr marL="457200" indent="-57150" algn="l">
            <a:defRPr sz="1100"/>
          </a:lvl9pPr>
        </a:lstStyle>
        <a:p>
          <a:pPr lvl="1">
            <a:lnSpc>
              <a:spcPct val="150000"/>
            </a:lnSpc>
            <a:spcBef>
              <a:spcPct val="0"/>
            </a:spcBef>
            <a:spcAft>
              <a:spcPct val="15000"/>
            </a:spcAft>
            <a:buChar char="•"/>
          </a:pPr>
          <a:r>
            <a:rPr lang="en-US" altLang="en-GB" b="0" i="0">
              <a:solidFill>
                <a:schemeClr val="dk1"/>
              </a:solidFill>
              <a:latin typeface="Aptos" pitchFamily="2" charset="0"/>
            </a:rPr>
            <a:t>N</a:t>
          </a:r>
          <a:r>
            <a:rPr lang="en-GB" b="0" i="0">
              <a:solidFill>
                <a:schemeClr val="dk1"/>
              </a:solidFill>
              <a:latin typeface="Aptos" pitchFamily="2" charset="0"/>
            </a:rPr>
            <a:t>o new personal or identifiable participant data were collected.</a:t>
          </a:r>
          <a:r>
            <a:rPr lang="en-GB" b="0" i="0">
              <a:solidFill>
                <a:schemeClr val="dk1"/>
              </a:solidFill>
              <a:latin typeface="Aptos" pitchFamily="2" charset="0"/>
            </a:rPr>
            <a:t> </a:t>
          </a:r>
          <a:endParaRPr lang="en-GB">
            <a:solidFill>
              <a:schemeClr val="dk1"/>
            </a:solidFill>
            <a:latin typeface="Aptos" pitchFamily="2" charset="0"/>
          </a:endParaRPr>
        </a:p>
      </dsp:txBody>
      <dsp:txXfrm>
        <a:off x="6876231" y="623253"/>
        <a:ext cx="2010594" cy="1470025"/>
      </dsp:txXfrm>
    </dsp:sp>
  </dsp:spTree>
</dsp:drawing>
</file>

<file path=word/diagrams/layout1.xml><?xml version="1.0" encoding="utf-8"?>
<dgm:layoutDef xmlns:dgm="http://schemas.openxmlformats.org/drawingml/2006/diagram" xmlns:a="http://schemas.openxmlformats.org/drawingml/2006/main" uniqueId="urn:microsoft.com/office/officeart/2005/8/layout/hList1">
  <dgm:title val=""/>
  <dgm:desc val=""/>
  <dgm:catLst>
    <dgm:cat type="list" pri="5000"/>
    <dgm:cat type="convert" pri="5000"/>
  </dgm:catLst>
  <dgm:sampData>
    <dgm:dataModel>
      <dgm:ptLst>
        <dgm:pt modelId="0" type="doc"/>
        <dgm:pt modelId="1">
          <dgm:prSet phldr="1"/>
        </dgm:pt>
        <dgm:pt modelId="11">
          <dgm:prSet phldr="1"/>
        </dgm:pt>
        <dgm:pt modelId="12">
          <dgm:prSet phldr="1"/>
        </dgm:pt>
        <dgm:pt modelId="2">
          <dgm:prSet phldr="1"/>
        </dgm:pt>
        <dgm:pt modelId="21">
          <dgm:prSet phldr="1"/>
        </dgm:pt>
        <dgm:pt modelId="22">
          <dgm:prSet phldr="1"/>
        </dgm:pt>
        <dgm:pt modelId="3">
          <dgm:prSet phldr="1"/>
        </dgm:pt>
        <dgm:pt modelId="31">
          <dgm:prSet phldr="1"/>
        </dgm:pt>
        <dgm:pt modelId="32">
          <dgm:prSet phldr="1"/>
        </dgm:pt>
      </dgm:ptLst>
      <dgm:cxnLst>
        <dgm:cxn modelId="4" srcId="0" destId="1" srcOrd="0" destOrd="0"/>
        <dgm:cxn modelId="5" srcId="0" destId="2" srcOrd="1" destOrd="0"/>
        <dgm:cxn modelId="6" srcId="0" destId="3" srcOrd="2" destOrd="0"/>
        <dgm:cxn modelId="13" srcId="1" destId="11" srcOrd="0" destOrd="0"/>
        <dgm:cxn modelId="14" srcId="1" destId="12" srcOrd="1" destOrd="0"/>
        <dgm:cxn modelId="23" srcId="2" destId="21" srcOrd="0" destOrd="0"/>
        <dgm:cxn modelId="24" srcId="2" destId="22" srcOrd="1" destOrd="0"/>
        <dgm:cxn modelId="33" srcId="3" destId="31" srcOrd="0" destOrd="0"/>
        <dgm:cxn modelId="34" srcId="3" destId="32" srcOrd="1" destOrd="0"/>
      </dgm:cxnLst>
      <dgm:bg/>
      <dgm:whole/>
    </dgm:dataModel>
  </dgm:sampData>
  <dgm:styleData>
    <dgm:dataModel>
      <dgm:ptLst>
        <dgm:pt modelId="0" type="doc">
          <dgm:prSet qsTypeId="urn:microsoft.com/office/officeart/2005/8/quickstyle/simple5"/>
        </dgm:pt>
        <dgm:pt modelId="1">
          <dgm:prSet phldr="1"/>
        </dgm:pt>
        <dgm:pt modelId="2">
          <dgm:prSet phldr="1"/>
        </dgm:pt>
      </dgm:ptLst>
      <dgm:cxnLst>
        <dgm:cxn modelId="3" srcId="0" destId="1" srcOrd="0" destOrd="0"/>
        <dgm:cxn modelId="4" srcId="0" destId="2" srcOrd="1" destOrd="0"/>
      </dgm:cxnLst>
      <dgm:bg/>
      <dgm:whole/>
    </dgm:dataModel>
  </dgm:styleData>
  <dgm:clrData>
    <dgm:dataModel>
      <dgm:ptLst>
        <dgm:pt modelId="0" type="doc"/>
        <dgm:pt modelId="1">
          <dgm:prSet phldr="1"/>
        </dgm:pt>
        <dgm:pt modelId="2">
          <dgm:prSet phldr="1"/>
        </dgm:pt>
        <dgm:pt modelId="3">
          <dgm:prSet phldr="1"/>
        </dgm:pt>
        <dgm:pt modelId="4">
          <dgm:prSet phldr="1"/>
        </dgm:pt>
      </dgm:ptLst>
      <dgm:cxnLst>
        <dgm:cxn modelId="5" srcId="0" destId="1" srcOrd="0" destOrd="0"/>
        <dgm:cxn modelId="6" srcId="0" destId="2" srcOrd="1" destOrd="0"/>
        <dgm:cxn modelId="7" srcId="0" destId="3" srcOrd="2" destOrd="0"/>
        <dgm:cxn modelId="8" srcId="0" destId="4" srcOrd="3" destOrd="0"/>
      </dgm:cxnLst>
      <dgm:bg/>
      <dgm:whole/>
    </dgm:dataModel>
  </dgm:clrData>
  <dgm:layoutNode name="Name0">
    <dgm:varLst>
      <dgm:dir/>
      <dgm:animLvl val="lvl"/>
      <dgm:resizeHandles val="exact"/>
    </dgm:varLst>
    <dgm:choose name="Name1">
      <dgm:if name="Name2" func="var" arg="dir" op="equ" val="norm">
        <dgm:alg type="lin"/>
      </dgm:if>
      <dgm:else name="Name3">
        <dgm:alg type="lin">
          <dgm:param type="linDir" val="fromR"/>
        </dgm:alg>
      </dgm:else>
    </dgm:choose>
    <dgm:shape xmlns:r="http://schemas.openxmlformats.org/officeDocument/2006/relationships" r:blip="">
      <dgm:adjLst/>
    </dgm:shape>
    <dgm:presOf/>
    <dgm:constrLst>
      <dgm:constr type="h" for="ch" forName="composite" refType="h"/>
      <dgm:constr type="w" for="ch" forName="composite" refType="w"/>
      <dgm:constr type="w" for="des" forName="parTx"/>
      <dgm:constr type="h" for="des" forName="parTx" op="equ"/>
      <dgm:constr type="w" for="des" forName="desTx"/>
      <dgm:constr type="h" for="des" forName="desTx" op="equ"/>
      <dgm:constr type="primFontSz" for="des" forName="parTx" val="65"/>
      <dgm:constr type="secFontSz" for="des" forName="desTx" refType="primFontSz" refFor="des" refForName="parTx" op="equ"/>
      <dgm:constr type="h" for="des" forName="parTx" refType="primFontSz" refFor="des" refForName="parTx" fact="0.8"/>
      <dgm:constr type="h" for="des" forName="desTx" refType="primFontSz" refFor="des" refForName="parTx" fact="1.22"/>
      <dgm:constr type="w" for="ch" forName="space" refType="w" refFor="ch" refForName="composite" op="equ" fact="0.14"/>
    </dgm:constrLst>
    <dgm:ruleLst>
      <dgm:rule type="w" for="ch" forName="composite" val="0" fact="NaN" max="NaN"/>
      <dgm:rule type="primFontSz" for="des" forName="parTx" val="5" fact="NaN" max="NaN"/>
    </dgm:ruleLst>
    <dgm:forEach name="Name4" axis="ch" ptType="node">
      <dgm:layoutNode name="composite">
        <dgm:alg type="composite"/>
        <dgm:shape xmlns:r="http://schemas.openxmlformats.org/officeDocument/2006/relationships" r:blip="">
          <dgm:adjLst/>
        </dgm:shape>
        <dgm:presOf/>
        <dgm:constrLst>
          <dgm:constr type="l" for="ch" forName="parTx"/>
          <dgm:constr type="w" for="ch" forName="parTx" refType="w"/>
          <dgm:constr type="t" for="ch" forName="parTx"/>
          <dgm:constr type="l" for="ch" forName="desTx"/>
          <dgm:constr type="w" for="ch" forName="desTx" refType="w" refFor="ch" refForName="parTx"/>
          <dgm:constr type="t" for="ch" forName="desTx" refType="h" refFor="ch" refForName="parTx"/>
        </dgm:constrLst>
        <dgm:ruleLst>
          <dgm:rule type="h" val="INF" fact="NaN" max="NaN"/>
        </dgm:ruleLst>
        <dgm:layoutNode name="parTx" styleLbl="alignNode1">
          <dgm:varLst>
            <dgm:chMax val="0"/>
            <dgm:chPref val="0"/>
            <dgm:bulletEnabled val="1"/>
          </dgm:varLst>
          <dgm:alg type="tx"/>
          <dgm:shape xmlns:r="http://schemas.openxmlformats.org/officeDocument/2006/relationships" type="rect" r:blip="">
            <dgm:adjLst/>
          </dgm:shape>
          <dgm:presOf axis="self" ptType="node"/>
          <dgm:constrLst>
            <dgm:constr type="h" refType="w" op="lte" fact="0.4"/>
            <dgm:constr type="h"/>
            <dgm:constr type="tMarg" refType="primFontSz" fact="0.32"/>
            <dgm:constr type="bMarg" refType="primFontSz" fact="0.32"/>
          </dgm:constrLst>
          <dgm:ruleLst>
            <dgm:rule type="h" val="INF" fact="NaN" max="NaN"/>
          </dgm:ruleLst>
        </dgm:layoutNode>
        <dgm:layoutNode name="desTx" styleLbl="alignAccFollowNode1">
          <dgm:varLst>
            <dgm:bulletEnabled val="1"/>
          </dgm:varLst>
          <dgm:alg type="tx">
            <dgm:param type="stBulletLvl" val="1"/>
          </dgm:alg>
          <dgm:shape xmlns:r="http://schemas.openxmlformats.org/officeDocument/2006/relationships" type="rect" r:blip="">
            <dgm:adjLst/>
          </dgm:shape>
          <dgm:presOf axis="des" ptType="node"/>
          <dgm:constrLst>
            <dgm:constr type="secFontSz" val="65"/>
            <dgm:constr type="primFontSz" refType="secFontSz"/>
            <dgm:constr type="h"/>
            <dgm:constr type="lMarg" refType="primFontSz" fact="0.42"/>
            <dgm:constr type="tMarg" refType="primFontSz" fact="0.42"/>
            <dgm:constr type="bMarg" refType="primFontSz" fact="0.63"/>
          </dgm:constrLst>
          <dgm:ruleLst>
            <dgm:rule type="h" val="INF" fact="NaN" max="NaN"/>
          </dgm:ruleLst>
        </dgm:layoutNode>
      </dgm:layoutNode>
      <dgm:forEach name="Name5" axis="followSib" ptType="sibTrans" cnt="1">
        <dgm:layoutNode name="space">
          <dgm:alg type="sp"/>
          <dgm:shape xmlns:r="http://schemas.openxmlformats.org/officeDocument/2006/relationships" r:blip="">
            <dgm:adjLst/>
          </dgm:shape>
          <dgm:presOf/>
          <dgm:constrLst/>
          <dgm:ruleLst/>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alignAcc1">
    <dgm:scene3d>
      <a:camera prst="orthographicFront"/>
      <a:lightRig rig="threePt" dir="t"/>
    </dgm:scene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txPr/>
    <dgm:style>
      <a:lnRef idx="2">
        <a:scrgbClr r="0" g="0" b="0"/>
      </a:lnRef>
      <a:fillRef idx="1">
        <a:scrgbClr r="0" g="0" b="0"/>
      </a:fillRef>
      <a:effectRef idx="0">
        <a:scrgbClr r="0" g="0" b="0"/>
      </a:effectRef>
      <a:fontRef idx="minor"/>
    </dgm:style>
  </dgm:styleLbl>
  <dgm:styleLbl name="alignNode1">
    <dgm:scene3d>
      <a:camera prst="orthographicFront"/>
      <a:lightRig rig="threePt" dir="t"/>
    </dgm:scene3d>
    <dgm:txPr/>
    <dgm:style>
      <a:lnRef idx="2">
        <a:scrgbClr r="0" g="0" b="0"/>
      </a:lnRef>
      <a:fillRef idx="1">
        <a:scrgbClr r="0" g="0" b="0"/>
      </a:fillRef>
      <a:effectRef idx="0">
        <a:scrgbClr r="0" g="0" b="0"/>
      </a:effectRef>
      <a:fontRef idx="minor">
        <a:schemeClr val="lt1"/>
      </a:fontRef>
    </dgm:style>
  </dgm:styleLbl>
  <dgm:styleLbl name="asst0">
    <dgm:scene3d>
      <a:camera prst="orthographicFront"/>
      <a:lightRig rig="threePt" dir="t"/>
    </dgm:scene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txPr/>
    <dgm:style>
      <a:lnRef idx="2">
        <a:scrgbClr r="0" g="0" b="0"/>
      </a:lnRef>
      <a:fillRef idx="1">
        <a:scrgbClr r="0" g="0" b="0"/>
      </a:fillRef>
      <a:effectRef idx="0">
        <a:scrgbClr r="0" g="0" b="0"/>
      </a:effectRef>
      <a:fontRef idx="minor">
        <a:schemeClr val="lt1"/>
      </a:fontRef>
    </dgm:style>
  </dgm:styleLbl>
  <dgm:styleLbl name="bgAcc1">
    <dgm:scene3d>
      <a:camera prst="orthographicFront"/>
      <a:lightRig rig="threePt" dir="t"/>
    </dgm:scene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txPr/>
    <dgm:style>
      <a:lnRef idx="0">
        <a:scrgbClr r="0" g="0" b="0"/>
      </a:lnRef>
      <a:fillRef idx="1">
        <a:scrgbClr r="0" g="0" b="0"/>
      </a:fillRef>
      <a:effectRef idx="0">
        <a:scrgbClr r="0" g="0" b="0"/>
      </a:effectRef>
      <a:fontRef idx="minor"/>
    </dgm:style>
  </dgm:styleLbl>
  <dgm:styleLbl name="bgSibTrans2D1">
    <dgm:scene3d>
      <a:camera prst="orthographicFront"/>
      <a:lightRig rig="threePt" dir="t"/>
    </dgm:scene3d>
    <dgm:txPr/>
    <dgm:style>
      <a:lnRef idx="0">
        <a:scrgbClr r="0" g="0" b="0"/>
      </a:lnRef>
      <a:fillRef idx="1">
        <a:scrgbClr r="0" g="0" b="0"/>
      </a:fillRef>
      <a:effectRef idx="0">
        <a:scrgbClr r="0" g="0" b="0"/>
      </a:effectRef>
      <a:fontRef idx="minor">
        <a:schemeClr val="lt1"/>
      </a:fontRef>
    </dgm:style>
  </dgm:styleLbl>
  <dgm:styleLbl name="callout">
    <dgm:scene3d>
      <a:camera prst="orthographicFront"/>
      <a:lightRig rig="threePt" dir="t"/>
    </dgm:scene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txPr/>
    <dgm:style>
      <a:lnRef idx="2">
        <a:scrgbClr r="0" g="0" b="0"/>
      </a:lnRef>
      <a:fillRef idx="1">
        <a:scrgbClr r="0" g="0" b="0"/>
      </a:fillRef>
      <a:effectRef idx="0">
        <a:scrgbClr r="0" g="0" b="0"/>
      </a:effectRef>
      <a:fontRef idx="minor"/>
    </dgm:style>
  </dgm:styleLbl>
  <dgm:styleLbl name="dkBgShp">
    <dgm:scene3d>
      <a:camera prst="orthographicFront"/>
      <a:lightRig rig="threePt" dir="t"/>
    </dgm:scene3d>
    <dgm:txPr/>
    <dgm:style>
      <a:lnRef idx="0">
        <a:scrgbClr r="0" g="0" b="0"/>
      </a:lnRef>
      <a:fillRef idx="1">
        <a:scrgbClr r="0" g="0" b="0"/>
      </a:fillRef>
      <a:effectRef idx="0">
        <a:scrgbClr r="0" g="0" b="0"/>
      </a:effectRef>
      <a:fontRef idx="minor"/>
    </dgm:style>
  </dgm:styleLbl>
  <dgm:styleLbl name="fgAcc0">
    <dgm:scene3d>
      <a:camera prst="orthographicFront"/>
      <a:lightRig rig="threePt" dir="t"/>
    </dgm:scene3d>
    <dgm:txPr/>
    <dgm:style>
      <a:lnRef idx="2">
        <a:scrgbClr r="0" g="0" b="0"/>
      </a:lnRef>
      <a:fillRef idx="1">
        <a:scrgbClr r="0" g="0" b="0"/>
      </a:fillRef>
      <a:effectRef idx="0">
        <a:scrgbClr r="0" g="0" b="0"/>
      </a:effectRef>
      <a:fontRef idx="minor"/>
    </dgm:style>
  </dgm:styleLbl>
  <dgm:styleLbl name="fgAcc1">
    <dgm:scene3d>
      <a:camera prst="orthographicFront"/>
      <a:lightRig rig="threePt" dir="t"/>
    </dgm:scene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txPr/>
    <dgm:style>
      <a:lnRef idx="2">
        <a:scrgbClr r="0" g="0" b="0"/>
      </a:lnRef>
      <a:fillRef idx="1">
        <a:scrgbClr r="0" g="0" b="0"/>
      </a:fillRef>
      <a:effectRef idx="0">
        <a:scrgbClr r="0" g="0" b="0"/>
      </a:effectRef>
      <a:fontRef idx="minor"/>
    </dgm:style>
  </dgm:styleLbl>
  <dgm:styleLbl name="fgImgPlace1">
    <dgm:scene3d>
      <a:camera prst="orthographicFront"/>
      <a:lightRig rig="threePt" dir="t"/>
    </dgm:scene3d>
    <dgm:txPr/>
    <dgm:style>
      <a:lnRef idx="2">
        <a:scrgbClr r="0" g="0" b="0"/>
      </a:lnRef>
      <a:fillRef idx="1">
        <a:scrgbClr r="0" g="0" b="0"/>
      </a:fillRef>
      <a:effectRef idx="0">
        <a:scrgbClr r="0" g="0" b="0"/>
      </a:effectRef>
      <a:fontRef idx="minor"/>
    </dgm:style>
  </dgm:styleLbl>
  <dgm:styleLbl name="fgShp">
    <dgm:scene3d>
      <a:camera prst="orthographicFront"/>
      <a:lightRig rig="threePt" dir="t"/>
    </dgm:scene3d>
    <dgm:txPr/>
    <dgm:style>
      <a:lnRef idx="2">
        <a:scrgbClr r="0" g="0" b="0"/>
      </a:lnRef>
      <a:fillRef idx="1">
        <a:scrgbClr r="0" g="0" b="0"/>
      </a:fillRef>
      <a:effectRef idx="0">
        <a:scrgbClr r="0" g="0" b="0"/>
      </a:effectRef>
      <a:fontRef idx="minor"/>
    </dgm:style>
  </dgm:styleLbl>
  <dgm:styleLbl name="fgSibTrans2D1">
    <dgm:scene3d>
      <a:camera prst="orthographicFront"/>
      <a:lightRig rig="threePt" dir="t"/>
    </dgm:scene3d>
    <dgm:txPr/>
    <dgm:style>
      <a:lnRef idx="0">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txPr/>
    <dgm:style>
      <a:lnRef idx="2">
        <a:scrgbClr r="0" g="0" b="0"/>
      </a:lnRef>
      <a:fillRef idx="1">
        <a:scrgbClr r="0" g="0" b="0"/>
      </a:fillRef>
      <a:effectRef idx="0">
        <a:scrgbClr r="0" g="0" b="0"/>
      </a:effectRef>
      <a:fontRef idx="minor">
        <a:schemeClr val="lt1"/>
      </a:fontRef>
    </dgm:style>
  </dgm:styleLbl>
  <dgm:styleLbl name="node0">
    <dgm:scene3d>
      <a:camera prst="orthographicFront"/>
      <a:lightRig rig="threePt" dir="t"/>
    </dgm:scene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txPr/>
    <dgm:style>
      <a:lnRef idx="2">
        <a:scrgbClr r="0" g="0" b="0"/>
      </a:lnRef>
      <a:fillRef idx="0">
        <a:scrgbClr r="0" g="0" b="0"/>
      </a:fillRef>
      <a:effectRef idx="0">
        <a:scrgbClr r="0" g="0" b="0"/>
      </a:effectRef>
      <a:fontRef idx="minor"/>
    </dgm:style>
  </dgm:styleLbl>
  <dgm:styleLbl name="parChTrans2D1">
    <dgm:scene3d>
      <a:camera prst="orthographicFront"/>
      <a:lightRig rig="threePt" dir="t"/>
    </dgm:scene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txPr/>
    <dgm:style>
      <a:lnRef idx="2">
        <a:scrgbClr r="0" g="0" b="0"/>
      </a:lnRef>
      <a:fillRef idx="1">
        <a:scrgbClr r="0" g="0" b="0"/>
      </a:fillRef>
      <a:effectRef idx="0">
        <a:scrgbClr r="0" g="0" b="0"/>
      </a:effectRef>
      <a:fontRef idx="minor">
        <a:schemeClr val="lt1"/>
      </a:fontRef>
    </dgm:style>
  </dgm:styleLbl>
  <dgm:styleLbl name="revTx">
    <dgm:scene3d>
      <a:camera prst="orthographicFront"/>
      <a:lightRig rig="threePt" dir="t"/>
    </dgm:scene3d>
    <dgm:txPr/>
    <dgm:style>
      <a:lnRef idx="0">
        <a:scrgbClr r="0" g="0" b="0"/>
      </a:lnRef>
      <a:fillRef idx="0">
        <a:scrgbClr r="0" g="0" b="0"/>
      </a:fillRef>
      <a:effectRef idx="0">
        <a:scrgbClr r="0" g="0" b="0"/>
      </a:effectRef>
      <a:fontRef idx="minor"/>
    </dgm:style>
  </dgm:styleLbl>
  <dgm:styleLbl name="sibTrans1D1">
    <dgm:scene3d>
      <a:camera prst="orthographicFront"/>
      <a:lightRig rig="threePt" dir="t"/>
    </dgm:scene3d>
    <dgm:txPr/>
    <dgm:style>
      <a:lnRef idx="1">
        <a:scrgbClr r="0" g="0" b="0"/>
      </a:lnRef>
      <a:fillRef idx="0">
        <a:scrgbClr r="0" g="0" b="0"/>
      </a:fillRef>
      <a:effectRef idx="0">
        <a:scrgbClr r="0" g="0" b="0"/>
      </a:effectRef>
      <a:fontRef idx="minor"/>
    </dgm:style>
  </dgm:styleLbl>
  <dgm:styleLbl name="sibTrans2D1">
    <dgm:scene3d>
      <a:camera prst="orthographicFront"/>
      <a:lightRig rig="threePt" dir="t"/>
    </dgm:scene3d>
    <dgm:txPr/>
    <dgm:style>
      <a:lnRef idx="0">
        <a:scrgbClr r="0" g="0" b="0"/>
      </a:lnRef>
      <a:fillRef idx="1">
        <a:scrgbClr r="0" g="0" b="0"/>
      </a:fillRef>
      <a:effectRef idx="0">
        <a:scrgbClr r="0" g="0" b="0"/>
      </a:effectRef>
      <a:fontRef idx="minor">
        <a:schemeClr val="lt1"/>
      </a:fontRef>
    </dgm:style>
  </dgm:styleLbl>
  <dgm:styleLbl name="solidAlignAcc1">
    <dgm:scene3d>
      <a:camera prst="orthographicFront"/>
      <a:lightRig rig="threePt" dir="t"/>
    </dgm:scene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txPr/>
    <dgm:style>
      <a:lnRef idx="1">
        <a:scrgbClr r="0" g="0" b="0"/>
      </a:lnRef>
      <a:fillRef idx="1">
        <a:scrgbClr r="0" g="0" b="0"/>
      </a:fillRef>
      <a:effectRef idx="0">
        <a:scrgbClr r="0" g="0" b="0"/>
      </a:effectRef>
      <a:fontRef idx="minor"/>
    </dgm:style>
  </dgm:styleLbl>
  <dgm:styleLbl name="trBgShp">
    <dgm:scene3d>
      <a:camera prst="orthographicFront"/>
      <a:lightRig rig="threePt" dir="t"/>
    </dgm:scene3d>
    <dgm:txPr/>
    <dgm:style>
      <a:lnRef idx="0">
        <a:scrgbClr r="0" g="0" b="0"/>
      </a:lnRef>
      <a:fillRef idx="1">
        <a:scrgbClr r="0" g="0" b="0"/>
      </a:fillRef>
      <a:effectRef idx="0">
        <a:scrgbClr r="0" g="0" b="0"/>
      </a:effectRef>
      <a:fontRef idx="minor"/>
    </dgm:style>
  </dgm:styleLbl>
  <dgm:styleLbl name="vennNode1">
    <dgm:scene3d>
      <a:camera prst="orthographicFront"/>
      <a:lightRig rig="threePt" dir="t"/>
    </dgm:scene3d>
    <dgm:txPr/>
    <dgm:style>
      <a:lnRef idx="2">
        <a:scrgbClr r="0" g="0" b="0"/>
      </a:lnRef>
      <a:fillRef idx="1">
        <a:scrgbClr r="0" g="0" b="0"/>
      </a:fillRef>
      <a:effectRef idx="0">
        <a:scrgbClr r="0" g="0" b="0"/>
      </a:effectRef>
      <a:fontRef idx="minor">
        <a:schemeClr val="tx1"/>
      </a:fontRef>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Custom 6">
      <a:majorFont>
        <a:latin typeface="Century Schoolbook"/>
        <a:ea typeface=""/>
        <a:cs typeface=""/>
      </a:majorFont>
      <a:minorFont>
        <a:latin typeface="Century Schoolbook"/>
        <a:ea typeface=""/>
        <a:cs typeface=""/>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SixthEditionOfficeOnline.xsl" StyleName="APA"/>
</file>

<file path=customXml/item3.xml><?xml version="1.0" encoding="utf-8"?>
<p:properties xmlns:p="http://schemas.microsoft.com/office/2006/metadata/properties" xmlns:xsi="http://www.w3.org/2001/XMLSchema-instance" xmlns:pc="http://schemas.microsoft.com/office/infopath/2007/PartnerControls">
  <documentManagement>
    <MediaServiceKeyPoints xmlns="71af3243-3dd4-4a8d-8c0d-dd76da1f02a5" xsi:nil="true"/>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79F111ED35F8CC479449609E8A0923A6" ma:contentTypeVersion="11" ma:contentTypeDescription="Create a new document." ma:contentTypeScope="" ma:versionID="1c2eb7a32e66fb6e4260f3771546a5e2">
  <xsd:schema xmlns:xsd="http://www.w3.org/2001/XMLSchema" xmlns:xs="http://www.w3.org/2001/XMLSchema" xmlns:p="http://schemas.microsoft.com/office/2006/metadata/properties" xmlns:ns2="71af3243-3dd4-4a8d-8c0d-dd76da1f02a5" xmlns:ns3="16c05727-aa75-4e4a-9b5f-8a80a1165891" targetNamespace="http://schemas.microsoft.com/office/2006/metadata/properties" ma:root="true" ma:fieldsID="04e1f6479c48b08974ba73b5ca973489" ns2:_="" ns3:_="">
    <xsd:import namespace="71af3243-3dd4-4a8d-8c0d-dd76da1f02a5"/>
    <xsd:import namespace="16c05727-aa75-4e4a-9b5f-8a80a1165891"/>
    <xsd:element name="properties">
      <xsd:complexType>
        <xsd:sequence>
          <xsd:element name="documentManagement">
            <xsd:complexType>
              <xsd:all>
                <xsd:element ref="ns2:MediaServiceMetadata" minOccurs="0"/>
                <xsd:element ref="ns2:MediaServiceFastMetadata" minOccurs="0"/>
                <xsd:element ref="ns2:MediaServiceOCR" minOccurs="0"/>
                <xsd:element ref="ns2:MediaServiceAutoTags" minOccurs="0"/>
                <xsd:element ref="ns2:MediaServiceEventHashCode" minOccurs="0"/>
                <xsd:element ref="ns2:MediaServiceGenerationTime" minOccurs="0"/>
                <xsd:element ref="ns3:SharedWithUsers" minOccurs="0"/>
                <xsd:element ref="ns3:SharedWithDetails" minOccurs="0"/>
                <xsd:element ref="ns2:MediaServiceAutoKeyPoints" minOccurs="0"/>
                <xsd:element ref="ns2:MediaServiceKeyPoints" minOccurs="0"/>
                <xsd:element ref="ns2:MediaServiceDateTake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1af3243-3dd4-4a8d-8c0d-dd76da1f02a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CR" ma:index="10" nillable="true" ma:displayName="MediaServiceOCR" ma:internalName="MediaServiceOCR" ma:readOnly="true">
      <xsd:simpleType>
        <xsd:restriction base="dms:Note">
          <xsd:maxLength value="255"/>
        </xsd:restriction>
      </xsd:simpleType>
    </xsd:element>
    <xsd:element name="MediaServiceAutoTags" ma:index="11" nillable="true" ma:displayName="MediaServiceAutoTags" ma:internalName="MediaServiceAutoTags"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AutoKeyPoints" ma:index="16" nillable="true" ma:displayName="MediaServiceAutoKeyPoints" ma:hidden="true" ma:internalName="MediaServiceAutoKeyPoints" ma:readOnly="true">
      <xsd:simpleType>
        <xsd:restriction base="dms:Note"/>
      </xsd:simpleType>
    </xsd:element>
    <xsd:element name="MediaServiceKeyPoints" ma:index="17" nillable="true" ma:displayName="KeyPoints" ma:internalName="MediaServiceKeyPoints" ma:readOnly="false">
      <xsd:simpleType>
        <xsd:restriction base="dms:Note">
          <xsd:maxLength value="255"/>
        </xsd:restriction>
      </xsd:simpleType>
    </xsd:element>
    <xsd:element name="MediaServiceDateTaken" ma:index="18" nillable="true" ma:displayName="MediaServiceDateTaken" ma:hidden="true" ma:internalName="MediaServiceDateTake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6c05727-aa75-4e4a-9b5f-8a80a1165891"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FFA9BDFA-A1B5-4F38-8B5A-3C85B1433FEA}">
  <ds:schemaRefs/>
</ds:datastoreItem>
</file>

<file path=customXml/itemProps2.xml><?xml version="1.0" encoding="utf-8"?>
<ds:datastoreItem xmlns:ds="http://schemas.openxmlformats.org/officeDocument/2006/customXml" ds:itemID="{232B06B9-27AB-40FB-B977-14D6FC8A98CC}">
  <ds:schemaRefs/>
</ds:datastoreItem>
</file>

<file path=customXml/itemProps3.xml><?xml version="1.0" encoding="utf-8"?>
<ds:datastoreItem xmlns:ds="http://schemas.openxmlformats.org/officeDocument/2006/customXml" ds:itemID="{4176C48E-4C0F-468C-B5F5-074B2EE9B9EF}">
  <ds:schemaRefs/>
</ds:datastoreItem>
</file>

<file path=customXml/itemProps4.xml><?xml version="1.0" encoding="utf-8"?>
<ds:datastoreItem xmlns:ds="http://schemas.openxmlformats.org/officeDocument/2006/customXml" ds:itemID="{9D9B858D-C272-42FB-BFB4-3B09EE2E67F0}">
  <ds:schemaRefs/>
</ds:datastoreItem>
</file>

<file path=docProps/app.xml><?xml version="1.0" encoding="utf-8"?>
<Properties xmlns="http://schemas.openxmlformats.org/officeDocument/2006/extended-properties" xmlns:vt="http://schemas.openxmlformats.org/officeDocument/2006/docPropsVTypes">
  <Template>Education brochure</Template>
  <Pages>6</Pages>
  <Words>962</Words>
  <Characters>5848</Characters>
  <Lines>22</Lines>
  <Paragraphs>6</Paragraphs>
  <TotalTime>17</TotalTime>
  <ScaleCrop>false</ScaleCrop>
  <LinksUpToDate>false</LinksUpToDate>
  <CharactersWithSpaces>6788</CharactersWithSpaces>
  <Application>WPS Office_12.1.0.29162_F1E327BC-269C-435d-A152-05C5408002CA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2024-08-13T19:18:00Z</dcterms:created>
  <dcterms:modified xsi:type="dcterms:W3CDTF">2026-10-22T12:34:16Z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0x01010079F111ED35F8CC479449609E8A0923A6</vt:lpwstr>
  </property>
  <property fmtid="{D5CDD505-2E9C-101B-9397-08002B2CF9AE}" pid="3" name="KSOTemplateDocerSaveRecord">
    <vt:lpwstr>eyJoZGlkIjoiOGQxN2M4MzEzNTVjZDc0OTJhMWZmNGQyZWVlNGVjNjUiLCJ1c2VySWQiOiIyNzY2MTY4Mzg2MDE2In0=</vt:lpwstr>
  </property>
  <property fmtid="{D5CDD505-2E9C-101B-9397-08002B2CF9AE}" pid="4" name="KSOProductBuildVer">
    <vt:lpwstr>1033-12.1.0.29162</vt:lpwstr>
  </property>
  <property fmtid="{D5CDD505-2E9C-101B-9397-08002B2CF9AE}" pid="5" name="ICV">
    <vt:lpwstr>28BD4ADBC4494E7093304C098D18980E_12</vt:lpwstr>
  </property>
</Properties>
</file>