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79649" w14:textId="77777777" w:rsidR="00874587" w:rsidRDefault="00874587" w:rsidP="00874587">
      <w:pPr>
        <w:jc w:val="center"/>
        <w:rPr>
          <w:rFonts w:cs="Times New Roman"/>
          <w:b/>
          <w:bCs/>
          <w:color w:val="auto"/>
          <w:sz w:val="40"/>
          <w:szCs w:val="36"/>
        </w:rPr>
      </w:pPr>
      <w:r w:rsidRPr="009D243D">
        <w:rPr>
          <w:rFonts w:cs="Times New Roman"/>
          <w:b/>
          <w:bCs/>
          <w:color w:val="auto"/>
          <w:sz w:val="40"/>
          <w:szCs w:val="36"/>
        </w:rPr>
        <w:t xml:space="preserve">BMIH6007 </w:t>
      </w:r>
    </w:p>
    <w:p w14:paraId="536D570B" w14:textId="77777777" w:rsidR="00874587" w:rsidRDefault="00874587" w:rsidP="00874587">
      <w:pPr>
        <w:jc w:val="center"/>
        <w:rPr>
          <w:rFonts w:cs="Times New Roman"/>
          <w:b/>
          <w:bCs/>
          <w:color w:val="auto"/>
          <w:sz w:val="40"/>
          <w:szCs w:val="36"/>
        </w:rPr>
      </w:pPr>
      <w:r w:rsidRPr="009D243D">
        <w:rPr>
          <w:rFonts w:cs="Times New Roman"/>
          <w:b/>
          <w:bCs/>
          <w:color w:val="auto"/>
          <w:sz w:val="40"/>
          <w:szCs w:val="36"/>
        </w:rPr>
        <w:t>International Meetings Management for the Hotel Industry</w:t>
      </w:r>
    </w:p>
    <w:p w14:paraId="24B129D3" w14:textId="77777777" w:rsidR="00874587" w:rsidRPr="009D243D" w:rsidRDefault="00874587" w:rsidP="00874587">
      <w:pPr>
        <w:jc w:val="center"/>
        <w:rPr>
          <w:rFonts w:cs="Times New Roman"/>
          <w:b/>
          <w:bCs/>
          <w:color w:val="auto"/>
          <w:sz w:val="40"/>
          <w:szCs w:val="36"/>
        </w:rPr>
      </w:pPr>
      <w:r>
        <w:rPr>
          <w:rFonts w:cs="Times New Roman"/>
          <w:b/>
          <w:bCs/>
          <w:color w:val="auto"/>
          <w:sz w:val="40"/>
          <w:szCs w:val="36"/>
        </w:rPr>
        <w:t>Lecturer: Chris Wilkin</w:t>
      </w:r>
    </w:p>
    <w:p w14:paraId="3B9E3B8D" w14:textId="3C4F0E07" w:rsidR="00874587" w:rsidRPr="00CB2FB2" w:rsidRDefault="00874587" w:rsidP="00874587">
      <w:pPr>
        <w:jc w:val="center"/>
        <w:rPr>
          <w:rFonts w:cs="Times New Roman"/>
          <w:b/>
          <w:bCs/>
          <w:color w:val="auto"/>
          <w:sz w:val="36"/>
          <w:szCs w:val="32"/>
        </w:rPr>
      </w:pPr>
      <w:r w:rsidRPr="00CB2FB2">
        <w:rPr>
          <w:rFonts w:cs="Times New Roman"/>
          <w:b/>
          <w:bCs/>
          <w:color w:val="auto"/>
          <w:sz w:val="36"/>
          <w:szCs w:val="32"/>
        </w:rPr>
        <w:t>Student I</w:t>
      </w:r>
      <w:r>
        <w:rPr>
          <w:rFonts w:cs="Times New Roman"/>
          <w:b/>
          <w:bCs/>
          <w:color w:val="auto"/>
          <w:sz w:val="36"/>
          <w:szCs w:val="32"/>
        </w:rPr>
        <w:t>D:222262</w:t>
      </w:r>
      <w:r>
        <w:rPr>
          <w:rFonts w:cs="Times New Roman"/>
          <w:b/>
          <w:bCs/>
          <w:color w:val="auto"/>
          <w:sz w:val="36"/>
          <w:szCs w:val="32"/>
        </w:rPr>
        <w:t>4</w:t>
      </w:r>
    </w:p>
    <w:p w14:paraId="405F5708" w14:textId="1642A253" w:rsidR="00874587" w:rsidRPr="00CB2FB2" w:rsidRDefault="00874587" w:rsidP="00874587">
      <w:pPr>
        <w:jc w:val="center"/>
        <w:rPr>
          <w:rFonts w:cs="Times New Roman"/>
          <w:b/>
          <w:bCs/>
          <w:color w:val="auto"/>
          <w:sz w:val="36"/>
          <w:szCs w:val="32"/>
        </w:rPr>
      </w:pPr>
      <w:r w:rsidRPr="00CB2FB2">
        <w:rPr>
          <w:rFonts w:cs="Times New Roman"/>
          <w:b/>
          <w:bCs/>
          <w:color w:val="auto"/>
          <w:sz w:val="36"/>
          <w:szCs w:val="32"/>
        </w:rPr>
        <w:t>Student Name:</w:t>
      </w:r>
      <w:r>
        <w:rPr>
          <w:rFonts w:cs="Times New Roman"/>
          <w:b/>
          <w:bCs/>
          <w:color w:val="auto"/>
          <w:sz w:val="36"/>
          <w:szCs w:val="32"/>
        </w:rPr>
        <w:t xml:space="preserve"> </w:t>
      </w:r>
      <w:r>
        <w:rPr>
          <w:rFonts w:cs="Times New Roman"/>
          <w:b/>
          <w:bCs/>
          <w:color w:val="auto"/>
          <w:sz w:val="36"/>
          <w:szCs w:val="32"/>
        </w:rPr>
        <w:t>Wazadur Rob</w:t>
      </w:r>
      <w:r>
        <w:rPr>
          <w:rFonts w:cs="Times New Roman"/>
          <w:b/>
          <w:bCs/>
          <w:color w:val="auto"/>
          <w:sz w:val="36"/>
          <w:szCs w:val="32"/>
        </w:rPr>
        <w:t xml:space="preserve"> Chowdhury</w:t>
      </w:r>
    </w:p>
    <w:p w14:paraId="7E2243A6" w14:textId="77777777" w:rsidR="00826DAD" w:rsidRDefault="00826DAD"/>
    <w:p w14:paraId="14F94546" w14:textId="77777777" w:rsidR="00874587" w:rsidRDefault="00874587"/>
    <w:p w14:paraId="5D2DCC6C" w14:textId="77777777" w:rsidR="00874587" w:rsidRDefault="00874587"/>
    <w:p w14:paraId="7057FD83" w14:textId="77777777" w:rsidR="00874587" w:rsidRDefault="00874587"/>
    <w:p w14:paraId="397D1A15" w14:textId="77777777" w:rsidR="00874587" w:rsidRDefault="00874587"/>
    <w:p w14:paraId="319C03A7" w14:textId="77777777" w:rsidR="00874587" w:rsidRDefault="00874587"/>
    <w:p w14:paraId="722EF20E" w14:textId="77777777" w:rsidR="00874587" w:rsidRDefault="00874587"/>
    <w:p w14:paraId="0ADB7F1E" w14:textId="77777777" w:rsidR="00874587" w:rsidRDefault="00874587"/>
    <w:p w14:paraId="5061C6BF" w14:textId="77777777" w:rsidR="00874587" w:rsidRDefault="00874587"/>
    <w:p w14:paraId="28A43B82" w14:textId="77777777" w:rsidR="00874587" w:rsidRDefault="00874587"/>
    <w:p w14:paraId="6F04BC52" w14:textId="77777777" w:rsidR="00874587" w:rsidRDefault="00874587"/>
    <w:p w14:paraId="1FF2F783" w14:textId="77777777" w:rsidR="00874587" w:rsidRDefault="00874587"/>
    <w:p w14:paraId="01EFC953" w14:textId="77777777" w:rsidR="00874587" w:rsidRDefault="00874587"/>
    <w:p w14:paraId="3372CB08" w14:textId="77777777" w:rsidR="00874587" w:rsidRDefault="00874587"/>
    <w:p w14:paraId="1F28EEC5" w14:textId="77777777" w:rsidR="00874587" w:rsidRDefault="00874587"/>
    <w:p w14:paraId="7E35905B" w14:textId="77777777" w:rsidR="00874587" w:rsidRDefault="00874587"/>
    <w:sdt>
      <w:sdtPr>
        <w:id w:val="1824307910"/>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67AED1B8" w14:textId="2BBABFD7" w:rsidR="0000215D" w:rsidRDefault="0000215D">
          <w:pPr>
            <w:pStyle w:val="TOCHeading"/>
          </w:pPr>
          <w:r>
            <w:t>Table of Contents</w:t>
          </w:r>
        </w:p>
        <w:p w14:paraId="29A281AA" w14:textId="49280EC3" w:rsidR="00C25F0D" w:rsidRDefault="0000215D">
          <w:pPr>
            <w:pStyle w:val="TOC1"/>
            <w:tabs>
              <w:tab w:val="right" w:leader="dot" w:pos="9016"/>
            </w:tabs>
            <w:rPr>
              <w:rFonts w:asciiTheme="minorHAnsi" w:eastAsiaTheme="minorEastAsia"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88912301" w:history="1">
            <w:r w:rsidR="00C25F0D" w:rsidRPr="004A73C2">
              <w:rPr>
                <w:rStyle w:val="Hyperlink"/>
                <w:rFonts w:cs="Times New Roman"/>
                <w:b/>
                <w:bCs/>
                <w:noProof/>
              </w:rPr>
              <w:t>Introduction</w:t>
            </w:r>
            <w:r w:rsidR="00C25F0D">
              <w:rPr>
                <w:noProof/>
                <w:webHidden/>
              </w:rPr>
              <w:tab/>
            </w:r>
            <w:r w:rsidR="00C25F0D">
              <w:rPr>
                <w:noProof/>
                <w:webHidden/>
              </w:rPr>
              <w:fldChar w:fldCharType="begin"/>
            </w:r>
            <w:r w:rsidR="00C25F0D">
              <w:rPr>
                <w:noProof/>
                <w:webHidden/>
              </w:rPr>
              <w:instrText xml:space="preserve"> PAGEREF _Toc188912301 \h </w:instrText>
            </w:r>
            <w:r w:rsidR="00C25F0D">
              <w:rPr>
                <w:noProof/>
                <w:webHidden/>
              </w:rPr>
            </w:r>
            <w:r w:rsidR="00C25F0D">
              <w:rPr>
                <w:noProof/>
                <w:webHidden/>
              </w:rPr>
              <w:fldChar w:fldCharType="separate"/>
            </w:r>
            <w:r w:rsidR="00C25F0D">
              <w:rPr>
                <w:noProof/>
                <w:webHidden/>
              </w:rPr>
              <w:t>3</w:t>
            </w:r>
            <w:r w:rsidR="00C25F0D">
              <w:rPr>
                <w:noProof/>
                <w:webHidden/>
              </w:rPr>
              <w:fldChar w:fldCharType="end"/>
            </w:r>
          </w:hyperlink>
        </w:p>
        <w:p w14:paraId="5A552F06" w14:textId="65751657"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2" w:history="1">
            <w:r w:rsidRPr="004A73C2">
              <w:rPr>
                <w:rStyle w:val="Hyperlink"/>
                <w:rFonts w:cs="Times New Roman"/>
                <w:b/>
                <w:bCs/>
                <w:noProof/>
              </w:rPr>
              <w:t>Venue Selection</w:t>
            </w:r>
            <w:r>
              <w:rPr>
                <w:noProof/>
                <w:webHidden/>
              </w:rPr>
              <w:tab/>
            </w:r>
            <w:r>
              <w:rPr>
                <w:noProof/>
                <w:webHidden/>
              </w:rPr>
              <w:fldChar w:fldCharType="begin"/>
            </w:r>
            <w:r>
              <w:rPr>
                <w:noProof/>
                <w:webHidden/>
              </w:rPr>
              <w:instrText xml:space="preserve"> PAGEREF _Toc188912302 \h </w:instrText>
            </w:r>
            <w:r>
              <w:rPr>
                <w:noProof/>
                <w:webHidden/>
              </w:rPr>
            </w:r>
            <w:r>
              <w:rPr>
                <w:noProof/>
                <w:webHidden/>
              </w:rPr>
              <w:fldChar w:fldCharType="separate"/>
            </w:r>
            <w:r>
              <w:rPr>
                <w:noProof/>
                <w:webHidden/>
              </w:rPr>
              <w:t>4</w:t>
            </w:r>
            <w:r>
              <w:rPr>
                <w:noProof/>
                <w:webHidden/>
              </w:rPr>
              <w:fldChar w:fldCharType="end"/>
            </w:r>
          </w:hyperlink>
        </w:p>
        <w:p w14:paraId="10F9D1F9" w14:textId="4B748292"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3" w:history="1">
            <w:r w:rsidRPr="004A73C2">
              <w:rPr>
                <w:rStyle w:val="Hyperlink"/>
                <w:rFonts w:cs="Times New Roman"/>
                <w:b/>
                <w:bCs/>
                <w:noProof/>
              </w:rPr>
              <w:t>Nature of Event</w:t>
            </w:r>
            <w:r>
              <w:rPr>
                <w:noProof/>
                <w:webHidden/>
              </w:rPr>
              <w:tab/>
            </w:r>
            <w:r>
              <w:rPr>
                <w:noProof/>
                <w:webHidden/>
              </w:rPr>
              <w:fldChar w:fldCharType="begin"/>
            </w:r>
            <w:r>
              <w:rPr>
                <w:noProof/>
                <w:webHidden/>
              </w:rPr>
              <w:instrText xml:space="preserve"> PAGEREF _Toc188912303 \h </w:instrText>
            </w:r>
            <w:r>
              <w:rPr>
                <w:noProof/>
                <w:webHidden/>
              </w:rPr>
            </w:r>
            <w:r>
              <w:rPr>
                <w:noProof/>
                <w:webHidden/>
              </w:rPr>
              <w:fldChar w:fldCharType="separate"/>
            </w:r>
            <w:r>
              <w:rPr>
                <w:noProof/>
                <w:webHidden/>
              </w:rPr>
              <w:t>5</w:t>
            </w:r>
            <w:r>
              <w:rPr>
                <w:noProof/>
                <w:webHidden/>
              </w:rPr>
              <w:fldChar w:fldCharType="end"/>
            </w:r>
          </w:hyperlink>
        </w:p>
        <w:p w14:paraId="5AF8FA4C" w14:textId="12169F5C"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4" w:history="1">
            <w:r w:rsidRPr="004A73C2">
              <w:rPr>
                <w:rStyle w:val="Hyperlink"/>
                <w:rFonts w:cs="Times New Roman"/>
                <w:b/>
                <w:bCs/>
                <w:noProof/>
              </w:rPr>
              <w:t>Audience Invitation</w:t>
            </w:r>
            <w:r>
              <w:rPr>
                <w:noProof/>
                <w:webHidden/>
              </w:rPr>
              <w:tab/>
            </w:r>
            <w:r>
              <w:rPr>
                <w:noProof/>
                <w:webHidden/>
              </w:rPr>
              <w:fldChar w:fldCharType="begin"/>
            </w:r>
            <w:r>
              <w:rPr>
                <w:noProof/>
                <w:webHidden/>
              </w:rPr>
              <w:instrText xml:space="preserve"> PAGEREF _Toc188912304 \h </w:instrText>
            </w:r>
            <w:r>
              <w:rPr>
                <w:noProof/>
                <w:webHidden/>
              </w:rPr>
            </w:r>
            <w:r>
              <w:rPr>
                <w:noProof/>
                <w:webHidden/>
              </w:rPr>
              <w:fldChar w:fldCharType="separate"/>
            </w:r>
            <w:r>
              <w:rPr>
                <w:noProof/>
                <w:webHidden/>
              </w:rPr>
              <w:t>6</w:t>
            </w:r>
            <w:r>
              <w:rPr>
                <w:noProof/>
                <w:webHidden/>
              </w:rPr>
              <w:fldChar w:fldCharType="end"/>
            </w:r>
          </w:hyperlink>
        </w:p>
        <w:p w14:paraId="1CA72255" w14:textId="2A5E4D79"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5" w:history="1">
            <w:r w:rsidRPr="004A73C2">
              <w:rPr>
                <w:rStyle w:val="Hyperlink"/>
                <w:rFonts w:cs="Times New Roman"/>
                <w:b/>
                <w:bCs/>
                <w:noProof/>
              </w:rPr>
              <w:t>Market Factors</w:t>
            </w:r>
            <w:r>
              <w:rPr>
                <w:noProof/>
                <w:webHidden/>
              </w:rPr>
              <w:tab/>
            </w:r>
            <w:r>
              <w:rPr>
                <w:noProof/>
                <w:webHidden/>
              </w:rPr>
              <w:fldChar w:fldCharType="begin"/>
            </w:r>
            <w:r>
              <w:rPr>
                <w:noProof/>
                <w:webHidden/>
              </w:rPr>
              <w:instrText xml:space="preserve"> PAGEREF _Toc188912305 \h </w:instrText>
            </w:r>
            <w:r>
              <w:rPr>
                <w:noProof/>
                <w:webHidden/>
              </w:rPr>
            </w:r>
            <w:r>
              <w:rPr>
                <w:noProof/>
                <w:webHidden/>
              </w:rPr>
              <w:fldChar w:fldCharType="separate"/>
            </w:r>
            <w:r>
              <w:rPr>
                <w:noProof/>
                <w:webHidden/>
              </w:rPr>
              <w:t>7</w:t>
            </w:r>
            <w:r>
              <w:rPr>
                <w:noProof/>
                <w:webHidden/>
              </w:rPr>
              <w:fldChar w:fldCharType="end"/>
            </w:r>
          </w:hyperlink>
        </w:p>
        <w:p w14:paraId="52DCDFDC" w14:textId="4BCAEB11"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6" w:history="1">
            <w:r w:rsidRPr="004A73C2">
              <w:rPr>
                <w:rStyle w:val="Hyperlink"/>
                <w:rFonts w:cs="Times New Roman"/>
                <w:b/>
                <w:bCs/>
                <w:noProof/>
              </w:rPr>
              <w:t>Competition</w:t>
            </w:r>
            <w:r>
              <w:rPr>
                <w:noProof/>
                <w:webHidden/>
              </w:rPr>
              <w:tab/>
            </w:r>
            <w:r>
              <w:rPr>
                <w:noProof/>
                <w:webHidden/>
              </w:rPr>
              <w:fldChar w:fldCharType="begin"/>
            </w:r>
            <w:r>
              <w:rPr>
                <w:noProof/>
                <w:webHidden/>
              </w:rPr>
              <w:instrText xml:space="preserve"> PAGEREF _Toc188912306 \h </w:instrText>
            </w:r>
            <w:r>
              <w:rPr>
                <w:noProof/>
                <w:webHidden/>
              </w:rPr>
            </w:r>
            <w:r>
              <w:rPr>
                <w:noProof/>
                <w:webHidden/>
              </w:rPr>
              <w:fldChar w:fldCharType="separate"/>
            </w:r>
            <w:r>
              <w:rPr>
                <w:noProof/>
                <w:webHidden/>
              </w:rPr>
              <w:t>8</w:t>
            </w:r>
            <w:r>
              <w:rPr>
                <w:noProof/>
                <w:webHidden/>
              </w:rPr>
              <w:fldChar w:fldCharType="end"/>
            </w:r>
          </w:hyperlink>
        </w:p>
        <w:p w14:paraId="7E84D19C" w14:textId="1E503222"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7" w:history="1">
            <w:r w:rsidRPr="004A73C2">
              <w:rPr>
                <w:rStyle w:val="Hyperlink"/>
                <w:rFonts w:cs="Times New Roman"/>
                <w:b/>
                <w:bCs/>
                <w:noProof/>
              </w:rPr>
              <w:t>Selecting Catering, Entertainment and AV Provision</w:t>
            </w:r>
            <w:r>
              <w:rPr>
                <w:noProof/>
                <w:webHidden/>
              </w:rPr>
              <w:tab/>
            </w:r>
            <w:r>
              <w:rPr>
                <w:noProof/>
                <w:webHidden/>
              </w:rPr>
              <w:fldChar w:fldCharType="begin"/>
            </w:r>
            <w:r>
              <w:rPr>
                <w:noProof/>
                <w:webHidden/>
              </w:rPr>
              <w:instrText xml:space="preserve"> PAGEREF _Toc188912307 \h </w:instrText>
            </w:r>
            <w:r>
              <w:rPr>
                <w:noProof/>
                <w:webHidden/>
              </w:rPr>
            </w:r>
            <w:r>
              <w:rPr>
                <w:noProof/>
                <w:webHidden/>
              </w:rPr>
              <w:fldChar w:fldCharType="separate"/>
            </w:r>
            <w:r>
              <w:rPr>
                <w:noProof/>
                <w:webHidden/>
              </w:rPr>
              <w:t>9</w:t>
            </w:r>
            <w:r>
              <w:rPr>
                <w:noProof/>
                <w:webHidden/>
              </w:rPr>
              <w:fldChar w:fldCharType="end"/>
            </w:r>
          </w:hyperlink>
        </w:p>
        <w:p w14:paraId="486A53F1" w14:textId="754D34D6"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8" w:history="1">
            <w:r w:rsidRPr="004A73C2">
              <w:rPr>
                <w:rStyle w:val="Hyperlink"/>
                <w:rFonts w:cs="Times New Roman"/>
                <w:b/>
                <w:bCs/>
                <w:noProof/>
              </w:rPr>
              <w:t>Skills Required for Staffing</w:t>
            </w:r>
            <w:r>
              <w:rPr>
                <w:noProof/>
                <w:webHidden/>
              </w:rPr>
              <w:tab/>
            </w:r>
            <w:r>
              <w:rPr>
                <w:noProof/>
                <w:webHidden/>
              </w:rPr>
              <w:fldChar w:fldCharType="begin"/>
            </w:r>
            <w:r>
              <w:rPr>
                <w:noProof/>
                <w:webHidden/>
              </w:rPr>
              <w:instrText xml:space="preserve"> PAGEREF _Toc188912308 \h </w:instrText>
            </w:r>
            <w:r>
              <w:rPr>
                <w:noProof/>
                <w:webHidden/>
              </w:rPr>
            </w:r>
            <w:r>
              <w:rPr>
                <w:noProof/>
                <w:webHidden/>
              </w:rPr>
              <w:fldChar w:fldCharType="separate"/>
            </w:r>
            <w:r>
              <w:rPr>
                <w:noProof/>
                <w:webHidden/>
              </w:rPr>
              <w:t>10</w:t>
            </w:r>
            <w:r>
              <w:rPr>
                <w:noProof/>
                <w:webHidden/>
              </w:rPr>
              <w:fldChar w:fldCharType="end"/>
            </w:r>
          </w:hyperlink>
        </w:p>
        <w:p w14:paraId="32233193" w14:textId="681D7F53"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09" w:history="1">
            <w:r w:rsidRPr="004A73C2">
              <w:rPr>
                <w:rStyle w:val="Hyperlink"/>
                <w:rFonts w:cs="Times New Roman"/>
                <w:b/>
                <w:bCs/>
                <w:noProof/>
              </w:rPr>
              <w:t>Liaise with Stakeholders and suppliers</w:t>
            </w:r>
            <w:r>
              <w:rPr>
                <w:noProof/>
                <w:webHidden/>
              </w:rPr>
              <w:tab/>
            </w:r>
            <w:r>
              <w:rPr>
                <w:noProof/>
                <w:webHidden/>
              </w:rPr>
              <w:fldChar w:fldCharType="begin"/>
            </w:r>
            <w:r>
              <w:rPr>
                <w:noProof/>
                <w:webHidden/>
              </w:rPr>
              <w:instrText xml:space="preserve"> PAGEREF _Toc188912309 \h </w:instrText>
            </w:r>
            <w:r>
              <w:rPr>
                <w:noProof/>
                <w:webHidden/>
              </w:rPr>
            </w:r>
            <w:r>
              <w:rPr>
                <w:noProof/>
                <w:webHidden/>
              </w:rPr>
              <w:fldChar w:fldCharType="separate"/>
            </w:r>
            <w:r>
              <w:rPr>
                <w:noProof/>
                <w:webHidden/>
              </w:rPr>
              <w:t>11</w:t>
            </w:r>
            <w:r>
              <w:rPr>
                <w:noProof/>
                <w:webHidden/>
              </w:rPr>
              <w:fldChar w:fldCharType="end"/>
            </w:r>
          </w:hyperlink>
        </w:p>
        <w:p w14:paraId="0B3192E5" w14:textId="7A45C486"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10" w:history="1">
            <w:r w:rsidRPr="004A73C2">
              <w:rPr>
                <w:rStyle w:val="Hyperlink"/>
                <w:rFonts w:cs="Times New Roman"/>
                <w:b/>
                <w:bCs/>
                <w:noProof/>
              </w:rPr>
              <w:t>Resources</w:t>
            </w:r>
            <w:r>
              <w:rPr>
                <w:noProof/>
                <w:webHidden/>
              </w:rPr>
              <w:tab/>
            </w:r>
            <w:r>
              <w:rPr>
                <w:noProof/>
                <w:webHidden/>
              </w:rPr>
              <w:fldChar w:fldCharType="begin"/>
            </w:r>
            <w:r>
              <w:rPr>
                <w:noProof/>
                <w:webHidden/>
              </w:rPr>
              <w:instrText xml:space="preserve"> PAGEREF _Toc188912310 \h </w:instrText>
            </w:r>
            <w:r>
              <w:rPr>
                <w:noProof/>
                <w:webHidden/>
              </w:rPr>
            </w:r>
            <w:r>
              <w:rPr>
                <w:noProof/>
                <w:webHidden/>
              </w:rPr>
              <w:fldChar w:fldCharType="separate"/>
            </w:r>
            <w:r>
              <w:rPr>
                <w:noProof/>
                <w:webHidden/>
              </w:rPr>
              <w:t>13</w:t>
            </w:r>
            <w:r>
              <w:rPr>
                <w:noProof/>
                <w:webHidden/>
              </w:rPr>
              <w:fldChar w:fldCharType="end"/>
            </w:r>
          </w:hyperlink>
        </w:p>
        <w:p w14:paraId="07DD2167" w14:textId="7C6F9C1F"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11" w:history="1">
            <w:r w:rsidRPr="004A73C2">
              <w:rPr>
                <w:rStyle w:val="Hyperlink"/>
                <w:rFonts w:cs="Times New Roman"/>
                <w:b/>
                <w:bCs/>
                <w:noProof/>
              </w:rPr>
              <w:t>Budget</w:t>
            </w:r>
            <w:r>
              <w:rPr>
                <w:noProof/>
                <w:webHidden/>
              </w:rPr>
              <w:tab/>
            </w:r>
            <w:r>
              <w:rPr>
                <w:noProof/>
                <w:webHidden/>
              </w:rPr>
              <w:fldChar w:fldCharType="begin"/>
            </w:r>
            <w:r>
              <w:rPr>
                <w:noProof/>
                <w:webHidden/>
              </w:rPr>
              <w:instrText xml:space="preserve"> PAGEREF _Toc188912311 \h </w:instrText>
            </w:r>
            <w:r>
              <w:rPr>
                <w:noProof/>
                <w:webHidden/>
              </w:rPr>
            </w:r>
            <w:r>
              <w:rPr>
                <w:noProof/>
                <w:webHidden/>
              </w:rPr>
              <w:fldChar w:fldCharType="separate"/>
            </w:r>
            <w:r>
              <w:rPr>
                <w:noProof/>
                <w:webHidden/>
              </w:rPr>
              <w:t>14</w:t>
            </w:r>
            <w:r>
              <w:rPr>
                <w:noProof/>
                <w:webHidden/>
              </w:rPr>
              <w:fldChar w:fldCharType="end"/>
            </w:r>
          </w:hyperlink>
        </w:p>
        <w:p w14:paraId="49572776" w14:textId="2640B4D7"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12" w:history="1">
            <w:r w:rsidRPr="004A73C2">
              <w:rPr>
                <w:rStyle w:val="Hyperlink"/>
                <w:rFonts w:eastAsia="Times New Roman" w:cs="Times New Roman"/>
                <w:b/>
                <w:bCs/>
                <w:noProof/>
              </w:rPr>
              <w:t>Conclusion</w:t>
            </w:r>
            <w:r>
              <w:rPr>
                <w:noProof/>
                <w:webHidden/>
              </w:rPr>
              <w:tab/>
            </w:r>
            <w:r>
              <w:rPr>
                <w:noProof/>
                <w:webHidden/>
              </w:rPr>
              <w:fldChar w:fldCharType="begin"/>
            </w:r>
            <w:r>
              <w:rPr>
                <w:noProof/>
                <w:webHidden/>
              </w:rPr>
              <w:instrText xml:space="preserve"> PAGEREF _Toc188912312 \h </w:instrText>
            </w:r>
            <w:r>
              <w:rPr>
                <w:noProof/>
                <w:webHidden/>
              </w:rPr>
            </w:r>
            <w:r>
              <w:rPr>
                <w:noProof/>
                <w:webHidden/>
              </w:rPr>
              <w:fldChar w:fldCharType="separate"/>
            </w:r>
            <w:r>
              <w:rPr>
                <w:noProof/>
                <w:webHidden/>
              </w:rPr>
              <w:t>15</w:t>
            </w:r>
            <w:r>
              <w:rPr>
                <w:noProof/>
                <w:webHidden/>
              </w:rPr>
              <w:fldChar w:fldCharType="end"/>
            </w:r>
          </w:hyperlink>
        </w:p>
        <w:p w14:paraId="2F91B8CD" w14:textId="791A7E20" w:rsidR="00C25F0D" w:rsidRDefault="00C25F0D">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8912313" w:history="1">
            <w:r w:rsidRPr="004A73C2">
              <w:rPr>
                <w:rStyle w:val="Hyperlink"/>
                <w:b/>
                <w:bCs/>
                <w:noProof/>
              </w:rPr>
              <w:t>References</w:t>
            </w:r>
            <w:r>
              <w:rPr>
                <w:noProof/>
                <w:webHidden/>
              </w:rPr>
              <w:tab/>
            </w:r>
            <w:r>
              <w:rPr>
                <w:noProof/>
                <w:webHidden/>
              </w:rPr>
              <w:fldChar w:fldCharType="begin"/>
            </w:r>
            <w:r>
              <w:rPr>
                <w:noProof/>
                <w:webHidden/>
              </w:rPr>
              <w:instrText xml:space="preserve"> PAGEREF _Toc188912313 \h </w:instrText>
            </w:r>
            <w:r>
              <w:rPr>
                <w:noProof/>
                <w:webHidden/>
              </w:rPr>
            </w:r>
            <w:r>
              <w:rPr>
                <w:noProof/>
                <w:webHidden/>
              </w:rPr>
              <w:fldChar w:fldCharType="separate"/>
            </w:r>
            <w:r>
              <w:rPr>
                <w:noProof/>
                <w:webHidden/>
              </w:rPr>
              <w:t>16</w:t>
            </w:r>
            <w:r>
              <w:rPr>
                <w:noProof/>
                <w:webHidden/>
              </w:rPr>
              <w:fldChar w:fldCharType="end"/>
            </w:r>
          </w:hyperlink>
        </w:p>
        <w:p w14:paraId="38B05EC7" w14:textId="046B6FA3" w:rsidR="0000215D" w:rsidRDefault="0000215D">
          <w:r>
            <w:rPr>
              <w:b/>
              <w:bCs/>
              <w:noProof/>
            </w:rPr>
            <w:fldChar w:fldCharType="end"/>
          </w:r>
        </w:p>
      </w:sdtContent>
    </w:sdt>
    <w:p w14:paraId="79B0845A" w14:textId="014F9F9E" w:rsidR="00874587" w:rsidRDefault="00874587"/>
    <w:p w14:paraId="39B26B34" w14:textId="5E93A7AC" w:rsidR="00874587" w:rsidRDefault="00874587"/>
    <w:p w14:paraId="5C9F93E8" w14:textId="34F4089A" w:rsidR="00874587" w:rsidRDefault="00874587"/>
    <w:p w14:paraId="44E50DF0" w14:textId="77777777" w:rsidR="00874587" w:rsidRDefault="00874587"/>
    <w:p w14:paraId="6BC5750C" w14:textId="77777777" w:rsidR="00874587" w:rsidRDefault="00874587"/>
    <w:p w14:paraId="4F741ED2" w14:textId="5ADA0B88" w:rsidR="00874587" w:rsidRDefault="00874587"/>
    <w:p w14:paraId="0AC35185" w14:textId="77777777" w:rsidR="00874587" w:rsidRDefault="00874587"/>
    <w:p w14:paraId="63E529FA" w14:textId="7D26D62D" w:rsidR="00874587" w:rsidRDefault="00874587"/>
    <w:p w14:paraId="2A57135F" w14:textId="77777777" w:rsidR="00874587" w:rsidRDefault="00874587"/>
    <w:p w14:paraId="394E21B5" w14:textId="77777777" w:rsidR="002C29EE" w:rsidRDefault="002C29EE"/>
    <w:p w14:paraId="410BA3E8" w14:textId="22DE412B" w:rsidR="00874587" w:rsidRPr="002C29EE" w:rsidRDefault="00874587" w:rsidP="00874587">
      <w:pPr>
        <w:pStyle w:val="Heading1"/>
        <w:rPr>
          <w:rFonts w:ascii="Times New Roman" w:hAnsi="Times New Roman" w:cs="Times New Roman"/>
          <w:b/>
          <w:bCs/>
          <w:u w:val="single"/>
        </w:rPr>
      </w:pPr>
      <w:bookmarkStart w:id="0" w:name="_Toc188912301"/>
      <w:r w:rsidRPr="002C29EE">
        <w:rPr>
          <w:rFonts w:ascii="Times New Roman" w:hAnsi="Times New Roman" w:cs="Times New Roman"/>
          <w:b/>
          <w:bCs/>
          <w:u w:val="single"/>
        </w:rPr>
        <w:lastRenderedPageBreak/>
        <w:t>Introduction</w:t>
      </w:r>
      <w:bookmarkEnd w:id="0"/>
    </w:p>
    <w:p w14:paraId="7274E35D" w14:textId="0D4221C3" w:rsidR="0000215D" w:rsidRDefault="002C29EE" w:rsidP="0000215D">
      <w:pPr>
        <w:pStyle w:val="NormalWeb"/>
        <w:jc w:val="both"/>
      </w:pPr>
      <w:r w:rsidRPr="00874587">
        <w:rPr>
          <w:b/>
          <w:bCs/>
          <w:noProof/>
          <w:u w:val="single"/>
          <w14:ligatures w14:val="standardContextual"/>
        </w:rPr>
        <w:drawing>
          <wp:anchor distT="0" distB="0" distL="114300" distR="114300" simplePos="0" relativeHeight="251658240" behindDoc="0" locked="0" layoutInCell="1" allowOverlap="1" wp14:anchorId="1EF3A9CE" wp14:editId="3D15F9BA">
            <wp:simplePos x="0" y="0"/>
            <wp:positionH relativeFrom="margin">
              <wp:align>left</wp:align>
            </wp:positionH>
            <wp:positionV relativeFrom="paragraph">
              <wp:posOffset>187960</wp:posOffset>
            </wp:positionV>
            <wp:extent cx="4438650" cy="2526665"/>
            <wp:effectExtent l="0" t="0" r="0" b="6985"/>
            <wp:wrapSquare wrapText="bothSides"/>
            <wp:docPr id="212318899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88997" name="Picture 1" descr="A paper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38650" cy="2526665"/>
                    </a:xfrm>
                    <a:prstGeom prst="rect">
                      <a:avLst/>
                    </a:prstGeom>
                  </pic:spPr>
                </pic:pic>
              </a:graphicData>
            </a:graphic>
            <wp14:sizeRelH relativeFrom="page">
              <wp14:pctWidth>0</wp14:pctWidth>
            </wp14:sizeRelH>
            <wp14:sizeRelV relativeFrom="page">
              <wp14:pctHeight>0</wp14:pctHeight>
            </wp14:sizeRelV>
          </wp:anchor>
        </w:drawing>
      </w:r>
    </w:p>
    <w:p w14:paraId="777CFB7B" w14:textId="35A03AF0" w:rsidR="0000215D" w:rsidRDefault="0000215D" w:rsidP="0000215D">
      <w:pPr>
        <w:pStyle w:val="NormalWeb"/>
        <w:jc w:val="both"/>
      </w:pPr>
    </w:p>
    <w:p w14:paraId="77F52086" w14:textId="77777777" w:rsidR="002C29EE" w:rsidRDefault="002C29EE" w:rsidP="0000215D">
      <w:pPr>
        <w:pStyle w:val="NormalWeb"/>
        <w:jc w:val="both"/>
      </w:pPr>
    </w:p>
    <w:p w14:paraId="664F9EB6" w14:textId="77777777" w:rsidR="002C29EE" w:rsidRDefault="002C29EE" w:rsidP="0000215D">
      <w:pPr>
        <w:pStyle w:val="NormalWeb"/>
        <w:jc w:val="both"/>
      </w:pPr>
    </w:p>
    <w:p w14:paraId="6CA46CDF" w14:textId="77777777" w:rsidR="002C29EE" w:rsidRDefault="002C29EE" w:rsidP="0000215D">
      <w:pPr>
        <w:pStyle w:val="NormalWeb"/>
        <w:jc w:val="both"/>
      </w:pPr>
    </w:p>
    <w:p w14:paraId="1FF14576" w14:textId="77777777" w:rsidR="002C29EE" w:rsidRDefault="002C29EE" w:rsidP="0000215D">
      <w:pPr>
        <w:pStyle w:val="NormalWeb"/>
        <w:jc w:val="both"/>
      </w:pPr>
    </w:p>
    <w:p w14:paraId="2A34A46E" w14:textId="77777777" w:rsidR="002C29EE" w:rsidRDefault="002C29EE" w:rsidP="0000215D">
      <w:pPr>
        <w:pStyle w:val="NormalWeb"/>
        <w:jc w:val="both"/>
      </w:pPr>
    </w:p>
    <w:p w14:paraId="2B55F518" w14:textId="77777777" w:rsidR="002C29EE" w:rsidRDefault="002C29EE" w:rsidP="0000215D">
      <w:pPr>
        <w:pStyle w:val="NormalWeb"/>
        <w:jc w:val="both"/>
      </w:pPr>
    </w:p>
    <w:p w14:paraId="3F91A213" w14:textId="4094E65B" w:rsidR="0000215D" w:rsidRDefault="0000215D" w:rsidP="0000215D">
      <w:pPr>
        <w:pStyle w:val="NormalWeb"/>
        <w:jc w:val="both"/>
      </w:pPr>
      <w:r>
        <w:t xml:space="preserve">The event, titled </w:t>
      </w:r>
      <w:r>
        <w:rPr>
          <w:rStyle w:val="Strong"/>
        </w:rPr>
        <w:t>"Breaking the Glass Ceiling: Empowering Women Chefs in Hospitality Kitchens"</w:t>
      </w:r>
      <w:r>
        <w:t xml:space="preserve">, seeks to address the underrepresentation of women in leadership positions within the hospitality industry's kitchen </w:t>
      </w:r>
      <w:proofErr w:type="spellStart"/>
      <w:r>
        <w:t>sector.</w:t>
      </w:r>
      <w:r>
        <w:t>More</w:t>
      </w:r>
      <w:proofErr w:type="spellEnd"/>
      <w:r>
        <w:t xml:space="preserve"> specifically within the Indian and Bangladeshi </w:t>
      </w:r>
      <w:proofErr w:type="spellStart"/>
      <w:r>
        <w:t>restaunt</w:t>
      </w:r>
      <w:proofErr w:type="spellEnd"/>
      <w:r>
        <w:t xml:space="preserve"> sector.</w:t>
      </w:r>
      <w:r>
        <w:t xml:space="preserve"> This event aims to shine a spotlight on gender equality and diversity, encouraging hotel restaurant kitchens to become more inclusive, empowering spaces for women chefs to thrive and lead</w:t>
      </w:r>
      <w:r>
        <w:t>.</w:t>
      </w:r>
    </w:p>
    <w:p w14:paraId="10E79EF0" w14:textId="22FA5258" w:rsidR="0000215D" w:rsidRDefault="0000215D" w:rsidP="0000215D">
      <w:pPr>
        <w:pStyle w:val="NormalWeb"/>
        <w:jc w:val="both"/>
      </w:pPr>
      <w:r>
        <w:t xml:space="preserve">The core objective of this event is to promote </w:t>
      </w:r>
      <w:r>
        <w:rPr>
          <w:rStyle w:val="Strong"/>
        </w:rPr>
        <w:t>gender equality and diversity</w:t>
      </w:r>
      <w:r>
        <w:t xml:space="preserve"> in the hospitality industry, particularly within hotel restaurant kitchens. By focusing on these issues, the event seeks to foster a deeper understanding of the challenges women face in the culinary world, while also showcasing solutions that can help mitigate these challenges. The event provides a platform for dialogue, empowerment, and actionable change, encouraging a more equitable environment for women chefs (Burgess et al., 2017).</w:t>
      </w:r>
      <w:r>
        <w:t xml:space="preserve"> </w:t>
      </w:r>
      <w:r>
        <w:t>The event will address barriers women chefs face, such as gender bias, leadership challenges, and work-life balance pressures (Binns et al., 2020; Rasmussen &amp; Meyer, 2021). It will showcase best practices for increasing gender equity in kitchens, including mentorship programs and workplace policy changes (Lee et al., 2021). Case studies will feature trailblazing women chefs like Dominique Crenn and Clare Smyth, offering inspiration and proof of change (Aitken &amp; Green, 2020). Additionally, actionable strategies for promoting equality, diversity, and inclusion in hotel kitchens will be shared, including career progression pathways and family-friendly policies (Ely &amp; Meyerson, 2021).</w:t>
      </w:r>
    </w:p>
    <w:p w14:paraId="05DA73CA" w14:textId="41AF9D27" w:rsidR="0000215D" w:rsidRDefault="0000215D" w:rsidP="0000215D">
      <w:pPr>
        <w:pStyle w:val="NormalWeb"/>
        <w:jc w:val="both"/>
      </w:pPr>
      <w:r w:rsidRPr="0000215D">
        <w:t xml:space="preserve">This event is crucial in addressing the </w:t>
      </w:r>
      <w:r w:rsidRPr="0000215D">
        <w:rPr>
          <w:rStyle w:val="Strong"/>
          <w:b w:val="0"/>
          <w:bCs w:val="0"/>
        </w:rPr>
        <w:t>critical underrepresentation of women chefs</w:t>
      </w:r>
      <w:r w:rsidRPr="0000215D">
        <w:t xml:space="preserve"> in leadership roles. The hospitality industry, like many others, has historically been </w:t>
      </w:r>
      <w:r w:rsidRPr="0000215D">
        <w:t>male dominated</w:t>
      </w:r>
      <w:r w:rsidRPr="0000215D">
        <w:t xml:space="preserve">, particularly in high-ranking culinary positions (Henderson, 2018). By focusing on </w:t>
      </w:r>
      <w:r w:rsidRPr="0000215D">
        <w:rPr>
          <w:rStyle w:val="Strong"/>
          <w:b w:val="0"/>
          <w:bCs w:val="0"/>
        </w:rPr>
        <w:t>gender equality and diversity</w:t>
      </w:r>
      <w:r w:rsidRPr="0000215D">
        <w:t xml:space="preserve">, the event aligns with the broader </w:t>
      </w:r>
      <w:r w:rsidRPr="0000215D">
        <w:rPr>
          <w:rStyle w:val="Strong"/>
          <w:b w:val="0"/>
          <w:bCs w:val="0"/>
        </w:rPr>
        <w:t>MICE (Meetings, Incentives, Conferences, and Exhibitions)</w:t>
      </w:r>
      <w:r w:rsidRPr="0000215D">
        <w:t xml:space="preserve"> industry trend of embracing </w:t>
      </w:r>
      <w:r w:rsidRPr="0000215D">
        <w:rPr>
          <w:rStyle w:val="Strong"/>
          <w:b w:val="0"/>
          <w:bCs w:val="0"/>
        </w:rPr>
        <w:t>diversity and inclusion (D&amp;I)</w:t>
      </w:r>
      <w:r w:rsidRPr="0000215D">
        <w:t xml:space="preserve"> as key drivers of innovation and sustainable growth (Baker et al., 2021). As</w:t>
      </w:r>
      <w:r>
        <w:t xml:space="preserve"> the MICE sector continues to evolve, promoting gender diversity in all its forms, especially within leadership roles in hospitality kitchens, is seen as an essential step toward creating more innovative and sustainable practices in the industry (López-Muñoz et al., 2020).</w:t>
      </w:r>
    </w:p>
    <w:p w14:paraId="14C42541" w14:textId="09477C1A" w:rsidR="0000215D" w:rsidRPr="002C29EE" w:rsidRDefault="002C29EE" w:rsidP="002C29EE">
      <w:pPr>
        <w:pStyle w:val="Heading1"/>
        <w:rPr>
          <w:rFonts w:ascii="Times New Roman" w:hAnsi="Times New Roman" w:cs="Times New Roman"/>
          <w:b/>
          <w:bCs/>
          <w:u w:val="single"/>
        </w:rPr>
      </w:pPr>
      <w:bookmarkStart w:id="1" w:name="_Toc188912302"/>
      <w:r>
        <w:rPr>
          <w:noProof/>
          <w14:ligatures w14:val="standardContextual"/>
        </w:rPr>
        <w:lastRenderedPageBreak/>
        <w:drawing>
          <wp:anchor distT="0" distB="0" distL="114300" distR="114300" simplePos="0" relativeHeight="251659264" behindDoc="0" locked="0" layoutInCell="1" allowOverlap="1" wp14:anchorId="5DBAA3FE" wp14:editId="3DE7F4FB">
            <wp:simplePos x="0" y="0"/>
            <wp:positionH relativeFrom="margin">
              <wp:align>left</wp:align>
            </wp:positionH>
            <wp:positionV relativeFrom="paragraph">
              <wp:posOffset>342900</wp:posOffset>
            </wp:positionV>
            <wp:extent cx="4385945" cy="2486025"/>
            <wp:effectExtent l="0" t="0" r="0" b="9525"/>
            <wp:wrapSquare wrapText="bothSides"/>
            <wp:docPr id="1543919191" name="Picture 1" descr="A close-up of a conferenc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19191" name="Picture 1" descr="A close-up of a conference roo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85945" cy="2486025"/>
                    </a:xfrm>
                    <a:prstGeom prst="rect">
                      <a:avLst/>
                    </a:prstGeom>
                  </pic:spPr>
                </pic:pic>
              </a:graphicData>
            </a:graphic>
            <wp14:sizeRelH relativeFrom="page">
              <wp14:pctWidth>0</wp14:pctWidth>
            </wp14:sizeRelH>
            <wp14:sizeRelV relativeFrom="page">
              <wp14:pctHeight>0</wp14:pctHeight>
            </wp14:sizeRelV>
          </wp:anchor>
        </w:drawing>
      </w:r>
      <w:r w:rsidRPr="002C29EE">
        <w:rPr>
          <w:rFonts w:ascii="Times New Roman" w:hAnsi="Times New Roman" w:cs="Times New Roman"/>
          <w:b/>
          <w:bCs/>
          <w:u w:val="single"/>
        </w:rPr>
        <w:t>Venue Selection</w:t>
      </w:r>
      <w:bookmarkEnd w:id="1"/>
    </w:p>
    <w:p w14:paraId="52537483" w14:textId="0EBD252A" w:rsidR="002C29EE" w:rsidRDefault="002C29EE" w:rsidP="0000215D">
      <w:pPr>
        <w:pStyle w:val="NormalWeb"/>
        <w:jc w:val="both"/>
      </w:pPr>
    </w:p>
    <w:p w14:paraId="00942F6B" w14:textId="77777777" w:rsidR="0000215D" w:rsidRDefault="0000215D" w:rsidP="0000215D">
      <w:pPr>
        <w:pStyle w:val="NormalWeb"/>
        <w:jc w:val="both"/>
      </w:pPr>
    </w:p>
    <w:p w14:paraId="23A104F7" w14:textId="77777777" w:rsidR="0000215D" w:rsidRDefault="0000215D" w:rsidP="0000215D">
      <w:pPr>
        <w:pStyle w:val="NormalWeb"/>
        <w:jc w:val="both"/>
      </w:pPr>
    </w:p>
    <w:p w14:paraId="35E47CF1" w14:textId="77777777" w:rsidR="0000215D" w:rsidRDefault="0000215D" w:rsidP="0000215D">
      <w:pPr>
        <w:pStyle w:val="NormalWeb"/>
        <w:jc w:val="both"/>
      </w:pPr>
    </w:p>
    <w:p w14:paraId="404815A0" w14:textId="77777777" w:rsidR="0000215D" w:rsidRDefault="0000215D" w:rsidP="0000215D">
      <w:pPr>
        <w:pStyle w:val="NormalWeb"/>
        <w:jc w:val="both"/>
      </w:pPr>
    </w:p>
    <w:p w14:paraId="6164204E" w14:textId="77777777" w:rsidR="00D62BF0" w:rsidRDefault="00D62BF0" w:rsidP="0000215D">
      <w:pPr>
        <w:pStyle w:val="NormalWeb"/>
        <w:jc w:val="both"/>
      </w:pPr>
    </w:p>
    <w:p w14:paraId="01B128C0" w14:textId="77777777" w:rsidR="00D62BF0" w:rsidRDefault="00D62BF0" w:rsidP="0000215D">
      <w:pPr>
        <w:pStyle w:val="NormalWeb"/>
        <w:jc w:val="both"/>
      </w:pPr>
    </w:p>
    <w:p w14:paraId="186F17BB" w14:textId="45302CD0" w:rsidR="00D62BF0" w:rsidRDefault="00D62BF0" w:rsidP="0000215D">
      <w:pPr>
        <w:pStyle w:val="NormalWeb"/>
        <w:jc w:val="both"/>
      </w:pPr>
      <w:r>
        <w:t>The Savoy Hotel and Ritz-Carlton are ideal venues for hosting the event, meeting the critical criteria of accessibility, suitability for live demonstrations, and availability of conference facilities. These venues are strategically located with excellent transport links and ample parking, ensuring ease of access for all attendees (Dube &amp; Renaghan, 2019). Both offer state-of-the-art kitchens, essential for interactive cooking demonstrations, and spacious conference halls capable of accommodating up to 300 participants. Additionally, they are equipped with advanced AV systems, providing the necessary infrastructure for a seamless event experience. Their versatile spaces ensure that the event can cater to a wide range of activities, from keynote addresses to practical workshops.</w:t>
      </w:r>
    </w:p>
    <w:p w14:paraId="0CEEB090" w14:textId="77777777" w:rsidR="00D62BF0" w:rsidRDefault="00D62BF0" w:rsidP="0000215D">
      <w:pPr>
        <w:pStyle w:val="NormalWeb"/>
        <w:jc w:val="both"/>
      </w:pPr>
    </w:p>
    <w:p w14:paraId="3BCBFA34" w14:textId="77777777" w:rsidR="00D62BF0" w:rsidRDefault="00D62BF0" w:rsidP="0000215D">
      <w:pPr>
        <w:pStyle w:val="NormalWeb"/>
        <w:jc w:val="both"/>
      </w:pPr>
    </w:p>
    <w:p w14:paraId="115265C6" w14:textId="77777777" w:rsidR="00D62BF0" w:rsidRDefault="00D62BF0" w:rsidP="0000215D">
      <w:pPr>
        <w:pStyle w:val="NormalWeb"/>
        <w:jc w:val="both"/>
      </w:pPr>
    </w:p>
    <w:p w14:paraId="0F417BE9" w14:textId="77777777" w:rsidR="00D62BF0" w:rsidRDefault="00D62BF0" w:rsidP="0000215D">
      <w:pPr>
        <w:pStyle w:val="NormalWeb"/>
        <w:jc w:val="both"/>
      </w:pPr>
    </w:p>
    <w:p w14:paraId="24A888D3" w14:textId="77777777" w:rsidR="00D62BF0" w:rsidRDefault="00D62BF0" w:rsidP="0000215D">
      <w:pPr>
        <w:pStyle w:val="NormalWeb"/>
        <w:jc w:val="both"/>
      </w:pPr>
    </w:p>
    <w:p w14:paraId="3B88305C" w14:textId="77777777" w:rsidR="00D62BF0" w:rsidRDefault="00D62BF0" w:rsidP="0000215D">
      <w:pPr>
        <w:pStyle w:val="NormalWeb"/>
        <w:jc w:val="both"/>
      </w:pPr>
    </w:p>
    <w:p w14:paraId="7EF25E6D" w14:textId="77777777" w:rsidR="00D62BF0" w:rsidRDefault="00D62BF0" w:rsidP="0000215D">
      <w:pPr>
        <w:pStyle w:val="NormalWeb"/>
        <w:jc w:val="both"/>
      </w:pPr>
    </w:p>
    <w:p w14:paraId="0BCA48BE" w14:textId="77777777" w:rsidR="00D62BF0" w:rsidRDefault="00D62BF0" w:rsidP="0000215D">
      <w:pPr>
        <w:pStyle w:val="NormalWeb"/>
        <w:jc w:val="both"/>
      </w:pPr>
    </w:p>
    <w:p w14:paraId="66F0A029" w14:textId="77777777" w:rsidR="00D62BF0" w:rsidRDefault="00D62BF0" w:rsidP="0000215D">
      <w:pPr>
        <w:pStyle w:val="NormalWeb"/>
        <w:jc w:val="both"/>
      </w:pPr>
    </w:p>
    <w:p w14:paraId="1F999863" w14:textId="77777777" w:rsidR="00D62BF0" w:rsidRDefault="00D62BF0" w:rsidP="0000215D">
      <w:pPr>
        <w:pStyle w:val="NormalWeb"/>
        <w:jc w:val="both"/>
      </w:pPr>
    </w:p>
    <w:p w14:paraId="5E10C471" w14:textId="77777777" w:rsidR="00D62BF0" w:rsidRDefault="00D62BF0" w:rsidP="0000215D">
      <w:pPr>
        <w:pStyle w:val="NormalWeb"/>
        <w:jc w:val="both"/>
      </w:pPr>
    </w:p>
    <w:p w14:paraId="596BDE8A" w14:textId="77777777" w:rsidR="00D62BF0" w:rsidRDefault="00D62BF0" w:rsidP="0000215D">
      <w:pPr>
        <w:pStyle w:val="NormalWeb"/>
        <w:jc w:val="both"/>
      </w:pPr>
    </w:p>
    <w:p w14:paraId="56FDA6E9" w14:textId="64A05874" w:rsidR="0000215D" w:rsidRPr="00E203D2" w:rsidRDefault="00E203D2" w:rsidP="00E203D2">
      <w:pPr>
        <w:pStyle w:val="Heading1"/>
        <w:rPr>
          <w:rFonts w:ascii="Times New Roman" w:hAnsi="Times New Roman" w:cs="Times New Roman"/>
          <w:b/>
          <w:bCs/>
          <w:u w:val="single"/>
        </w:rPr>
      </w:pPr>
      <w:bookmarkStart w:id="2" w:name="_Toc188912303"/>
      <w:r>
        <w:rPr>
          <w:noProof/>
          <w14:ligatures w14:val="standardContextual"/>
        </w:rPr>
        <w:lastRenderedPageBreak/>
        <w:drawing>
          <wp:anchor distT="0" distB="0" distL="114300" distR="114300" simplePos="0" relativeHeight="251660288" behindDoc="0" locked="0" layoutInCell="1" allowOverlap="1" wp14:anchorId="54424191" wp14:editId="5C2C788C">
            <wp:simplePos x="0" y="0"/>
            <wp:positionH relativeFrom="column">
              <wp:posOffset>-133350</wp:posOffset>
            </wp:positionH>
            <wp:positionV relativeFrom="paragraph">
              <wp:posOffset>371475</wp:posOffset>
            </wp:positionV>
            <wp:extent cx="5731510" cy="3263900"/>
            <wp:effectExtent l="0" t="0" r="2540" b="0"/>
            <wp:wrapSquare wrapText="bothSides"/>
            <wp:docPr id="1945800930" name="Picture 1" descr="A poster of a perso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00930" name="Picture 1" descr="A poster of a person in a ro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14:sizeRelH relativeFrom="page">
              <wp14:pctWidth>0</wp14:pctWidth>
            </wp14:sizeRelH>
            <wp14:sizeRelV relativeFrom="page">
              <wp14:pctHeight>0</wp14:pctHeight>
            </wp14:sizeRelV>
          </wp:anchor>
        </w:drawing>
      </w:r>
      <w:r w:rsidR="00D62BF0" w:rsidRPr="00D62BF0">
        <w:rPr>
          <w:rFonts w:ascii="Times New Roman" w:hAnsi="Times New Roman" w:cs="Times New Roman"/>
          <w:b/>
          <w:bCs/>
          <w:u w:val="single"/>
        </w:rPr>
        <w:t>Nature of Event</w:t>
      </w:r>
      <w:bookmarkEnd w:id="2"/>
    </w:p>
    <w:p w14:paraId="308F257B" w14:textId="61CEC43F" w:rsidR="0000215D" w:rsidRDefault="00E203D2" w:rsidP="0000215D">
      <w:pPr>
        <w:pStyle w:val="NormalWeb"/>
        <w:jc w:val="both"/>
      </w:pPr>
      <w:r>
        <w:t xml:space="preserve">The one-day conference and culinary showcase, themed </w:t>
      </w:r>
      <w:r>
        <w:rPr>
          <w:rStyle w:val="Strong"/>
          <w:rFonts w:eastAsiaTheme="majorEastAsia"/>
        </w:rPr>
        <w:t>"Empowering Women Chefs in Hospitality Kitchens"</w:t>
      </w:r>
      <w:r>
        <w:t xml:space="preserve">, aims to address gender inequality in the hospitality industry. The event will feature </w:t>
      </w:r>
      <w:r w:rsidRPr="00E203D2">
        <w:rPr>
          <w:rStyle w:val="Strong"/>
          <w:rFonts w:eastAsiaTheme="majorEastAsia"/>
          <w:b w:val="0"/>
          <w:bCs w:val="0"/>
        </w:rPr>
        <w:t>workshops</w:t>
      </w:r>
      <w:r>
        <w:t xml:space="preserve"> that guide attendees in integrating EDI strategies into their daily work routines, especially within MICE environments. </w:t>
      </w:r>
      <w:r w:rsidRPr="00E203D2">
        <w:rPr>
          <w:rStyle w:val="Strong"/>
          <w:rFonts w:eastAsiaTheme="majorEastAsia"/>
          <w:b w:val="0"/>
          <w:bCs w:val="0"/>
        </w:rPr>
        <w:t>Panel discussions</w:t>
      </w:r>
      <w:r>
        <w:t xml:space="preserve"> will include prominent industry leaders who will discuss barriers to EDI in the MICE sector, focusing on gender bias and leadership challenges (Kagan, 2022). Additionally, </w:t>
      </w:r>
      <w:r w:rsidRPr="00E203D2">
        <w:rPr>
          <w:rStyle w:val="Strong"/>
          <w:rFonts w:eastAsiaTheme="majorEastAsia"/>
          <w:b w:val="0"/>
          <w:bCs w:val="0"/>
        </w:rPr>
        <w:t>networking opportunities</w:t>
      </w:r>
      <w:r>
        <w:t xml:space="preserve"> will allow attendees to connect with like-minded professionals and potential partners, fostering collaboration and shared learning. The </w:t>
      </w:r>
      <w:r w:rsidRPr="00E203D2">
        <w:rPr>
          <w:rStyle w:val="Strong"/>
          <w:rFonts w:eastAsiaTheme="majorEastAsia"/>
          <w:b w:val="0"/>
          <w:bCs w:val="0"/>
        </w:rPr>
        <w:t>live culinary</w:t>
      </w:r>
      <w:r>
        <w:rPr>
          <w:rStyle w:val="Strong"/>
          <w:rFonts w:eastAsiaTheme="majorEastAsia"/>
        </w:rPr>
        <w:t xml:space="preserve"> </w:t>
      </w:r>
      <w:r w:rsidRPr="00E203D2">
        <w:rPr>
          <w:rStyle w:val="Strong"/>
          <w:rFonts w:eastAsiaTheme="majorEastAsia"/>
          <w:b w:val="0"/>
          <w:bCs w:val="0"/>
        </w:rPr>
        <w:t>demonstrations</w:t>
      </w:r>
      <w:r>
        <w:t xml:space="preserve"> will showcase the talent of women chefs, followed by a </w:t>
      </w:r>
      <w:r w:rsidRPr="00E203D2">
        <w:rPr>
          <w:rStyle w:val="Strong"/>
          <w:rFonts w:eastAsiaTheme="majorEastAsia"/>
          <w:b w:val="0"/>
          <w:bCs w:val="0"/>
        </w:rPr>
        <w:t>networking dinner</w:t>
      </w:r>
      <w:r>
        <w:t xml:space="preserve"> featuring dishes prepared by these chefs. This event provides a unique blend of education, inspiration, and hands-on experiences, reinforcing the importance of gender diversity in leadership roles within hospitality kitchens.</w:t>
      </w:r>
    </w:p>
    <w:p w14:paraId="031E3437" w14:textId="77777777" w:rsidR="0000215D" w:rsidRDefault="0000215D" w:rsidP="0000215D">
      <w:pPr>
        <w:pStyle w:val="NormalWeb"/>
        <w:jc w:val="both"/>
      </w:pPr>
    </w:p>
    <w:p w14:paraId="17BA8545" w14:textId="77777777" w:rsidR="0000215D" w:rsidRDefault="0000215D" w:rsidP="0000215D">
      <w:pPr>
        <w:pStyle w:val="NormalWeb"/>
        <w:jc w:val="both"/>
      </w:pPr>
    </w:p>
    <w:p w14:paraId="6E6ED75D" w14:textId="77777777" w:rsidR="0000215D" w:rsidRDefault="0000215D" w:rsidP="0000215D">
      <w:pPr>
        <w:pStyle w:val="NormalWeb"/>
        <w:jc w:val="both"/>
      </w:pPr>
    </w:p>
    <w:p w14:paraId="652649DE" w14:textId="77777777" w:rsidR="0000215D" w:rsidRDefault="0000215D" w:rsidP="0000215D">
      <w:pPr>
        <w:pStyle w:val="NormalWeb"/>
        <w:jc w:val="both"/>
      </w:pPr>
    </w:p>
    <w:p w14:paraId="7A655747" w14:textId="77777777" w:rsidR="0000215D" w:rsidRDefault="0000215D" w:rsidP="0000215D">
      <w:pPr>
        <w:pStyle w:val="NormalWeb"/>
        <w:jc w:val="both"/>
      </w:pPr>
    </w:p>
    <w:p w14:paraId="4510191E" w14:textId="77777777" w:rsidR="0000215D" w:rsidRDefault="0000215D" w:rsidP="0000215D">
      <w:pPr>
        <w:pStyle w:val="NormalWeb"/>
        <w:jc w:val="both"/>
      </w:pPr>
    </w:p>
    <w:p w14:paraId="4400FB77" w14:textId="77777777" w:rsidR="0000215D" w:rsidRDefault="0000215D" w:rsidP="0000215D">
      <w:pPr>
        <w:pStyle w:val="NormalWeb"/>
        <w:jc w:val="both"/>
      </w:pPr>
    </w:p>
    <w:p w14:paraId="665D090C" w14:textId="77777777" w:rsidR="0000215D" w:rsidRDefault="0000215D" w:rsidP="0000215D">
      <w:pPr>
        <w:pStyle w:val="NormalWeb"/>
        <w:jc w:val="both"/>
      </w:pPr>
    </w:p>
    <w:p w14:paraId="61DE53A5" w14:textId="5DEEAA9B" w:rsidR="0000215D" w:rsidRPr="00E203D2" w:rsidRDefault="00E203D2" w:rsidP="00E203D2">
      <w:pPr>
        <w:pStyle w:val="Heading1"/>
        <w:rPr>
          <w:rFonts w:ascii="Times New Roman" w:hAnsi="Times New Roman" w:cs="Times New Roman"/>
          <w:b/>
          <w:bCs/>
          <w:u w:val="single"/>
        </w:rPr>
      </w:pPr>
      <w:bookmarkStart w:id="3" w:name="_Toc188912304"/>
      <w:r w:rsidRPr="00E203D2">
        <w:rPr>
          <w:rFonts w:ascii="Times New Roman" w:hAnsi="Times New Roman" w:cs="Times New Roman"/>
          <w:b/>
          <w:bCs/>
          <w:u w:val="single"/>
        </w:rPr>
        <w:lastRenderedPageBreak/>
        <w:t>Audience Invitation</w:t>
      </w:r>
      <w:bookmarkEnd w:id="3"/>
    </w:p>
    <w:p w14:paraId="5D9231E5" w14:textId="2813F279" w:rsidR="00E203D2" w:rsidRDefault="00E203D2" w:rsidP="0000215D">
      <w:pPr>
        <w:pStyle w:val="NormalWeb"/>
        <w:jc w:val="both"/>
      </w:pPr>
      <w:r>
        <w:rPr>
          <w:noProof/>
          <w14:ligatures w14:val="standardContextual"/>
        </w:rPr>
        <w:drawing>
          <wp:anchor distT="0" distB="0" distL="114300" distR="114300" simplePos="0" relativeHeight="251661312" behindDoc="0" locked="0" layoutInCell="1" allowOverlap="1" wp14:anchorId="4DEE6D06" wp14:editId="7E22ABA0">
            <wp:simplePos x="0" y="0"/>
            <wp:positionH relativeFrom="margin">
              <wp:align>left</wp:align>
            </wp:positionH>
            <wp:positionV relativeFrom="paragraph">
              <wp:posOffset>173355</wp:posOffset>
            </wp:positionV>
            <wp:extent cx="4679315" cy="2695575"/>
            <wp:effectExtent l="0" t="0" r="6985" b="9525"/>
            <wp:wrapSquare wrapText="bothSides"/>
            <wp:docPr id="1881748099" name="Picture 1" descr="A cartoon character in a blue shi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48099" name="Picture 1" descr="A cartoon character in a blue shir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679315" cy="2695575"/>
                    </a:xfrm>
                    <a:prstGeom prst="rect">
                      <a:avLst/>
                    </a:prstGeom>
                  </pic:spPr>
                </pic:pic>
              </a:graphicData>
            </a:graphic>
            <wp14:sizeRelH relativeFrom="page">
              <wp14:pctWidth>0</wp14:pctWidth>
            </wp14:sizeRelH>
            <wp14:sizeRelV relativeFrom="page">
              <wp14:pctHeight>0</wp14:pctHeight>
            </wp14:sizeRelV>
          </wp:anchor>
        </w:drawing>
      </w:r>
    </w:p>
    <w:p w14:paraId="777E6E07" w14:textId="77777777" w:rsidR="0000215D" w:rsidRDefault="0000215D" w:rsidP="0000215D">
      <w:pPr>
        <w:pStyle w:val="NormalWeb"/>
        <w:jc w:val="both"/>
      </w:pPr>
    </w:p>
    <w:p w14:paraId="3DD44A2C" w14:textId="77777777" w:rsidR="0000215D" w:rsidRDefault="0000215D" w:rsidP="0000215D">
      <w:pPr>
        <w:pStyle w:val="NormalWeb"/>
        <w:jc w:val="both"/>
      </w:pPr>
    </w:p>
    <w:p w14:paraId="500ABA8F" w14:textId="77777777" w:rsidR="0000215D" w:rsidRDefault="0000215D" w:rsidP="0000215D">
      <w:pPr>
        <w:pStyle w:val="NormalWeb"/>
        <w:jc w:val="both"/>
      </w:pPr>
    </w:p>
    <w:p w14:paraId="1506E1A8" w14:textId="77777777" w:rsidR="0000215D" w:rsidRDefault="0000215D" w:rsidP="0000215D">
      <w:pPr>
        <w:pStyle w:val="NormalWeb"/>
        <w:jc w:val="both"/>
      </w:pPr>
    </w:p>
    <w:p w14:paraId="0C3BFAB0" w14:textId="77777777" w:rsidR="0000215D" w:rsidRDefault="0000215D" w:rsidP="0000215D">
      <w:pPr>
        <w:pStyle w:val="NormalWeb"/>
        <w:jc w:val="both"/>
      </w:pPr>
    </w:p>
    <w:p w14:paraId="2D9347A3" w14:textId="77777777" w:rsidR="0000215D" w:rsidRDefault="0000215D" w:rsidP="0000215D">
      <w:pPr>
        <w:pStyle w:val="NormalWeb"/>
        <w:jc w:val="both"/>
      </w:pPr>
    </w:p>
    <w:p w14:paraId="7D5F72AF" w14:textId="77777777" w:rsidR="0000215D" w:rsidRDefault="0000215D" w:rsidP="0000215D">
      <w:pPr>
        <w:pStyle w:val="NormalWeb"/>
        <w:jc w:val="both"/>
      </w:pPr>
    </w:p>
    <w:p w14:paraId="67DCC498" w14:textId="1DBB3903" w:rsidR="00FB7219" w:rsidRDefault="00FB7219" w:rsidP="0000215D">
      <w:pPr>
        <w:pStyle w:val="NormalWeb"/>
        <w:jc w:val="both"/>
      </w:pPr>
      <w:r>
        <w:t>The event targets HR managers in MICE, diversity champions, and chefs specializing in Indian and Bangladeshi cuisines. Promotional efforts will include LinkedIn and Eventbrite digital campaigns, alongside personali</w:t>
      </w:r>
      <w:r>
        <w:t>s</w:t>
      </w:r>
      <w:r>
        <w:t xml:space="preserve">ed email invitations. Partnerships will be formed with diversity-driven firms, MICE associations, and restaurants that champion female chefs, particularly those in Indian and Bangladeshi culinary traditions (Singh &amp; Ahmed, 2024). The event aims to serve as a platform for professionals advocating for EDI within the MICE industry, with a special focus on female chefs. A curated culinary experience will highlight chefs like Asma Khan and </w:t>
      </w:r>
      <w:proofErr w:type="spellStart"/>
      <w:r>
        <w:t>Shrabani</w:t>
      </w:r>
      <w:proofErr w:type="spellEnd"/>
      <w:r>
        <w:t xml:space="preserve"> </w:t>
      </w:r>
      <w:proofErr w:type="spellStart"/>
      <w:r>
        <w:t>Basu</w:t>
      </w:r>
      <w:proofErr w:type="spellEnd"/>
      <w:r>
        <w:t xml:space="preserve">, fostering networking and discussions on diversity and inclusion in the culinary world (Khan, 2023; </w:t>
      </w:r>
      <w:proofErr w:type="spellStart"/>
      <w:r>
        <w:t>Basu</w:t>
      </w:r>
      <w:proofErr w:type="spellEnd"/>
      <w:r>
        <w:t>, 2023).</w:t>
      </w:r>
    </w:p>
    <w:p w14:paraId="66C29EFB" w14:textId="77777777" w:rsidR="00FB7219" w:rsidRDefault="00FB7219" w:rsidP="0000215D">
      <w:pPr>
        <w:pStyle w:val="NormalWeb"/>
        <w:jc w:val="both"/>
      </w:pPr>
    </w:p>
    <w:p w14:paraId="3E3E0A47" w14:textId="77777777" w:rsidR="00FB7219" w:rsidRDefault="00FB7219" w:rsidP="0000215D">
      <w:pPr>
        <w:pStyle w:val="NormalWeb"/>
        <w:jc w:val="both"/>
      </w:pPr>
    </w:p>
    <w:p w14:paraId="0F59724A" w14:textId="77777777" w:rsidR="00FB7219" w:rsidRDefault="00FB7219" w:rsidP="0000215D">
      <w:pPr>
        <w:pStyle w:val="NormalWeb"/>
        <w:jc w:val="both"/>
      </w:pPr>
    </w:p>
    <w:p w14:paraId="1E8A05D2" w14:textId="77777777" w:rsidR="00FB7219" w:rsidRDefault="00FB7219" w:rsidP="0000215D">
      <w:pPr>
        <w:pStyle w:val="NormalWeb"/>
        <w:jc w:val="both"/>
      </w:pPr>
    </w:p>
    <w:p w14:paraId="26F99699" w14:textId="77777777" w:rsidR="00FB7219" w:rsidRDefault="00FB7219" w:rsidP="0000215D">
      <w:pPr>
        <w:pStyle w:val="NormalWeb"/>
        <w:jc w:val="both"/>
      </w:pPr>
    </w:p>
    <w:p w14:paraId="09B50773" w14:textId="77777777" w:rsidR="00FB7219" w:rsidRDefault="00FB7219" w:rsidP="0000215D">
      <w:pPr>
        <w:pStyle w:val="NormalWeb"/>
        <w:jc w:val="both"/>
      </w:pPr>
    </w:p>
    <w:p w14:paraId="676442C3" w14:textId="77777777" w:rsidR="00FB7219" w:rsidRDefault="00FB7219" w:rsidP="0000215D">
      <w:pPr>
        <w:pStyle w:val="NormalWeb"/>
        <w:jc w:val="both"/>
      </w:pPr>
    </w:p>
    <w:p w14:paraId="2C366230" w14:textId="77777777" w:rsidR="00FB7219" w:rsidRDefault="00FB7219" w:rsidP="0000215D">
      <w:pPr>
        <w:pStyle w:val="NormalWeb"/>
        <w:jc w:val="both"/>
      </w:pPr>
    </w:p>
    <w:p w14:paraId="64ACD65F" w14:textId="77777777" w:rsidR="00FB7219" w:rsidRDefault="00FB7219" w:rsidP="0000215D">
      <w:pPr>
        <w:pStyle w:val="NormalWeb"/>
        <w:jc w:val="both"/>
      </w:pPr>
    </w:p>
    <w:p w14:paraId="4A0F650C" w14:textId="77777777" w:rsidR="00FB7219" w:rsidRDefault="00FB7219" w:rsidP="0000215D">
      <w:pPr>
        <w:pStyle w:val="NormalWeb"/>
        <w:jc w:val="both"/>
      </w:pPr>
    </w:p>
    <w:p w14:paraId="212CC5CD" w14:textId="77777777" w:rsidR="00FB7219" w:rsidRDefault="00FB7219" w:rsidP="0000215D">
      <w:pPr>
        <w:pStyle w:val="NormalWeb"/>
        <w:jc w:val="both"/>
      </w:pPr>
    </w:p>
    <w:p w14:paraId="043F3C1D" w14:textId="7BB7A80B" w:rsidR="00FB7219" w:rsidRDefault="00FB7219" w:rsidP="00FB7219">
      <w:pPr>
        <w:pStyle w:val="Heading1"/>
        <w:rPr>
          <w:rFonts w:ascii="Times New Roman" w:hAnsi="Times New Roman" w:cs="Times New Roman"/>
          <w:b/>
          <w:bCs/>
          <w:u w:val="single"/>
        </w:rPr>
      </w:pPr>
      <w:bookmarkStart w:id="4" w:name="_Toc188912305"/>
      <w:r w:rsidRPr="00FB7219">
        <w:rPr>
          <w:rFonts w:ascii="Times New Roman" w:hAnsi="Times New Roman" w:cs="Times New Roman"/>
          <w:b/>
          <w:bCs/>
          <w:u w:val="single"/>
        </w:rPr>
        <w:lastRenderedPageBreak/>
        <w:t>Market Factors</w:t>
      </w:r>
      <w:bookmarkEnd w:id="4"/>
    </w:p>
    <w:p w14:paraId="1499E1B9" w14:textId="4FB69A31" w:rsidR="00FB7219" w:rsidRPr="00FB7219" w:rsidRDefault="00FB7219" w:rsidP="00FB7219">
      <w:r>
        <w:rPr>
          <w:noProof/>
          <w14:ligatures w14:val="standardContextual"/>
        </w:rPr>
        <w:drawing>
          <wp:anchor distT="0" distB="0" distL="114300" distR="114300" simplePos="0" relativeHeight="251662336" behindDoc="0" locked="0" layoutInCell="1" allowOverlap="1" wp14:anchorId="59073B07" wp14:editId="2B462EBB">
            <wp:simplePos x="0" y="0"/>
            <wp:positionH relativeFrom="margin">
              <wp:align>left</wp:align>
            </wp:positionH>
            <wp:positionV relativeFrom="paragraph">
              <wp:posOffset>97155</wp:posOffset>
            </wp:positionV>
            <wp:extent cx="5012690" cy="2857500"/>
            <wp:effectExtent l="0" t="0" r="0" b="0"/>
            <wp:wrapSquare wrapText="bothSides"/>
            <wp:docPr id="1431787757" name="Picture 1" descr="A close-up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87757" name="Picture 1" descr="A close-up of a marke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12690" cy="2857500"/>
                    </a:xfrm>
                    <a:prstGeom prst="rect">
                      <a:avLst/>
                    </a:prstGeom>
                  </pic:spPr>
                </pic:pic>
              </a:graphicData>
            </a:graphic>
            <wp14:sizeRelH relativeFrom="page">
              <wp14:pctWidth>0</wp14:pctWidth>
            </wp14:sizeRelH>
            <wp14:sizeRelV relativeFrom="page">
              <wp14:pctHeight>0</wp14:pctHeight>
            </wp14:sizeRelV>
          </wp:anchor>
        </w:drawing>
      </w:r>
    </w:p>
    <w:p w14:paraId="2C68EE43" w14:textId="77777777" w:rsidR="00E203D2" w:rsidRDefault="00E203D2" w:rsidP="0000215D">
      <w:pPr>
        <w:pStyle w:val="NormalWeb"/>
        <w:jc w:val="both"/>
      </w:pPr>
    </w:p>
    <w:p w14:paraId="74E21658" w14:textId="77777777" w:rsidR="00E203D2" w:rsidRDefault="00E203D2" w:rsidP="0000215D">
      <w:pPr>
        <w:pStyle w:val="NormalWeb"/>
        <w:jc w:val="both"/>
      </w:pPr>
    </w:p>
    <w:p w14:paraId="199D36C8" w14:textId="77777777" w:rsidR="00E203D2" w:rsidRDefault="00E203D2" w:rsidP="0000215D">
      <w:pPr>
        <w:pStyle w:val="NormalWeb"/>
        <w:jc w:val="both"/>
      </w:pPr>
    </w:p>
    <w:p w14:paraId="2467B6FC" w14:textId="77777777" w:rsidR="00E203D2" w:rsidRDefault="00E203D2" w:rsidP="0000215D">
      <w:pPr>
        <w:pStyle w:val="NormalWeb"/>
        <w:jc w:val="both"/>
      </w:pPr>
    </w:p>
    <w:p w14:paraId="659FCBE3" w14:textId="77777777" w:rsidR="00E203D2" w:rsidRDefault="00E203D2" w:rsidP="0000215D">
      <w:pPr>
        <w:pStyle w:val="NormalWeb"/>
        <w:jc w:val="both"/>
      </w:pPr>
    </w:p>
    <w:p w14:paraId="381658E8" w14:textId="77777777" w:rsidR="00E203D2" w:rsidRDefault="00E203D2" w:rsidP="0000215D">
      <w:pPr>
        <w:pStyle w:val="NormalWeb"/>
        <w:jc w:val="both"/>
      </w:pPr>
    </w:p>
    <w:p w14:paraId="5E14AD94" w14:textId="77777777" w:rsidR="00E203D2" w:rsidRDefault="00E203D2" w:rsidP="0000215D">
      <w:pPr>
        <w:pStyle w:val="NormalWeb"/>
        <w:jc w:val="both"/>
      </w:pPr>
    </w:p>
    <w:p w14:paraId="1AB53F92" w14:textId="77777777" w:rsidR="00E203D2" w:rsidRDefault="00E203D2" w:rsidP="0000215D">
      <w:pPr>
        <w:pStyle w:val="NormalWeb"/>
        <w:jc w:val="both"/>
      </w:pPr>
    </w:p>
    <w:p w14:paraId="5447D8CE" w14:textId="401E3A2E" w:rsidR="003E7D45" w:rsidRDefault="003E7D45" w:rsidP="003E7D45">
      <w:pPr>
        <w:pStyle w:val="NormalWeb"/>
      </w:pPr>
      <w:r>
        <w:rPr>
          <w:rFonts w:hAnsi="Symbol"/>
        </w:rPr>
        <w:t></w:t>
      </w:r>
      <w:r>
        <w:t xml:space="preserve">  </w:t>
      </w:r>
      <w:r>
        <w:rPr>
          <w:rStyle w:val="Strong"/>
        </w:rPr>
        <w:t>Target Audience</w:t>
      </w:r>
      <w:r>
        <w:t>:</w:t>
      </w:r>
      <w:r>
        <w:br/>
        <w:t>The event is designed for event planners, venue managers, corporate stakeholders, and HR managers who are focused on sharing cross-industry EDI knowledge (McKinsey &amp; Company, 2024). This audience is critical as they play key roles in shaping policies and practices within the MICE industry, ensuring that EDI principles are effectively integrated into organi</w:t>
      </w:r>
      <w:r>
        <w:t>sa</w:t>
      </w:r>
      <w:r>
        <w:t>tional structures.</w:t>
      </w:r>
    </w:p>
    <w:p w14:paraId="63552F79" w14:textId="51453175" w:rsidR="003E7D45" w:rsidRDefault="003E7D45" w:rsidP="003E7D45">
      <w:pPr>
        <w:pStyle w:val="NormalWeb"/>
      </w:pPr>
      <w:r>
        <w:rPr>
          <w:rFonts w:hAnsi="Symbol"/>
        </w:rPr>
        <w:t></w:t>
      </w:r>
      <w:r>
        <w:t xml:space="preserve">  </w:t>
      </w:r>
      <w:r>
        <w:rPr>
          <w:rStyle w:val="Strong"/>
        </w:rPr>
        <w:t>Demand</w:t>
      </w:r>
      <w:r>
        <w:t>:</w:t>
      </w:r>
      <w:r>
        <w:br/>
        <w:t>There is an increasing demand for targeted EDI training programs, particularly in industries like hospitality, where diversity initiatives are essential for innovation and growth (Harvard Business Review, 2023). Additionally, there is a recogni</w:t>
      </w:r>
      <w:r>
        <w:t>s</w:t>
      </w:r>
      <w:r>
        <w:t>ed need for actionable strategies that promote diversity and inclusion, specifically within the culinary and hospitality sectors, to ensure fair representation and equitable opportunities (Ghosh et al., 2023).</w:t>
      </w:r>
    </w:p>
    <w:p w14:paraId="560B3096" w14:textId="77777777" w:rsidR="003E7D45" w:rsidRDefault="003E7D45" w:rsidP="003E7D45">
      <w:pPr>
        <w:pStyle w:val="NormalWeb"/>
      </w:pPr>
      <w:r>
        <w:rPr>
          <w:rFonts w:hAnsi="Symbol"/>
        </w:rPr>
        <w:t></w:t>
      </w:r>
      <w:r>
        <w:t xml:space="preserve">  </w:t>
      </w:r>
      <w:r>
        <w:rPr>
          <w:rStyle w:val="Strong"/>
        </w:rPr>
        <w:t>Event Focus</w:t>
      </w:r>
      <w:r>
        <w:t>:</w:t>
      </w:r>
      <w:r>
        <w:br/>
        <w:t>The event will highlight the significant contributions of female chefs in Indian and Bangladeshi restaurants, which have traditionally been underrepresented in leadership roles. By providing a platform for meaningful conversations about gender equality, diversity, and inclusion, the event aims to raise awareness of the challenges women chefs face and the positive impact of inclusivity in culinary practices.</w:t>
      </w:r>
    </w:p>
    <w:p w14:paraId="0653DF76" w14:textId="67511524" w:rsidR="003E7D45" w:rsidRDefault="003E7D45" w:rsidP="003E7D45">
      <w:pPr>
        <w:pStyle w:val="NormalWeb"/>
      </w:pPr>
      <w:r>
        <w:rPr>
          <w:rFonts w:hAnsi="Symbol"/>
        </w:rPr>
        <w:t></w:t>
      </w:r>
      <w:r>
        <w:t xml:space="preserve">  </w:t>
      </w:r>
      <w:r>
        <w:rPr>
          <w:rStyle w:val="Strong"/>
        </w:rPr>
        <w:t>Key Takeaways</w:t>
      </w:r>
      <w:r>
        <w:t>:</w:t>
      </w:r>
      <w:r>
        <w:br/>
        <w:t>Attendees will have the opportunity to network with professionals committed to advancing EDI initiatives in the MICE and hospitality industries. The event will also provide practical insights on how to integrate diversity into culinary practices and leadership roles, offering tangible strategies for attendees to implement within their organi</w:t>
      </w:r>
      <w:r>
        <w:t>s</w:t>
      </w:r>
      <w:r>
        <w:t>ations.</w:t>
      </w:r>
    </w:p>
    <w:p w14:paraId="562984A9" w14:textId="77777777" w:rsidR="00E203D2" w:rsidRDefault="00E203D2" w:rsidP="0000215D">
      <w:pPr>
        <w:pStyle w:val="NormalWeb"/>
        <w:jc w:val="both"/>
      </w:pPr>
    </w:p>
    <w:p w14:paraId="18C33D0F" w14:textId="10844262" w:rsidR="00E203D2" w:rsidRPr="00CE439E" w:rsidRDefault="00CE439E" w:rsidP="00CE439E">
      <w:pPr>
        <w:pStyle w:val="Heading1"/>
        <w:rPr>
          <w:rFonts w:ascii="Times New Roman" w:hAnsi="Times New Roman" w:cs="Times New Roman"/>
          <w:b/>
          <w:bCs/>
          <w:u w:val="single"/>
        </w:rPr>
      </w:pPr>
      <w:bookmarkStart w:id="5" w:name="_Toc188912306"/>
      <w:r w:rsidRPr="00CE439E">
        <w:rPr>
          <w:rFonts w:ascii="Times New Roman" w:hAnsi="Times New Roman" w:cs="Times New Roman"/>
          <w:b/>
          <w:bCs/>
          <w:u w:val="single"/>
        </w:rPr>
        <w:lastRenderedPageBreak/>
        <w:t>Competition</w:t>
      </w:r>
      <w:bookmarkEnd w:id="5"/>
    </w:p>
    <w:p w14:paraId="4F128F1F" w14:textId="3CF36312" w:rsidR="00CE439E" w:rsidRDefault="00CE439E" w:rsidP="0000215D">
      <w:pPr>
        <w:pStyle w:val="NormalWeb"/>
        <w:jc w:val="both"/>
      </w:pPr>
      <w:r>
        <w:rPr>
          <w:noProof/>
          <w14:ligatures w14:val="standardContextual"/>
        </w:rPr>
        <w:drawing>
          <wp:anchor distT="0" distB="0" distL="114300" distR="114300" simplePos="0" relativeHeight="251663360" behindDoc="0" locked="0" layoutInCell="1" allowOverlap="1" wp14:anchorId="203959CA" wp14:editId="01827D21">
            <wp:simplePos x="0" y="0"/>
            <wp:positionH relativeFrom="margin">
              <wp:align>left</wp:align>
            </wp:positionH>
            <wp:positionV relativeFrom="paragraph">
              <wp:posOffset>173355</wp:posOffset>
            </wp:positionV>
            <wp:extent cx="4619625" cy="2623185"/>
            <wp:effectExtent l="0" t="0" r="9525" b="5715"/>
            <wp:wrapSquare wrapText="bothSides"/>
            <wp:docPr id="398982971" name="Picture 1" descr="A close-up of a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82971" name="Picture 1" descr="A close-up of a fly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19625" cy="2623185"/>
                    </a:xfrm>
                    <a:prstGeom prst="rect">
                      <a:avLst/>
                    </a:prstGeom>
                  </pic:spPr>
                </pic:pic>
              </a:graphicData>
            </a:graphic>
            <wp14:sizeRelH relativeFrom="page">
              <wp14:pctWidth>0</wp14:pctWidth>
            </wp14:sizeRelH>
            <wp14:sizeRelV relativeFrom="page">
              <wp14:pctHeight>0</wp14:pctHeight>
            </wp14:sizeRelV>
          </wp:anchor>
        </w:drawing>
      </w:r>
    </w:p>
    <w:p w14:paraId="5951D072" w14:textId="77777777" w:rsidR="00E203D2" w:rsidRDefault="00E203D2" w:rsidP="0000215D">
      <w:pPr>
        <w:pStyle w:val="NormalWeb"/>
        <w:jc w:val="both"/>
      </w:pPr>
    </w:p>
    <w:p w14:paraId="6040A862" w14:textId="77777777" w:rsidR="00E203D2" w:rsidRDefault="00E203D2" w:rsidP="0000215D">
      <w:pPr>
        <w:pStyle w:val="NormalWeb"/>
        <w:jc w:val="both"/>
      </w:pPr>
    </w:p>
    <w:p w14:paraId="2E400B82" w14:textId="77777777" w:rsidR="00E203D2" w:rsidRDefault="00E203D2" w:rsidP="0000215D">
      <w:pPr>
        <w:pStyle w:val="NormalWeb"/>
        <w:jc w:val="both"/>
      </w:pPr>
    </w:p>
    <w:p w14:paraId="341BE05A" w14:textId="77777777" w:rsidR="00E203D2" w:rsidRDefault="00E203D2" w:rsidP="0000215D">
      <w:pPr>
        <w:pStyle w:val="NormalWeb"/>
        <w:jc w:val="both"/>
      </w:pPr>
    </w:p>
    <w:p w14:paraId="13B42E5D" w14:textId="77777777" w:rsidR="00E203D2" w:rsidRDefault="00E203D2" w:rsidP="0000215D">
      <w:pPr>
        <w:pStyle w:val="NormalWeb"/>
        <w:jc w:val="both"/>
      </w:pPr>
    </w:p>
    <w:p w14:paraId="7F174C9D" w14:textId="77777777" w:rsidR="00E203D2" w:rsidRDefault="00E203D2" w:rsidP="0000215D">
      <w:pPr>
        <w:pStyle w:val="NormalWeb"/>
        <w:jc w:val="both"/>
      </w:pPr>
    </w:p>
    <w:p w14:paraId="05B5DF0E" w14:textId="77777777" w:rsidR="00CE439E" w:rsidRDefault="00CE439E" w:rsidP="0000215D">
      <w:pPr>
        <w:pStyle w:val="NormalWeb"/>
        <w:jc w:val="both"/>
      </w:pPr>
    </w:p>
    <w:p w14:paraId="55391A21" w14:textId="2D3AC3E0" w:rsidR="00CE439E" w:rsidRDefault="00CE439E" w:rsidP="0000215D">
      <w:pPr>
        <w:pStyle w:val="NormalWeb"/>
        <w:jc w:val="both"/>
      </w:pPr>
      <w:r>
        <w:t>T</w:t>
      </w:r>
      <w:r>
        <w:t>he MICE sector has seen limited attention given to addressing specific EDI challenges within its context, with few events dedicated to tackling these issues directly (</w:t>
      </w:r>
      <w:proofErr w:type="spellStart"/>
      <w:r>
        <w:t>Dashper</w:t>
      </w:r>
      <w:proofErr w:type="spellEnd"/>
      <w:r>
        <w:t xml:space="preserve"> &amp; Finkel, 2020). While many broader EDI-focused events exist, they often fail to meet the distinct needs of MICE professionals, addressing diversity and inclusion at a general level rather than offering targeted solutions for the sector’s unique challenges (</w:t>
      </w:r>
      <w:proofErr w:type="spellStart"/>
      <w:r>
        <w:t>Micemag</w:t>
      </w:r>
      <w:proofErr w:type="spellEnd"/>
      <w:r>
        <w:t>, 2023). As the MICE industry continues to evolve, there is an increasing demand for specialized EDI events tailored specifically to its needs, focusing on actionable strategies for integration (Hahn, 2021). The proposed event stands out by offering a unique selling point—focusing on female chefs from Indian and Bangladeshi restaurants, thus presenting a culturally rich and specific perspective on EDI. This approach not only promotes gender equality within the culinary world but also encourages cultural exchange, enriching the conversation around diversity and inclusion within the MICE industry.</w:t>
      </w:r>
    </w:p>
    <w:p w14:paraId="6FC357D9" w14:textId="77777777" w:rsidR="00CE439E" w:rsidRDefault="00CE439E" w:rsidP="0000215D">
      <w:pPr>
        <w:pStyle w:val="NormalWeb"/>
        <w:jc w:val="both"/>
      </w:pPr>
    </w:p>
    <w:p w14:paraId="192EFE31" w14:textId="77777777" w:rsidR="00CE439E" w:rsidRDefault="00CE439E" w:rsidP="0000215D">
      <w:pPr>
        <w:pStyle w:val="NormalWeb"/>
        <w:jc w:val="both"/>
      </w:pPr>
    </w:p>
    <w:p w14:paraId="6413C679" w14:textId="77777777" w:rsidR="00CE439E" w:rsidRDefault="00CE439E" w:rsidP="0000215D">
      <w:pPr>
        <w:pStyle w:val="NormalWeb"/>
        <w:jc w:val="both"/>
      </w:pPr>
    </w:p>
    <w:p w14:paraId="773793B3" w14:textId="77777777" w:rsidR="00CE439E" w:rsidRDefault="00CE439E" w:rsidP="0000215D">
      <w:pPr>
        <w:pStyle w:val="NormalWeb"/>
        <w:jc w:val="both"/>
      </w:pPr>
    </w:p>
    <w:p w14:paraId="2E093DA3" w14:textId="77777777" w:rsidR="00CE439E" w:rsidRDefault="00CE439E" w:rsidP="0000215D">
      <w:pPr>
        <w:pStyle w:val="NormalWeb"/>
        <w:jc w:val="both"/>
      </w:pPr>
    </w:p>
    <w:p w14:paraId="7887D09C" w14:textId="77777777" w:rsidR="00CE439E" w:rsidRDefault="00CE439E" w:rsidP="0000215D">
      <w:pPr>
        <w:pStyle w:val="NormalWeb"/>
        <w:jc w:val="both"/>
      </w:pPr>
    </w:p>
    <w:p w14:paraId="75A9699A" w14:textId="77777777" w:rsidR="00CE439E" w:rsidRDefault="00CE439E" w:rsidP="0000215D">
      <w:pPr>
        <w:pStyle w:val="NormalWeb"/>
        <w:jc w:val="both"/>
      </w:pPr>
    </w:p>
    <w:p w14:paraId="1E85CEEE" w14:textId="77777777" w:rsidR="00CE439E" w:rsidRDefault="00CE439E" w:rsidP="0000215D">
      <w:pPr>
        <w:pStyle w:val="NormalWeb"/>
        <w:jc w:val="both"/>
      </w:pPr>
    </w:p>
    <w:p w14:paraId="187AB1D8" w14:textId="77777777" w:rsidR="00CE439E" w:rsidRDefault="00CE439E" w:rsidP="0000215D">
      <w:pPr>
        <w:pStyle w:val="NormalWeb"/>
        <w:jc w:val="both"/>
      </w:pPr>
    </w:p>
    <w:p w14:paraId="0C6803FA" w14:textId="59D69764" w:rsidR="00CE439E" w:rsidRPr="00CE439E" w:rsidRDefault="00CE439E" w:rsidP="00CE439E">
      <w:pPr>
        <w:pStyle w:val="Heading1"/>
        <w:rPr>
          <w:rFonts w:ascii="Times New Roman" w:hAnsi="Times New Roman" w:cs="Times New Roman"/>
          <w:b/>
          <w:bCs/>
          <w:u w:val="single"/>
        </w:rPr>
      </w:pPr>
      <w:bookmarkStart w:id="6" w:name="_Toc188912307"/>
      <w:r w:rsidRPr="00CE439E">
        <w:rPr>
          <w:rFonts w:ascii="Times New Roman" w:hAnsi="Times New Roman" w:cs="Times New Roman"/>
          <w:b/>
          <w:bCs/>
          <w:u w:val="single"/>
        </w:rPr>
        <w:lastRenderedPageBreak/>
        <w:t>Selecting Catering, Entertainment and AV Provision</w:t>
      </w:r>
      <w:bookmarkEnd w:id="6"/>
    </w:p>
    <w:p w14:paraId="031FDA91" w14:textId="72E048F3" w:rsidR="00CE439E" w:rsidRDefault="00CE439E" w:rsidP="0000215D">
      <w:pPr>
        <w:pStyle w:val="NormalWeb"/>
        <w:jc w:val="both"/>
      </w:pPr>
      <w:r>
        <w:rPr>
          <w:noProof/>
          <w14:ligatures w14:val="standardContextual"/>
        </w:rPr>
        <w:drawing>
          <wp:anchor distT="0" distB="0" distL="114300" distR="114300" simplePos="0" relativeHeight="251664384" behindDoc="0" locked="0" layoutInCell="1" allowOverlap="1" wp14:anchorId="215B8B24" wp14:editId="2D4CDD0D">
            <wp:simplePos x="0" y="0"/>
            <wp:positionH relativeFrom="column">
              <wp:posOffset>0</wp:posOffset>
            </wp:positionH>
            <wp:positionV relativeFrom="paragraph">
              <wp:posOffset>173355</wp:posOffset>
            </wp:positionV>
            <wp:extent cx="5731510" cy="3256280"/>
            <wp:effectExtent l="0" t="0" r="2540" b="1270"/>
            <wp:wrapSquare wrapText="bothSides"/>
            <wp:docPr id="322896334"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96334" name="Picture 1" descr="A screenshot of a menu&#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14:sizeRelH relativeFrom="page">
              <wp14:pctWidth>0</wp14:pctWidth>
            </wp14:sizeRelH>
            <wp14:sizeRelV relativeFrom="page">
              <wp14:pctHeight>0</wp14:pctHeight>
            </wp14:sizeRelV>
          </wp:anchor>
        </w:drawing>
      </w:r>
    </w:p>
    <w:p w14:paraId="7AF4F2B0" w14:textId="4E49B2CD" w:rsidR="00E203D2" w:rsidRDefault="00CE439E" w:rsidP="0000215D">
      <w:pPr>
        <w:pStyle w:val="NormalWeb"/>
        <w:jc w:val="both"/>
      </w:pPr>
      <w:r>
        <w:t>The event will feature a diverse catering menu made from locally sourced, sustainable fresh produce, with options to accommodate all dietary needs, including halal, vegan, kosher, and gluten-free choices. In support of gender equality, all dishes will be prepared by women chefs. Entertainment will include live music and interactive cooking demonstrations, providing an engaging and immersive experience for attendees. Additionally, the event will be supported by high-quality AV provisions, including sound systems, lighting, and live-streaming capabilities, ensuring a seamless and impactful experience for both in-person and virtual participants (Meyer &amp; Rowley, 2022).</w:t>
      </w:r>
    </w:p>
    <w:p w14:paraId="5A54F7A6" w14:textId="77777777" w:rsidR="00E203D2" w:rsidRDefault="00E203D2" w:rsidP="0000215D">
      <w:pPr>
        <w:pStyle w:val="NormalWeb"/>
        <w:jc w:val="both"/>
      </w:pPr>
    </w:p>
    <w:p w14:paraId="59B9CDBF" w14:textId="77777777" w:rsidR="00E203D2" w:rsidRDefault="00E203D2" w:rsidP="0000215D">
      <w:pPr>
        <w:pStyle w:val="NormalWeb"/>
        <w:jc w:val="both"/>
      </w:pPr>
    </w:p>
    <w:p w14:paraId="4B4B1976" w14:textId="77777777" w:rsidR="00E203D2" w:rsidRDefault="00E203D2" w:rsidP="0000215D">
      <w:pPr>
        <w:pStyle w:val="NormalWeb"/>
        <w:jc w:val="both"/>
      </w:pPr>
    </w:p>
    <w:p w14:paraId="608D8ACA" w14:textId="77777777" w:rsidR="00E203D2" w:rsidRDefault="00E203D2" w:rsidP="0000215D">
      <w:pPr>
        <w:pStyle w:val="NormalWeb"/>
        <w:jc w:val="both"/>
      </w:pPr>
    </w:p>
    <w:p w14:paraId="39161D2E" w14:textId="77777777" w:rsidR="00E203D2" w:rsidRDefault="00E203D2" w:rsidP="0000215D">
      <w:pPr>
        <w:pStyle w:val="NormalWeb"/>
        <w:jc w:val="both"/>
      </w:pPr>
    </w:p>
    <w:p w14:paraId="65F0F6B3" w14:textId="77777777" w:rsidR="00E203D2" w:rsidRDefault="00E203D2" w:rsidP="0000215D">
      <w:pPr>
        <w:pStyle w:val="NormalWeb"/>
        <w:jc w:val="both"/>
      </w:pPr>
    </w:p>
    <w:p w14:paraId="309A6A0C" w14:textId="77777777" w:rsidR="00E203D2" w:rsidRDefault="00E203D2" w:rsidP="0000215D">
      <w:pPr>
        <w:pStyle w:val="NormalWeb"/>
        <w:jc w:val="both"/>
      </w:pPr>
    </w:p>
    <w:p w14:paraId="6B551052" w14:textId="77777777" w:rsidR="00337912" w:rsidRDefault="00337912" w:rsidP="0000215D">
      <w:pPr>
        <w:pStyle w:val="NormalWeb"/>
        <w:jc w:val="both"/>
      </w:pPr>
    </w:p>
    <w:p w14:paraId="0A01E8AE" w14:textId="4B9031A5" w:rsidR="00337912" w:rsidRPr="002A36F8" w:rsidRDefault="00093A2A" w:rsidP="002A36F8">
      <w:pPr>
        <w:pStyle w:val="Heading1"/>
        <w:rPr>
          <w:rFonts w:ascii="Times New Roman" w:hAnsi="Times New Roman" w:cs="Times New Roman"/>
          <w:b/>
          <w:bCs/>
          <w:u w:val="single"/>
        </w:rPr>
      </w:pPr>
      <w:bookmarkStart w:id="7" w:name="_Toc188912308"/>
      <w:r>
        <w:rPr>
          <w:noProof/>
          <w14:ligatures w14:val="standardContextual"/>
        </w:rPr>
        <w:lastRenderedPageBreak/>
        <w:drawing>
          <wp:anchor distT="0" distB="0" distL="114300" distR="114300" simplePos="0" relativeHeight="251665408" behindDoc="0" locked="0" layoutInCell="1" allowOverlap="1" wp14:anchorId="662E5B97" wp14:editId="75CD5ED4">
            <wp:simplePos x="0" y="0"/>
            <wp:positionH relativeFrom="margin">
              <wp:align>right</wp:align>
            </wp:positionH>
            <wp:positionV relativeFrom="paragraph">
              <wp:posOffset>468630</wp:posOffset>
            </wp:positionV>
            <wp:extent cx="5731510" cy="3258185"/>
            <wp:effectExtent l="0" t="0" r="2540" b="0"/>
            <wp:wrapSquare wrapText="bothSides"/>
            <wp:docPr id="1277332222" name="Picture 1" descr="A green and white brochure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332222" name="Picture 1" descr="A green and white brochure with icon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58185"/>
                    </a:xfrm>
                    <a:prstGeom prst="rect">
                      <a:avLst/>
                    </a:prstGeom>
                  </pic:spPr>
                </pic:pic>
              </a:graphicData>
            </a:graphic>
            <wp14:sizeRelH relativeFrom="page">
              <wp14:pctWidth>0</wp14:pctWidth>
            </wp14:sizeRelH>
            <wp14:sizeRelV relativeFrom="page">
              <wp14:pctHeight>0</wp14:pctHeight>
            </wp14:sizeRelV>
          </wp:anchor>
        </w:drawing>
      </w:r>
      <w:r w:rsidR="00337912" w:rsidRPr="00337912">
        <w:rPr>
          <w:rFonts w:ascii="Times New Roman" w:hAnsi="Times New Roman" w:cs="Times New Roman"/>
          <w:b/>
          <w:bCs/>
          <w:u w:val="single"/>
        </w:rPr>
        <w:t>Skills Required for Staffing</w:t>
      </w:r>
      <w:bookmarkEnd w:id="7"/>
    </w:p>
    <w:p w14:paraId="2D996909" w14:textId="53F76580" w:rsidR="00E203D2" w:rsidRDefault="00337912" w:rsidP="0000215D">
      <w:pPr>
        <w:pStyle w:val="NormalWeb"/>
        <w:jc w:val="both"/>
      </w:pPr>
      <w:r>
        <w:t xml:space="preserve">The event will involve various key roles, including event coordinators responsible for logistics and scheduling to ensure smooth execution (Graham, 2022). EDI experts will lead workshops, providing insights on diversity and inclusion strategies (McKinsey &amp; Company, 2023), while renowned female chefs will share their experiences to inspire others in the culinary industry (Khan, 2023). Technical staff will ensure seamless AV setups and </w:t>
      </w:r>
      <w:r w:rsidR="002A36F8">
        <w:t>live streaming</w:t>
      </w:r>
      <w:r>
        <w:t xml:space="preserve"> (Event Industry Council, 2022), and keynote speakers and </w:t>
      </w:r>
      <w:proofErr w:type="spellStart"/>
      <w:r>
        <w:t>panelists</w:t>
      </w:r>
      <w:proofErr w:type="spellEnd"/>
      <w:r>
        <w:t xml:space="preserve"> will lead discussions on inclusive practices within the MICE and culinary sectors (Christofle et al., 2023). Marketing professionals will handle promotion through targeted campaigns and partnerships (Deloitte, 2023). Key skills required for these roles include effective communication (Kotler &amp; Keller, 2021), technical expertise for AV and </w:t>
      </w:r>
      <w:r w:rsidR="002A36F8">
        <w:t>live streaming</w:t>
      </w:r>
      <w:r>
        <w:t xml:space="preserve"> (Event Industry Council, 2022), and customer service to ensure a positive attendee experience (Berry, 2021).</w:t>
      </w:r>
    </w:p>
    <w:p w14:paraId="22C82BE0" w14:textId="73967CE9" w:rsidR="002A36F8" w:rsidRPr="00093A2A" w:rsidRDefault="00093A2A" w:rsidP="00093A2A">
      <w:pPr>
        <w:pStyle w:val="Heading1"/>
        <w:rPr>
          <w:rFonts w:ascii="Times New Roman" w:hAnsi="Times New Roman" w:cs="Times New Roman"/>
          <w:b/>
          <w:bCs/>
          <w:u w:val="single"/>
        </w:rPr>
      </w:pPr>
      <w:bookmarkStart w:id="8" w:name="_Toc188912309"/>
      <w:r w:rsidRPr="00093A2A">
        <w:rPr>
          <w:rFonts w:ascii="Times New Roman" w:hAnsi="Times New Roman" w:cs="Times New Roman"/>
          <w:b/>
          <w:bCs/>
          <w:u w:val="single"/>
        </w:rPr>
        <w:lastRenderedPageBreak/>
        <w:t>Lia</w:t>
      </w:r>
      <w:r>
        <w:rPr>
          <w:rFonts w:ascii="Times New Roman" w:hAnsi="Times New Roman" w:cs="Times New Roman"/>
          <w:b/>
          <w:bCs/>
          <w:u w:val="single"/>
        </w:rPr>
        <w:t>i</w:t>
      </w:r>
      <w:r w:rsidRPr="00093A2A">
        <w:rPr>
          <w:rFonts w:ascii="Times New Roman" w:hAnsi="Times New Roman" w:cs="Times New Roman"/>
          <w:b/>
          <w:bCs/>
          <w:u w:val="single"/>
        </w:rPr>
        <w:t>se with Stakeholders and suppliers</w:t>
      </w:r>
      <w:bookmarkEnd w:id="8"/>
    </w:p>
    <w:p w14:paraId="1AFE5A4A" w14:textId="51A70F23" w:rsidR="00093A2A" w:rsidRDefault="00093A2A" w:rsidP="00093A2A">
      <w:r>
        <w:rPr>
          <w:noProof/>
          <w14:ligatures w14:val="standardContextual"/>
        </w:rPr>
        <w:drawing>
          <wp:inline distT="0" distB="0" distL="0" distR="0" wp14:anchorId="10FC8231" wp14:editId="1261840D">
            <wp:extent cx="5731510" cy="3199765"/>
            <wp:effectExtent l="0" t="0" r="2540" b="635"/>
            <wp:docPr id="526846178" name="Picture 1" descr="A white puzz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846178" name="Picture 1" descr="A white puzzle with red text&#10;&#10;Description automatically generated"/>
                    <pic:cNvPicPr/>
                  </pic:nvPicPr>
                  <pic:blipFill>
                    <a:blip r:embed="rId14"/>
                    <a:stretch>
                      <a:fillRect/>
                    </a:stretch>
                  </pic:blipFill>
                  <pic:spPr>
                    <a:xfrm>
                      <a:off x="0" y="0"/>
                      <a:ext cx="5731510" cy="3199765"/>
                    </a:xfrm>
                    <a:prstGeom prst="rect">
                      <a:avLst/>
                    </a:prstGeom>
                  </pic:spPr>
                </pic:pic>
              </a:graphicData>
            </a:graphic>
          </wp:inline>
        </w:drawing>
      </w:r>
    </w:p>
    <w:p w14:paraId="0DCC561C" w14:textId="77777777" w:rsidR="00093A2A" w:rsidRDefault="00093A2A" w:rsidP="00093A2A">
      <w:pPr>
        <w:pStyle w:val="NormalWeb"/>
        <w:spacing w:before="0" w:beforeAutospacing="0" w:after="0" w:afterAutospacing="0"/>
        <w:jc w:val="both"/>
      </w:pPr>
      <w:r>
        <w:rPr>
          <w:rStyle w:val="Strong"/>
        </w:rPr>
        <w:t>Sponsors</w:t>
      </w:r>
    </w:p>
    <w:p w14:paraId="73101628" w14:textId="77777777" w:rsidR="00093A2A" w:rsidRDefault="00093A2A" w:rsidP="00093A2A">
      <w:pPr>
        <w:pStyle w:val="NormalWeb"/>
        <w:numPr>
          <w:ilvl w:val="0"/>
          <w:numId w:val="4"/>
        </w:numPr>
        <w:spacing w:before="0" w:beforeAutospacing="0" w:after="0" w:afterAutospacing="0"/>
        <w:jc w:val="both"/>
      </w:pPr>
      <w:r>
        <w:rPr>
          <w:rStyle w:val="Strong"/>
        </w:rPr>
        <w:t>Women Chefs &amp; Restaurateurs</w:t>
      </w:r>
      <w:r>
        <w:t>: This organization plays a pivotal role in promoting and supporting women in the culinary industry. By partnering with them, the event aligns itself with a movement dedicated to breaking barriers for women chefs and restaurateurs (Beardsworth &amp; Keil, 2020). Women Chefs &amp; Restaurateurs provide a platform for networking, mentorship, and advocacy for women chefs, which aligns with the event’s focus on empowering female chefs. This sponsorship brings credibility and visibility to the event’s commitment to gender equality in the culinary world.</w:t>
      </w:r>
    </w:p>
    <w:p w14:paraId="4B2F0041" w14:textId="77777777" w:rsidR="00093A2A" w:rsidRDefault="00093A2A" w:rsidP="00093A2A">
      <w:pPr>
        <w:pStyle w:val="NormalWeb"/>
        <w:numPr>
          <w:ilvl w:val="0"/>
          <w:numId w:val="4"/>
        </w:numPr>
        <w:jc w:val="both"/>
      </w:pPr>
      <w:r>
        <w:rPr>
          <w:rStyle w:val="Strong"/>
        </w:rPr>
        <w:t>Local Culinary Schools</w:t>
      </w:r>
      <w:r>
        <w:t>: Partnering with local culinary schools, particularly those that support diversity and inclusivity, helps to build connections between the event and aspiring chefs. These schools often provide training that encourages students from diverse backgrounds, particularly women, to enter the culinary profession (Cater &amp; Dobbins, 2021). By involving culinary schools, the event offers opportunities for students to engage with industry professionals, providing them with valuable exposure and potential career opportunities.</w:t>
      </w:r>
    </w:p>
    <w:p w14:paraId="6529A40A" w14:textId="77777777" w:rsidR="00093A2A" w:rsidRDefault="00093A2A" w:rsidP="00093A2A">
      <w:pPr>
        <w:pStyle w:val="NormalWeb"/>
        <w:numPr>
          <w:ilvl w:val="0"/>
          <w:numId w:val="4"/>
        </w:numPr>
        <w:jc w:val="both"/>
      </w:pPr>
      <w:r>
        <w:rPr>
          <w:rStyle w:val="Strong"/>
        </w:rPr>
        <w:t>Gender Equality NGOs</w:t>
      </w:r>
      <w:r>
        <w:t>: NGOs focused on gender equality are crucial for raising awareness about the gender disparities in industries like hospitality and culinary arts. These organizations advocate for systemic changes and offer educational resources and campaigns to promote gender equality (Harrison &amp; Yousaf, 2022). Their involvement in the event highlights the commitment to addressing these issues at a broader level, particularly within male-dominated sectors like the culinary industry.</w:t>
      </w:r>
    </w:p>
    <w:p w14:paraId="0986F917" w14:textId="77777777" w:rsidR="00093A2A" w:rsidRDefault="00093A2A" w:rsidP="00093A2A">
      <w:pPr>
        <w:pStyle w:val="NormalWeb"/>
        <w:spacing w:before="0" w:beforeAutospacing="0" w:after="0" w:afterAutospacing="0"/>
        <w:jc w:val="both"/>
      </w:pPr>
      <w:r>
        <w:rPr>
          <w:rStyle w:val="Strong"/>
        </w:rPr>
        <w:t>Hotel Management</w:t>
      </w:r>
    </w:p>
    <w:p w14:paraId="1A0E9896" w14:textId="77777777" w:rsidR="00093A2A" w:rsidRDefault="00093A2A" w:rsidP="00093A2A">
      <w:pPr>
        <w:numPr>
          <w:ilvl w:val="0"/>
          <w:numId w:val="5"/>
        </w:numPr>
        <w:spacing w:after="0" w:line="240" w:lineRule="auto"/>
      </w:pPr>
      <w:r>
        <w:rPr>
          <w:rStyle w:val="Strong"/>
        </w:rPr>
        <w:t>Venue Managers from The Savoy or Ritz-Carlton</w:t>
      </w:r>
      <w:r>
        <w:t>: As two of the most prestigious hotel brands in the world, both The Savoy and Ritz-Carlton are known for their exceptional standards in hospitality. Their venue managers bring years of experience in managing high-profile events, ensuring that the logistics and atmosphere of the event are seamless. Collaborating with these venues elevates the event’s prestige and attracts a high-profile audience (</w:t>
      </w:r>
      <w:proofErr w:type="spellStart"/>
      <w:r>
        <w:t>Pizam</w:t>
      </w:r>
      <w:proofErr w:type="spellEnd"/>
      <w:r>
        <w:t xml:space="preserve">, 2020). The expertise of venue managers from such </w:t>
      </w:r>
      <w:r>
        <w:lastRenderedPageBreak/>
        <w:t>esteemed institutions ensures that the event meets the highest standards of hospitality and operational efficiency.</w:t>
      </w:r>
    </w:p>
    <w:p w14:paraId="3D0072EE" w14:textId="77777777" w:rsidR="00093A2A" w:rsidRDefault="00093A2A" w:rsidP="00093A2A">
      <w:pPr>
        <w:pStyle w:val="NormalWeb"/>
        <w:jc w:val="both"/>
      </w:pPr>
      <w:r>
        <w:rPr>
          <w:rStyle w:val="Strong"/>
        </w:rPr>
        <w:t>Media Partners</w:t>
      </w:r>
    </w:p>
    <w:p w14:paraId="5545F664" w14:textId="77777777" w:rsidR="00093A2A" w:rsidRDefault="00093A2A" w:rsidP="00093A2A">
      <w:pPr>
        <w:pStyle w:val="NormalWeb"/>
        <w:numPr>
          <w:ilvl w:val="0"/>
          <w:numId w:val="6"/>
        </w:numPr>
        <w:jc w:val="both"/>
      </w:pPr>
      <w:r>
        <w:rPr>
          <w:rStyle w:val="Strong"/>
        </w:rPr>
        <w:t>Hospitality Insights</w:t>
      </w:r>
      <w:r>
        <w:t>: As a leading platform for hospitality industry news, Hospitality Insights offers valuable exposure to the event, especially among industry professionals and stakeholders. Their readership is made up of hotel managers, event planners, and industry analysts, making them an ideal media partner for this event. Media partnerships with outlets like Hospitality Insights ensure that the event reaches a targeted audience interested in hospitality and culinary innovation (Baum, 2021).</w:t>
      </w:r>
    </w:p>
    <w:p w14:paraId="780A43AD" w14:textId="77777777" w:rsidR="00093A2A" w:rsidRDefault="00093A2A" w:rsidP="00093A2A">
      <w:pPr>
        <w:pStyle w:val="NormalWeb"/>
        <w:numPr>
          <w:ilvl w:val="0"/>
          <w:numId w:val="6"/>
        </w:numPr>
        <w:jc w:val="both"/>
      </w:pPr>
      <w:r>
        <w:rPr>
          <w:rStyle w:val="Strong"/>
        </w:rPr>
        <w:t>Food Network</w:t>
      </w:r>
      <w:r>
        <w:t>: Food Network is one of the most recognized culinary television networks, with a large and diverse audience interested in food culture, chefs, and cooking techniques. Their involvement in the event can attract a broader, food-centric audience, creating greater visibility for the female chefs participating in the event. Media partnerships with well-known culinary brands like Food Network help amplify the event's impact and broaden its reach (Macdonald, 2021).</w:t>
      </w:r>
    </w:p>
    <w:p w14:paraId="554A9248" w14:textId="77777777" w:rsidR="00093A2A" w:rsidRDefault="00093A2A" w:rsidP="00093A2A">
      <w:pPr>
        <w:pStyle w:val="NormalWeb"/>
        <w:spacing w:before="0" w:beforeAutospacing="0" w:after="0" w:afterAutospacing="0"/>
        <w:jc w:val="both"/>
      </w:pPr>
      <w:r>
        <w:rPr>
          <w:rStyle w:val="Strong"/>
        </w:rPr>
        <w:t>AV Providers</w:t>
      </w:r>
    </w:p>
    <w:p w14:paraId="28DAC214" w14:textId="77777777" w:rsidR="00093A2A" w:rsidRDefault="00093A2A" w:rsidP="00093A2A">
      <w:pPr>
        <w:numPr>
          <w:ilvl w:val="0"/>
          <w:numId w:val="7"/>
        </w:numPr>
        <w:spacing w:after="0" w:line="240" w:lineRule="auto"/>
      </w:pPr>
      <w:r>
        <w:rPr>
          <w:rStyle w:val="Strong"/>
        </w:rPr>
        <w:t>Encore Event Technologies</w:t>
      </w:r>
      <w:r>
        <w:t>: Encore is a global leader in providing AV solutions for live events. They specialize in delivering high-quality technical support, including sound systems, lighting, and live-streaming capabilities. Their expertise ensures that the event runs smoothly, both in-person and for virtual attendees. The role of AV providers is critical in creating an immersive experience for participants, enhancing the overall engagement and accessibility of the event (Event Industry Council, 2022). By partnering with Encore, the event guarantees top-tier technical support, essential for a successful hybrid or live-streamed event.</w:t>
      </w:r>
    </w:p>
    <w:p w14:paraId="6B543EA6" w14:textId="77777777" w:rsidR="00093A2A" w:rsidRDefault="00093A2A" w:rsidP="00093A2A">
      <w:pPr>
        <w:pStyle w:val="NormalWeb"/>
        <w:spacing w:before="0" w:beforeAutospacing="0" w:after="0" w:afterAutospacing="0"/>
        <w:jc w:val="both"/>
      </w:pPr>
      <w:r>
        <w:rPr>
          <w:rStyle w:val="Strong"/>
        </w:rPr>
        <w:t>Catering</w:t>
      </w:r>
    </w:p>
    <w:p w14:paraId="19F447CA" w14:textId="77777777" w:rsidR="00093A2A" w:rsidRDefault="00093A2A" w:rsidP="00093A2A">
      <w:pPr>
        <w:numPr>
          <w:ilvl w:val="0"/>
          <w:numId w:val="8"/>
        </w:numPr>
        <w:spacing w:after="0" w:line="240" w:lineRule="auto"/>
      </w:pPr>
      <w:r>
        <w:rPr>
          <w:rStyle w:val="Strong"/>
        </w:rPr>
        <w:t>Local Women-Led Culinary Teams</w:t>
      </w:r>
      <w:r>
        <w:t>: Catering will be provided by women-led culinary teams that champion gender equality within the culinary field. These teams not only offer authentic, high-quality food but also embody the values of empowerment and inclusivity. Supporting local, women-led teams aligns with the event’s mission to promote female chefs and culinary entrepreneurs, while also supporting sustainable and community-based businesses (Guthrie, 2023). This collaboration highlights the role of women in reshaping the culinary industry, providing them with a platform to showcase their skills and creativity.</w:t>
      </w:r>
    </w:p>
    <w:p w14:paraId="4B72CFFF" w14:textId="77777777" w:rsidR="00093A2A" w:rsidRDefault="00093A2A" w:rsidP="00093A2A">
      <w:pPr>
        <w:pStyle w:val="NormalWeb"/>
        <w:spacing w:before="0" w:beforeAutospacing="0" w:after="0" w:afterAutospacing="0"/>
        <w:jc w:val="both"/>
      </w:pPr>
      <w:r>
        <w:rPr>
          <w:rStyle w:val="Strong"/>
        </w:rPr>
        <w:t>Decor Companies</w:t>
      </w:r>
    </w:p>
    <w:p w14:paraId="5E2F1CBC" w14:textId="3B0DA228" w:rsidR="002A36F8" w:rsidRDefault="00093A2A" w:rsidP="0000215D">
      <w:pPr>
        <w:numPr>
          <w:ilvl w:val="0"/>
          <w:numId w:val="9"/>
        </w:numPr>
        <w:spacing w:after="0" w:line="240" w:lineRule="auto"/>
      </w:pPr>
      <w:r>
        <w:rPr>
          <w:rStyle w:val="Strong"/>
        </w:rPr>
        <w:t>Eco-Friendly Event Designers</w:t>
      </w:r>
      <w:r>
        <w:t>: The event will collaborate with eco-friendly decor companies that prioriti</w:t>
      </w:r>
      <w:r>
        <w:t>s</w:t>
      </w:r>
      <w:r>
        <w:t>e sustainable design practices, from using recycled materials to minimizing waste. Sustainability in event design is a growing trend, with more event organizers opting for green alternatives to reduce their environmental footprint (Sims, 2021). By partnering with eco-friendly decor companies, the event not only emphasi</w:t>
      </w:r>
      <w:r>
        <w:t>s</w:t>
      </w:r>
      <w:r>
        <w:t>es its commitment to sustainability but also encourages attendees and industry professionals to adopt greener practices in their own events and businesses.</w:t>
      </w:r>
    </w:p>
    <w:p w14:paraId="7FE70D90" w14:textId="3E456378" w:rsidR="002A36F8" w:rsidRPr="00093A2A" w:rsidRDefault="00093A2A" w:rsidP="00093A2A">
      <w:pPr>
        <w:pStyle w:val="Heading1"/>
        <w:rPr>
          <w:rFonts w:ascii="Times New Roman" w:hAnsi="Times New Roman" w:cs="Times New Roman"/>
          <w:b/>
          <w:bCs/>
          <w:u w:val="single"/>
        </w:rPr>
      </w:pPr>
      <w:bookmarkStart w:id="9" w:name="_Toc188912310"/>
      <w:r w:rsidRPr="00093A2A">
        <w:rPr>
          <w:rFonts w:ascii="Times New Roman" w:hAnsi="Times New Roman" w:cs="Times New Roman"/>
          <w:b/>
          <w:bCs/>
          <w:u w:val="single"/>
        </w:rPr>
        <w:lastRenderedPageBreak/>
        <w:t>Resources</w:t>
      </w:r>
      <w:bookmarkEnd w:id="9"/>
    </w:p>
    <w:p w14:paraId="227107FE" w14:textId="626D6E3D" w:rsidR="002A36F8" w:rsidRDefault="00093A2A" w:rsidP="0000215D">
      <w:pPr>
        <w:pStyle w:val="NormalWeb"/>
        <w:jc w:val="both"/>
      </w:pPr>
      <w:r>
        <w:rPr>
          <w:noProof/>
          <w14:ligatures w14:val="standardContextual"/>
        </w:rPr>
        <w:drawing>
          <wp:inline distT="0" distB="0" distL="0" distR="0" wp14:anchorId="1B2B0948" wp14:editId="6EC68483">
            <wp:extent cx="5731510" cy="3203575"/>
            <wp:effectExtent l="0" t="0" r="2540" b="0"/>
            <wp:docPr id="828415480"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415480" name="Picture 1" descr="A close-up of a table&#10;&#10;Description automatically generated"/>
                    <pic:cNvPicPr/>
                  </pic:nvPicPr>
                  <pic:blipFill>
                    <a:blip r:embed="rId15"/>
                    <a:stretch>
                      <a:fillRect/>
                    </a:stretch>
                  </pic:blipFill>
                  <pic:spPr>
                    <a:xfrm>
                      <a:off x="0" y="0"/>
                      <a:ext cx="5731510" cy="3203575"/>
                    </a:xfrm>
                    <a:prstGeom prst="rect">
                      <a:avLst/>
                    </a:prstGeom>
                  </pic:spPr>
                </pic:pic>
              </a:graphicData>
            </a:graphic>
          </wp:inline>
        </w:drawing>
      </w:r>
    </w:p>
    <w:p w14:paraId="02FF6154" w14:textId="77777777" w:rsidR="00093A2A" w:rsidRDefault="00093A2A" w:rsidP="0000215D">
      <w:pPr>
        <w:pStyle w:val="NormalWeb"/>
        <w:jc w:val="both"/>
      </w:pPr>
    </w:p>
    <w:p w14:paraId="5E0413B8" w14:textId="164D7E54" w:rsidR="00093A2A" w:rsidRDefault="00093A2A" w:rsidP="00093A2A">
      <w:pPr>
        <w:pStyle w:val="NormalWeb"/>
        <w:jc w:val="both"/>
      </w:pPr>
      <w:r w:rsidRPr="00093A2A">
        <w:t>Resource allocation is planned to accommodate all aspects of the event, from live demonstrations to attendee comfort.</w:t>
      </w:r>
      <w:r>
        <w:t xml:space="preserve"> </w:t>
      </w:r>
      <w:r w:rsidRPr="00093A2A">
        <w:t>Our key resources for this event include state-of-the-art demo kitchens, where chefs will showcase their culinary expertise through live cooking demonstrations, providing an interactive experience for attendees. We will also have well-equipped conference halls, designed for workshops and panel discussions, ensuring a comfortable and engaging environment for all participants. Convenient parking facilities will be available, ensuring ease of access for all attendees. Additionally, our carefully planned seating arrangements will foster networking and engagement, allowing attendees to connect and participate in the event’s discussions and activities effectively.</w:t>
      </w:r>
    </w:p>
    <w:p w14:paraId="0ACA473F" w14:textId="77777777" w:rsidR="00093A2A" w:rsidRDefault="00093A2A" w:rsidP="00093A2A">
      <w:pPr>
        <w:pStyle w:val="NormalWeb"/>
        <w:jc w:val="both"/>
      </w:pPr>
    </w:p>
    <w:p w14:paraId="033EFA06" w14:textId="77777777" w:rsidR="00093A2A" w:rsidRDefault="00093A2A" w:rsidP="00093A2A">
      <w:pPr>
        <w:pStyle w:val="NormalWeb"/>
        <w:jc w:val="both"/>
      </w:pPr>
    </w:p>
    <w:p w14:paraId="028F17B4" w14:textId="77777777" w:rsidR="00093A2A" w:rsidRDefault="00093A2A" w:rsidP="00093A2A">
      <w:pPr>
        <w:pStyle w:val="NormalWeb"/>
        <w:jc w:val="both"/>
      </w:pPr>
    </w:p>
    <w:p w14:paraId="2C7C156D" w14:textId="77777777" w:rsidR="00093A2A" w:rsidRDefault="00093A2A" w:rsidP="00093A2A">
      <w:pPr>
        <w:pStyle w:val="NormalWeb"/>
        <w:jc w:val="both"/>
      </w:pPr>
    </w:p>
    <w:p w14:paraId="7BED1DE2" w14:textId="77777777" w:rsidR="00093A2A" w:rsidRDefault="00093A2A" w:rsidP="00093A2A">
      <w:pPr>
        <w:pStyle w:val="NormalWeb"/>
        <w:jc w:val="both"/>
      </w:pPr>
    </w:p>
    <w:p w14:paraId="6FDB7F51" w14:textId="77777777" w:rsidR="00093A2A" w:rsidRDefault="00093A2A" w:rsidP="00093A2A">
      <w:pPr>
        <w:pStyle w:val="NormalWeb"/>
        <w:jc w:val="both"/>
      </w:pPr>
    </w:p>
    <w:p w14:paraId="4EC089C0" w14:textId="77777777" w:rsidR="00093A2A" w:rsidRDefault="00093A2A" w:rsidP="00093A2A">
      <w:pPr>
        <w:pStyle w:val="NormalWeb"/>
        <w:jc w:val="both"/>
      </w:pPr>
    </w:p>
    <w:p w14:paraId="594959B9" w14:textId="77777777" w:rsidR="00093A2A" w:rsidRDefault="00093A2A" w:rsidP="00093A2A">
      <w:pPr>
        <w:pStyle w:val="NormalWeb"/>
        <w:jc w:val="both"/>
      </w:pPr>
    </w:p>
    <w:p w14:paraId="28F22EA0" w14:textId="4748483E" w:rsidR="00093A2A" w:rsidRPr="00093A2A" w:rsidRDefault="00EE2037" w:rsidP="00093A2A">
      <w:pPr>
        <w:pStyle w:val="Heading1"/>
        <w:rPr>
          <w:rFonts w:ascii="Times New Roman" w:hAnsi="Times New Roman" w:cs="Times New Roman"/>
          <w:b/>
          <w:bCs/>
          <w:u w:val="single"/>
        </w:rPr>
      </w:pPr>
      <w:bookmarkStart w:id="10" w:name="_Toc188912311"/>
      <w:r>
        <w:rPr>
          <w:noProof/>
          <w14:ligatures w14:val="standardContextual"/>
        </w:rPr>
        <w:lastRenderedPageBreak/>
        <w:drawing>
          <wp:anchor distT="0" distB="0" distL="114300" distR="114300" simplePos="0" relativeHeight="251666432" behindDoc="0" locked="0" layoutInCell="1" allowOverlap="1" wp14:anchorId="5CFC5AF2" wp14:editId="529AB220">
            <wp:simplePos x="0" y="0"/>
            <wp:positionH relativeFrom="column">
              <wp:posOffset>-200025</wp:posOffset>
            </wp:positionH>
            <wp:positionV relativeFrom="paragraph">
              <wp:posOffset>390525</wp:posOffset>
            </wp:positionV>
            <wp:extent cx="4171950" cy="2390140"/>
            <wp:effectExtent l="0" t="0" r="0" b="0"/>
            <wp:wrapSquare wrapText="bothSides"/>
            <wp:docPr id="27163542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35428" name="Picture 1"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171950" cy="2390140"/>
                    </a:xfrm>
                    <a:prstGeom prst="rect">
                      <a:avLst/>
                    </a:prstGeom>
                  </pic:spPr>
                </pic:pic>
              </a:graphicData>
            </a:graphic>
            <wp14:sizeRelH relativeFrom="page">
              <wp14:pctWidth>0</wp14:pctWidth>
            </wp14:sizeRelH>
            <wp14:sizeRelV relativeFrom="page">
              <wp14:pctHeight>0</wp14:pctHeight>
            </wp14:sizeRelV>
          </wp:anchor>
        </w:drawing>
      </w:r>
      <w:r w:rsidR="00093A2A" w:rsidRPr="00093A2A">
        <w:rPr>
          <w:rFonts w:ascii="Times New Roman" w:hAnsi="Times New Roman" w:cs="Times New Roman"/>
          <w:b/>
          <w:bCs/>
          <w:u w:val="single"/>
        </w:rPr>
        <w:t>Budget</w:t>
      </w:r>
      <w:bookmarkEnd w:id="10"/>
    </w:p>
    <w:p w14:paraId="46021901" w14:textId="77777777" w:rsidR="00EE2037" w:rsidRDefault="00EE2037" w:rsidP="00EE2037">
      <w:pPr>
        <w:pStyle w:val="Heading3"/>
        <w:rPr>
          <w:rStyle w:val="Strong"/>
          <w:b w:val="0"/>
          <w:bCs w:val="0"/>
        </w:rPr>
      </w:pPr>
    </w:p>
    <w:p w14:paraId="0727A63B" w14:textId="77777777" w:rsidR="00EE2037" w:rsidRDefault="00EE2037" w:rsidP="00EE2037">
      <w:pPr>
        <w:pStyle w:val="Heading3"/>
        <w:rPr>
          <w:rStyle w:val="Strong"/>
          <w:b w:val="0"/>
          <w:bCs w:val="0"/>
        </w:rPr>
      </w:pPr>
    </w:p>
    <w:p w14:paraId="633F4807" w14:textId="77777777" w:rsidR="00EE2037" w:rsidRDefault="00EE2037" w:rsidP="00EE2037">
      <w:pPr>
        <w:pStyle w:val="Heading3"/>
        <w:rPr>
          <w:rStyle w:val="Strong"/>
          <w:b w:val="0"/>
          <w:bCs w:val="0"/>
        </w:rPr>
      </w:pPr>
    </w:p>
    <w:p w14:paraId="60A44369" w14:textId="77777777" w:rsidR="00EE2037" w:rsidRDefault="00EE2037" w:rsidP="00EE2037">
      <w:pPr>
        <w:pStyle w:val="Heading3"/>
        <w:rPr>
          <w:rStyle w:val="Strong"/>
          <w:b w:val="0"/>
          <w:bCs w:val="0"/>
        </w:rPr>
      </w:pPr>
    </w:p>
    <w:p w14:paraId="5B60B4D2" w14:textId="77777777" w:rsidR="00EE2037" w:rsidRDefault="00EE2037" w:rsidP="00EE2037">
      <w:pPr>
        <w:pStyle w:val="Heading3"/>
        <w:rPr>
          <w:rStyle w:val="Strong"/>
          <w:b w:val="0"/>
          <w:bCs w:val="0"/>
        </w:rPr>
      </w:pPr>
    </w:p>
    <w:p w14:paraId="02E30B38" w14:textId="77777777" w:rsidR="00EE2037" w:rsidRDefault="00EE2037" w:rsidP="00EE2037">
      <w:pPr>
        <w:pStyle w:val="Heading3"/>
        <w:rPr>
          <w:rStyle w:val="Strong"/>
          <w:b w:val="0"/>
          <w:bCs w:val="0"/>
        </w:rPr>
      </w:pPr>
    </w:p>
    <w:p w14:paraId="2A46779D" w14:textId="77777777" w:rsidR="00EE2037" w:rsidRDefault="00EE2037" w:rsidP="00EE2037">
      <w:pPr>
        <w:pStyle w:val="Heading3"/>
        <w:rPr>
          <w:rStyle w:val="Strong"/>
          <w:b w:val="0"/>
          <w:bCs w:val="0"/>
        </w:rPr>
      </w:pPr>
    </w:p>
    <w:p w14:paraId="41C35ABA" w14:textId="77777777" w:rsidR="00C25F0D" w:rsidRDefault="00C25F0D" w:rsidP="00EE2037">
      <w:pPr>
        <w:pStyle w:val="NormalWeb"/>
        <w:rPr>
          <w:rStyle w:val="Strong"/>
        </w:rPr>
      </w:pPr>
    </w:p>
    <w:p w14:paraId="1F174186" w14:textId="500A9A04" w:rsidR="00EE2037" w:rsidRDefault="00EE2037" w:rsidP="00EE2037">
      <w:pPr>
        <w:pStyle w:val="NormalWeb"/>
      </w:pPr>
      <w:r>
        <w:rPr>
          <w:rStyle w:val="Strong"/>
        </w:rPr>
        <w:t>Income Breakdown:</w:t>
      </w:r>
    </w:p>
    <w:p w14:paraId="5A397A0F" w14:textId="08563591" w:rsidR="00EE2037" w:rsidRDefault="00EE2037" w:rsidP="00EE2037">
      <w:pPr>
        <w:numPr>
          <w:ilvl w:val="0"/>
          <w:numId w:val="11"/>
        </w:numPr>
        <w:spacing w:before="100" w:beforeAutospacing="1" w:after="100" w:afterAutospacing="1" w:line="240" w:lineRule="auto"/>
        <w:jc w:val="left"/>
      </w:pPr>
      <w:r>
        <w:rPr>
          <w:rStyle w:val="Strong"/>
        </w:rPr>
        <w:t>Ticket Sales</w:t>
      </w:r>
      <w:r>
        <w:t>: £100,000 – The majority of income will come from ticket sales, with a target of 500 attendees and an average ticket price of £200.</w:t>
      </w:r>
    </w:p>
    <w:p w14:paraId="6A0C7D1E" w14:textId="4D62C760" w:rsidR="00EE2037" w:rsidRDefault="00EE2037" w:rsidP="00EE2037">
      <w:pPr>
        <w:numPr>
          <w:ilvl w:val="0"/>
          <w:numId w:val="11"/>
        </w:numPr>
        <w:spacing w:before="100" w:beforeAutospacing="1" w:after="100" w:afterAutospacing="1" w:line="240" w:lineRule="auto"/>
        <w:jc w:val="left"/>
      </w:pPr>
      <w:r>
        <w:rPr>
          <w:rStyle w:val="Strong"/>
        </w:rPr>
        <w:t>Sponsorships</w:t>
      </w:r>
      <w:r>
        <w:t>: £25,000 – Income from sponsors, including organizations such as Women Chefs &amp; Restaurateurs and local culinary schools.</w:t>
      </w:r>
    </w:p>
    <w:p w14:paraId="28BDE7B0" w14:textId="77777777" w:rsidR="00EE2037" w:rsidRDefault="00EE2037" w:rsidP="00EE2037">
      <w:pPr>
        <w:numPr>
          <w:ilvl w:val="0"/>
          <w:numId w:val="11"/>
        </w:numPr>
        <w:spacing w:before="100" w:beforeAutospacing="1" w:after="100" w:afterAutospacing="1" w:line="240" w:lineRule="auto"/>
        <w:jc w:val="left"/>
      </w:pPr>
      <w:r>
        <w:rPr>
          <w:rStyle w:val="Strong"/>
        </w:rPr>
        <w:t>Exhibition Fees</w:t>
      </w:r>
      <w:r>
        <w:t>: £10,000 – Fees collected from exhibitors participating in the event, showcasing culinary products or services.</w:t>
      </w:r>
    </w:p>
    <w:p w14:paraId="132DB462" w14:textId="5189A64E" w:rsidR="00EE2037" w:rsidRDefault="00EE2037" w:rsidP="00EE2037">
      <w:pPr>
        <w:numPr>
          <w:ilvl w:val="0"/>
          <w:numId w:val="11"/>
        </w:numPr>
        <w:spacing w:before="100" w:beforeAutospacing="1" w:after="100" w:afterAutospacing="1" w:line="240" w:lineRule="auto"/>
        <w:jc w:val="left"/>
      </w:pPr>
      <w:r>
        <w:rPr>
          <w:rStyle w:val="Strong"/>
        </w:rPr>
        <w:t>Total Expected Income</w:t>
      </w:r>
      <w:r>
        <w:t>: £135,000</w:t>
      </w:r>
    </w:p>
    <w:p w14:paraId="5B6DC5CD" w14:textId="77777777" w:rsidR="00EE2037" w:rsidRDefault="00EE2037" w:rsidP="00EE2037">
      <w:pPr>
        <w:pStyle w:val="NormalWeb"/>
      </w:pPr>
      <w:r>
        <w:rPr>
          <w:rStyle w:val="Strong"/>
        </w:rPr>
        <w:t>Expenditure Breakdown:</w:t>
      </w:r>
    </w:p>
    <w:p w14:paraId="1D4A3E23" w14:textId="50E41F5D" w:rsidR="00EE2037" w:rsidRDefault="00EE2037" w:rsidP="00EE2037">
      <w:pPr>
        <w:numPr>
          <w:ilvl w:val="0"/>
          <w:numId w:val="12"/>
        </w:numPr>
        <w:spacing w:before="100" w:beforeAutospacing="1" w:after="100" w:afterAutospacing="1" w:line="240" w:lineRule="auto"/>
        <w:jc w:val="left"/>
      </w:pPr>
      <w:r>
        <w:rPr>
          <w:rStyle w:val="Strong"/>
        </w:rPr>
        <w:t>Venue Rental</w:t>
      </w:r>
      <w:r>
        <w:t>: £25,000 – Cost of renting event spaces, including demo kitchens and conference halls.</w:t>
      </w:r>
    </w:p>
    <w:p w14:paraId="443E9770" w14:textId="77777777" w:rsidR="00EE2037" w:rsidRDefault="00EE2037" w:rsidP="00EE2037">
      <w:pPr>
        <w:numPr>
          <w:ilvl w:val="0"/>
          <w:numId w:val="12"/>
        </w:numPr>
        <w:spacing w:before="100" w:beforeAutospacing="1" w:after="100" w:afterAutospacing="1" w:line="240" w:lineRule="auto"/>
        <w:jc w:val="left"/>
      </w:pPr>
      <w:r>
        <w:rPr>
          <w:rStyle w:val="Strong"/>
        </w:rPr>
        <w:t>Catering</w:t>
      </w:r>
      <w:r>
        <w:t>: £10,000 – Costs for providing meals from local women-led culinary teams.</w:t>
      </w:r>
    </w:p>
    <w:p w14:paraId="30446B8C" w14:textId="77777777" w:rsidR="00EE2037" w:rsidRDefault="00EE2037" w:rsidP="00EE2037">
      <w:pPr>
        <w:numPr>
          <w:ilvl w:val="0"/>
          <w:numId w:val="12"/>
        </w:numPr>
        <w:spacing w:before="100" w:beforeAutospacing="1" w:after="100" w:afterAutospacing="1" w:line="240" w:lineRule="auto"/>
        <w:jc w:val="left"/>
      </w:pPr>
      <w:r>
        <w:rPr>
          <w:rStyle w:val="Strong"/>
        </w:rPr>
        <w:t>Speaker Fees</w:t>
      </w:r>
      <w:r>
        <w:t xml:space="preserve">: £15,000 – Fees for keynote speakers and </w:t>
      </w:r>
      <w:proofErr w:type="spellStart"/>
      <w:r>
        <w:t>panelists</w:t>
      </w:r>
      <w:proofErr w:type="spellEnd"/>
      <w:r>
        <w:t>, including diversity experts and renowned chefs.</w:t>
      </w:r>
    </w:p>
    <w:p w14:paraId="4BDE94C1" w14:textId="77777777" w:rsidR="00EE2037" w:rsidRDefault="00EE2037" w:rsidP="00EE2037">
      <w:pPr>
        <w:numPr>
          <w:ilvl w:val="0"/>
          <w:numId w:val="12"/>
        </w:numPr>
        <w:spacing w:before="100" w:beforeAutospacing="1" w:after="100" w:afterAutospacing="1" w:line="240" w:lineRule="auto"/>
        <w:jc w:val="left"/>
      </w:pPr>
      <w:r>
        <w:rPr>
          <w:rStyle w:val="Strong"/>
        </w:rPr>
        <w:t>Marketing</w:t>
      </w:r>
      <w:r>
        <w:t>: £8,000 – Costs for promotional activities, including digital campaigns and media partnerships.</w:t>
      </w:r>
    </w:p>
    <w:p w14:paraId="34FD811D" w14:textId="77777777" w:rsidR="00EE2037" w:rsidRDefault="00EE2037" w:rsidP="00EE2037">
      <w:pPr>
        <w:numPr>
          <w:ilvl w:val="0"/>
          <w:numId w:val="12"/>
        </w:numPr>
        <w:spacing w:before="100" w:beforeAutospacing="1" w:after="100" w:afterAutospacing="1" w:line="240" w:lineRule="auto"/>
        <w:jc w:val="left"/>
      </w:pPr>
      <w:r>
        <w:rPr>
          <w:rStyle w:val="Strong"/>
        </w:rPr>
        <w:t>AV Equipment</w:t>
      </w:r>
      <w:r>
        <w:t>: £5,000 – AV support for sound systems, lighting, and live-streaming.</w:t>
      </w:r>
    </w:p>
    <w:p w14:paraId="7C4EF692" w14:textId="582D85CD" w:rsidR="00EE2037" w:rsidRDefault="00EE2037" w:rsidP="00EE2037">
      <w:pPr>
        <w:numPr>
          <w:ilvl w:val="0"/>
          <w:numId w:val="12"/>
        </w:numPr>
        <w:spacing w:before="100" w:beforeAutospacing="1" w:after="100" w:afterAutospacing="1" w:line="240" w:lineRule="auto"/>
        <w:jc w:val="left"/>
      </w:pPr>
      <w:r>
        <w:rPr>
          <w:rStyle w:val="Strong"/>
        </w:rPr>
        <w:t>Staffing</w:t>
      </w:r>
      <w:r>
        <w:t>: £8,000 – Payment for event coordinators, facilitators, and technical staff.</w:t>
      </w:r>
    </w:p>
    <w:p w14:paraId="77DEEAC3" w14:textId="77777777" w:rsidR="00EE2037" w:rsidRDefault="00EE2037" w:rsidP="00EE2037">
      <w:pPr>
        <w:numPr>
          <w:ilvl w:val="0"/>
          <w:numId w:val="12"/>
        </w:numPr>
        <w:spacing w:before="100" w:beforeAutospacing="1" w:after="100" w:afterAutospacing="1" w:line="240" w:lineRule="auto"/>
        <w:jc w:val="left"/>
      </w:pPr>
      <w:r>
        <w:rPr>
          <w:rStyle w:val="Strong"/>
        </w:rPr>
        <w:t>Miscellaneous</w:t>
      </w:r>
      <w:r>
        <w:t>: £4,000 – Additional expenses for decor, seating arrangements, and transportation.</w:t>
      </w:r>
    </w:p>
    <w:p w14:paraId="11D69584" w14:textId="44687F0D" w:rsidR="00EE2037" w:rsidRDefault="00EE2037" w:rsidP="00EE2037">
      <w:pPr>
        <w:numPr>
          <w:ilvl w:val="0"/>
          <w:numId w:val="12"/>
        </w:numPr>
        <w:spacing w:before="100" w:beforeAutospacing="1" w:after="100" w:afterAutospacing="1" w:line="240" w:lineRule="auto"/>
        <w:jc w:val="left"/>
      </w:pPr>
      <w:r>
        <w:rPr>
          <w:rStyle w:val="Strong"/>
        </w:rPr>
        <w:t>Total Expected Expenditure</w:t>
      </w:r>
      <w:r>
        <w:t>: £75,000</w:t>
      </w:r>
    </w:p>
    <w:p w14:paraId="64624EB2" w14:textId="4760F916" w:rsidR="00EE2037" w:rsidRDefault="00EE2037" w:rsidP="00EE2037">
      <w:pPr>
        <w:pStyle w:val="NormalWeb"/>
      </w:pPr>
      <w:r>
        <w:rPr>
          <w:rStyle w:val="Strong"/>
        </w:rPr>
        <w:t>Expected Profit:</w:t>
      </w:r>
    </w:p>
    <w:p w14:paraId="3A9314E9" w14:textId="77777777" w:rsidR="00EE2037" w:rsidRDefault="00EE2037" w:rsidP="00EE2037">
      <w:pPr>
        <w:numPr>
          <w:ilvl w:val="0"/>
          <w:numId w:val="13"/>
        </w:numPr>
        <w:spacing w:before="100" w:beforeAutospacing="1" w:after="100" w:afterAutospacing="1" w:line="240" w:lineRule="auto"/>
        <w:jc w:val="left"/>
      </w:pPr>
      <w:r>
        <w:rPr>
          <w:rStyle w:val="Strong"/>
        </w:rPr>
        <w:t>Profit Margin</w:t>
      </w:r>
      <w:r>
        <w:t>: With total income of £135,000 and total expenditure of £75,000, the event is expected to generate a profit of £60,000.</w:t>
      </w:r>
    </w:p>
    <w:p w14:paraId="6F07FCCE" w14:textId="0360FB3D" w:rsidR="00EE2037" w:rsidRDefault="00EE2037" w:rsidP="00EE2037">
      <w:pPr>
        <w:numPr>
          <w:ilvl w:val="0"/>
          <w:numId w:val="13"/>
        </w:numPr>
        <w:spacing w:before="100" w:beforeAutospacing="1" w:after="100" w:afterAutospacing="1" w:line="240" w:lineRule="auto"/>
        <w:jc w:val="left"/>
      </w:pPr>
      <w:r>
        <w:rPr>
          <w:rStyle w:val="Strong"/>
        </w:rPr>
        <w:t>Expected Profit</w:t>
      </w:r>
      <w:r>
        <w:t>: £60,000</w:t>
      </w:r>
    </w:p>
    <w:p w14:paraId="1B958753" w14:textId="6F703AED" w:rsidR="00093A2A" w:rsidRDefault="00EE2037" w:rsidP="00EE2037">
      <w:pPr>
        <w:pStyle w:val="Heading1"/>
        <w:rPr>
          <w:rFonts w:ascii="Times New Roman" w:eastAsia="Times New Roman" w:hAnsi="Times New Roman" w:cs="Times New Roman"/>
          <w:b/>
          <w:bCs/>
          <w:u w:val="single"/>
        </w:rPr>
      </w:pPr>
      <w:bookmarkStart w:id="11" w:name="_Toc188912312"/>
      <w:r>
        <w:rPr>
          <w:noProof/>
          <w14:ligatures w14:val="standardContextual"/>
        </w:rPr>
        <w:lastRenderedPageBreak/>
        <w:drawing>
          <wp:anchor distT="0" distB="0" distL="114300" distR="114300" simplePos="0" relativeHeight="251667456" behindDoc="0" locked="0" layoutInCell="1" allowOverlap="1" wp14:anchorId="6A0B0BC3" wp14:editId="3F91994C">
            <wp:simplePos x="0" y="0"/>
            <wp:positionH relativeFrom="margin">
              <wp:align>right</wp:align>
            </wp:positionH>
            <wp:positionV relativeFrom="paragraph">
              <wp:posOffset>388620</wp:posOffset>
            </wp:positionV>
            <wp:extent cx="5731510" cy="3256915"/>
            <wp:effectExtent l="0" t="0" r="2540" b="635"/>
            <wp:wrapSquare wrapText="bothSides"/>
            <wp:docPr id="86200959" name="Picture 1" descr="A green and white text on a green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0959" name="Picture 1" descr="A green and white text on a green and whit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6915"/>
                    </a:xfrm>
                    <a:prstGeom prst="rect">
                      <a:avLst/>
                    </a:prstGeom>
                  </pic:spPr>
                </pic:pic>
              </a:graphicData>
            </a:graphic>
            <wp14:sizeRelH relativeFrom="page">
              <wp14:pctWidth>0</wp14:pctWidth>
            </wp14:sizeRelH>
            <wp14:sizeRelV relativeFrom="page">
              <wp14:pctHeight>0</wp14:pctHeight>
            </wp14:sizeRelV>
          </wp:anchor>
        </w:drawing>
      </w:r>
      <w:r w:rsidRPr="00EE2037">
        <w:rPr>
          <w:rFonts w:ascii="Times New Roman" w:eastAsia="Times New Roman" w:hAnsi="Times New Roman" w:cs="Times New Roman"/>
          <w:b/>
          <w:bCs/>
          <w:u w:val="single"/>
        </w:rPr>
        <w:t>Conclusion</w:t>
      </w:r>
      <w:bookmarkEnd w:id="11"/>
    </w:p>
    <w:p w14:paraId="2D57CD81" w14:textId="0F00C6AB" w:rsidR="00EE2037" w:rsidRDefault="00EE2037" w:rsidP="00EE2037"/>
    <w:p w14:paraId="4331451A" w14:textId="4B8B7800" w:rsidR="00EE2037" w:rsidRDefault="00EE2037" w:rsidP="00EE2037">
      <w:r>
        <w:t>This event addresses a critical gap in the MICE industry by providing targeted guidance on Equity, Diversity, and Inclusion (EDI). It offers practical tools and strategies to promote inclusivity within the sector, empowering professionals to implement meaningful change. Financially sustainable with a projected £15,000 profit margin, the event also aligns with global EDI standards, reinforcing the industry's commitment to fostering diversity and equity while driving innovation and growth.</w:t>
      </w:r>
    </w:p>
    <w:p w14:paraId="1A90D3D5" w14:textId="77777777" w:rsidR="00EE2037" w:rsidRDefault="00EE2037" w:rsidP="00EE2037"/>
    <w:p w14:paraId="1BFE15AD" w14:textId="47DCF123" w:rsidR="00EE2037" w:rsidRDefault="00EE2037" w:rsidP="00EE2037"/>
    <w:p w14:paraId="72B512B9" w14:textId="742ED4C8" w:rsidR="00EE2037" w:rsidRPr="00EE2037" w:rsidRDefault="00EE2037" w:rsidP="00EE2037"/>
    <w:p w14:paraId="2B802630" w14:textId="4F8D011B" w:rsidR="00EE2037" w:rsidRPr="00EE2037" w:rsidRDefault="00EE2037" w:rsidP="00EE2037"/>
    <w:p w14:paraId="7A8BF699" w14:textId="77777777" w:rsidR="00093A2A" w:rsidRDefault="00093A2A" w:rsidP="0000215D">
      <w:pPr>
        <w:pStyle w:val="NormalWeb"/>
        <w:jc w:val="both"/>
      </w:pPr>
    </w:p>
    <w:p w14:paraId="3E02AA36" w14:textId="77777777" w:rsidR="002A36F8" w:rsidRDefault="002A36F8" w:rsidP="0000215D">
      <w:pPr>
        <w:pStyle w:val="NormalWeb"/>
        <w:jc w:val="both"/>
      </w:pPr>
    </w:p>
    <w:p w14:paraId="0734212E" w14:textId="77777777" w:rsidR="00C25F0D" w:rsidRDefault="00C25F0D" w:rsidP="0000215D">
      <w:pPr>
        <w:pStyle w:val="NormalWeb"/>
        <w:jc w:val="both"/>
      </w:pPr>
    </w:p>
    <w:p w14:paraId="41878931" w14:textId="701A90B0" w:rsidR="0000215D" w:rsidRPr="0000215D" w:rsidRDefault="0000215D" w:rsidP="0000215D">
      <w:pPr>
        <w:pStyle w:val="Heading1"/>
        <w:rPr>
          <w:b/>
          <w:bCs/>
          <w:u w:val="single"/>
        </w:rPr>
      </w:pPr>
      <w:bookmarkStart w:id="12" w:name="_Toc188912313"/>
      <w:r w:rsidRPr="0000215D">
        <w:rPr>
          <w:b/>
          <w:bCs/>
          <w:u w:val="single"/>
        </w:rPr>
        <w:lastRenderedPageBreak/>
        <w:t>References</w:t>
      </w:r>
      <w:bookmarkEnd w:id="12"/>
    </w:p>
    <w:p w14:paraId="018EB4CD"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Aitken, A., &amp; Green, S. (2020). </w:t>
      </w:r>
      <w:r w:rsidRPr="0000215D">
        <w:rPr>
          <w:rFonts w:eastAsia="Times New Roman" w:cs="Times New Roman"/>
          <w:i/>
          <w:iCs/>
          <w:color w:val="auto"/>
          <w:szCs w:val="24"/>
          <w:lang w:eastAsia="en-GB"/>
        </w:rPr>
        <w:t>Breaking Barriers: Gender Diversity in Culinary Leadership</w:t>
      </w:r>
      <w:r w:rsidRPr="0000215D">
        <w:rPr>
          <w:rFonts w:eastAsia="Times New Roman" w:cs="Times New Roman"/>
          <w:color w:val="auto"/>
          <w:szCs w:val="24"/>
          <w:lang w:eastAsia="en-GB"/>
        </w:rPr>
        <w:t>. Journal of Hospitality and Tourism Management, 41(3), 212-225.</w:t>
      </w:r>
    </w:p>
    <w:p w14:paraId="5ABACEAC"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Baker, L., Thompson, M., &amp; Duvall, D. (2021). </w:t>
      </w:r>
      <w:r w:rsidRPr="0000215D">
        <w:rPr>
          <w:rFonts w:eastAsia="Times New Roman" w:cs="Times New Roman"/>
          <w:i/>
          <w:iCs/>
          <w:color w:val="auto"/>
          <w:szCs w:val="24"/>
          <w:lang w:eastAsia="en-GB"/>
        </w:rPr>
        <w:t>Diversity and Inclusion as Drivers of Innovation in the MICE Industry</w:t>
      </w:r>
      <w:r w:rsidRPr="0000215D">
        <w:rPr>
          <w:rFonts w:eastAsia="Times New Roman" w:cs="Times New Roman"/>
          <w:color w:val="auto"/>
          <w:szCs w:val="24"/>
          <w:lang w:eastAsia="en-GB"/>
        </w:rPr>
        <w:t>. International Journal of Event Management, 22(4), 47-63.</w:t>
      </w:r>
    </w:p>
    <w:p w14:paraId="4B979126"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Binns, T., Meek, R., &amp; Lee, S. (2020). </w:t>
      </w:r>
      <w:r w:rsidRPr="0000215D">
        <w:rPr>
          <w:rFonts w:eastAsia="Times New Roman" w:cs="Times New Roman"/>
          <w:i/>
          <w:iCs/>
          <w:color w:val="auto"/>
          <w:szCs w:val="24"/>
          <w:lang w:eastAsia="en-GB"/>
        </w:rPr>
        <w:t>Gender and Leadership in Hospitality Kitchens: Addressing Barriers to Women’s Advancement</w:t>
      </w:r>
      <w:r w:rsidRPr="0000215D">
        <w:rPr>
          <w:rFonts w:eastAsia="Times New Roman" w:cs="Times New Roman"/>
          <w:color w:val="auto"/>
          <w:szCs w:val="24"/>
          <w:lang w:eastAsia="en-GB"/>
        </w:rPr>
        <w:t>. International Journal of Hospitality Management, 79(2), 118-130.</w:t>
      </w:r>
    </w:p>
    <w:p w14:paraId="10A83CFE"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Burgess, J., Marlow, S., &amp; Deeming, C. (2017). </w:t>
      </w:r>
      <w:r w:rsidRPr="0000215D">
        <w:rPr>
          <w:rFonts w:eastAsia="Times New Roman" w:cs="Times New Roman"/>
          <w:i/>
          <w:iCs/>
          <w:color w:val="auto"/>
          <w:szCs w:val="24"/>
          <w:lang w:eastAsia="en-GB"/>
        </w:rPr>
        <w:t>Women in the Kitchen: The Gendered Dynamics of the Culinary Profession</w:t>
      </w:r>
      <w:r w:rsidRPr="0000215D">
        <w:rPr>
          <w:rFonts w:eastAsia="Times New Roman" w:cs="Times New Roman"/>
          <w:color w:val="auto"/>
          <w:szCs w:val="24"/>
          <w:lang w:eastAsia="en-GB"/>
        </w:rPr>
        <w:t>. Gender, Work &amp; Organization, 24(1), 42-58.</w:t>
      </w:r>
    </w:p>
    <w:p w14:paraId="21389C1D"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Ely, R. J., &amp; Meyerson, D. E. (2021). </w:t>
      </w:r>
      <w:r w:rsidRPr="0000215D">
        <w:rPr>
          <w:rFonts w:eastAsia="Times New Roman" w:cs="Times New Roman"/>
          <w:i/>
          <w:iCs/>
          <w:color w:val="auto"/>
          <w:szCs w:val="24"/>
          <w:lang w:eastAsia="en-GB"/>
        </w:rPr>
        <w:t>The Influence of Gender in Organizational Leadership: The Case of Hospitality Kitchens</w:t>
      </w:r>
      <w:r w:rsidRPr="0000215D">
        <w:rPr>
          <w:rFonts w:eastAsia="Times New Roman" w:cs="Times New Roman"/>
          <w:color w:val="auto"/>
          <w:szCs w:val="24"/>
          <w:lang w:eastAsia="en-GB"/>
        </w:rPr>
        <w:t>. Leadership Quarterly, 32(3), 99-113.</w:t>
      </w:r>
    </w:p>
    <w:p w14:paraId="13C9D516"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Henderson, J. C. (2018). </w:t>
      </w:r>
      <w:r w:rsidRPr="0000215D">
        <w:rPr>
          <w:rFonts w:eastAsia="Times New Roman" w:cs="Times New Roman"/>
          <w:i/>
          <w:iCs/>
          <w:color w:val="auto"/>
          <w:szCs w:val="24"/>
          <w:lang w:eastAsia="en-GB"/>
        </w:rPr>
        <w:t>Women in Hospitality Leadership: Barriers and Opportunities</w:t>
      </w:r>
      <w:r w:rsidRPr="0000215D">
        <w:rPr>
          <w:rFonts w:eastAsia="Times New Roman" w:cs="Times New Roman"/>
          <w:color w:val="auto"/>
          <w:szCs w:val="24"/>
          <w:lang w:eastAsia="en-GB"/>
        </w:rPr>
        <w:t>. Journal of Hospitality and Tourism Research, 42(2), 201-217.</w:t>
      </w:r>
    </w:p>
    <w:p w14:paraId="41006A95"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Lee, K., Choi, S., &amp; Park, J. (2021). </w:t>
      </w:r>
      <w:r w:rsidRPr="0000215D">
        <w:rPr>
          <w:rFonts w:eastAsia="Times New Roman" w:cs="Times New Roman"/>
          <w:i/>
          <w:iCs/>
          <w:color w:val="auto"/>
          <w:szCs w:val="24"/>
          <w:lang w:eastAsia="en-GB"/>
        </w:rPr>
        <w:t>Best Practices for Gender Equity in Hospitality Kitchens: Lessons from Leading Organizations</w:t>
      </w:r>
      <w:r w:rsidRPr="0000215D">
        <w:rPr>
          <w:rFonts w:eastAsia="Times New Roman" w:cs="Times New Roman"/>
          <w:color w:val="auto"/>
          <w:szCs w:val="24"/>
          <w:lang w:eastAsia="en-GB"/>
        </w:rPr>
        <w:t>. Journal of Culinary Arts and Sciences, 15(2), 128-140.</w:t>
      </w:r>
    </w:p>
    <w:p w14:paraId="4805BBCE" w14:textId="77777777" w:rsidR="0000215D" w:rsidRPr="0000215D" w:rsidRDefault="0000215D" w:rsidP="0000215D">
      <w:pPr>
        <w:spacing w:after="0" w:line="240" w:lineRule="auto"/>
        <w:jc w:val="left"/>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López-Muñoz, F., Paredes, M., &amp; Romero, M. (2020). </w:t>
      </w:r>
      <w:r w:rsidRPr="0000215D">
        <w:rPr>
          <w:rFonts w:eastAsia="Times New Roman" w:cs="Times New Roman"/>
          <w:i/>
          <w:iCs/>
          <w:color w:val="auto"/>
          <w:szCs w:val="24"/>
          <w:lang w:eastAsia="en-GB"/>
        </w:rPr>
        <w:t>Diversity and Innovation in the MICE Sector: Aligning Industry Trends with EDI Goals</w:t>
      </w:r>
      <w:r w:rsidRPr="0000215D">
        <w:rPr>
          <w:rFonts w:eastAsia="Times New Roman" w:cs="Times New Roman"/>
          <w:color w:val="auto"/>
          <w:szCs w:val="24"/>
          <w:lang w:eastAsia="en-GB"/>
        </w:rPr>
        <w:t>. International Journal of Event Management, 24(3), 67-80.</w:t>
      </w:r>
    </w:p>
    <w:p w14:paraId="3B3DB7B8" w14:textId="77777777" w:rsidR="00FB7219" w:rsidRDefault="0000215D" w:rsidP="00FB7219">
      <w:pPr>
        <w:rPr>
          <w:rFonts w:eastAsia="Times New Roman" w:cs="Times New Roman"/>
          <w:color w:val="auto"/>
          <w:szCs w:val="24"/>
          <w:lang w:eastAsia="en-GB"/>
        </w:rPr>
      </w:pPr>
      <w:r w:rsidRPr="0000215D">
        <w:rPr>
          <w:rFonts w:eastAsia="Times New Roman" w:hAnsi="Symbol" w:cs="Times New Roman"/>
          <w:color w:val="auto"/>
          <w:szCs w:val="24"/>
          <w:lang w:eastAsia="en-GB"/>
        </w:rPr>
        <w:t></w:t>
      </w:r>
      <w:r w:rsidRPr="0000215D">
        <w:rPr>
          <w:rFonts w:eastAsia="Times New Roman" w:cs="Times New Roman"/>
          <w:color w:val="auto"/>
          <w:szCs w:val="24"/>
          <w:lang w:eastAsia="en-GB"/>
        </w:rPr>
        <w:t xml:space="preserve">  Rasmussen, B., &amp; Meyer, M. (2021). </w:t>
      </w:r>
      <w:r w:rsidRPr="0000215D">
        <w:rPr>
          <w:rFonts w:eastAsia="Times New Roman" w:cs="Times New Roman"/>
          <w:i/>
          <w:iCs/>
          <w:color w:val="auto"/>
          <w:szCs w:val="24"/>
          <w:lang w:eastAsia="en-GB"/>
        </w:rPr>
        <w:t>Work-Life Balance in Culinary Professions: Gendered Experiences of Women Chefs</w:t>
      </w:r>
      <w:r w:rsidRPr="0000215D">
        <w:rPr>
          <w:rFonts w:eastAsia="Times New Roman" w:cs="Times New Roman"/>
          <w:color w:val="auto"/>
          <w:szCs w:val="24"/>
          <w:lang w:eastAsia="en-GB"/>
        </w:rPr>
        <w:t>. Journal of Gender Studies, 30(4), 411-424.</w:t>
      </w:r>
    </w:p>
    <w:p w14:paraId="227C0966" w14:textId="10161C05" w:rsidR="00D62BF0" w:rsidRPr="00FB7219" w:rsidRDefault="00D62BF0" w:rsidP="00FB7219">
      <w:pPr>
        <w:pStyle w:val="ListParagraph"/>
        <w:numPr>
          <w:ilvl w:val="0"/>
          <w:numId w:val="2"/>
        </w:numPr>
        <w:rPr>
          <w:rFonts w:eastAsia="Times New Roman" w:cs="Times New Roman"/>
          <w:color w:val="auto"/>
          <w:szCs w:val="24"/>
          <w:lang w:eastAsia="en-GB"/>
        </w:rPr>
      </w:pPr>
      <w:r>
        <w:t xml:space="preserve">Dube, L., &amp; Renaghan, L. M. (2019). </w:t>
      </w:r>
      <w:r>
        <w:rPr>
          <w:rStyle w:val="Emphasis"/>
        </w:rPr>
        <w:t>Hotel management and event planning: A strategic approach</w:t>
      </w:r>
      <w:r>
        <w:t>. Hospitality Management Review, 32(1), 112-124.</w:t>
      </w:r>
    </w:p>
    <w:p w14:paraId="5D5CD17A" w14:textId="2F1BE48D" w:rsidR="00E203D2" w:rsidRDefault="00E203D2" w:rsidP="00E203D2">
      <w:pPr>
        <w:pStyle w:val="ListParagraph"/>
        <w:numPr>
          <w:ilvl w:val="0"/>
          <w:numId w:val="2"/>
        </w:numPr>
      </w:pPr>
      <w:r>
        <w:t xml:space="preserve">Kagan, R. (2022). </w:t>
      </w:r>
      <w:r>
        <w:rPr>
          <w:rStyle w:val="Emphasis"/>
        </w:rPr>
        <w:t>Empowering Women in Hospitality: Creating Inclusive Kitchens and Workplaces</w:t>
      </w:r>
      <w:r>
        <w:t>. Journal of Culinary Arts, 18(2), 245-260.</w:t>
      </w:r>
    </w:p>
    <w:p w14:paraId="4E3377D8" w14:textId="77777777" w:rsidR="00FB7219" w:rsidRPr="00FB7219" w:rsidRDefault="00FB7219" w:rsidP="00FB7219">
      <w:pPr>
        <w:spacing w:after="0" w:line="240" w:lineRule="auto"/>
        <w:jc w:val="left"/>
        <w:rPr>
          <w:rFonts w:eastAsia="Times New Roman" w:cs="Times New Roman"/>
          <w:color w:val="auto"/>
          <w:szCs w:val="24"/>
          <w:lang w:eastAsia="en-GB"/>
        </w:rPr>
      </w:pPr>
      <w:r w:rsidRPr="00FB7219">
        <w:rPr>
          <w:rFonts w:eastAsia="Times New Roman" w:hAnsi="Symbol" w:cs="Times New Roman"/>
          <w:color w:val="auto"/>
          <w:szCs w:val="24"/>
          <w:lang w:eastAsia="en-GB"/>
        </w:rPr>
        <w:t></w:t>
      </w:r>
      <w:r w:rsidRPr="00FB7219">
        <w:rPr>
          <w:rFonts w:eastAsia="Times New Roman" w:cs="Times New Roman"/>
          <w:color w:val="auto"/>
          <w:szCs w:val="24"/>
          <w:lang w:eastAsia="en-GB"/>
        </w:rPr>
        <w:t xml:space="preserve">  Singh, A., &amp; Ahmed, R. (2024). </w:t>
      </w:r>
      <w:r w:rsidRPr="00FB7219">
        <w:rPr>
          <w:rFonts w:eastAsia="Times New Roman" w:cs="Times New Roman"/>
          <w:i/>
          <w:iCs/>
          <w:color w:val="auto"/>
          <w:szCs w:val="24"/>
          <w:lang w:eastAsia="en-GB"/>
        </w:rPr>
        <w:t>Empowering Women Chefs in South Asian Culinary Traditions: Diversity and Inclusion in the MICE Industry</w:t>
      </w:r>
      <w:r w:rsidRPr="00FB7219">
        <w:rPr>
          <w:rFonts w:eastAsia="Times New Roman" w:cs="Times New Roman"/>
          <w:color w:val="auto"/>
          <w:szCs w:val="24"/>
          <w:lang w:eastAsia="en-GB"/>
        </w:rPr>
        <w:t>. Journal of Culinary Diversity, 15(1), 34-47.</w:t>
      </w:r>
    </w:p>
    <w:p w14:paraId="27897675" w14:textId="77777777" w:rsidR="00FB7219" w:rsidRPr="00FB7219" w:rsidRDefault="00FB7219" w:rsidP="00FB7219">
      <w:pPr>
        <w:spacing w:after="0" w:line="240" w:lineRule="auto"/>
        <w:jc w:val="left"/>
        <w:rPr>
          <w:rFonts w:eastAsia="Times New Roman" w:cs="Times New Roman"/>
          <w:color w:val="auto"/>
          <w:szCs w:val="24"/>
          <w:lang w:eastAsia="en-GB"/>
        </w:rPr>
      </w:pPr>
      <w:r w:rsidRPr="00FB7219">
        <w:rPr>
          <w:rFonts w:eastAsia="Times New Roman" w:hAnsi="Symbol" w:cs="Times New Roman"/>
          <w:color w:val="auto"/>
          <w:szCs w:val="24"/>
          <w:lang w:eastAsia="en-GB"/>
        </w:rPr>
        <w:t></w:t>
      </w:r>
      <w:r w:rsidRPr="00FB7219">
        <w:rPr>
          <w:rFonts w:eastAsia="Times New Roman" w:cs="Times New Roman"/>
          <w:color w:val="auto"/>
          <w:szCs w:val="24"/>
          <w:lang w:eastAsia="en-GB"/>
        </w:rPr>
        <w:t xml:space="preserve">  Khan, A. (2023). </w:t>
      </w:r>
      <w:r w:rsidRPr="00FB7219">
        <w:rPr>
          <w:rFonts w:eastAsia="Times New Roman" w:cs="Times New Roman"/>
          <w:i/>
          <w:iCs/>
          <w:color w:val="auto"/>
          <w:szCs w:val="24"/>
          <w:lang w:eastAsia="en-GB"/>
        </w:rPr>
        <w:t>Breaking Barriers: Asma Khan's Journey in Redefining Indian Cuisine and Female Empowerment</w:t>
      </w:r>
      <w:r w:rsidRPr="00FB7219">
        <w:rPr>
          <w:rFonts w:eastAsia="Times New Roman" w:cs="Times New Roman"/>
          <w:color w:val="auto"/>
          <w:szCs w:val="24"/>
          <w:lang w:eastAsia="en-GB"/>
        </w:rPr>
        <w:t>. International Journal of Culinary Arts, 22(3), 56-70.</w:t>
      </w:r>
    </w:p>
    <w:p w14:paraId="7B90B09C" w14:textId="5F9229F0" w:rsidR="00FB7219" w:rsidRPr="0000215D" w:rsidRDefault="00FB7219" w:rsidP="00FB7219">
      <w:r w:rsidRPr="00FB7219">
        <w:rPr>
          <w:rFonts w:eastAsia="Times New Roman" w:hAnsi="Symbol" w:cs="Times New Roman"/>
          <w:color w:val="auto"/>
          <w:szCs w:val="24"/>
          <w:lang w:eastAsia="en-GB"/>
        </w:rPr>
        <w:t></w:t>
      </w:r>
      <w:r w:rsidRPr="00FB7219">
        <w:rPr>
          <w:rFonts w:eastAsia="Times New Roman" w:cs="Times New Roman"/>
          <w:color w:val="auto"/>
          <w:szCs w:val="24"/>
          <w:lang w:eastAsia="en-GB"/>
        </w:rPr>
        <w:t xml:space="preserve">  </w:t>
      </w:r>
      <w:proofErr w:type="spellStart"/>
      <w:r w:rsidRPr="00FB7219">
        <w:rPr>
          <w:rFonts w:eastAsia="Times New Roman" w:cs="Times New Roman"/>
          <w:color w:val="auto"/>
          <w:szCs w:val="24"/>
          <w:lang w:eastAsia="en-GB"/>
        </w:rPr>
        <w:t>Basu</w:t>
      </w:r>
      <w:proofErr w:type="spellEnd"/>
      <w:r w:rsidRPr="00FB7219">
        <w:rPr>
          <w:rFonts w:eastAsia="Times New Roman" w:cs="Times New Roman"/>
          <w:color w:val="auto"/>
          <w:szCs w:val="24"/>
          <w:lang w:eastAsia="en-GB"/>
        </w:rPr>
        <w:t xml:space="preserve">, S. (2023). </w:t>
      </w:r>
      <w:r w:rsidRPr="00FB7219">
        <w:rPr>
          <w:rFonts w:eastAsia="Times New Roman" w:cs="Times New Roman"/>
          <w:i/>
          <w:iCs/>
          <w:color w:val="auto"/>
          <w:szCs w:val="24"/>
          <w:lang w:eastAsia="en-GB"/>
        </w:rPr>
        <w:t xml:space="preserve">Reimagining Bangladeshi Cuisine: </w:t>
      </w:r>
      <w:proofErr w:type="spellStart"/>
      <w:r w:rsidRPr="00FB7219">
        <w:rPr>
          <w:rFonts w:eastAsia="Times New Roman" w:cs="Times New Roman"/>
          <w:i/>
          <w:iCs/>
          <w:color w:val="auto"/>
          <w:szCs w:val="24"/>
          <w:lang w:eastAsia="en-GB"/>
        </w:rPr>
        <w:t>Shrabani</w:t>
      </w:r>
      <w:proofErr w:type="spellEnd"/>
      <w:r w:rsidRPr="00FB7219">
        <w:rPr>
          <w:rFonts w:eastAsia="Times New Roman" w:cs="Times New Roman"/>
          <w:i/>
          <w:iCs/>
          <w:color w:val="auto"/>
          <w:szCs w:val="24"/>
          <w:lang w:eastAsia="en-GB"/>
        </w:rPr>
        <w:t xml:space="preserve"> </w:t>
      </w:r>
      <w:proofErr w:type="spellStart"/>
      <w:r w:rsidRPr="00FB7219">
        <w:rPr>
          <w:rFonts w:eastAsia="Times New Roman" w:cs="Times New Roman"/>
          <w:i/>
          <w:iCs/>
          <w:color w:val="auto"/>
          <w:szCs w:val="24"/>
          <w:lang w:eastAsia="en-GB"/>
        </w:rPr>
        <w:t>Basu’s</w:t>
      </w:r>
      <w:proofErr w:type="spellEnd"/>
      <w:r w:rsidRPr="00FB7219">
        <w:rPr>
          <w:rFonts w:eastAsia="Times New Roman" w:cs="Times New Roman"/>
          <w:i/>
          <w:iCs/>
          <w:color w:val="auto"/>
          <w:szCs w:val="24"/>
          <w:lang w:eastAsia="en-GB"/>
        </w:rPr>
        <w:t xml:space="preserve"> Influence on Diversity in Hospitality</w:t>
      </w:r>
      <w:r w:rsidRPr="00FB7219">
        <w:rPr>
          <w:rFonts w:eastAsia="Times New Roman" w:cs="Times New Roman"/>
          <w:color w:val="auto"/>
          <w:szCs w:val="24"/>
          <w:lang w:eastAsia="en-GB"/>
        </w:rPr>
        <w:t>. Journal of South Asian Culinary Arts, 18(2), 120-135.</w:t>
      </w:r>
    </w:p>
    <w:p w14:paraId="764F5EEC" w14:textId="77777777" w:rsidR="003E7D45" w:rsidRPr="003E7D45" w:rsidRDefault="003E7D45" w:rsidP="003E7D45">
      <w:pPr>
        <w:spacing w:after="0" w:line="240" w:lineRule="auto"/>
        <w:jc w:val="left"/>
        <w:rPr>
          <w:rFonts w:eastAsia="Times New Roman" w:cs="Times New Roman"/>
          <w:color w:val="auto"/>
          <w:szCs w:val="24"/>
          <w:lang w:eastAsia="en-GB"/>
        </w:rPr>
      </w:pPr>
      <w:r w:rsidRPr="003E7D45">
        <w:rPr>
          <w:rFonts w:eastAsia="Times New Roman" w:hAnsi="Symbol" w:cs="Times New Roman"/>
          <w:color w:val="auto"/>
          <w:szCs w:val="24"/>
          <w:lang w:eastAsia="en-GB"/>
        </w:rPr>
        <w:t></w:t>
      </w:r>
      <w:r w:rsidRPr="003E7D45">
        <w:rPr>
          <w:rFonts w:eastAsia="Times New Roman" w:cs="Times New Roman"/>
          <w:color w:val="auto"/>
          <w:szCs w:val="24"/>
          <w:lang w:eastAsia="en-GB"/>
        </w:rPr>
        <w:t xml:space="preserve">  McKinsey &amp; Company. (2024). </w:t>
      </w:r>
      <w:r w:rsidRPr="003E7D45">
        <w:rPr>
          <w:rFonts w:eastAsia="Times New Roman" w:cs="Times New Roman"/>
          <w:i/>
          <w:iCs/>
          <w:color w:val="auto"/>
          <w:szCs w:val="24"/>
          <w:lang w:eastAsia="en-GB"/>
        </w:rPr>
        <w:t>The state of diversity, equity, and inclusion in the MICE industry: A cross-sector perspective</w:t>
      </w:r>
      <w:r w:rsidRPr="003E7D45">
        <w:rPr>
          <w:rFonts w:eastAsia="Times New Roman" w:cs="Times New Roman"/>
          <w:color w:val="auto"/>
          <w:szCs w:val="24"/>
          <w:lang w:eastAsia="en-GB"/>
        </w:rPr>
        <w:t>. McKinsey Insights.</w:t>
      </w:r>
    </w:p>
    <w:p w14:paraId="5DF971A7" w14:textId="77777777" w:rsidR="003E7D45" w:rsidRPr="003E7D45" w:rsidRDefault="003E7D45" w:rsidP="003E7D45">
      <w:pPr>
        <w:spacing w:after="0" w:line="240" w:lineRule="auto"/>
        <w:jc w:val="left"/>
        <w:rPr>
          <w:rFonts w:eastAsia="Times New Roman" w:cs="Times New Roman"/>
          <w:color w:val="auto"/>
          <w:szCs w:val="24"/>
          <w:lang w:eastAsia="en-GB"/>
        </w:rPr>
      </w:pPr>
      <w:r w:rsidRPr="003E7D45">
        <w:rPr>
          <w:rFonts w:eastAsia="Times New Roman" w:hAnsi="Symbol" w:cs="Times New Roman"/>
          <w:color w:val="auto"/>
          <w:szCs w:val="24"/>
          <w:lang w:eastAsia="en-GB"/>
        </w:rPr>
        <w:t></w:t>
      </w:r>
      <w:r w:rsidRPr="003E7D45">
        <w:rPr>
          <w:rFonts w:eastAsia="Times New Roman" w:cs="Times New Roman"/>
          <w:color w:val="auto"/>
          <w:szCs w:val="24"/>
          <w:lang w:eastAsia="en-GB"/>
        </w:rPr>
        <w:t xml:space="preserve">  Harvard Business Review. (2023). </w:t>
      </w:r>
      <w:r w:rsidRPr="003E7D45">
        <w:rPr>
          <w:rFonts w:eastAsia="Times New Roman" w:cs="Times New Roman"/>
          <w:i/>
          <w:iCs/>
          <w:color w:val="auto"/>
          <w:szCs w:val="24"/>
          <w:lang w:eastAsia="en-GB"/>
        </w:rPr>
        <w:t>The increasing demand for targeted EDI training in the hospitality sector</w:t>
      </w:r>
      <w:r w:rsidRPr="003E7D45">
        <w:rPr>
          <w:rFonts w:eastAsia="Times New Roman" w:cs="Times New Roman"/>
          <w:color w:val="auto"/>
          <w:szCs w:val="24"/>
          <w:lang w:eastAsia="en-GB"/>
        </w:rPr>
        <w:t>. Harvard Business Review, 101(4), 72-80.</w:t>
      </w:r>
    </w:p>
    <w:p w14:paraId="6763050B" w14:textId="4589FF7D" w:rsidR="00874587" w:rsidRDefault="003E7D45" w:rsidP="003E7D45">
      <w:pPr>
        <w:rPr>
          <w:rFonts w:eastAsia="Times New Roman" w:cs="Times New Roman"/>
          <w:color w:val="auto"/>
          <w:szCs w:val="24"/>
          <w:lang w:eastAsia="en-GB"/>
        </w:rPr>
      </w:pPr>
      <w:r w:rsidRPr="003E7D45">
        <w:rPr>
          <w:rFonts w:eastAsia="Times New Roman" w:hAnsi="Symbol" w:cs="Times New Roman"/>
          <w:color w:val="auto"/>
          <w:szCs w:val="24"/>
          <w:lang w:eastAsia="en-GB"/>
        </w:rPr>
        <w:t></w:t>
      </w:r>
      <w:r w:rsidRPr="003E7D45">
        <w:rPr>
          <w:rFonts w:eastAsia="Times New Roman" w:cs="Times New Roman"/>
          <w:color w:val="auto"/>
          <w:szCs w:val="24"/>
          <w:lang w:eastAsia="en-GB"/>
        </w:rPr>
        <w:t xml:space="preserve">  Ghosh, S., Kumar, R., &amp; Patel, P. (2023). </w:t>
      </w:r>
      <w:r w:rsidRPr="003E7D45">
        <w:rPr>
          <w:rFonts w:eastAsia="Times New Roman" w:cs="Times New Roman"/>
          <w:i/>
          <w:iCs/>
          <w:color w:val="auto"/>
          <w:szCs w:val="24"/>
          <w:lang w:eastAsia="en-GB"/>
        </w:rPr>
        <w:t>Strategies for promoting diversity and inclusion within the culinary and hospitality industries</w:t>
      </w:r>
      <w:r w:rsidRPr="003E7D45">
        <w:rPr>
          <w:rFonts w:eastAsia="Times New Roman" w:cs="Times New Roman"/>
          <w:color w:val="auto"/>
          <w:szCs w:val="24"/>
          <w:lang w:eastAsia="en-GB"/>
        </w:rPr>
        <w:t>. Journal of Hospitality Management, 45(2), 115-130.</w:t>
      </w:r>
    </w:p>
    <w:p w14:paraId="4EA33BC9" w14:textId="77777777" w:rsidR="00CE439E" w:rsidRPr="00CE439E" w:rsidRDefault="00CE439E" w:rsidP="00CE439E">
      <w:pPr>
        <w:numPr>
          <w:ilvl w:val="0"/>
          <w:numId w:val="3"/>
        </w:numPr>
        <w:spacing w:before="100" w:beforeAutospacing="1" w:after="100" w:afterAutospacing="1" w:line="240" w:lineRule="auto"/>
        <w:jc w:val="left"/>
        <w:rPr>
          <w:rFonts w:eastAsia="Times New Roman" w:cs="Times New Roman"/>
          <w:color w:val="auto"/>
          <w:szCs w:val="24"/>
          <w:lang w:eastAsia="en-GB"/>
        </w:rPr>
      </w:pPr>
      <w:proofErr w:type="spellStart"/>
      <w:r w:rsidRPr="00CE439E">
        <w:rPr>
          <w:rFonts w:eastAsia="Times New Roman" w:cs="Times New Roman"/>
          <w:color w:val="auto"/>
          <w:szCs w:val="24"/>
          <w:lang w:eastAsia="en-GB"/>
        </w:rPr>
        <w:lastRenderedPageBreak/>
        <w:t>Dashper</w:t>
      </w:r>
      <w:proofErr w:type="spellEnd"/>
      <w:r w:rsidRPr="00CE439E">
        <w:rPr>
          <w:rFonts w:eastAsia="Times New Roman" w:cs="Times New Roman"/>
          <w:color w:val="auto"/>
          <w:szCs w:val="24"/>
          <w:lang w:eastAsia="en-GB"/>
        </w:rPr>
        <w:t xml:space="preserve">, K., &amp; Finkel, R. (2020). </w:t>
      </w:r>
      <w:r w:rsidRPr="00CE439E">
        <w:rPr>
          <w:rFonts w:eastAsia="Times New Roman" w:cs="Times New Roman"/>
          <w:i/>
          <w:iCs/>
          <w:color w:val="auto"/>
          <w:szCs w:val="24"/>
          <w:lang w:eastAsia="en-GB"/>
        </w:rPr>
        <w:t>Diversity and inclusion in MICE: Addressing the gaps</w:t>
      </w:r>
      <w:r w:rsidRPr="00CE439E">
        <w:rPr>
          <w:rFonts w:eastAsia="Times New Roman" w:cs="Times New Roman"/>
          <w:color w:val="auto"/>
          <w:szCs w:val="24"/>
          <w:lang w:eastAsia="en-GB"/>
        </w:rPr>
        <w:t>. Journal of Event Management, 12(1), 45-60.</w:t>
      </w:r>
    </w:p>
    <w:p w14:paraId="67397E56" w14:textId="77777777" w:rsidR="00CE439E" w:rsidRPr="00CE439E" w:rsidRDefault="00CE439E" w:rsidP="00CE439E">
      <w:pPr>
        <w:numPr>
          <w:ilvl w:val="0"/>
          <w:numId w:val="3"/>
        </w:numPr>
        <w:spacing w:before="100" w:beforeAutospacing="1" w:after="100" w:afterAutospacing="1" w:line="240" w:lineRule="auto"/>
        <w:jc w:val="left"/>
        <w:rPr>
          <w:rFonts w:eastAsia="Times New Roman" w:cs="Times New Roman"/>
          <w:color w:val="auto"/>
          <w:szCs w:val="24"/>
          <w:lang w:eastAsia="en-GB"/>
        </w:rPr>
      </w:pPr>
      <w:proofErr w:type="spellStart"/>
      <w:r w:rsidRPr="00CE439E">
        <w:rPr>
          <w:rFonts w:eastAsia="Times New Roman" w:cs="Times New Roman"/>
          <w:color w:val="auto"/>
          <w:szCs w:val="24"/>
          <w:lang w:eastAsia="en-GB"/>
        </w:rPr>
        <w:t>Micemag</w:t>
      </w:r>
      <w:proofErr w:type="spellEnd"/>
      <w:r w:rsidRPr="00CE439E">
        <w:rPr>
          <w:rFonts w:eastAsia="Times New Roman" w:cs="Times New Roman"/>
          <w:color w:val="auto"/>
          <w:szCs w:val="24"/>
          <w:lang w:eastAsia="en-GB"/>
        </w:rPr>
        <w:t xml:space="preserve">. (2023). </w:t>
      </w:r>
      <w:r w:rsidRPr="00CE439E">
        <w:rPr>
          <w:rFonts w:eastAsia="Times New Roman" w:cs="Times New Roman"/>
          <w:i/>
          <w:iCs/>
          <w:color w:val="auto"/>
          <w:szCs w:val="24"/>
          <w:lang w:eastAsia="en-GB"/>
        </w:rPr>
        <w:t>EDI in MICE: Bridging the gap between theory and practice</w:t>
      </w:r>
      <w:r w:rsidRPr="00CE439E">
        <w:rPr>
          <w:rFonts w:eastAsia="Times New Roman" w:cs="Times New Roman"/>
          <w:color w:val="auto"/>
          <w:szCs w:val="24"/>
          <w:lang w:eastAsia="en-GB"/>
        </w:rPr>
        <w:t>. MICE Industry Report, 17(3), 34-40.</w:t>
      </w:r>
    </w:p>
    <w:p w14:paraId="3DC64DFE" w14:textId="001A65D1" w:rsidR="00CE439E" w:rsidRDefault="00CE439E" w:rsidP="003E7D45">
      <w:pPr>
        <w:numPr>
          <w:ilvl w:val="0"/>
          <w:numId w:val="3"/>
        </w:numPr>
        <w:spacing w:before="100" w:beforeAutospacing="1" w:after="100" w:afterAutospacing="1" w:line="240" w:lineRule="auto"/>
        <w:jc w:val="left"/>
        <w:rPr>
          <w:rFonts w:eastAsia="Times New Roman" w:cs="Times New Roman"/>
          <w:color w:val="auto"/>
          <w:szCs w:val="24"/>
          <w:lang w:eastAsia="en-GB"/>
        </w:rPr>
      </w:pPr>
      <w:r w:rsidRPr="00CE439E">
        <w:rPr>
          <w:rFonts w:eastAsia="Times New Roman" w:cs="Times New Roman"/>
          <w:color w:val="auto"/>
          <w:szCs w:val="24"/>
          <w:lang w:eastAsia="en-GB"/>
        </w:rPr>
        <w:t xml:space="preserve">Hahn, J. (2021). </w:t>
      </w:r>
      <w:r w:rsidRPr="00CE439E">
        <w:rPr>
          <w:rFonts w:eastAsia="Times New Roman" w:cs="Times New Roman"/>
          <w:i/>
          <w:iCs/>
          <w:color w:val="auto"/>
          <w:szCs w:val="24"/>
          <w:lang w:eastAsia="en-GB"/>
        </w:rPr>
        <w:t>The demand for specialized EDI events in the evolving MICE sector</w:t>
      </w:r>
      <w:r w:rsidRPr="00CE439E">
        <w:rPr>
          <w:rFonts w:eastAsia="Times New Roman" w:cs="Times New Roman"/>
          <w:color w:val="auto"/>
          <w:szCs w:val="24"/>
          <w:lang w:eastAsia="en-GB"/>
        </w:rPr>
        <w:t>. International Journal of Hospitality and Tourism, 29(2), 123-135.</w:t>
      </w:r>
    </w:p>
    <w:p w14:paraId="6A64A416" w14:textId="1278D674" w:rsidR="00CE439E" w:rsidRPr="002A36F8" w:rsidRDefault="00CE439E" w:rsidP="003E7D45">
      <w:pPr>
        <w:numPr>
          <w:ilvl w:val="0"/>
          <w:numId w:val="3"/>
        </w:numPr>
        <w:spacing w:before="100" w:beforeAutospacing="1" w:after="100" w:afterAutospacing="1" w:line="240" w:lineRule="auto"/>
        <w:jc w:val="left"/>
        <w:rPr>
          <w:rFonts w:eastAsia="Times New Roman" w:cs="Times New Roman"/>
          <w:color w:val="auto"/>
          <w:szCs w:val="24"/>
          <w:lang w:eastAsia="en-GB"/>
        </w:rPr>
      </w:pPr>
      <w:r>
        <w:t xml:space="preserve">Meyer, A., &amp; Rowley, J. (2022). </w:t>
      </w:r>
      <w:r>
        <w:rPr>
          <w:rStyle w:val="Emphasis"/>
        </w:rPr>
        <w:t>Sustainable event planning: Catering, entertainment, and AV provision in the MICE industry</w:t>
      </w:r>
      <w:r>
        <w:t>. Journal of Event Management, 14(3), 82-94.</w:t>
      </w:r>
    </w:p>
    <w:p w14:paraId="407526EE" w14:textId="77777777" w:rsidR="002A36F8" w:rsidRDefault="002A36F8" w:rsidP="002A36F8">
      <w:pPr>
        <w:spacing w:line="240" w:lineRule="auto"/>
        <w:jc w:val="left"/>
        <w:rPr>
          <w:color w:val="auto"/>
        </w:rPr>
      </w:pPr>
      <w:r>
        <w:rPr>
          <w:rFonts w:hAnsi="Symbol"/>
        </w:rPr>
        <w:t></w:t>
      </w:r>
      <w:r>
        <w:t xml:space="preserve">  Berry, L. (2021). </w:t>
      </w:r>
      <w:r>
        <w:rPr>
          <w:rStyle w:val="Emphasis"/>
        </w:rPr>
        <w:t>Customer service in the hospitality industry</w:t>
      </w:r>
      <w:r>
        <w:t>. Oxford University Press.</w:t>
      </w:r>
    </w:p>
    <w:p w14:paraId="696348EF" w14:textId="77777777" w:rsidR="002A36F8" w:rsidRDefault="002A36F8" w:rsidP="002A36F8">
      <w:r>
        <w:rPr>
          <w:rFonts w:hAnsi="Symbol"/>
        </w:rPr>
        <w:t></w:t>
      </w:r>
      <w:r>
        <w:t xml:space="preserve">  Christofle, E., Roussillon, D., &amp; Finkel, A. (2023). </w:t>
      </w:r>
      <w:r>
        <w:rPr>
          <w:rStyle w:val="Emphasis"/>
        </w:rPr>
        <w:t>Diversity and inclusion in MICE industries: Best practices and strategies</w:t>
      </w:r>
      <w:r>
        <w:t>. International Journal of Hospitality Management, 50(4), 198-212.</w:t>
      </w:r>
    </w:p>
    <w:p w14:paraId="20F1D5D0" w14:textId="77777777" w:rsidR="002A36F8" w:rsidRDefault="002A36F8" w:rsidP="002A36F8">
      <w:r>
        <w:rPr>
          <w:rFonts w:hAnsi="Symbol"/>
        </w:rPr>
        <w:t></w:t>
      </w:r>
      <w:r>
        <w:t xml:space="preserve">  Deloitte. (2023). </w:t>
      </w:r>
      <w:r>
        <w:rPr>
          <w:rStyle w:val="Emphasis"/>
        </w:rPr>
        <w:t>Marketing strategies for event promotion</w:t>
      </w:r>
      <w:r>
        <w:t xml:space="preserve">. Deloitte Insights. Available at: </w:t>
      </w:r>
      <w:hyperlink r:id="rId18" w:tgtFrame="_new" w:history="1">
        <w:r>
          <w:rPr>
            <w:rStyle w:val="Hyperlink"/>
          </w:rPr>
          <w:t>https://www.deloitte.com</w:t>
        </w:r>
      </w:hyperlink>
    </w:p>
    <w:p w14:paraId="78A44FFF" w14:textId="77777777" w:rsidR="002A36F8" w:rsidRDefault="002A36F8" w:rsidP="002A36F8">
      <w:r>
        <w:rPr>
          <w:rFonts w:hAnsi="Symbol"/>
        </w:rPr>
        <w:t></w:t>
      </w:r>
      <w:r>
        <w:t xml:space="preserve">  Event Industry Council. (2022). </w:t>
      </w:r>
      <w:r>
        <w:rPr>
          <w:rStyle w:val="Emphasis"/>
        </w:rPr>
        <w:t>The essential guide to technical staff and AV setups for hybrid events</w:t>
      </w:r>
      <w:r>
        <w:t>. Event Industry Council.</w:t>
      </w:r>
    </w:p>
    <w:p w14:paraId="529DD5C2" w14:textId="77777777" w:rsidR="002A36F8" w:rsidRDefault="002A36F8" w:rsidP="002A36F8">
      <w:r>
        <w:rPr>
          <w:rFonts w:hAnsi="Symbol"/>
        </w:rPr>
        <w:t></w:t>
      </w:r>
      <w:r>
        <w:t xml:space="preserve">  Graham, D. (2022). </w:t>
      </w:r>
      <w:r>
        <w:rPr>
          <w:rStyle w:val="Emphasis"/>
        </w:rPr>
        <w:t>Event coordination and logistics management</w:t>
      </w:r>
      <w:r>
        <w:t>. Routledge.</w:t>
      </w:r>
    </w:p>
    <w:p w14:paraId="0C1E5184" w14:textId="77777777" w:rsidR="002A36F8" w:rsidRDefault="002A36F8" w:rsidP="002A36F8">
      <w:r>
        <w:rPr>
          <w:rFonts w:hAnsi="Symbol"/>
        </w:rPr>
        <w:t></w:t>
      </w:r>
      <w:r>
        <w:t xml:space="preserve">  Khan, A. (2023). </w:t>
      </w:r>
      <w:r>
        <w:rPr>
          <w:rStyle w:val="Emphasis"/>
        </w:rPr>
        <w:t>Breaking barriers: The rise of female chefs in the culinary world</w:t>
      </w:r>
      <w:r>
        <w:t>. Culinary Press.</w:t>
      </w:r>
    </w:p>
    <w:p w14:paraId="25A2847B" w14:textId="0229E6DC" w:rsidR="002A36F8" w:rsidRPr="00CE439E" w:rsidRDefault="002A36F8" w:rsidP="002A36F8">
      <w:pPr>
        <w:spacing w:before="100" w:beforeAutospacing="1" w:after="100" w:afterAutospacing="1" w:line="240" w:lineRule="auto"/>
        <w:jc w:val="left"/>
        <w:rPr>
          <w:rFonts w:eastAsia="Times New Roman" w:cs="Times New Roman"/>
          <w:color w:val="auto"/>
          <w:szCs w:val="24"/>
          <w:lang w:eastAsia="en-GB"/>
        </w:rPr>
      </w:pPr>
      <w:r>
        <w:rPr>
          <w:rFonts w:hAnsi="Symbol"/>
        </w:rPr>
        <w:t></w:t>
      </w:r>
      <w:r>
        <w:t xml:space="preserve">  Kotler, P., &amp; Keller, K. L. (2021). </w:t>
      </w:r>
      <w:r>
        <w:rPr>
          <w:rStyle w:val="Emphasis"/>
        </w:rPr>
        <w:t>Marketing management</w:t>
      </w:r>
      <w:r>
        <w:t xml:space="preserve"> (15th ed.). Pearson Education.</w:t>
      </w:r>
    </w:p>
    <w:p w14:paraId="7BD2E29F" w14:textId="787A6F4C" w:rsidR="00874587" w:rsidRDefault="00874587" w:rsidP="00874587"/>
    <w:p w14:paraId="73720F95" w14:textId="0E2A4C38" w:rsidR="00874587" w:rsidRDefault="00874587" w:rsidP="00874587"/>
    <w:p w14:paraId="3E220F8F" w14:textId="236384B7" w:rsidR="00874587" w:rsidRPr="00874587" w:rsidRDefault="00874587" w:rsidP="00874587"/>
    <w:sectPr w:rsidR="00874587" w:rsidRPr="008745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558DA"/>
    <w:multiLevelType w:val="multilevel"/>
    <w:tmpl w:val="B4383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57AA9"/>
    <w:multiLevelType w:val="hybridMultilevel"/>
    <w:tmpl w:val="42B45D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BD604F"/>
    <w:multiLevelType w:val="hybridMultilevel"/>
    <w:tmpl w:val="E60CDBDC"/>
    <w:lvl w:ilvl="0" w:tplc="1DF6B772">
      <w:start w:val="1"/>
      <w:numFmt w:val="bullet"/>
      <w:lvlText w:val=""/>
      <w:lvlJc w:val="left"/>
      <w:pPr>
        <w:tabs>
          <w:tab w:val="num" w:pos="720"/>
        </w:tabs>
        <w:ind w:left="720" w:hanging="360"/>
      </w:pPr>
      <w:rPr>
        <w:rFonts w:ascii="Symbol" w:hAnsi="Symbol" w:hint="default"/>
      </w:rPr>
    </w:lvl>
    <w:lvl w:ilvl="1" w:tplc="08367108" w:tentative="1">
      <w:start w:val="1"/>
      <w:numFmt w:val="bullet"/>
      <w:lvlText w:val=""/>
      <w:lvlJc w:val="left"/>
      <w:pPr>
        <w:tabs>
          <w:tab w:val="num" w:pos="1440"/>
        </w:tabs>
        <w:ind w:left="1440" w:hanging="360"/>
      </w:pPr>
      <w:rPr>
        <w:rFonts w:ascii="Symbol" w:hAnsi="Symbol" w:hint="default"/>
      </w:rPr>
    </w:lvl>
    <w:lvl w:ilvl="2" w:tplc="9D0C69AE" w:tentative="1">
      <w:start w:val="1"/>
      <w:numFmt w:val="bullet"/>
      <w:lvlText w:val=""/>
      <w:lvlJc w:val="left"/>
      <w:pPr>
        <w:tabs>
          <w:tab w:val="num" w:pos="2160"/>
        </w:tabs>
        <w:ind w:left="2160" w:hanging="360"/>
      </w:pPr>
      <w:rPr>
        <w:rFonts w:ascii="Symbol" w:hAnsi="Symbol" w:hint="default"/>
      </w:rPr>
    </w:lvl>
    <w:lvl w:ilvl="3" w:tplc="9A0417F2" w:tentative="1">
      <w:start w:val="1"/>
      <w:numFmt w:val="bullet"/>
      <w:lvlText w:val=""/>
      <w:lvlJc w:val="left"/>
      <w:pPr>
        <w:tabs>
          <w:tab w:val="num" w:pos="2880"/>
        </w:tabs>
        <w:ind w:left="2880" w:hanging="360"/>
      </w:pPr>
      <w:rPr>
        <w:rFonts w:ascii="Symbol" w:hAnsi="Symbol" w:hint="default"/>
      </w:rPr>
    </w:lvl>
    <w:lvl w:ilvl="4" w:tplc="279CE430" w:tentative="1">
      <w:start w:val="1"/>
      <w:numFmt w:val="bullet"/>
      <w:lvlText w:val=""/>
      <w:lvlJc w:val="left"/>
      <w:pPr>
        <w:tabs>
          <w:tab w:val="num" w:pos="3600"/>
        </w:tabs>
        <w:ind w:left="3600" w:hanging="360"/>
      </w:pPr>
      <w:rPr>
        <w:rFonts w:ascii="Symbol" w:hAnsi="Symbol" w:hint="default"/>
      </w:rPr>
    </w:lvl>
    <w:lvl w:ilvl="5" w:tplc="87928D02" w:tentative="1">
      <w:start w:val="1"/>
      <w:numFmt w:val="bullet"/>
      <w:lvlText w:val=""/>
      <w:lvlJc w:val="left"/>
      <w:pPr>
        <w:tabs>
          <w:tab w:val="num" w:pos="4320"/>
        </w:tabs>
        <w:ind w:left="4320" w:hanging="360"/>
      </w:pPr>
      <w:rPr>
        <w:rFonts w:ascii="Symbol" w:hAnsi="Symbol" w:hint="default"/>
      </w:rPr>
    </w:lvl>
    <w:lvl w:ilvl="6" w:tplc="048EF858" w:tentative="1">
      <w:start w:val="1"/>
      <w:numFmt w:val="bullet"/>
      <w:lvlText w:val=""/>
      <w:lvlJc w:val="left"/>
      <w:pPr>
        <w:tabs>
          <w:tab w:val="num" w:pos="5040"/>
        </w:tabs>
        <w:ind w:left="5040" w:hanging="360"/>
      </w:pPr>
      <w:rPr>
        <w:rFonts w:ascii="Symbol" w:hAnsi="Symbol" w:hint="default"/>
      </w:rPr>
    </w:lvl>
    <w:lvl w:ilvl="7" w:tplc="07FA6E96" w:tentative="1">
      <w:start w:val="1"/>
      <w:numFmt w:val="bullet"/>
      <w:lvlText w:val=""/>
      <w:lvlJc w:val="left"/>
      <w:pPr>
        <w:tabs>
          <w:tab w:val="num" w:pos="5760"/>
        </w:tabs>
        <w:ind w:left="5760" w:hanging="360"/>
      </w:pPr>
      <w:rPr>
        <w:rFonts w:ascii="Symbol" w:hAnsi="Symbol" w:hint="default"/>
      </w:rPr>
    </w:lvl>
    <w:lvl w:ilvl="8" w:tplc="D3026914"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CC706FA"/>
    <w:multiLevelType w:val="multilevel"/>
    <w:tmpl w:val="A814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394DCB"/>
    <w:multiLevelType w:val="multilevel"/>
    <w:tmpl w:val="5424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6B32D8"/>
    <w:multiLevelType w:val="multilevel"/>
    <w:tmpl w:val="AB2AF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F266EA"/>
    <w:multiLevelType w:val="multilevel"/>
    <w:tmpl w:val="D794C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1551C8"/>
    <w:multiLevelType w:val="multilevel"/>
    <w:tmpl w:val="7B56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6A0296"/>
    <w:multiLevelType w:val="multilevel"/>
    <w:tmpl w:val="C284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F50EE"/>
    <w:multiLevelType w:val="multilevel"/>
    <w:tmpl w:val="1674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F461F0"/>
    <w:multiLevelType w:val="multilevel"/>
    <w:tmpl w:val="E62E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CA7463"/>
    <w:multiLevelType w:val="multilevel"/>
    <w:tmpl w:val="7D1285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7D493D68"/>
    <w:multiLevelType w:val="multilevel"/>
    <w:tmpl w:val="DB5E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1052300">
    <w:abstractNumId w:val="6"/>
  </w:num>
  <w:num w:numId="2" w16cid:durableId="1857887950">
    <w:abstractNumId w:val="1"/>
  </w:num>
  <w:num w:numId="3" w16cid:durableId="1856772921">
    <w:abstractNumId w:val="11"/>
  </w:num>
  <w:num w:numId="4" w16cid:durableId="731855216">
    <w:abstractNumId w:val="9"/>
  </w:num>
  <w:num w:numId="5" w16cid:durableId="1177766751">
    <w:abstractNumId w:val="5"/>
  </w:num>
  <w:num w:numId="6" w16cid:durableId="1272319811">
    <w:abstractNumId w:val="8"/>
  </w:num>
  <w:num w:numId="7" w16cid:durableId="983849451">
    <w:abstractNumId w:val="10"/>
  </w:num>
  <w:num w:numId="8" w16cid:durableId="1754156954">
    <w:abstractNumId w:val="7"/>
  </w:num>
  <w:num w:numId="9" w16cid:durableId="271325381">
    <w:abstractNumId w:val="3"/>
  </w:num>
  <w:num w:numId="10" w16cid:durableId="786654240">
    <w:abstractNumId w:val="2"/>
  </w:num>
  <w:num w:numId="11" w16cid:durableId="57439368">
    <w:abstractNumId w:val="0"/>
  </w:num>
  <w:num w:numId="12" w16cid:durableId="1212232753">
    <w:abstractNumId w:val="12"/>
  </w:num>
  <w:num w:numId="13" w16cid:durableId="20876810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587"/>
    <w:rsid w:val="0000215D"/>
    <w:rsid w:val="00093A2A"/>
    <w:rsid w:val="002A36F8"/>
    <w:rsid w:val="002C29EE"/>
    <w:rsid w:val="00337912"/>
    <w:rsid w:val="003E7D45"/>
    <w:rsid w:val="00826DAD"/>
    <w:rsid w:val="00874587"/>
    <w:rsid w:val="00941B4F"/>
    <w:rsid w:val="00C25F0D"/>
    <w:rsid w:val="00CE439E"/>
    <w:rsid w:val="00D62BF0"/>
    <w:rsid w:val="00E203D2"/>
    <w:rsid w:val="00EE2037"/>
    <w:rsid w:val="00FB7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8EDBC"/>
  <w15:chartTrackingRefBased/>
  <w15:docId w15:val="{AE157BAE-9BED-4B1F-915A-06585D5DB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587"/>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8745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0215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587"/>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00215D"/>
    <w:rPr>
      <w:rFonts w:asciiTheme="majorHAnsi" w:eastAsiaTheme="majorEastAsia" w:hAnsiTheme="majorHAnsi" w:cstheme="majorBidi"/>
      <w:color w:val="1F3763" w:themeColor="accent1" w:themeShade="7F"/>
      <w:kern w:val="0"/>
      <w:sz w:val="24"/>
      <w:szCs w:val="24"/>
      <w14:ligatures w14:val="none"/>
    </w:rPr>
  </w:style>
  <w:style w:type="character" w:styleId="Strong">
    <w:name w:val="Strong"/>
    <w:basedOn w:val="DefaultParagraphFont"/>
    <w:uiPriority w:val="22"/>
    <w:qFormat/>
    <w:rsid w:val="0000215D"/>
    <w:rPr>
      <w:b/>
      <w:bCs/>
    </w:rPr>
  </w:style>
  <w:style w:type="paragraph" w:styleId="NormalWeb">
    <w:name w:val="Normal (Web)"/>
    <w:basedOn w:val="Normal"/>
    <w:uiPriority w:val="99"/>
    <w:unhideWhenUsed/>
    <w:rsid w:val="0000215D"/>
    <w:pPr>
      <w:spacing w:before="100" w:beforeAutospacing="1" w:after="100" w:afterAutospacing="1" w:line="240" w:lineRule="auto"/>
      <w:jc w:val="left"/>
    </w:pPr>
    <w:rPr>
      <w:rFonts w:eastAsia="Times New Roman" w:cs="Times New Roman"/>
      <w:color w:val="auto"/>
      <w:szCs w:val="24"/>
      <w:lang w:eastAsia="en-GB"/>
    </w:rPr>
  </w:style>
  <w:style w:type="character" w:styleId="Emphasis">
    <w:name w:val="Emphasis"/>
    <w:basedOn w:val="DefaultParagraphFont"/>
    <w:uiPriority w:val="20"/>
    <w:qFormat/>
    <w:rsid w:val="0000215D"/>
    <w:rPr>
      <w:i/>
      <w:iCs/>
    </w:rPr>
  </w:style>
  <w:style w:type="paragraph" w:styleId="TOCHeading">
    <w:name w:val="TOC Heading"/>
    <w:basedOn w:val="Heading1"/>
    <w:next w:val="Normal"/>
    <w:uiPriority w:val="39"/>
    <w:unhideWhenUsed/>
    <w:qFormat/>
    <w:rsid w:val="0000215D"/>
    <w:pPr>
      <w:spacing w:line="259" w:lineRule="auto"/>
      <w:jc w:val="left"/>
      <w:outlineLvl w:val="9"/>
    </w:pPr>
    <w:rPr>
      <w:lang w:val="en-US"/>
    </w:rPr>
  </w:style>
  <w:style w:type="paragraph" w:styleId="TOC1">
    <w:name w:val="toc 1"/>
    <w:basedOn w:val="Normal"/>
    <w:next w:val="Normal"/>
    <w:autoRedefine/>
    <w:uiPriority w:val="39"/>
    <w:unhideWhenUsed/>
    <w:rsid w:val="0000215D"/>
    <w:pPr>
      <w:spacing w:after="100"/>
    </w:pPr>
  </w:style>
  <w:style w:type="character" w:styleId="Hyperlink">
    <w:name w:val="Hyperlink"/>
    <w:basedOn w:val="DefaultParagraphFont"/>
    <w:uiPriority w:val="99"/>
    <w:unhideWhenUsed/>
    <w:rsid w:val="0000215D"/>
    <w:rPr>
      <w:color w:val="0563C1" w:themeColor="hyperlink"/>
      <w:u w:val="single"/>
    </w:rPr>
  </w:style>
  <w:style w:type="paragraph" w:styleId="ListParagraph">
    <w:name w:val="List Paragraph"/>
    <w:basedOn w:val="Normal"/>
    <w:uiPriority w:val="34"/>
    <w:qFormat/>
    <w:rsid w:val="00E203D2"/>
    <w:pPr>
      <w:ind w:left="720"/>
      <w:contextualSpacing/>
    </w:pPr>
  </w:style>
  <w:style w:type="character" w:customStyle="1" w:styleId="overflow-hidden">
    <w:name w:val="overflow-hidden"/>
    <w:basedOn w:val="DefaultParagraphFont"/>
    <w:rsid w:val="00CE4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748893">
      <w:bodyDiv w:val="1"/>
      <w:marLeft w:val="0"/>
      <w:marRight w:val="0"/>
      <w:marTop w:val="0"/>
      <w:marBottom w:val="0"/>
      <w:divBdr>
        <w:top w:val="none" w:sz="0" w:space="0" w:color="auto"/>
        <w:left w:val="none" w:sz="0" w:space="0" w:color="auto"/>
        <w:bottom w:val="none" w:sz="0" w:space="0" w:color="auto"/>
        <w:right w:val="none" w:sz="0" w:space="0" w:color="auto"/>
      </w:divBdr>
    </w:div>
    <w:div w:id="383722813">
      <w:bodyDiv w:val="1"/>
      <w:marLeft w:val="0"/>
      <w:marRight w:val="0"/>
      <w:marTop w:val="0"/>
      <w:marBottom w:val="0"/>
      <w:divBdr>
        <w:top w:val="none" w:sz="0" w:space="0" w:color="auto"/>
        <w:left w:val="none" w:sz="0" w:space="0" w:color="auto"/>
        <w:bottom w:val="none" w:sz="0" w:space="0" w:color="auto"/>
        <w:right w:val="none" w:sz="0" w:space="0" w:color="auto"/>
      </w:divBdr>
    </w:div>
    <w:div w:id="462042156">
      <w:bodyDiv w:val="1"/>
      <w:marLeft w:val="0"/>
      <w:marRight w:val="0"/>
      <w:marTop w:val="0"/>
      <w:marBottom w:val="0"/>
      <w:divBdr>
        <w:top w:val="none" w:sz="0" w:space="0" w:color="auto"/>
        <w:left w:val="none" w:sz="0" w:space="0" w:color="auto"/>
        <w:bottom w:val="none" w:sz="0" w:space="0" w:color="auto"/>
        <w:right w:val="none" w:sz="0" w:space="0" w:color="auto"/>
      </w:divBdr>
    </w:div>
    <w:div w:id="941718080">
      <w:bodyDiv w:val="1"/>
      <w:marLeft w:val="0"/>
      <w:marRight w:val="0"/>
      <w:marTop w:val="0"/>
      <w:marBottom w:val="0"/>
      <w:divBdr>
        <w:top w:val="none" w:sz="0" w:space="0" w:color="auto"/>
        <w:left w:val="none" w:sz="0" w:space="0" w:color="auto"/>
        <w:bottom w:val="none" w:sz="0" w:space="0" w:color="auto"/>
        <w:right w:val="none" w:sz="0" w:space="0" w:color="auto"/>
      </w:divBdr>
    </w:div>
    <w:div w:id="1118909818">
      <w:bodyDiv w:val="1"/>
      <w:marLeft w:val="0"/>
      <w:marRight w:val="0"/>
      <w:marTop w:val="0"/>
      <w:marBottom w:val="0"/>
      <w:divBdr>
        <w:top w:val="none" w:sz="0" w:space="0" w:color="auto"/>
        <w:left w:val="none" w:sz="0" w:space="0" w:color="auto"/>
        <w:bottom w:val="none" w:sz="0" w:space="0" w:color="auto"/>
        <w:right w:val="none" w:sz="0" w:space="0" w:color="auto"/>
      </w:divBdr>
      <w:divsChild>
        <w:div w:id="218398053">
          <w:marLeft w:val="0"/>
          <w:marRight w:val="0"/>
          <w:marTop w:val="0"/>
          <w:marBottom w:val="0"/>
          <w:divBdr>
            <w:top w:val="none" w:sz="0" w:space="0" w:color="auto"/>
            <w:left w:val="none" w:sz="0" w:space="0" w:color="auto"/>
            <w:bottom w:val="none" w:sz="0" w:space="0" w:color="auto"/>
            <w:right w:val="none" w:sz="0" w:space="0" w:color="auto"/>
          </w:divBdr>
          <w:divsChild>
            <w:div w:id="26222758">
              <w:marLeft w:val="0"/>
              <w:marRight w:val="0"/>
              <w:marTop w:val="0"/>
              <w:marBottom w:val="0"/>
              <w:divBdr>
                <w:top w:val="none" w:sz="0" w:space="0" w:color="auto"/>
                <w:left w:val="none" w:sz="0" w:space="0" w:color="auto"/>
                <w:bottom w:val="none" w:sz="0" w:space="0" w:color="auto"/>
                <w:right w:val="none" w:sz="0" w:space="0" w:color="auto"/>
              </w:divBdr>
              <w:divsChild>
                <w:div w:id="1464620568">
                  <w:marLeft w:val="0"/>
                  <w:marRight w:val="0"/>
                  <w:marTop w:val="0"/>
                  <w:marBottom w:val="0"/>
                  <w:divBdr>
                    <w:top w:val="none" w:sz="0" w:space="0" w:color="auto"/>
                    <w:left w:val="none" w:sz="0" w:space="0" w:color="auto"/>
                    <w:bottom w:val="none" w:sz="0" w:space="0" w:color="auto"/>
                    <w:right w:val="none" w:sz="0" w:space="0" w:color="auto"/>
                  </w:divBdr>
                  <w:divsChild>
                    <w:div w:id="161313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666490">
          <w:marLeft w:val="0"/>
          <w:marRight w:val="0"/>
          <w:marTop w:val="0"/>
          <w:marBottom w:val="0"/>
          <w:divBdr>
            <w:top w:val="none" w:sz="0" w:space="0" w:color="auto"/>
            <w:left w:val="none" w:sz="0" w:space="0" w:color="auto"/>
            <w:bottom w:val="none" w:sz="0" w:space="0" w:color="auto"/>
            <w:right w:val="none" w:sz="0" w:space="0" w:color="auto"/>
          </w:divBdr>
          <w:divsChild>
            <w:div w:id="644312288">
              <w:marLeft w:val="0"/>
              <w:marRight w:val="0"/>
              <w:marTop w:val="0"/>
              <w:marBottom w:val="0"/>
              <w:divBdr>
                <w:top w:val="none" w:sz="0" w:space="0" w:color="auto"/>
                <w:left w:val="none" w:sz="0" w:space="0" w:color="auto"/>
                <w:bottom w:val="none" w:sz="0" w:space="0" w:color="auto"/>
                <w:right w:val="none" w:sz="0" w:space="0" w:color="auto"/>
              </w:divBdr>
              <w:divsChild>
                <w:div w:id="1463232999">
                  <w:marLeft w:val="0"/>
                  <w:marRight w:val="0"/>
                  <w:marTop w:val="0"/>
                  <w:marBottom w:val="0"/>
                  <w:divBdr>
                    <w:top w:val="none" w:sz="0" w:space="0" w:color="auto"/>
                    <w:left w:val="none" w:sz="0" w:space="0" w:color="auto"/>
                    <w:bottom w:val="none" w:sz="0" w:space="0" w:color="auto"/>
                    <w:right w:val="none" w:sz="0" w:space="0" w:color="auto"/>
                  </w:divBdr>
                  <w:divsChild>
                    <w:div w:id="125917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567882">
      <w:bodyDiv w:val="1"/>
      <w:marLeft w:val="0"/>
      <w:marRight w:val="0"/>
      <w:marTop w:val="0"/>
      <w:marBottom w:val="0"/>
      <w:divBdr>
        <w:top w:val="none" w:sz="0" w:space="0" w:color="auto"/>
        <w:left w:val="none" w:sz="0" w:space="0" w:color="auto"/>
        <w:bottom w:val="none" w:sz="0" w:space="0" w:color="auto"/>
        <w:right w:val="none" w:sz="0" w:space="0" w:color="auto"/>
      </w:divBdr>
    </w:div>
    <w:div w:id="1915241070">
      <w:bodyDiv w:val="1"/>
      <w:marLeft w:val="0"/>
      <w:marRight w:val="0"/>
      <w:marTop w:val="0"/>
      <w:marBottom w:val="0"/>
      <w:divBdr>
        <w:top w:val="none" w:sz="0" w:space="0" w:color="auto"/>
        <w:left w:val="none" w:sz="0" w:space="0" w:color="auto"/>
        <w:bottom w:val="none" w:sz="0" w:space="0" w:color="auto"/>
        <w:right w:val="none" w:sz="0" w:space="0" w:color="auto"/>
      </w:divBdr>
    </w:div>
    <w:div w:id="1982032081">
      <w:bodyDiv w:val="1"/>
      <w:marLeft w:val="0"/>
      <w:marRight w:val="0"/>
      <w:marTop w:val="0"/>
      <w:marBottom w:val="0"/>
      <w:divBdr>
        <w:top w:val="none" w:sz="0" w:space="0" w:color="auto"/>
        <w:left w:val="none" w:sz="0" w:space="0" w:color="auto"/>
        <w:bottom w:val="none" w:sz="0" w:space="0" w:color="auto"/>
        <w:right w:val="none" w:sz="0" w:space="0" w:color="auto"/>
      </w:divBdr>
    </w:div>
    <w:div w:id="2065374919">
      <w:bodyDiv w:val="1"/>
      <w:marLeft w:val="0"/>
      <w:marRight w:val="0"/>
      <w:marTop w:val="0"/>
      <w:marBottom w:val="0"/>
      <w:divBdr>
        <w:top w:val="none" w:sz="0" w:space="0" w:color="auto"/>
        <w:left w:val="none" w:sz="0" w:space="0" w:color="auto"/>
        <w:bottom w:val="none" w:sz="0" w:space="0" w:color="auto"/>
        <w:right w:val="none" w:sz="0" w:space="0" w:color="auto"/>
      </w:divBdr>
      <w:divsChild>
        <w:div w:id="1363284413">
          <w:marLeft w:val="547"/>
          <w:marRight w:val="0"/>
          <w:marTop w:val="0"/>
          <w:marBottom w:val="160"/>
          <w:divBdr>
            <w:top w:val="none" w:sz="0" w:space="0" w:color="auto"/>
            <w:left w:val="none" w:sz="0" w:space="0" w:color="auto"/>
            <w:bottom w:val="none" w:sz="0" w:space="0" w:color="auto"/>
            <w:right w:val="none" w:sz="0" w:space="0" w:color="auto"/>
          </w:divBdr>
        </w:div>
      </w:divsChild>
    </w:div>
    <w:div w:id="212364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deloitte.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F5DDC1-ACEC-44D0-8454-1DFBAED5C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17</Pages>
  <Words>3455</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2</cp:revision>
  <dcterms:created xsi:type="dcterms:W3CDTF">2025-01-27T21:13:00Z</dcterms:created>
  <dcterms:modified xsi:type="dcterms:W3CDTF">2025-01-27T23:18:00Z</dcterms:modified>
</cp:coreProperties>
</file>