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sz w:val="23"/>
          <w:szCs w:val="23"/>
        </w:rPr>
        <w:id w:val="1870026428"/>
        <w:docPartObj>
          <w:docPartGallery w:val="AutoText"/>
        </w:docPartObj>
      </w:sdtPr>
      <w:sdtEndPr>
        <w:rPr>
          <w:sz w:val="24"/>
          <w:szCs w:val="22"/>
        </w:rPr>
      </w:sdtEndPr>
      <w:sdtContent>
        <w:p w14:paraId="0B41DA74">
          <w:pPr>
            <w:jc w:val="left"/>
            <w:rPr>
              <w:sz w:val="23"/>
              <w:szCs w:val="23"/>
            </w:rPr>
          </w:pPr>
          <w:r>
            <w:rPr>
              <w:sz w:val="23"/>
              <w:szCs w:val="23"/>
            </w:rPr>
            <w:drawing>
              <wp:inline distT="0" distB="0" distL="0" distR="0">
                <wp:extent cx="2157095" cy="862965"/>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 up of a logo&#10;&#10;Description automatically generated"/>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6607D9C6">
          <w:pPr>
            <w:jc w:val="left"/>
            <w:rPr>
              <w:rFonts w:cs="Times New Roman"/>
              <w:sz w:val="23"/>
              <w:szCs w:val="23"/>
            </w:rPr>
          </w:pPr>
        </w:p>
        <w:p w14:paraId="2983E7F0">
          <w:pPr>
            <w:jc w:val="left"/>
            <w:rPr>
              <w:rFonts w:cs="Times New Roman"/>
              <w:b/>
              <w:bCs/>
              <w:sz w:val="23"/>
              <w:szCs w:val="23"/>
            </w:rPr>
          </w:pPr>
          <w:r>
            <w:rPr>
              <w:rFonts w:cs="Times New Roman"/>
              <w:b/>
              <w:bCs/>
              <w:sz w:val="23"/>
              <w:szCs w:val="23"/>
            </w:rPr>
            <w:t>Corporate Finance (LCMB7005)</w:t>
          </w:r>
        </w:p>
        <w:p w14:paraId="5F5DD263">
          <w:pPr>
            <w:jc w:val="left"/>
            <w:rPr>
              <w:rFonts w:cs="Times New Roman"/>
              <w:b/>
              <w:bCs/>
              <w:sz w:val="23"/>
              <w:szCs w:val="23"/>
            </w:rPr>
          </w:pPr>
        </w:p>
        <w:p w14:paraId="02B4BABF">
          <w:pPr>
            <w:jc w:val="left"/>
            <w:rPr>
              <w:rFonts w:cs="Times New Roman"/>
              <w:b/>
              <w:bCs/>
              <w:sz w:val="23"/>
              <w:szCs w:val="23"/>
            </w:rPr>
          </w:pPr>
          <w:r>
            <w:rPr>
              <w:rFonts w:cs="Times New Roman"/>
              <w:b/>
              <w:bCs/>
              <w:sz w:val="23"/>
              <w:szCs w:val="23"/>
            </w:rPr>
            <w:t>Assessment Title - Unilever PLC: A Critical Analysis of Financial Performance, Capital Structure, and Strategic Investments (2019-2023)</w:t>
          </w:r>
        </w:p>
        <w:p w14:paraId="6D7507D9">
          <w:pPr>
            <w:jc w:val="left"/>
            <w:rPr>
              <w:rFonts w:cs="Times New Roman"/>
              <w:sz w:val="23"/>
              <w:szCs w:val="23"/>
            </w:rPr>
          </w:pPr>
        </w:p>
        <w:p w14:paraId="2276D3DB">
          <w:pPr>
            <w:jc w:val="left"/>
            <w:rPr>
              <w:rFonts w:cs="Times New Roman"/>
              <w:sz w:val="23"/>
              <w:szCs w:val="23"/>
            </w:rPr>
          </w:pPr>
          <w:r>
            <w:rPr>
              <w:rFonts w:cs="Times New Roman"/>
              <w:sz w:val="23"/>
              <w:szCs w:val="23"/>
            </w:rPr>
            <w:t>Student name: Sakshi Soni</w:t>
          </w:r>
        </w:p>
        <w:p w14:paraId="43AA32A1">
          <w:pPr>
            <w:jc w:val="left"/>
            <w:rPr>
              <w:rFonts w:cs="Times New Roman"/>
              <w:sz w:val="23"/>
              <w:szCs w:val="23"/>
            </w:rPr>
          </w:pPr>
          <w:r>
            <w:rPr>
              <w:rFonts w:cs="Times New Roman"/>
              <w:sz w:val="23"/>
              <w:szCs w:val="23"/>
            </w:rPr>
            <w:t>Student Number: 2320592</w:t>
          </w:r>
        </w:p>
        <w:p w14:paraId="684B439B">
          <w:pPr>
            <w:jc w:val="left"/>
            <w:rPr>
              <w:rFonts w:cs="Times New Roman"/>
              <w:sz w:val="23"/>
              <w:szCs w:val="23"/>
            </w:rPr>
          </w:pPr>
          <w:r>
            <w:rPr>
              <w:rFonts w:cs="Times New Roman"/>
              <w:sz w:val="23"/>
              <w:szCs w:val="23"/>
            </w:rPr>
            <w:t>Lecturer: Jia Miao</w:t>
          </w:r>
        </w:p>
        <w:p w14:paraId="756BE285">
          <w:pPr>
            <w:jc w:val="left"/>
            <w:rPr>
              <w:rFonts w:cs="Times New Roman"/>
              <w:sz w:val="23"/>
              <w:szCs w:val="23"/>
            </w:rPr>
          </w:pPr>
          <w:r>
            <w:rPr>
              <w:rFonts w:cs="Times New Roman"/>
              <w:sz w:val="23"/>
              <w:szCs w:val="23"/>
            </w:rPr>
            <w:t>Word count: 5000</w:t>
          </w:r>
        </w:p>
        <w:p w14:paraId="748DB1B1">
          <w:pPr>
            <w:jc w:val="left"/>
            <w:rPr>
              <w:rFonts w:hint="default" w:cs="Times New Roman"/>
              <w:sz w:val="23"/>
              <w:szCs w:val="23"/>
              <w:lang w:val="en-IN"/>
            </w:rPr>
          </w:pPr>
          <w:r>
            <w:rPr>
              <w:rFonts w:cs="Times New Roman"/>
              <w:sz w:val="23"/>
              <w:szCs w:val="23"/>
            </w:rPr>
            <w:t>Submission Date: 2</w:t>
          </w:r>
          <w:r>
            <w:rPr>
              <w:rFonts w:hint="default" w:cs="Times New Roman"/>
              <w:sz w:val="23"/>
              <w:szCs w:val="23"/>
              <w:lang w:val="en-IN"/>
            </w:rPr>
            <w:t>1th August 2024</w:t>
          </w:r>
        </w:p>
        <w:p w14:paraId="1E23E1FA">
          <w:pPr>
            <w:jc w:val="left"/>
            <w:rPr>
              <w:rFonts w:cs="Times New Roman"/>
              <w:sz w:val="23"/>
              <w:szCs w:val="23"/>
            </w:rPr>
          </w:pPr>
        </w:p>
        <w:p w14:paraId="5379DCA3">
          <w:pPr>
            <w:jc w:val="left"/>
            <w:rPr>
              <w:rFonts w:cs="Times New Roman"/>
              <w:sz w:val="23"/>
              <w:szCs w:val="23"/>
            </w:rPr>
          </w:pPr>
        </w:p>
        <w:p w14:paraId="208DAA99">
          <w:pPr>
            <w:jc w:val="left"/>
            <w:rPr>
              <w:rFonts w:cs="Times New Roman"/>
              <w:sz w:val="23"/>
              <w:szCs w:val="23"/>
            </w:rPr>
          </w:pPr>
        </w:p>
        <w:p w14:paraId="4134F37C">
          <w:pPr>
            <w:jc w:val="left"/>
            <w:rPr>
              <w:rFonts w:cs="Times New Roman"/>
              <w:sz w:val="23"/>
              <w:szCs w:val="23"/>
            </w:rPr>
          </w:pPr>
        </w:p>
        <w:p w14:paraId="3874454A">
          <w:pPr>
            <w:jc w:val="left"/>
            <w:rPr>
              <w:rFonts w:cs="Times New Roman"/>
              <w:sz w:val="23"/>
              <w:szCs w:val="23"/>
            </w:rPr>
          </w:pPr>
        </w:p>
        <w:p w14:paraId="4F8E02A0">
          <w:pPr>
            <w:jc w:val="left"/>
            <w:rPr>
              <w:rFonts w:cs="Times New Roman"/>
              <w:sz w:val="23"/>
              <w:szCs w:val="23"/>
            </w:rPr>
          </w:pPr>
        </w:p>
        <w:p w14:paraId="394BABF9">
          <w:pPr>
            <w:jc w:val="left"/>
            <w:rPr>
              <w:rFonts w:cs="Times New Roman"/>
              <w:sz w:val="23"/>
              <w:szCs w:val="23"/>
            </w:rPr>
          </w:pPr>
        </w:p>
        <w:p w14:paraId="74DE6B37">
          <w:pPr>
            <w:jc w:val="left"/>
            <w:rPr>
              <w:rFonts w:cs="Times New Roman"/>
              <w:sz w:val="23"/>
              <w:szCs w:val="23"/>
            </w:rPr>
          </w:pPr>
        </w:p>
        <w:p w14:paraId="60245D4A">
          <w:pPr>
            <w:jc w:val="left"/>
            <w:rPr>
              <w:rFonts w:cs="Times New Roman"/>
              <w:sz w:val="23"/>
              <w:szCs w:val="23"/>
            </w:rPr>
          </w:pPr>
        </w:p>
        <w:p w14:paraId="34045D6B">
          <w:pPr>
            <w:jc w:val="left"/>
            <w:rPr>
              <w:rFonts w:cs="Times New Roman"/>
              <w:sz w:val="23"/>
              <w:szCs w:val="23"/>
            </w:rPr>
          </w:pPr>
        </w:p>
        <w:sdt>
          <w:sdtPr>
            <w:rPr>
              <w:rFonts w:asciiTheme="minorHAnsi" w:hAnsiTheme="minorHAnsi" w:eastAsiaTheme="minorHAnsi" w:cstheme="minorBidi"/>
              <w:color w:val="auto"/>
              <w:sz w:val="23"/>
              <w:szCs w:val="23"/>
            </w:rPr>
            <w:id w:val="-1516920417"/>
            <w:docPartObj>
              <w:docPartGallery w:val="Table of Contents"/>
              <w:docPartUnique/>
            </w:docPartObj>
          </w:sdtPr>
          <w:sdtEndPr>
            <w:rPr>
              <w:rFonts w:ascii="Times New Roman" w:hAnsi="Times New Roman" w:eastAsiaTheme="minorHAnsi" w:cstheme="minorBidi"/>
              <w:b/>
              <w:bCs/>
              <w:color w:val="auto"/>
              <w:sz w:val="23"/>
              <w:szCs w:val="23"/>
            </w:rPr>
          </w:sdtEndPr>
          <w:sdtContent>
            <w:p w14:paraId="168711C5">
              <w:pPr>
                <w:pStyle w:val="34"/>
                <w:jc w:val="left"/>
                <w:rPr>
                  <w:rStyle w:val="28"/>
                  <w:b/>
                  <w:bCs/>
                  <w:sz w:val="23"/>
                  <w:szCs w:val="23"/>
                </w:rPr>
              </w:pPr>
              <w:r>
                <w:rPr>
                  <w:rStyle w:val="28"/>
                  <w:b/>
                  <w:bCs/>
                  <w:sz w:val="23"/>
                  <w:szCs w:val="23"/>
                </w:rPr>
                <w:t>Table of Contents</w:t>
              </w:r>
            </w:p>
            <w:p w14:paraId="72DF639B">
              <w:pPr>
                <w:pStyle w:val="19"/>
                <w:tabs>
                  <w:tab w:val="right" w:leader="dot" w:pos="9016"/>
                </w:tabs>
                <w:rPr>
                  <w:rFonts w:asciiTheme="minorHAnsi" w:hAnsiTheme="minorHAnsi" w:eastAsiaTheme="minorEastAsia"/>
                  <w:kern w:val="2"/>
                  <w:szCs w:val="24"/>
                  <w:lang w:eastAsia="en-GB"/>
                  <w14:ligatures w14:val="standardContextual"/>
                </w:rPr>
              </w:pPr>
              <w:r>
                <w:rPr>
                  <w:sz w:val="23"/>
                  <w:szCs w:val="23"/>
                </w:rPr>
                <w:fldChar w:fldCharType="begin"/>
              </w:r>
              <w:r>
                <w:rPr>
                  <w:sz w:val="23"/>
                  <w:szCs w:val="23"/>
                </w:rPr>
                <w:instrText xml:space="preserve"> TOC \o "1-4" \h \z \u </w:instrText>
              </w:r>
              <w:r>
                <w:rPr>
                  <w:sz w:val="23"/>
                  <w:szCs w:val="23"/>
                </w:rPr>
                <w:fldChar w:fldCharType="separate"/>
              </w:r>
              <w:r>
                <w:fldChar w:fldCharType="begin"/>
              </w:r>
              <w:r>
                <w:instrText xml:space="preserve"> HYPERLINK \l "_Toc174477865" </w:instrText>
              </w:r>
              <w:r>
                <w:fldChar w:fldCharType="separate"/>
              </w:r>
              <w:r>
                <w:rPr>
                  <w:rStyle w:val="17"/>
                </w:rPr>
                <w:t>Introduction</w:t>
              </w:r>
              <w:r>
                <w:tab/>
              </w:r>
              <w:r>
                <w:fldChar w:fldCharType="begin"/>
              </w:r>
              <w:r>
                <w:instrText xml:space="preserve"> PAGEREF _Toc174477865 \h </w:instrText>
              </w:r>
              <w:r>
                <w:fldChar w:fldCharType="separate"/>
              </w:r>
              <w:r>
                <w:t>3</w:t>
              </w:r>
              <w:r>
                <w:fldChar w:fldCharType="end"/>
              </w:r>
              <w:r>
                <w:fldChar w:fldCharType="end"/>
              </w:r>
            </w:p>
            <w:p w14:paraId="7EFD1AE1">
              <w:pPr>
                <w:pStyle w:val="20"/>
                <w:tabs>
                  <w:tab w:val="right" w:leader="dot" w:pos="9016"/>
                </w:tabs>
                <w:rPr>
                  <w:rFonts w:asciiTheme="minorHAnsi" w:hAnsiTheme="minorHAnsi" w:eastAsiaTheme="minorEastAsia"/>
                  <w:kern w:val="2"/>
                  <w:szCs w:val="24"/>
                  <w:lang w:eastAsia="en-GB"/>
                  <w14:ligatures w14:val="standardContextual"/>
                </w:rPr>
              </w:pPr>
              <w:r>
                <w:fldChar w:fldCharType="begin"/>
              </w:r>
              <w:r>
                <w:instrText xml:space="preserve"> HYPERLINK \l "_Toc174477866" </w:instrText>
              </w:r>
              <w:r>
                <w:fldChar w:fldCharType="separate"/>
              </w:r>
              <w:r>
                <w:rPr>
                  <w:rStyle w:val="17"/>
                </w:rPr>
                <w:t>Key Corporate Events (2018 - 2023)</w:t>
              </w:r>
              <w:r>
                <w:tab/>
              </w:r>
              <w:r>
                <w:fldChar w:fldCharType="begin"/>
              </w:r>
              <w:r>
                <w:instrText xml:space="preserve"> PAGEREF _Toc174477866 \h </w:instrText>
              </w:r>
              <w:r>
                <w:fldChar w:fldCharType="separate"/>
              </w:r>
              <w:r>
                <w:t>3</w:t>
              </w:r>
              <w:r>
                <w:fldChar w:fldCharType="end"/>
              </w:r>
              <w:r>
                <w:fldChar w:fldCharType="end"/>
              </w:r>
            </w:p>
            <w:p w14:paraId="4EFD2764">
              <w:pPr>
                <w:pStyle w:val="19"/>
                <w:tabs>
                  <w:tab w:val="right" w:leader="dot" w:pos="9016"/>
                </w:tabs>
                <w:rPr>
                  <w:rFonts w:asciiTheme="minorHAnsi" w:hAnsiTheme="minorHAnsi" w:eastAsiaTheme="minorEastAsia"/>
                  <w:kern w:val="2"/>
                  <w:szCs w:val="24"/>
                  <w:lang w:eastAsia="en-GB"/>
                  <w14:ligatures w14:val="standardContextual"/>
                </w:rPr>
              </w:pPr>
              <w:r>
                <w:fldChar w:fldCharType="begin"/>
              </w:r>
              <w:r>
                <w:instrText xml:space="preserve"> HYPERLINK \l "_Toc174477867" </w:instrText>
              </w:r>
              <w:r>
                <w:fldChar w:fldCharType="separate"/>
              </w:r>
              <w:r>
                <w:rPr>
                  <w:rStyle w:val="17"/>
                </w:rPr>
                <w:t>Financial performance and alternative capital structure considerations</w:t>
              </w:r>
              <w:r>
                <w:tab/>
              </w:r>
              <w:r>
                <w:fldChar w:fldCharType="begin"/>
              </w:r>
              <w:r>
                <w:instrText xml:space="preserve"> PAGEREF _Toc174477867 \h </w:instrText>
              </w:r>
              <w:r>
                <w:fldChar w:fldCharType="separate"/>
              </w:r>
              <w:r>
                <w:t>4</w:t>
              </w:r>
              <w:r>
                <w:fldChar w:fldCharType="end"/>
              </w:r>
              <w:r>
                <w:fldChar w:fldCharType="end"/>
              </w:r>
            </w:p>
            <w:p w14:paraId="60DD18B1">
              <w:pPr>
                <w:pStyle w:val="20"/>
                <w:tabs>
                  <w:tab w:val="right" w:leader="dot" w:pos="9016"/>
                </w:tabs>
                <w:rPr>
                  <w:rFonts w:asciiTheme="minorHAnsi" w:hAnsiTheme="minorHAnsi" w:eastAsiaTheme="minorEastAsia"/>
                  <w:kern w:val="2"/>
                  <w:szCs w:val="24"/>
                  <w:lang w:eastAsia="en-GB"/>
                  <w14:ligatures w14:val="standardContextual"/>
                </w:rPr>
              </w:pPr>
              <w:r>
                <w:fldChar w:fldCharType="begin"/>
              </w:r>
              <w:r>
                <w:instrText xml:space="preserve"> HYPERLINK \l "_Toc174477868" </w:instrText>
              </w:r>
              <w:r>
                <w:fldChar w:fldCharType="separate"/>
              </w:r>
              <w:r>
                <w:rPr>
                  <w:rStyle w:val="17"/>
                </w:rPr>
                <w:t>Liquidity Ratios</w:t>
              </w:r>
              <w:r>
                <w:tab/>
              </w:r>
              <w:r>
                <w:fldChar w:fldCharType="begin"/>
              </w:r>
              <w:r>
                <w:instrText xml:space="preserve"> PAGEREF _Toc174477868 \h </w:instrText>
              </w:r>
              <w:r>
                <w:fldChar w:fldCharType="separate"/>
              </w:r>
              <w:r>
                <w:t>4</w:t>
              </w:r>
              <w:r>
                <w:fldChar w:fldCharType="end"/>
              </w:r>
              <w:r>
                <w:fldChar w:fldCharType="end"/>
              </w:r>
            </w:p>
            <w:p w14:paraId="1D0937B0">
              <w:pPr>
                <w:pStyle w:val="20"/>
                <w:tabs>
                  <w:tab w:val="right" w:leader="dot" w:pos="9016"/>
                </w:tabs>
                <w:rPr>
                  <w:rFonts w:asciiTheme="minorHAnsi" w:hAnsiTheme="minorHAnsi" w:eastAsiaTheme="minorEastAsia"/>
                  <w:kern w:val="2"/>
                  <w:szCs w:val="24"/>
                  <w:lang w:eastAsia="en-GB"/>
                  <w14:ligatures w14:val="standardContextual"/>
                </w:rPr>
              </w:pPr>
              <w:r>
                <w:fldChar w:fldCharType="begin"/>
              </w:r>
              <w:r>
                <w:instrText xml:space="preserve"> HYPERLINK \l "_Toc174477869" </w:instrText>
              </w:r>
              <w:r>
                <w:fldChar w:fldCharType="separate"/>
              </w:r>
              <w:r>
                <w:rPr>
                  <w:rStyle w:val="17"/>
                </w:rPr>
                <w:t>Leverage Ratios</w:t>
              </w:r>
              <w:r>
                <w:tab/>
              </w:r>
              <w:r>
                <w:fldChar w:fldCharType="begin"/>
              </w:r>
              <w:r>
                <w:instrText xml:space="preserve"> PAGEREF _Toc174477869 \h </w:instrText>
              </w:r>
              <w:r>
                <w:fldChar w:fldCharType="separate"/>
              </w:r>
              <w:r>
                <w:t>5</w:t>
              </w:r>
              <w:r>
                <w:fldChar w:fldCharType="end"/>
              </w:r>
              <w:r>
                <w:fldChar w:fldCharType="end"/>
              </w:r>
            </w:p>
            <w:p w14:paraId="05AA184F">
              <w:pPr>
                <w:pStyle w:val="20"/>
                <w:tabs>
                  <w:tab w:val="right" w:leader="dot" w:pos="9016"/>
                </w:tabs>
                <w:rPr>
                  <w:rFonts w:asciiTheme="minorHAnsi" w:hAnsiTheme="minorHAnsi" w:eastAsiaTheme="minorEastAsia"/>
                  <w:kern w:val="2"/>
                  <w:szCs w:val="24"/>
                  <w:lang w:eastAsia="en-GB"/>
                  <w14:ligatures w14:val="standardContextual"/>
                </w:rPr>
              </w:pPr>
              <w:r>
                <w:fldChar w:fldCharType="begin"/>
              </w:r>
              <w:r>
                <w:instrText xml:space="preserve"> HYPERLINK \l "_Toc174477870" </w:instrText>
              </w:r>
              <w:r>
                <w:fldChar w:fldCharType="separate"/>
              </w:r>
              <w:r>
                <w:rPr>
                  <w:rStyle w:val="17"/>
                </w:rPr>
                <w:t>Comparison of Ratios</w:t>
              </w:r>
              <w:r>
                <w:tab/>
              </w:r>
              <w:r>
                <w:fldChar w:fldCharType="begin"/>
              </w:r>
              <w:r>
                <w:instrText xml:space="preserve"> PAGEREF _Toc174477870 \h </w:instrText>
              </w:r>
              <w:r>
                <w:fldChar w:fldCharType="separate"/>
              </w:r>
              <w:r>
                <w:t>6</w:t>
              </w:r>
              <w:r>
                <w:fldChar w:fldCharType="end"/>
              </w:r>
              <w:r>
                <w:fldChar w:fldCharType="end"/>
              </w:r>
            </w:p>
            <w:p w14:paraId="6973391B">
              <w:pPr>
                <w:pStyle w:val="20"/>
                <w:tabs>
                  <w:tab w:val="right" w:leader="dot" w:pos="9016"/>
                </w:tabs>
                <w:rPr>
                  <w:rFonts w:asciiTheme="minorHAnsi" w:hAnsiTheme="minorHAnsi" w:eastAsiaTheme="minorEastAsia"/>
                  <w:kern w:val="2"/>
                  <w:szCs w:val="24"/>
                  <w:lang w:eastAsia="en-GB"/>
                  <w14:ligatures w14:val="standardContextual"/>
                </w:rPr>
              </w:pPr>
              <w:r>
                <w:fldChar w:fldCharType="begin"/>
              </w:r>
              <w:r>
                <w:instrText xml:space="preserve"> HYPERLINK \l "_Toc174477871" </w:instrText>
              </w:r>
              <w:r>
                <w:fldChar w:fldCharType="separate"/>
              </w:r>
              <w:r>
                <w:rPr>
                  <w:rStyle w:val="17"/>
                </w:rPr>
                <w:t>Strategic Implications</w:t>
              </w:r>
              <w:r>
                <w:tab/>
              </w:r>
              <w:r>
                <w:fldChar w:fldCharType="begin"/>
              </w:r>
              <w:r>
                <w:instrText xml:space="preserve"> PAGEREF _Toc174477871 \h </w:instrText>
              </w:r>
              <w:r>
                <w:fldChar w:fldCharType="separate"/>
              </w:r>
              <w:r>
                <w:t>8</w:t>
              </w:r>
              <w:r>
                <w:fldChar w:fldCharType="end"/>
              </w:r>
              <w:r>
                <w:fldChar w:fldCharType="end"/>
              </w:r>
            </w:p>
            <w:p w14:paraId="0462B9AC">
              <w:pPr>
                <w:pStyle w:val="19"/>
                <w:tabs>
                  <w:tab w:val="right" w:leader="dot" w:pos="9016"/>
                </w:tabs>
                <w:rPr>
                  <w:rFonts w:asciiTheme="minorHAnsi" w:hAnsiTheme="minorHAnsi" w:eastAsiaTheme="minorEastAsia"/>
                  <w:kern w:val="2"/>
                  <w:szCs w:val="24"/>
                  <w:lang w:eastAsia="en-GB"/>
                  <w14:ligatures w14:val="standardContextual"/>
                </w:rPr>
              </w:pPr>
              <w:r>
                <w:fldChar w:fldCharType="begin"/>
              </w:r>
              <w:r>
                <w:instrText xml:space="preserve"> HYPERLINK \l "_Toc174477872" </w:instrText>
              </w:r>
              <w:r>
                <w:fldChar w:fldCharType="separate"/>
              </w:r>
              <w:r>
                <w:rPr>
                  <w:rStyle w:val="17"/>
                </w:rPr>
                <w:t>Capital Structure Theories and Unilever's Performance: A Critical Analysis</w:t>
              </w:r>
              <w:r>
                <w:tab/>
              </w:r>
              <w:r>
                <w:fldChar w:fldCharType="begin"/>
              </w:r>
              <w:r>
                <w:instrText xml:space="preserve"> PAGEREF _Toc174477872 \h </w:instrText>
              </w:r>
              <w:r>
                <w:fldChar w:fldCharType="separate"/>
              </w:r>
              <w:r>
                <w:t>9</w:t>
              </w:r>
              <w:r>
                <w:fldChar w:fldCharType="end"/>
              </w:r>
              <w:r>
                <w:fldChar w:fldCharType="end"/>
              </w:r>
            </w:p>
            <w:p w14:paraId="5A79AE6F">
              <w:pPr>
                <w:pStyle w:val="20"/>
                <w:tabs>
                  <w:tab w:val="right" w:leader="dot" w:pos="9016"/>
                </w:tabs>
                <w:rPr>
                  <w:rFonts w:asciiTheme="minorHAnsi" w:hAnsiTheme="minorHAnsi" w:eastAsiaTheme="minorEastAsia"/>
                  <w:kern w:val="2"/>
                  <w:szCs w:val="24"/>
                  <w:lang w:eastAsia="en-GB"/>
                  <w14:ligatures w14:val="standardContextual"/>
                </w:rPr>
              </w:pPr>
              <w:r>
                <w:fldChar w:fldCharType="begin"/>
              </w:r>
              <w:r>
                <w:instrText xml:space="preserve"> HYPERLINK \l "_Toc174477873" </w:instrText>
              </w:r>
              <w:r>
                <w:fldChar w:fldCharType="separate"/>
              </w:r>
              <w:r>
                <w:rPr>
                  <w:rStyle w:val="17"/>
                </w:rPr>
                <w:t>Theoretical Framework</w:t>
              </w:r>
              <w:r>
                <w:tab/>
              </w:r>
              <w:r>
                <w:fldChar w:fldCharType="begin"/>
              </w:r>
              <w:r>
                <w:instrText xml:space="preserve"> PAGEREF _Toc174477873 \h </w:instrText>
              </w:r>
              <w:r>
                <w:fldChar w:fldCharType="separate"/>
              </w:r>
              <w:r>
                <w:t>9</w:t>
              </w:r>
              <w:r>
                <w:fldChar w:fldCharType="end"/>
              </w:r>
              <w:r>
                <w:fldChar w:fldCharType="end"/>
              </w:r>
            </w:p>
            <w:p w14:paraId="0925C5F3">
              <w:pPr>
                <w:pStyle w:val="21"/>
                <w:tabs>
                  <w:tab w:val="right" w:leader="dot" w:pos="9016"/>
                </w:tabs>
                <w:rPr>
                  <w:rFonts w:asciiTheme="minorHAnsi" w:hAnsiTheme="minorHAnsi" w:eastAsiaTheme="minorEastAsia"/>
                  <w:kern w:val="2"/>
                  <w:szCs w:val="24"/>
                  <w:lang w:eastAsia="en-GB"/>
                  <w14:ligatures w14:val="standardContextual"/>
                </w:rPr>
              </w:pPr>
              <w:r>
                <w:fldChar w:fldCharType="begin"/>
              </w:r>
              <w:r>
                <w:instrText xml:space="preserve"> HYPERLINK \l "_Toc174477874" </w:instrText>
              </w:r>
              <w:r>
                <w:fldChar w:fldCharType="separate"/>
              </w:r>
              <w:r>
                <w:rPr>
                  <w:rStyle w:val="17"/>
                  <w:lang w:eastAsia="ja-JP"/>
                </w:rPr>
                <w:t>Modigliani and Miller (1958) Proposition</w:t>
              </w:r>
              <w:r>
                <w:tab/>
              </w:r>
              <w:r>
                <w:fldChar w:fldCharType="begin"/>
              </w:r>
              <w:r>
                <w:instrText xml:space="preserve"> PAGEREF _Toc174477874 \h </w:instrText>
              </w:r>
              <w:r>
                <w:fldChar w:fldCharType="separate"/>
              </w:r>
              <w:r>
                <w:t>9</w:t>
              </w:r>
              <w:r>
                <w:fldChar w:fldCharType="end"/>
              </w:r>
              <w:r>
                <w:fldChar w:fldCharType="end"/>
              </w:r>
            </w:p>
            <w:p w14:paraId="0927A4CB">
              <w:pPr>
                <w:pStyle w:val="21"/>
                <w:tabs>
                  <w:tab w:val="right" w:leader="dot" w:pos="9016"/>
                </w:tabs>
                <w:rPr>
                  <w:rFonts w:asciiTheme="minorHAnsi" w:hAnsiTheme="minorHAnsi" w:eastAsiaTheme="minorEastAsia"/>
                  <w:kern w:val="2"/>
                  <w:szCs w:val="24"/>
                  <w:lang w:eastAsia="en-GB"/>
                  <w14:ligatures w14:val="standardContextual"/>
                </w:rPr>
              </w:pPr>
              <w:r>
                <w:fldChar w:fldCharType="begin"/>
              </w:r>
              <w:r>
                <w:instrText xml:space="preserve"> HYPERLINK \l "_Toc174477875" </w:instrText>
              </w:r>
              <w:r>
                <w:fldChar w:fldCharType="separate"/>
              </w:r>
              <w:r>
                <w:rPr>
                  <w:rStyle w:val="17"/>
                  <w:lang w:eastAsia="ja-JP"/>
                </w:rPr>
                <w:t>Modigliani and Miller (1963) with Taxation</w:t>
              </w:r>
              <w:r>
                <w:tab/>
              </w:r>
              <w:r>
                <w:fldChar w:fldCharType="begin"/>
              </w:r>
              <w:r>
                <w:instrText xml:space="preserve"> PAGEREF _Toc174477875 \h </w:instrText>
              </w:r>
              <w:r>
                <w:fldChar w:fldCharType="separate"/>
              </w:r>
              <w:r>
                <w:t>10</w:t>
              </w:r>
              <w:r>
                <w:fldChar w:fldCharType="end"/>
              </w:r>
              <w:r>
                <w:fldChar w:fldCharType="end"/>
              </w:r>
            </w:p>
            <w:p w14:paraId="50E9A4FC">
              <w:pPr>
                <w:pStyle w:val="21"/>
                <w:tabs>
                  <w:tab w:val="right" w:leader="dot" w:pos="9016"/>
                </w:tabs>
                <w:rPr>
                  <w:rFonts w:asciiTheme="minorHAnsi" w:hAnsiTheme="minorHAnsi" w:eastAsiaTheme="minorEastAsia"/>
                  <w:kern w:val="2"/>
                  <w:szCs w:val="24"/>
                  <w:lang w:eastAsia="en-GB"/>
                  <w14:ligatures w14:val="standardContextual"/>
                </w:rPr>
              </w:pPr>
              <w:r>
                <w:fldChar w:fldCharType="begin"/>
              </w:r>
              <w:r>
                <w:instrText xml:space="preserve"> HYPERLINK \l "_Toc174477876" </w:instrText>
              </w:r>
              <w:r>
                <w:fldChar w:fldCharType="separate"/>
              </w:r>
              <w:r>
                <w:rPr>
                  <w:rStyle w:val="17"/>
                  <w:lang w:eastAsia="ja-JP"/>
                </w:rPr>
                <w:t>Trade-Off Theory</w:t>
              </w:r>
              <w:r>
                <w:tab/>
              </w:r>
              <w:r>
                <w:fldChar w:fldCharType="begin"/>
              </w:r>
              <w:r>
                <w:instrText xml:space="preserve"> PAGEREF _Toc174477876 \h </w:instrText>
              </w:r>
              <w:r>
                <w:fldChar w:fldCharType="separate"/>
              </w:r>
              <w:r>
                <w:t>10</w:t>
              </w:r>
              <w:r>
                <w:fldChar w:fldCharType="end"/>
              </w:r>
              <w:r>
                <w:fldChar w:fldCharType="end"/>
              </w:r>
            </w:p>
            <w:p w14:paraId="2E6B3BF4">
              <w:pPr>
                <w:pStyle w:val="21"/>
                <w:tabs>
                  <w:tab w:val="right" w:leader="dot" w:pos="9016"/>
                </w:tabs>
                <w:rPr>
                  <w:rFonts w:asciiTheme="minorHAnsi" w:hAnsiTheme="minorHAnsi" w:eastAsiaTheme="minorEastAsia"/>
                  <w:kern w:val="2"/>
                  <w:szCs w:val="24"/>
                  <w:lang w:eastAsia="en-GB"/>
                  <w14:ligatures w14:val="standardContextual"/>
                </w:rPr>
              </w:pPr>
              <w:r>
                <w:fldChar w:fldCharType="begin"/>
              </w:r>
              <w:r>
                <w:instrText xml:space="preserve"> HYPERLINK \l "_Toc174477877" </w:instrText>
              </w:r>
              <w:r>
                <w:fldChar w:fldCharType="separate"/>
              </w:r>
              <w:r>
                <w:rPr>
                  <w:rStyle w:val="17"/>
                  <w:lang w:eastAsia="ja-JP"/>
                </w:rPr>
                <w:t>Pecking Order theory</w:t>
              </w:r>
              <w:r>
                <w:tab/>
              </w:r>
              <w:r>
                <w:fldChar w:fldCharType="begin"/>
              </w:r>
              <w:r>
                <w:instrText xml:space="preserve"> PAGEREF _Toc174477877 \h </w:instrText>
              </w:r>
              <w:r>
                <w:fldChar w:fldCharType="separate"/>
              </w:r>
              <w:r>
                <w:t>10</w:t>
              </w:r>
              <w:r>
                <w:fldChar w:fldCharType="end"/>
              </w:r>
              <w:r>
                <w:fldChar w:fldCharType="end"/>
              </w:r>
            </w:p>
            <w:p w14:paraId="62E7C266">
              <w:pPr>
                <w:pStyle w:val="20"/>
                <w:tabs>
                  <w:tab w:val="right" w:leader="dot" w:pos="9016"/>
                </w:tabs>
                <w:rPr>
                  <w:rFonts w:asciiTheme="minorHAnsi" w:hAnsiTheme="minorHAnsi" w:eastAsiaTheme="minorEastAsia"/>
                  <w:kern w:val="2"/>
                  <w:szCs w:val="24"/>
                  <w:lang w:eastAsia="en-GB"/>
                  <w14:ligatures w14:val="standardContextual"/>
                </w:rPr>
              </w:pPr>
              <w:r>
                <w:fldChar w:fldCharType="begin"/>
              </w:r>
              <w:r>
                <w:instrText xml:space="preserve"> HYPERLINK \l "_Toc174477878" </w:instrText>
              </w:r>
              <w:r>
                <w:fldChar w:fldCharType="separate"/>
              </w:r>
              <w:r>
                <w:rPr>
                  <w:rStyle w:val="17"/>
                </w:rPr>
                <w:t>Variation in Capital Structure and Share Returns</w:t>
              </w:r>
              <w:r>
                <w:tab/>
              </w:r>
              <w:r>
                <w:fldChar w:fldCharType="begin"/>
              </w:r>
              <w:r>
                <w:instrText xml:space="preserve"> PAGEREF _Toc174477878 \h </w:instrText>
              </w:r>
              <w:r>
                <w:fldChar w:fldCharType="separate"/>
              </w:r>
              <w:r>
                <w:t>10</w:t>
              </w:r>
              <w:r>
                <w:fldChar w:fldCharType="end"/>
              </w:r>
              <w:r>
                <w:fldChar w:fldCharType="end"/>
              </w:r>
            </w:p>
            <w:p w14:paraId="7019BD2F">
              <w:pPr>
                <w:pStyle w:val="21"/>
                <w:tabs>
                  <w:tab w:val="right" w:leader="dot" w:pos="9016"/>
                </w:tabs>
                <w:rPr>
                  <w:rFonts w:asciiTheme="minorHAnsi" w:hAnsiTheme="minorHAnsi" w:eastAsiaTheme="minorEastAsia"/>
                  <w:kern w:val="2"/>
                  <w:szCs w:val="24"/>
                  <w:lang w:eastAsia="en-GB"/>
                  <w14:ligatures w14:val="standardContextual"/>
                </w:rPr>
              </w:pPr>
              <w:r>
                <w:fldChar w:fldCharType="begin"/>
              </w:r>
              <w:r>
                <w:instrText xml:space="preserve"> HYPERLINK \l "_Toc174477879" </w:instrText>
              </w:r>
              <w:r>
                <w:fldChar w:fldCharType="separate"/>
              </w:r>
              <w:r>
                <w:rPr>
                  <w:rStyle w:val="17"/>
                  <w:lang w:eastAsia="ja-JP"/>
                </w:rPr>
                <w:t>Capital Structure</w:t>
              </w:r>
              <w:r>
                <w:tab/>
              </w:r>
              <w:r>
                <w:fldChar w:fldCharType="begin"/>
              </w:r>
              <w:r>
                <w:instrText xml:space="preserve"> PAGEREF _Toc174477879 \h </w:instrText>
              </w:r>
              <w:r>
                <w:fldChar w:fldCharType="separate"/>
              </w:r>
              <w:r>
                <w:t>10</w:t>
              </w:r>
              <w:r>
                <w:fldChar w:fldCharType="end"/>
              </w:r>
              <w:r>
                <w:fldChar w:fldCharType="end"/>
              </w:r>
            </w:p>
            <w:p w14:paraId="267BB720">
              <w:pPr>
                <w:pStyle w:val="21"/>
                <w:tabs>
                  <w:tab w:val="right" w:leader="dot" w:pos="9016"/>
                </w:tabs>
                <w:rPr>
                  <w:rFonts w:asciiTheme="minorHAnsi" w:hAnsiTheme="minorHAnsi" w:eastAsiaTheme="minorEastAsia"/>
                  <w:kern w:val="2"/>
                  <w:szCs w:val="24"/>
                  <w:lang w:eastAsia="en-GB"/>
                  <w14:ligatures w14:val="standardContextual"/>
                </w:rPr>
              </w:pPr>
              <w:r>
                <w:fldChar w:fldCharType="begin"/>
              </w:r>
              <w:r>
                <w:instrText xml:space="preserve"> HYPERLINK \l "_Toc174477880" </w:instrText>
              </w:r>
              <w:r>
                <w:fldChar w:fldCharType="separate"/>
              </w:r>
              <w:r>
                <w:rPr>
                  <w:rStyle w:val="17"/>
                  <w:lang w:eastAsia="ja-JP"/>
                </w:rPr>
                <w:t>Share Returns</w:t>
              </w:r>
              <w:r>
                <w:tab/>
              </w:r>
              <w:r>
                <w:fldChar w:fldCharType="begin"/>
              </w:r>
              <w:r>
                <w:instrText xml:space="preserve"> PAGEREF _Toc174477880 \h </w:instrText>
              </w:r>
              <w:r>
                <w:fldChar w:fldCharType="separate"/>
              </w:r>
              <w:r>
                <w:t>11</w:t>
              </w:r>
              <w:r>
                <w:fldChar w:fldCharType="end"/>
              </w:r>
              <w:r>
                <w:fldChar w:fldCharType="end"/>
              </w:r>
            </w:p>
            <w:p w14:paraId="732D149F">
              <w:pPr>
                <w:pStyle w:val="21"/>
                <w:tabs>
                  <w:tab w:val="right" w:leader="dot" w:pos="9016"/>
                </w:tabs>
                <w:rPr>
                  <w:rFonts w:asciiTheme="minorHAnsi" w:hAnsiTheme="minorHAnsi" w:eastAsiaTheme="minorEastAsia"/>
                  <w:kern w:val="2"/>
                  <w:szCs w:val="24"/>
                  <w:lang w:eastAsia="en-GB"/>
                  <w14:ligatures w14:val="standardContextual"/>
                </w:rPr>
              </w:pPr>
              <w:r>
                <w:fldChar w:fldCharType="begin"/>
              </w:r>
              <w:r>
                <w:instrText xml:space="preserve"> HYPERLINK \l "_Toc174477881" </w:instrText>
              </w:r>
              <w:r>
                <w:fldChar w:fldCharType="separate"/>
              </w:r>
              <w:r>
                <w:rPr>
                  <w:rStyle w:val="17"/>
                  <w:lang w:eastAsia="ja-JP"/>
                </w:rPr>
                <w:t>Association Between Leverage and Return</w:t>
              </w:r>
              <w:r>
                <w:tab/>
              </w:r>
              <w:r>
                <w:fldChar w:fldCharType="begin"/>
              </w:r>
              <w:r>
                <w:instrText xml:space="preserve"> PAGEREF _Toc174477881 \h </w:instrText>
              </w:r>
              <w:r>
                <w:fldChar w:fldCharType="separate"/>
              </w:r>
              <w:r>
                <w:t>12</w:t>
              </w:r>
              <w:r>
                <w:fldChar w:fldCharType="end"/>
              </w:r>
              <w:r>
                <w:fldChar w:fldCharType="end"/>
              </w:r>
            </w:p>
            <w:p w14:paraId="237D1B56">
              <w:pPr>
                <w:pStyle w:val="19"/>
                <w:tabs>
                  <w:tab w:val="right" w:leader="dot" w:pos="9016"/>
                </w:tabs>
                <w:rPr>
                  <w:rFonts w:asciiTheme="minorHAnsi" w:hAnsiTheme="minorHAnsi" w:eastAsiaTheme="minorEastAsia"/>
                  <w:kern w:val="2"/>
                  <w:szCs w:val="24"/>
                  <w:lang w:eastAsia="en-GB"/>
                  <w14:ligatures w14:val="standardContextual"/>
                </w:rPr>
              </w:pPr>
              <w:r>
                <w:fldChar w:fldCharType="begin"/>
              </w:r>
              <w:r>
                <w:instrText xml:space="preserve"> HYPERLINK \l "_Toc174477882" </w:instrText>
              </w:r>
              <w:r>
                <w:fldChar w:fldCharType="separate"/>
              </w:r>
              <w:r>
                <w:rPr>
                  <w:rStyle w:val="17"/>
                </w:rPr>
                <w:t>Critical Review of Unilever's Major Investment Activities</w:t>
              </w:r>
              <w:r>
                <w:tab/>
              </w:r>
              <w:r>
                <w:fldChar w:fldCharType="begin"/>
              </w:r>
              <w:r>
                <w:instrText xml:space="preserve"> PAGEREF _Toc174477882 \h </w:instrText>
              </w:r>
              <w:r>
                <w:fldChar w:fldCharType="separate"/>
              </w:r>
              <w:r>
                <w:t>13</w:t>
              </w:r>
              <w:r>
                <w:fldChar w:fldCharType="end"/>
              </w:r>
              <w:r>
                <w:fldChar w:fldCharType="end"/>
              </w:r>
            </w:p>
            <w:p w14:paraId="118E8A96">
              <w:pPr>
                <w:pStyle w:val="20"/>
                <w:tabs>
                  <w:tab w:val="right" w:leader="dot" w:pos="9016"/>
                </w:tabs>
                <w:rPr>
                  <w:rFonts w:asciiTheme="minorHAnsi" w:hAnsiTheme="minorHAnsi" w:eastAsiaTheme="minorEastAsia"/>
                  <w:kern w:val="2"/>
                  <w:szCs w:val="24"/>
                  <w:lang w:eastAsia="en-GB"/>
                  <w14:ligatures w14:val="standardContextual"/>
                </w:rPr>
              </w:pPr>
              <w:r>
                <w:fldChar w:fldCharType="begin"/>
              </w:r>
              <w:r>
                <w:instrText xml:space="preserve"> HYPERLINK \l "_Toc174477883" </w:instrText>
              </w:r>
              <w:r>
                <w:fldChar w:fldCharType="separate"/>
              </w:r>
              <w:r>
                <w:rPr>
                  <w:rStyle w:val="17"/>
                </w:rPr>
                <w:t>Research and Development (R&amp;D) Investments</w:t>
              </w:r>
              <w:r>
                <w:tab/>
              </w:r>
              <w:r>
                <w:fldChar w:fldCharType="begin"/>
              </w:r>
              <w:r>
                <w:instrText xml:space="preserve"> PAGEREF _Toc174477883 \h </w:instrText>
              </w:r>
              <w:r>
                <w:fldChar w:fldCharType="separate"/>
              </w:r>
              <w:r>
                <w:t>13</w:t>
              </w:r>
              <w:r>
                <w:fldChar w:fldCharType="end"/>
              </w:r>
              <w:r>
                <w:fldChar w:fldCharType="end"/>
              </w:r>
            </w:p>
            <w:p w14:paraId="246755E4">
              <w:pPr>
                <w:pStyle w:val="20"/>
                <w:tabs>
                  <w:tab w:val="right" w:leader="dot" w:pos="9016"/>
                </w:tabs>
                <w:rPr>
                  <w:rFonts w:asciiTheme="minorHAnsi" w:hAnsiTheme="minorHAnsi" w:eastAsiaTheme="minorEastAsia"/>
                  <w:kern w:val="2"/>
                  <w:szCs w:val="24"/>
                  <w:lang w:eastAsia="en-GB"/>
                  <w14:ligatures w14:val="standardContextual"/>
                </w:rPr>
              </w:pPr>
              <w:r>
                <w:fldChar w:fldCharType="begin"/>
              </w:r>
              <w:r>
                <w:instrText xml:space="preserve"> HYPERLINK \l "_Toc174477884" </w:instrText>
              </w:r>
              <w:r>
                <w:fldChar w:fldCharType="separate"/>
              </w:r>
              <w:r>
                <w:rPr>
                  <w:rStyle w:val="17"/>
                </w:rPr>
                <w:t>Digital Transformation and E-commerce</w:t>
              </w:r>
              <w:r>
                <w:tab/>
              </w:r>
              <w:r>
                <w:fldChar w:fldCharType="begin"/>
              </w:r>
              <w:r>
                <w:instrText xml:space="preserve"> PAGEREF _Toc174477884 \h </w:instrText>
              </w:r>
              <w:r>
                <w:fldChar w:fldCharType="separate"/>
              </w:r>
              <w:r>
                <w:t>13</w:t>
              </w:r>
              <w:r>
                <w:fldChar w:fldCharType="end"/>
              </w:r>
              <w:r>
                <w:fldChar w:fldCharType="end"/>
              </w:r>
            </w:p>
            <w:p w14:paraId="2B56C48D">
              <w:pPr>
                <w:pStyle w:val="20"/>
                <w:tabs>
                  <w:tab w:val="right" w:leader="dot" w:pos="9016"/>
                </w:tabs>
                <w:rPr>
                  <w:rFonts w:asciiTheme="minorHAnsi" w:hAnsiTheme="minorHAnsi" w:eastAsiaTheme="minorEastAsia"/>
                  <w:kern w:val="2"/>
                  <w:szCs w:val="24"/>
                  <w:lang w:eastAsia="en-GB"/>
                  <w14:ligatures w14:val="standardContextual"/>
                </w:rPr>
              </w:pPr>
              <w:r>
                <w:fldChar w:fldCharType="begin"/>
              </w:r>
              <w:r>
                <w:instrText xml:space="preserve"> HYPERLINK \l "_Toc174477885" </w:instrText>
              </w:r>
              <w:r>
                <w:fldChar w:fldCharType="separate"/>
              </w:r>
              <w:r>
                <w:rPr>
                  <w:rStyle w:val="17"/>
                </w:rPr>
                <w:t>Mergers and Acquisitions (M&amp;A)</w:t>
              </w:r>
              <w:r>
                <w:tab/>
              </w:r>
              <w:r>
                <w:fldChar w:fldCharType="begin"/>
              </w:r>
              <w:r>
                <w:instrText xml:space="preserve"> PAGEREF _Toc174477885 \h </w:instrText>
              </w:r>
              <w:r>
                <w:fldChar w:fldCharType="separate"/>
              </w:r>
              <w:r>
                <w:t>14</w:t>
              </w:r>
              <w:r>
                <w:fldChar w:fldCharType="end"/>
              </w:r>
              <w:r>
                <w:fldChar w:fldCharType="end"/>
              </w:r>
            </w:p>
            <w:p w14:paraId="3ABF1BF5">
              <w:pPr>
                <w:pStyle w:val="20"/>
                <w:tabs>
                  <w:tab w:val="right" w:leader="dot" w:pos="9016"/>
                </w:tabs>
                <w:rPr>
                  <w:rFonts w:asciiTheme="minorHAnsi" w:hAnsiTheme="minorHAnsi" w:eastAsiaTheme="minorEastAsia"/>
                  <w:kern w:val="2"/>
                  <w:szCs w:val="24"/>
                  <w:lang w:eastAsia="en-GB"/>
                  <w14:ligatures w14:val="standardContextual"/>
                </w:rPr>
              </w:pPr>
              <w:r>
                <w:fldChar w:fldCharType="begin"/>
              </w:r>
              <w:r>
                <w:instrText xml:space="preserve"> HYPERLINK \l "_Toc174477886" </w:instrText>
              </w:r>
              <w:r>
                <w:fldChar w:fldCharType="separate"/>
              </w:r>
              <w:r>
                <w:rPr>
                  <w:rStyle w:val="17"/>
                </w:rPr>
                <w:t>Sustainability Initiatives</w:t>
              </w:r>
              <w:r>
                <w:tab/>
              </w:r>
              <w:r>
                <w:fldChar w:fldCharType="begin"/>
              </w:r>
              <w:r>
                <w:instrText xml:space="preserve"> PAGEREF _Toc174477886 \h </w:instrText>
              </w:r>
              <w:r>
                <w:fldChar w:fldCharType="separate"/>
              </w:r>
              <w:r>
                <w:t>14</w:t>
              </w:r>
              <w:r>
                <w:fldChar w:fldCharType="end"/>
              </w:r>
              <w:r>
                <w:fldChar w:fldCharType="end"/>
              </w:r>
            </w:p>
            <w:p w14:paraId="50A04B76">
              <w:pPr>
                <w:pStyle w:val="20"/>
                <w:tabs>
                  <w:tab w:val="right" w:leader="dot" w:pos="9016"/>
                </w:tabs>
                <w:rPr>
                  <w:rFonts w:asciiTheme="minorHAnsi" w:hAnsiTheme="minorHAnsi" w:eastAsiaTheme="minorEastAsia"/>
                  <w:kern w:val="2"/>
                  <w:szCs w:val="24"/>
                  <w:lang w:eastAsia="en-GB"/>
                  <w14:ligatures w14:val="standardContextual"/>
                </w:rPr>
              </w:pPr>
              <w:r>
                <w:fldChar w:fldCharType="begin"/>
              </w:r>
              <w:r>
                <w:instrText xml:space="preserve"> HYPERLINK \l "_Toc174477887" </w:instrText>
              </w:r>
              <w:r>
                <w:fldChar w:fldCharType="separate"/>
              </w:r>
              <w:r>
                <w:rPr>
                  <w:rStyle w:val="17"/>
                </w:rPr>
                <w:t>Geographical Expansion and Emerging Markets</w:t>
              </w:r>
              <w:r>
                <w:tab/>
              </w:r>
              <w:r>
                <w:fldChar w:fldCharType="begin"/>
              </w:r>
              <w:r>
                <w:instrText xml:space="preserve"> PAGEREF _Toc174477887 \h </w:instrText>
              </w:r>
              <w:r>
                <w:fldChar w:fldCharType="separate"/>
              </w:r>
              <w:r>
                <w:t>14</w:t>
              </w:r>
              <w:r>
                <w:fldChar w:fldCharType="end"/>
              </w:r>
              <w:r>
                <w:fldChar w:fldCharType="end"/>
              </w:r>
            </w:p>
            <w:p w14:paraId="307BD652">
              <w:pPr>
                <w:pStyle w:val="19"/>
                <w:tabs>
                  <w:tab w:val="right" w:leader="dot" w:pos="9016"/>
                </w:tabs>
                <w:rPr>
                  <w:rFonts w:asciiTheme="minorHAnsi" w:hAnsiTheme="minorHAnsi" w:eastAsiaTheme="minorEastAsia"/>
                  <w:kern w:val="2"/>
                  <w:szCs w:val="24"/>
                  <w:lang w:eastAsia="en-GB"/>
                  <w14:ligatures w14:val="standardContextual"/>
                </w:rPr>
              </w:pPr>
              <w:r>
                <w:fldChar w:fldCharType="begin"/>
              </w:r>
              <w:r>
                <w:instrText xml:space="preserve"> HYPERLINK \l "_Toc174477888" </w:instrText>
              </w:r>
              <w:r>
                <w:fldChar w:fldCharType="separate"/>
              </w:r>
              <w:r>
                <w:rPr>
                  <w:rStyle w:val="17"/>
                </w:rPr>
                <w:t>Critical Review of Unilever's Dividend Decisions (2019-2023)</w:t>
              </w:r>
              <w:r>
                <w:tab/>
              </w:r>
              <w:r>
                <w:fldChar w:fldCharType="begin"/>
              </w:r>
              <w:r>
                <w:instrText xml:space="preserve"> PAGEREF _Toc174477888 \h </w:instrText>
              </w:r>
              <w:r>
                <w:fldChar w:fldCharType="separate"/>
              </w:r>
              <w:r>
                <w:t>15</w:t>
              </w:r>
              <w:r>
                <w:fldChar w:fldCharType="end"/>
              </w:r>
              <w:r>
                <w:fldChar w:fldCharType="end"/>
              </w:r>
            </w:p>
            <w:p w14:paraId="19D9C336">
              <w:pPr>
                <w:pStyle w:val="20"/>
                <w:tabs>
                  <w:tab w:val="right" w:leader="dot" w:pos="9016"/>
                </w:tabs>
                <w:rPr>
                  <w:rFonts w:asciiTheme="minorHAnsi" w:hAnsiTheme="minorHAnsi" w:eastAsiaTheme="minorEastAsia"/>
                  <w:kern w:val="2"/>
                  <w:szCs w:val="24"/>
                  <w:lang w:eastAsia="en-GB"/>
                  <w14:ligatures w14:val="standardContextual"/>
                </w:rPr>
              </w:pPr>
              <w:r>
                <w:fldChar w:fldCharType="begin"/>
              </w:r>
              <w:r>
                <w:instrText xml:space="preserve"> HYPERLINK \l "_Toc174477889" </w:instrText>
              </w:r>
              <w:r>
                <w:fldChar w:fldCharType="separate"/>
              </w:r>
              <w:r>
                <w:rPr>
                  <w:rStyle w:val="17"/>
                </w:rPr>
                <w:t>Profitability and Dividend Sustainability</w:t>
              </w:r>
              <w:r>
                <w:tab/>
              </w:r>
              <w:r>
                <w:fldChar w:fldCharType="begin"/>
              </w:r>
              <w:r>
                <w:instrText xml:space="preserve"> PAGEREF _Toc174477889 \h </w:instrText>
              </w:r>
              <w:r>
                <w:fldChar w:fldCharType="separate"/>
              </w:r>
              <w:r>
                <w:t>15</w:t>
              </w:r>
              <w:r>
                <w:fldChar w:fldCharType="end"/>
              </w:r>
              <w:r>
                <w:fldChar w:fldCharType="end"/>
              </w:r>
            </w:p>
            <w:p w14:paraId="5222A3AA">
              <w:pPr>
                <w:pStyle w:val="20"/>
                <w:tabs>
                  <w:tab w:val="right" w:leader="dot" w:pos="9016"/>
                </w:tabs>
                <w:rPr>
                  <w:rFonts w:asciiTheme="minorHAnsi" w:hAnsiTheme="minorHAnsi" w:eastAsiaTheme="minorEastAsia"/>
                  <w:kern w:val="2"/>
                  <w:szCs w:val="24"/>
                  <w:lang w:eastAsia="en-GB"/>
                  <w14:ligatures w14:val="standardContextual"/>
                </w:rPr>
              </w:pPr>
              <w:r>
                <w:fldChar w:fldCharType="begin"/>
              </w:r>
              <w:r>
                <w:instrText xml:space="preserve"> HYPERLINK \l "_Toc174477890" </w:instrText>
              </w:r>
              <w:r>
                <w:fldChar w:fldCharType="separate"/>
              </w:r>
              <w:r>
                <w:rPr>
                  <w:rStyle w:val="17"/>
                </w:rPr>
                <w:t>Cash Flow Management</w:t>
              </w:r>
              <w:r>
                <w:tab/>
              </w:r>
              <w:r>
                <w:fldChar w:fldCharType="begin"/>
              </w:r>
              <w:r>
                <w:instrText xml:space="preserve"> PAGEREF _Toc174477890 \h </w:instrText>
              </w:r>
              <w:r>
                <w:fldChar w:fldCharType="separate"/>
              </w:r>
              <w:r>
                <w:t>16</w:t>
              </w:r>
              <w:r>
                <w:fldChar w:fldCharType="end"/>
              </w:r>
              <w:r>
                <w:fldChar w:fldCharType="end"/>
              </w:r>
            </w:p>
            <w:p w14:paraId="15EDA1AD">
              <w:pPr>
                <w:pStyle w:val="20"/>
                <w:tabs>
                  <w:tab w:val="right" w:leader="dot" w:pos="9016"/>
                </w:tabs>
                <w:rPr>
                  <w:rFonts w:asciiTheme="minorHAnsi" w:hAnsiTheme="minorHAnsi" w:eastAsiaTheme="minorEastAsia"/>
                  <w:kern w:val="2"/>
                  <w:szCs w:val="24"/>
                  <w:lang w:eastAsia="en-GB"/>
                  <w14:ligatures w14:val="standardContextual"/>
                </w:rPr>
              </w:pPr>
              <w:r>
                <w:fldChar w:fldCharType="begin"/>
              </w:r>
              <w:r>
                <w:instrText xml:space="preserve"> HYPERLINK \l "_Toc174477891" </w:instrText>
              </w:r>
              <w:r>
                <w:fldChar w:fldCharType="separate"/>
              </w:r>
              <w:r>
                <w:rPr>
                  <w:rStyle w:val="17"/>
                </w:rPr>
                <w:t>Capital Structure and Financial Leverage</w:t>
              </w:r>
              <w:r>
                <w:tab/>
              </w:r>
              <w:r>
                <w:fldChar w:fldCharType="begin"/>
              </w:r>
              <w:r>
                <w:instrText xml:space="preserve"> PAGEREF _Toc174477891 \h </w:instrText>
              </w:r>
              <w:r>
                <w:fldChar w:fldCharType="separate"/>
              </w:r>
              <w:r>
                <w:t>17</w:t>
              </w:r>
              <w:r>
                <w:fldChar w:fldCharType="end"/>
              </w:r>
              <w:r>
                <w:fldChar w:fldCharType="end"/>
              </w:r>
            </w:p>
            <w:p w14:paraId="5860396C">
              <w:pPr>
                <w:pStyle w:val="20"/>
                <w:tabs>
                  <w:tab w:val="right" w:leader="dot" w:pos="9016"/>
                </w:tabs>
                <w:rPr>
                  <w:rFonts w:asciiTheme="minorHAnsi" w:hAnsiTheme="minorHAnsi" w:eastAsiaTheme="minorEastAsia"/>
                  <w:kern w:val="2"/>
                  <w:szCs w:val="24"/>
                  <w:lang w:eastAsia="en-GB"/>
                  <w14:ligatures w14:val="standardContextual"/>
                </w:rPr>
              </w:pPr>
              <w:r>
                <w:fldChar w:fldCharType="begin"/>
              </w:r>
              <w:r>
                <w:instrText xml:space="preserve"> HYPERLINK \l "_Toc174477892" </w:instrText>
              </w:r>
              <w:r>
                <w:fldChar w:fldCharType="separate"/>
              </w:r>
              <w:r>
                <w:rPr>
                  <w:rStyle w:val="17"/>
                </w:rPr>
                <w:t>Investment and Growth</w:t>
              </w:r>
              <w:r>
                <w:tab/>
              </w:r>
              <w:r>
                <w:fldChar w:fldCharType="begin"/>
              </w:r>
              <w:r>
                <w:instrText xml:space="preserve"> PAGEREF _Toc174477892 \h </w:instrText>
              </w:r>
              <w:r>
                <w:fldChar w:fldCharType="separate"/>
              </w:r>
              <w:r>
                <w:t>17</w:t>
              </w:r>
              <w:r>
                <w:fldChar w:fldCharType="end"/>
              </w:r>
              <w:r>
                <w:fldChar w:fldCharType="end"/>
              </w:r>
            </w:p>
            <w:p w14:paraId="7E87BA53">
              <w:pPr>
                <w:pStyle w:val="20"/>
                <w:tabs>
                  <w:tab w:val="right" w:leader="dot" w:pos="9016"/>
                </w:tabs>
                <w:rPr>
                  <w:rFonts w:asciiTheme="minorHAnsi" w:hAnsiTheme="minorHAnsi" w:eastAsiaTheme="minorEastAsia"/>
                  <w:kern w:val="2"/>
                  <w:szCs w:val="24"/>
                  <w:lang w:eastAsia="en-GB"/>
                  <w14:ligatures w14:val="standardContextual"/>
                </w:rPr>
              </w:pPr>
              <w:r>
                <w:fldChar w:fldCharType="begin"/>
              </w:r>
              <w:r>
                <w:instrText xml:space="preserve"> HYPERLINK \l "_Toc174477893" </w:instrText>
              </w:r>
              <w:r>
                <w:fldChar w:fldCharType="separate"/>
              </w:r>
              <w:r>
                <w:rPr>
                  <w:rStyle w:val="17"/>
                </w:rPr>
                <w:t>Market Signalling and Shareholder Expectations</w:t>
              </w:r>
              <w:r>
                <w:tab/>
              </w:r>
              <w:r>
                <w:fldChar w:fldCharType="begin"/>
              </w:r>
              <w:r>
                <w:instrText xml:space="preserve"> PAGEREF _Toc174477893 \h </w:instrText>
              </w:r>
              <w:r>
                <w:fldChar w:fldCharType="separate"/>
              </w:r>
              <w:r>
                <w:t>18</w:t>
              </w:r>
              <w:r>
                <w:fldChar w:fldCharType="end"/>
              </w:r>
              <w:r>
                <w:fldChar w:fldCharType="end"/>
              </w:r>
            </w:p>
            <w:p w14:paraId="3803F70B">
              <w:pPr>
                <w:pStyle w:val="20"/>
                <w:tabs>
                  <w:tab w:val="right" w:leader="dot" w:pos="9016"/>
                </w:tabs>
                <w:rPr>
                  <w:rFonts w:asciiTheme="minorHAnsi" w:hAnsiTheme="minorHAnsi" w:eastAsiaTheme="minorEastAsia"/>
                  <w:kern w:val="2"/>
                  <w:szCs w:val="24"/>
                  <w:lang w:eastAsia="en-GB"/>
                  <w14:ligatures w14:val="standardContextual"/>
                </w:rPr>
              </w:pPr>
              <w:r>
                <w:fldChar w:fldCharType="begin"/>
              </w:r>
              <w:r>
                <w:instrText xml:space="preserve"> HYPERLINK \l "_Toc174477894" </w:instrText>
              </w:r>
              <w:r>
                <w:fldChar w:fldCharType="separate"/>
              </w:r>
              <w:r>
                <w:rPr>
                  <w:rStyle w:val="17"/>
                </w:rPr>
                <w:t>Economic Conditions and Risk Management</w:t>
              </w:r>
              <w:r>
                <w:tab/>
              </w:r>
              <w:r>
                <w:fldChar w:fldCharType="begin"/>
              </w:r>
              <w:r>
                <w:instrText xml:space="preserve"> PAGEREF _Toc174477894 \h </w:instrText>
              </w:r>
              <w:r>
                <w:fldChar w:fldCharType="separate"/>
              </w:r>
              <w:r>
                <w:t>18</w:t>
              </w:r>
              <w:r>
                <w:fldChar w:fldCharType="end"/>
              </w:r>
              <w:r>
                <w:fldChar w:fldCharType="end"/>
              </w:r>
            </w:p>
            <w:p w14:paraId="0B292243">
              <w:pPr>
                <w:pStyle w:val="20"/>
                <w:tabs>
                  <w:tab w:val="right" w:leader="dot" w:pos="9016"/>
                </w:tabs>
                <w:rPr>
                  <w:rFonts w:asciiTheme="minorHAnsi" w:hAnsiTheme="minorHAnsi" w:eastAsiaTheme="minorEastAsia"/>
                  <w:kern w:val="2"/>
                  <w:szCs w:val="24"/>
                  <w:lang w:eastAsia="en-GB"/>
                  <w14:ligatures w14:val="standardContextual"/>
                </w:rPr>
              </w:pPr>
              <w:r>
                <w:fldChar w:fldCharType="begin"/>
              </w:r>
              <w:r>
                <w:instrText xml:space="preserve"> HYPERLINK \l "_Toc174477895" </w:instrText>
              </w:r>
              <w:r>
                <w:fldChar w:fldCharType="separate"/>
              </w:r>
              <w:r>
                <w:rPr>
                  <w:rStyle w:val="17"/>
                </w:rPr>
                <w:t>Alternative Shareholder Returns</w:t>
              </w:r>
              <w:r>
                <w:tab/>
              </w:r>
              <w:r>
                <w:fldChar w:fldCharType="begin"/>
              </w:r>
              <w:r>
                <w:instrText xml:space="preserve"> PAGEREF _Toc174477895 \h </w:instrText>
              </w:r>
              <w:r>
                <w:fldChar w:fldCharType="separate"/>
              </w:r>
              <w:r>
                <w:t>18</w:t>
              </w:r>
              <w:r>
                <w:fldChar w:fldCharType="end"/>
              </w:r>
              <w:r>
                <w:fldChar w:fldCharType="end"/>
              </w:r>
            </w:p>
            <w:p w14:paraId="44141FD5">
              <w:pPr>
                <w:pStyle w:val="19"/>
                <w:tabs>
                  <w:tab w:val="right" w:leader="dot" w:pos="9016"/>
                </w:tabs>
                <w:rPr>
                  <w:rFonts w:asciiTheme="minorHAnsi" w:hAnsiTheme="minorHAnsi" w:eastAsiaTheme="minorEastAsia"/>
                  <w:kern w:val="2"/>
                  <w:szCs w:val="24"/>
                  <w:lang w:eastAsia="en-GB"/>
                  <w14:ligatures w14:val="standardContextual"/>
                </w:rPr>
              </w:pPr>
              <w:r>
                <w:fldChar w:fldCharType="begin"/>
              </w:r>
              <w:r>
                <w:instrText xml:space="preserve"> HYPERLINK \l "_Toc174477896" </w:instrText>
              </w:r>
              <w:r>
                <w:fldChar w:fldCharType="separate"/>
              </w:r>
              <w:r>
                <w:rPr>
                  <w:rStyle w:val="17"/>
                </w:rPr>
                <w:t>Conclusion</w:t>
              </w:r>
              <w:r>
                <w:tab/>
              </w:r>
              <w:r>
                <w:fldChar w:fldCharType="begin"/>
              </w:r>
              <w:r>
                <w:instrText xml:space="preserve"> PAGEREF _Toc174477896 \h </w:instrText>
              </w:r>
              <w:r>
                <w:fldChar w:fldCharType="separate"/>
              </w:r>
              <w:r>
                <w:t>19</w:t>
              </w:r>
              <w:r>
                <w:fldChar w:fldCharType="end"/>
              </w:r>
              <w:r>
                <w:fldChar w:fldCharType="end"/>
              </w:r>
            </w:p>
            <w:p w14:paraId="531610C2">
              <w:pPr>
                <w:pStyle w:val="19"/>
                <w:tabs>
                  <w:tab w:val="right" w:leader="dot" w:pos="9016"/>
                </w:tabs>
                <w:rPr>
                  <w:rFonts w:asciiTheme="minorHAnsi" w:hAnsiTheme="minorHAnsi" w:eastAsiaTheme="minorEastAsia"/>
                  <w:kern w:val="2"/>
                  <w:szCs w:val="24"/>
                  <w:lang w:eastAsia="en-GB"/>
                  <w14:ligatures w14:val="standardContextual"/>
                </w:rPr>
              </w:pPr>
              <w:r>
                <w:fldChar w:fldCharType="begin"/>
              </w:r>
              <w:r>
                <w:instrText xml:space="preserve"> HYPERLINK \l "_Toc174477897" </w:instrText>
              </w:r>
              <w:r>
                <w:fldChar w:fldCharType="separate"/>
              </w:r>
              <w:r>
                <w:rPr>
                  <w:rStyle w:val="17"/>
                </w:rPr>
                <w:t>References</w:t>
              </w:r>
              <w:r>
                <w:tab/>
              </w:r>
              <w:r>
                <w:fldChar w:fldCharType="begin"/>
              </w:r>
              <w:r>
                <w:instrText xml:space="preserve"> PAGEREF _Toc174477897 \h </w:instrText>
              </w:r>
              <w:r>
                <w:fldChar w:fldCharType="separate"/>
              </w:r>
              <w:r>
                <w:t>20</w:t>
              </w:r>
              <w:r>
                <w:fldChar w:fldCharType="end"/>
              </w:r>
              <w:r>
                <w:fldChar w:fldCharType="end"/>
              </w:r>
            </w:p>
            <w:p w14:paraId="21F2A0F1">
              <w:pPr>
                <w:jc w:val="left"/>
                <w:rPr>
                  <w:b/>
                  <w:bCs/>
                  <w:sz w:val="23"/>
                  <w:szCs w:val="23"/>
                </w:rPr>
              </w:pPr>
              <w:r>
                <w:rPr>
                  <w:sz w:val="23"/>
                  <w:szCs w:val="23"/>
                </w:rPr>
                <w:fldChar w:fldCharType="end"/>
              </w:r>
            </w:p>
          </w:sdtContent>
        </w:sdt>
        <w:p w14:paraId="757DB966">
          <w:pPr>
            <w:jc w:val="left"/>
            <w:rPr>
              <w:color w:val="000000" w:themeColor="text1"/>
              <w:sz w:val="23"/>
              <w:szCs w:val="23"/>
              <w14:textFill>
                <w14:solidFill>
                  <w14:schemeClr w14:val="tx1"/>
                </w14:solidFill>
              </w14:textFill>
            </w:rPr>
          </w:pPr>
        </w:p>
        <w:p w14:paraId="3C510040">
          <w:pPr>
            <w:jc w:val="left"/>
            <w:rPr>
              <w:color w:val="000000" w:themeColor="text1"/>
              <w:sz w:val="23"/>
              <w:szCs w:val="23"/>
              <w14:textFill>
                <w14:solidFill>
                  <w14:schemeClr w14:val="tx1"/>
                </w14:solidFill>
              </w14:textFill>
            </w:rPr>
          </w:pPr>
        </w:p>
        <w:p w14:paraId="6C157960">
          <w:pPr>
            <w:jc w:val="left"/>
            <w:rPr>
              <w:color w:val="000000" w:themeColor="text1"/>
              <w:sz w:val="23"/>
              <w:szCs w:val="23"/>
              <w14:textFill>
                <w14:solidFill>
                  <w14:schemeClr w14:val="tx1"/>
                </w14:solidFill>
              </w14:textFill>
            </w:rPr>
          </w:pPr>
        </w:p>
        <w:p w14:paraId="000BA9DE">
          <w:pPr>
            <w:jc w:val="left"/>
            <w:rPr>
              <w:color w:val="000000" w:themeColor="text1"/>
              <w:sz w:val="23"/>
              <w:szCs w:val="23"/>
              <w14:textFill>
                <w14:solidFill>
                  <w14:schemeClr w14:val="tx1"/>
                </w14:solidFill>
              </w14:textFill>
            </w:rPr>
          </w:pPr>
        </w:p>
        <w:p w14:paraId="065F6A62">
          <w:pPr>
            <w:jc w:val="left"/>
            <w:rPr>
              <w:color w:val="000000" w:themeColor="text1"/>
              <w:sz w:val="23"/>
              <w:szCs w:val="23"/>
              <w14:textFill>
                <w14:solidFill>
                  <w14:schemeClr w14:val="tx1"/>
                </w14:solidFill>
              </w14:textFill>
            </w:rPr>
          </w:pPr>
        </w:p>
        <w:p w14:paraId="0EAFCD1F">
          <w:pPr>
            <w:jc w:val="left"/>
            <w:rPr>
              <w:color w:val="000000" w:themeColor="text1"/>
              <w:sz w:val="23"/>
              <w:szCs w:val="23"/>
              <w14:textFill>
                <w14:solidFill>
                  <w14:schemeClr w14:val="tx1"/>
                </w14:solidFill>
              </w14:textFill>
            </w:rPr>
          </w:pPr>
        </w:p>
        <w:p w14:paraId="4723C5A3">
          <w:pPr>
            <w:jc w:val="left"/>
            <w:rPr>
              <w:color w:val="000000" w:themeColor="text1"/>
              <w:sz w:val="23"/>
              <w:szCs w:val="23"/>
              <w14:textFill>
                <w14:solidFill>
                  <w14:schemeClr w14:val="tx1"/>
                </w14:solidFill>
              </w14:textFill>
            </w:rPr>
          </w:pPr>
        </w:p>
        <w:p w14:paraId="3DD2CC75">
          <w:pPr>
            <w:jc w:val="left"/>
            <w:rPr>
              <w:color w:val="000000" w:themeColor="text1"/>
              <w:sz w:val="23"/>
              <w:szCs w:val="23"/>
              <w14:textFill>
                <w14:solidFill>
                  <w14:schemeClr w14:val="tx1"/>
                </w14:solidFill>
              </w14:textFill>
            </w:rPr>
          </w:pPr>
        </w:p>
        <w:p w14:paraId="570FE4AA">
          <w:pPr>
            <w:jc w:val="left"/>
            <w:rPr>
              <w:color w:val="000000" w:themeColor="text1"/>
              <w:sz w:val="23"/>
              <w:szCs w:val="23"/>
              <w14:textFill>
                <w14:solidFill>
                  <w14:schemeClr w14:val="tx1"/>
                </w14:solidFill>
              </w14:textFill>
            </w:rPr>
          </w:pPr>
        </w:p>
        <w:p w14:paraId="5E29A7FB">
          <w:pPr>
            <w:jc w:val="left"/>
            <w:rPr>
              <w:color w:val="000000" w:themeColor="text1"/>
              <w:sz w:val="23"/>
              <w:szCs w:val="23"/>
              <w14:textFill>
                <w14:solidFill>
                  <w14:schemeClr w14:val="tx1"/>
                </w14:solidFill>
              </w14:textFill>
            </w:rPr>
          </w:pPr>
        </w:p>
        <w:p w14:paraId="450B8F52">
          <w:pPr>
            <w:jc w:val="left"/>
            <w:rPr>
              <w:color w:val="000000" w:themeColor="text1"/>
              <w:sz w:val="23"/>
              <w:szCs w:val="23"/>
              <w14:textFill>
                <w14:solidFill>
                  <w14:schemeClr w14:val="tx1"/>
                </w14:solidFill>
              </w14:textFill>
            </w:rPr>
          </w:pPr>
        </w:p>
        <w:p w14:paraId="1FE51BBB">
          <w:pPr>
            <w:jc w:val="left"/>
            <w:rPr>
              <w:color w:val="000000" w:themeColor="text1"/>
              <w:sz w:val="23"/>
              <w:szCs w:val="23"/>
              <w14:textFill>
                <w14:solidFill>
                  <w14:schemeClr w14:val="tx1"/>
                </w14:solidFill>
              </w14:textFill>
            </w:rPr>
          </w:pPr>
        </w:p>
        <w:p w14:paraId="5945F4C8">
          <w:pPr>
            <w:jc w:val="left"/>
            <w:rPr>
              <w:color w:val="000000" w:themeColor="text1"/>
              <w:sz w:val="23"/>
              <w:szCs w:val="23"/>
              <w14:textFill>
                <w14:solidFill>
                  <w14:schemeClr w14:val="tx1"/>
                </w14:solidFill>
              </w14:textFill>
            </w:rPr>
          </w:pPr>
        </w:p>
        <w:p w14:paraId="2FA8ED9B">
          <w:pPr>
            <w:jc w:val="left"/>
            <w:rPr>
              <w:color w:val="000000" w:themeColor="text1"/>
              <w:sz w:val="23"/>
              <w:szCs w:val="23"/>
              <w14:textFill>
                <w14:solidFill>
                  <w14:schemeClr w14:val="tx1"/>
                </w14:solidFill>
              </w14:textFill>
            </w:rPr>
          </w:pPr>
        </w:p>
        <w:p w14:paraId="67C1BCEB">
          <w:pPr>
            <w:jc w:val="left"/>
            <w:rPr>
              <w:color w:val="000000" w:themeColor="text1"/>
              <w:sz w:val="23"/>
              <w:szCs w:val="23"/>
              <w14:textFill>
                <w14:solidFill>
                  <w14:schemeClr w14:val="tx1"/>
                </w14:solidFill>
              </w14:textFill>
            </w:rPr>
          </w:pPr>
        </w:p>
        <w:p w14:paraId="74AAA368">
          <w:pPr>
            <w:pStyle w:val="2"/>
          </w:pPr>
          <w:bookmarkStart w:id="0" w:name="_Toc174477865"/>
          <w:r>
            <w:t>Introduction</w:t>
          </w:r>
          <w:bookmarkEnd w:id="0"/>
        </w:p>
        <w:p w14:paraId="1AE1BB10">
          <w:pPr>
            <w:rPr>
              <w:szCs w:val="24"/>
              <w:lang w:eastAsia="ja-JP"/>
            </w:rPr>
          </w:pPr>
          <w:r>
            <w:rPr>
              <w:szCs w:val="24"/>
              <w:lang w:eastAsia="ja-JP"/>
            </w:rPr>
            <w:t>Unilever PLC is a British multinational organization founded in United Kingdom and has its central base in London. The firm has its origin around 1872, where two butter making families from Holland by the name of Jurgens and Van den Bergh outgrew the prospect of consolidating and started what was to be known as Unilever (Unilever, 2023a). The company which is in its current structure was formed in 1929 from the merger between British soap maker Lever Brothers and Dutch margarine maker Margarine Unie (Jones 2005). This global company with over 400 brands in the food and refreshment, home and personal care products has evolved from a small-scale venture over the decades. Among the well-known sub brands within the company include Dove, Knorr, Hellmann’s, Lipton, Ben and Jerry’s (Unilever, 2023b). It was founded in 1979 and is in London, England; to be specific, it has been floated on the London Stock Exchange where it is categorized under the FTSE 100 Index (London Stock Exchange, 2023).</w:t>
          </w:r>
        </w:p>
        <w:p w14:paraId="1E17F41D">
          <w:pPr>
            <w:pStyle w:val="3"/>
            <w:rPr>
              <w:szCs w:val="24"/>
            </w:rPr>
          </w:pPr>
          <w:bookmarkStart w:id="1" w:name="_Toc174477866"/>
          <w:r>
            <w:rPr>
              <w:szCs w:val="24"/>
            </w:rPr>
            <w:t>Key Corporate Events (2018 - 2023)</w:t>
          </w:r>
          <w:bookmarkEnd w:id="1"/>
        </w:p>
        <w:p w14:paraId="7C53C3AC">
          <w:pPr>
            <w:pStyle w:val="25"/>
            <w:numPr>
              <w:ilvl w:val="0"/>
              <w:numId w:val="1"/>
            </w:numPr>
            <w:rPr>
              <w:szCs w:val="24"/>
              <w:lang w:eastAsia="ja-JP"/>
            </w:rPr>
          </w:pPr>
          <w:r>
            <w:rPr>
              <w:b/>
              <w:bCs/>
              <w:szCs w:val="24"/>
              <w:lang w:eastAsia="ja-JP"/>
            </w:rPr>
            <w:t>Headquarters Consolidation (2018)</w:t>
          </w:r>
          <w:r>
            <w:rPr>
              <w:szCs w:val="24"/>
              <w:lang w:eastAsia="ja-JP"/>
            </w:rPr>
            <w:t xml:space="preserve">: Unilever abandoned its dual Anglo-Dutch structure and consolidated its headquarters in London, unifying into a single parent company, Unilever PLC (Unilever, 2018). </w:t>
          </w:r>
        </w:p>
        <w:p w14:paraId="2C508F9E">
          <w:pPr>
            <w:pStyle w:val="25"/>
            <w:numPr>
              <w:ilvl w:val="0"/>
              <w:numId w:val="1"/>
            </w:numPr>
            <w:rPr>
              <w:szCs w:val="24"/>
              <w:lang w:eastAsia="ja-JP"/>
            </w:rPr>
          </w:pPr>
          <w:r>
            <w:rPr>
              <w:b/>
              <w:bCs/>
              <w:szCs w:val="24"/>
              <w:lang w:eastAsia="ja-JP"/>
            </w:rPr>
            <w:t>Appointment of Alan Jope as CEO (2019)</w:t>
          </w:r>
          <w:r>
            <w:rPr>
              <w:szCs w:val="24"/>
              <w:lang w:eastAsia="ja-JP"/>
            </w:rPr>
            <w:t xml:space="preserve">: Alan Jope succeeded Paul Polman as CEO, marking a significant leadership change (Unilever, 2019a). </w:t>
          </w:r>
        </w:p>
        <w:p w14:paraId="58667146">
          <w:pPr>
            <w:pStyle w:val="25"/>
            <w:numPr>
              <w:ilvl w:val="0"/>
              <w:numId w:val="1"/>
            </w:numPr>
            <w:rPr>
              <w:szCs w:val="24"/>
              <w:lang w:eastAsia="ja-JP"/>
            </w:rPr>
          </w:pPr>
          <w:r>
            <w:rPr>
              <w:b/>
              <w:bCs/>
              <w:szCs w:val="24"/>
              <w:lang w:eastAsia="ja-JP"/>
            </w:rPr>
            <w:t>COVID-19 Response (2020-2021)</w:t>
          </w:r>
          <w:r>
            <w:rPr>
              <w:szCs w:val="24"/>
              <w:lang w:eastAsia="ja-JP"/>
            </w:rPr>
            <w:t xml:space="preserve">: Unilever contributed over €100 million through donations of soap, sanitizer, bleach, and food, and offered €500 million of cash flow relief for vulnerable suppliers and customers during the pandemic (Unilever, 2020b). </w:t>
          </w:r>
        </w:p>
        <w:p w14:paraId="376B3BA3">
          <w:pPr>
            <w:pStyle w:val="25"/>
            <w:numPr>
              <w:ilvl w:val="0"/>
              <w:numId w:val="1"/>
            </w:numPr>
            <w:rPr>
              <w:szCs w:val="24"/>
              <w:lang w:eastAsia="ja-JP"/>
            </w:rPr>
          </w:pPr>
          <w:r>
            <w:rPr>
              <w:b/>
              <w:bCs/>
              <w:szCs w:val="24"/>
              <w:lang w:eastAsia="ja-JP"/>
            </w:rPr>
            <w:t>Failed Bid for GSK Consumer Healthcare (2022)</w:t>
          </w:r>
          <w:r>
            <w:rPr>
              <w:szCs w:val="24"/>
              <w:lang w:eastAsia="ja-JP"/>
            </w:rPr>
            <w:t xml:space="preserve">: Unilever made an unsuccessful £50 billion bid for GSK's consumer healthcare division, which was rejected as undervaluing the business (Unilever, 2022a). </w:t>
          </w:r>
        </w:p>
        <w:p w14:paraId="5AE2797D">
          <w:pPr>
            <w:pStyle w:val="25"/>
            <w:numPr>
              <w:ilvl w:val="0"/>
              <w:numId w:val="1"/>
            </w:numPr>
            <w:rPr>
              <w:b/>
              <w:bCs/>
              <w:szCs w:val="24"/>
              <w:lang w:eastAsia="ja-JP"/>
            </w:rPr>
          </w:pPr>
          <w:r>
            <w:rPr>
              <w:b/>
              <w:bCs/>
              <w:szCs w:val="24"/>
              <w:lang w:eastAsia="ja-JP"/>
            </w:rPr>
            <w:t xml:space="preserve">Strategic Acquisitions and Divestments: </w:t>
          </w:r>
          <w:r>
            <w:rPr>
              <w:szCs w:val="24"/>
              <w:lang w:eastAsia="ja-JP"/>
            </w:rPr>
            <w:t xml:space="preserve">From GlaxoSmithKline it bought the beverage portfolio of Health Food Drinks which includes Horlicks for €3. 3 billion in 2018. </w:t>
          </w:r>
        </w:p>
        <w:p w14:paraId="27DBB72E">
          <w:pPr>
            <w:pStyle w:val="25"/>
            <w:numPr>
              <w:ilvl w:val="0"/>
              <w:numId w:val="1"/>
            </w:numPr>
            <w:rPr>
              <w:szCs w:val="24"/>
              <w:lang w:eastAsia="ja-JP"/>
            </w:rPr>
          </w:pPr>
          <w:r>
            <w:rPr>
              <w:b/>
              <w:bCs/>
              <w:szCs w:val="24"/>
              <w:lang w:eastAsia="ja-JP"/>
            </w:rPr>
            <w:t>Organizational Restructure (2022)</w:t>
          </w:r>
          <w:r>
            <w:rPr>
              <w:szCs w:val="24"/>
              <w:lang w:eastAsia="ja-JP"/>
            </w:rPr>
            <w:t xml:space="preserve">: The company announced a major reorganization, moving from a matrix structure to five distinct business groups: Beauty &amp; Wellbeing, Personal Care, Home Care, Nutrition, and Ice Cream (Unilever, 2022b). </w:t>
          </w:r>
        </w:p>
        <w:p w14:paraId="5CDA8C7B">
          <w:pPr>
            <w:pStyle w:val="25"/>
            <w:numPr>
              <w:ilvl w:val="0"/>
              <w:numId w:val="1"/>
            </w:numPr>
            <w:rPr>
              <w:szCs w:val="24"/>
              <w:lang w:eastAsia="ja-JP"/>
            </w:rPr>
          </w:pPr>
          <w:r>
            <w:rPr>
              <w:b/>
              <w:bCs/>
              <w:szCs w:val="24"/>
              <w:lang w:eastAsia="ja-JP"/>
            </w:rPr>
            <w:t>Appointment of Hein Schumacher as CEO (2023)</w:t>
          </w:r>
          <w:r>
            <w:rPr>
              <w:szCs w:val="24"/>
              <w:lang w:eastAsia="ja-JP"/>
            </w:rPr>
            <w:t>: Unilever appointed Hein Schumacher to succeed Alan Jope as CEO, effective July 1, 2023 (Unilever, 2023c).</w:t>
          </w:r>
        </w:p>
        <w:p w14:paraId="4E133422">
          <w:pPr>
            <w:rPr>
              <w:szCs w:val="24"/>
              <w:lang w:eastAsia="ja-JP"/>
            </w:rPr>
          </w:pPr>
          <w:r>
            <w:rPr>
              <w:szCs w:val="24"/>
              <w:lang w:eastAsia="ja-JP"/>
            </w:rPr>
            <w:t xml:space="preserve">These events also show that Unilever as being responsive to change in the environment through strategic growth and restructuring and social responsibility and sustainability. </w:t>
          </w:r>
        </w:p>
        <w:p w14:paraId="6421C342">
          <w:pPr>
            <w:pStyle w:val="2"/>
          </w:pPr>
          <w:bookmarkStart w:id="2" w:name="_Toc174477867"/>
          <w:r>
            <w:t>Financial performance and alternative capital structure considerations</w:t>
          </w:r>
          <w:bookmarkEnd w:id="2"/>
        </w:p>
        <w:p w14:paraId="2005C66A">
          <w:pPr>
            <w:rPr>
              <w:szCs w:val="24"/>
              <w:lang w:eastAsia="ja-JP"/>
            </w:rPr>
          </w:pPr>
          <w:r>
            <w:rPr>
              <w:szCs w:val="24"/>
              <w:lang w:eastAsia="ja-JP"/>
            </w:rPr>
            <w:t>Data is taken from the consolidated financial statements of Unilever (2023) &amp; Unilever (2021) annual reports.</w:t>
          </w:r>
        </w:p>
        <w:p w14:paraId="2170B1DC">
          <w:pPr>
            <w:pStyle w:val="3"/>
            <w:rPr>
              <w:szCs w:val="24"/>
            </w:rPr>
          </w:pPr>
          <w:bookmarkStart w:id="3" w:name="_Toc174477868"/>
          <w:r>
            <w:rPr>
              <w:szCs w:val="24"/>
            </w:rPr>
            <w:t>Liquidity Ratios</w:t>
          </w:r>
          <w:bookmarkEnd w:id="3"/>
        </w:p>
        <w:p w14:paraId="17368667">
          <w:pPr>
            <w:rPr>
              <w:b/>
              <w:bCs/>
              <w:szCs w:val="24"/>
              <w:lang w:eastAsia="ja-JP"/>
            </w:rPr>
          </w:pPr>
          <w:r>
            <w:rPr>
              <w:b/>
              <w:bCs/>
              <w:szCs w:val="24"/>
              <w:lang w:eastAsia="ja-JP"/>
            </w:rPr>
            <w:t>Current Ratio- Formula: Current Assets / Current Liabilities</w:t>
          </w:r>
        </w:p>
        <w:p w14:paraId="665D6681">
          <w:pPr>
            <w:pStyle w:val="25"/>
            <w:numPr>
              <w:ilvl w:val="0"/>
              <w:numId w:val="2"/>
            </w:numPr>
            <w:rPr>
              <w:szCs w:val="24"/>
              <w:lang w:eastAsia="ja-JP"/>
            </w:rPr>
          </w:pPr>
          <w:r>
            <w:rPr>
              <w:b/>
              <w:bCs/>
              <w:szCs w:val="24"/>
              <w:lang w:eastAsia="ja-JP"/>
            </w:rPr>
            <w:t>2023:</w:t>
          </w:r>
          <w:r>
            <w:rPr>
              <w:szCs w:val="24"/>
              <w:lang w:eastAsia="ja-JP"/>
            </w:rPr>
            <w:t xml:space="preserve"> 17,902 / 23,507 = 0.76 </w:t>
          </w:r>
        </w:p>
        <w:p w14:paraId="2C5ABF87">
          <w:pPr>
            <w:pStyle w:val="25"/>
            <w:numPr>
              <w:ilvl w:val="0"/>
              <w:numId w:val="2"/>
            </w:numPr>
            <w:rPr>
              <w:szCs w:val="24"/>
              <w:lang w:eastAsia="ja-JP"/>
            </w:rPr>
          </w:pPr>
          <w:r>
            <w:rPr>
              <w:b/>
              <w:bCs/>
              <w:szCs w:val="24"/>
              <w:lang w:eastAsia="ja-JP"/>
            </w:rPr>
            <w:t>2022:</w:t>
          </w:r>
          <w:r>
            <w:rPr>
              <w:szCs w:val="24"/>
              <w:lang w:eastAsia="ja-JP"/>
            </w:rPr>
            <w:t xml:space="preserve"> 19,157 / 25,427 = 0.75 </w:t>
          </w:r>
        </w:p>
        <w:p w14:paraId="6451D1EF">
          <w:pPr>
            <w:pStyle w:val="25"/>
            <w:numPr>
              <w:ilvl w:val="0"/>
              <w:numId w:val="2"/>
            </w:numPr>
            <w:rPr>
              <w:szCs w:val="24"/>
              <w:lang w:eastAsia="ja-JP"/>
            </w:rPr>
          </w:pPr>
          <w:r>
            <w:rPr>
              <w:b/>
              <w:bCs/>
              <w:szCs w:val="24"/>
              <w:lang w:eastAsia="ja-JP"/>
            </w:rPr>
            <w:t>2021:</w:t>
          </w:r>
          <w:r>
            <w:rPr>
              <w:szCs w:val="24"/>
              <w:lang w:eastAsia="ja-JP"/>
            </w:rPr>
            <w:t xml:space="preserve"> 16,157 / 20,592 = 0.78 </w:t>
          </w:r>
        </w:p>
        <w:p w14:paraId="517A30D5">
          <w:pPr>
            <w:pStyle w:val="25"/>
            <w:numPr>
              <w:ilvl w:val="0"/>
              <w:numId w:val="2"/>
            </w:numPr>
            <w:rPr>
              <w:szCs w:val="24"/>
              <w:lang w:eastAsia="ja-JP"/>
            </w:rPr>
          </w:pPr>
          <w:r>
            <w:rPr>
              <w:b/>
              <w:bCs/>
              <w:szCs w:val="24"/>
              <w:lang w:eastAsia="ja-JP"/>
            </w:rPr>
            <w:t>2020:</w:t>
          </w:r>
          <w:r>
            <w:rPr>
              <w:szCs w:val="24"/>
              <w:lang w:eastAsia="ja-JP"/>
            </w:rPr>
            <w:t xml:space="preserve"> 16,157 / 20,592 = 0.78 </w:t>
          </w:r>
        </w:p>
        <w:p w14:paraId="21CEE4FA">
          <w:pPr>
            <w:pStyle w:val="25"/>
            <w:numPr>
              <w:ilvl w:val="0"/>
              <w:numId w:val="2"/>
            </w:numPr>
            <w:rPr>
              <w:szCs w:val="24"/>
              <w:lang w:eastAsia="ja-JP"/>
            </w:rPr>
          </w:pPr>
          <w:r>
            <w:rPr>
              <w:b/>
              <w:bCs/>
              <w:szCs w:val="24"/>
              <w:lang w:eastAsia="ja-JP"/>
            </w:rPr>
            <w:t>2019:</w:t>
          </w:r>
          <w:r>
            <w:rPr>
              <w:szCs w:val="24"/>
              <w:lang w:eastAsia="ja-JP"/>
            </w:rPr>
            <w:t xml:space="preserve"> 16,430 / 20,978 = 0.78</w:t>
          </w:r>
        </w:p>
        <w:p w14:paraId="7C589A32">
          <w:pPr>
            <w:rPr>
              <w:szCs w:val="24"/>
              <w:lang w:eastAsia="ja-JP"/>
            </w:rPr>
          </w:pPr>
          <w:r>
            <w:rPr>
              <w:szCs w:val="24"/>
              <w:lang w:eastAsia="ja-JP"/>
            </w:rPr>
            <w:t>A current ratio is an indicator of the company’s capacity to meet its short-term obligations, which can be observed at Unilever. A ratio below 1 means that the company may not be able to meet its short-term obligations; however, this is standard in industries with intensive inventory turnovers.</w:t>
          </w:r>
        </w:p>
        <w:p w14:paraId="57017C5F">
          <w:pPr>
            <w:rPr>
              <w:b/>
              <w:bCs/>
              <w:szCs w:val="24"/>
              <w:lang w:eastAsia="ja-JP"/>
            </w:rPr>
          </w:pPr>
          <w:r>
            <w:rPr>
              <w:b/>
              <w:bCs/>
              <w:szCs w:val="24"/>
              <w:lang w:eastAsia="ja-JP"/>
            </w:rPr>
            <w:t>Quick Ratio (Acid-Test Ratio)</w:t>
          </w:r>
        </w:p>
        <w:p w14:paraId="6F0D2E69">
          <w:pPr>
            <w:rPr>
              <w:b/>
              <w:bCs/>
              <w:szCs w:val="24"/>
              <w:lang w:eastAsia="ja-JP"/>
            </w:rPr>
          </w:pPr>
          <w:r>
            <w:rPr>
              <w:b/>
              <w:bCs/>
              <w:szCs w:val="24"/>
              <w:lang w:eastAsia="ja-JP"/>
            </w:rPr>
            <w:t>Formula: (Current Assets - Inventory) / Current Liabilities</w:t>
          </w:r>
        </w:p>
        <w:p w14:paraId="6BE93E73">
          <w:pPr>
            <w:pStyle w:val="25"/>
            <w:numPr>
              <w:ilvl w:val="0"/>
              <w:numId w:val="3"/>
            </w:numPr>
            <w:tabs>
              <w:tab w:val="center" w:pos="4513"/>
            </w:tabs>
            <w:rPr>
              <w:szCs w:val="24"/>
              <w:lang w:eastAsia="ja-JP"/>
            </w:rPr>
          </w:pPr>
          <w:r>
            <w:rPr>
              <w:b/>
              <w:bCs/>
              <w:szCs w:val="24"/>
              <w:lang w:eastAsia="ja-JP"/>
            </w:rPr>
            <w:t>2023:</w:t>
          </w:r>
          <w:r>
            <w:rPr>
              <w:szCs w:val="24"/>
              <w:lang w:eastAsia="ja-JP"/>
            </w:rPr>
            <w:t xml:space="preserve"> (17,902 - 5,119) / 23,507 = 0.54 </w:t>
          </w:r>
          <w:r>
            <w:rPr>
              <w:szCs w:val="24"/>
              <w:lang w:eastAsia="ja-JP"/>
            </w:rPr>
            <w:tab/>
          </w:r>
        </w:p>
        <w:p w14:paraId="1FDD857F">
          <w:pPr>
            <w:pStyle w:val="25"/>
            <w:numPr>
              <w:ilvl w:val="0"/>
              <w:numId w:val="3"/>
            </w:numPr>
            <w:rPr>
              <w:szCs w:val="24"/>
              <w:lang w:eastAsia="ja-JP"/>
            </w:rPr>
          </w:pPr>
          <w:r>
            <w:rPr>
              <w:b/>
              <w:bCs/>
              <w:szCs w:val="24"/>
              <w:lang w:eastAsia="ja-JP"/>
            </w:rPr>
            <w:t>2022:</w:t>
          </w:r>
          <w:r>
            <w:rPr>
              <w:szCs w:val="24"/>
              <w:lang w:eastAsia="ja-JP"/>
            </w:rPr>
            <w:t xml:space="preserve"> (19,157 - 5,931) / 25,427 = 0.52 </w:t>
          </w:r>
        </w:p>
        <w:p w14:paraId="77C226BD">
          <w:pPr>
            <w:pStyle w:val="25"/>
            <w:numPr>
              <w:ilvl w:val="0"/>
              <w:numId w:val="3"/>
            </w:numPr>
            <w:rPr>
              <w:szCs w:val="24"/>
              <w:lang w:eastAsia="ja-JP"/>
            </w:rPr>
          </w:pPr>
          <w:r>
            <w:rPr>
              <w:b/>
              <w:bCs/>
              <w:szCs w:val="24"/>
              <w:lang w:eastAsia="ja-JP"/>
            </w:rPr>
            <w:t>2021:</w:t>
          </w:r>
          <w:r>
            <w:rPr>
              <w:szCs w:val="24"/>
              <w:lang w:eastAsia="ja-JP"/>
            </w:rPr>
            <w:t xml:space="preserve"> (16,157 - 4,462) / 20,592 = 0.57 </w:t>
          </w:r>
        </w:p>
        <w:p w14:paraId="4F53F8A4">
          <w:pPr>
            <w:pStyle w:val="25"/>
            <w:numPr>
              <w:ilvl w:val="0"/>
              <w:numId w:val="3"/>
            </w:numPr>
            <w:rPr>
              <w:szCs w:val="24"/>
              <w:lang w:eastAsia="ja-JP"/>
            </w:rPr>
          </w:pPr>
          <w:r>
            <w:rPr>
              <w:b/>
              <w:bCs/>
              <w:szCs w:val="24"/>
              <w:lang w:eastAsia="ja-JP"/>
            </w:rPr>
            <w:t>2020:</w:t>
          </w:r>
          <w:r>
            <w:rPr>
              <w:szCs w:val="24"/>
              <w:lang w:eastAsia="ja-JP"/>
            </w:rPr>
            <w:t xml:space="preserve"> (16,157 - 4,462) / 20,592 = 0.57 </w:t>
          </w:r>
        </w:p>
        <w:p w14:paraId="67BA738B">
          <w:pPr>
            <w:pStyle w:val="25"/>
            <w:numPr>
              <w:ilvl w:val="0"/>
              <w:numId w:val="3"/>
            </w:numPr>
            <w:rPr>
              <w:szCs w:val="24"/>
              <w:lang w:eastAsia="ja-JP"/>
            </w:rPr>
          </w:pPr>
          <w:r>
            <w:rPr>
              <w:b/>
              <w:bCs/>
              <w:szCs w:val="24"/>
              <w:lang w:eastAsia="ja-JP"/>
            </w:rPr>
            <w:t>2019:</w:t>
          </w:r>
          <w:r>
            <w:rPr>
              <w:szCs w:val="24"/>
              <w:lang w:eastAsia="ja-JP"/>
            </w:rPr>
            <w:t xml:space="preserve"> (16,430 - 4,164) / 20,978 = 0.58</w:t>
          </w:r>
        </w:p>
        <w:p w14:paraId="7331B6CF">
          <w:pPr>
            <w:rPr>
              <w:szCs w:val="24"/>
              <w:lang w:eastAsia="ja-JP"/>
            </w:rPr>
          </w:pPr>
          <w:r>
            <w:rPr>
              <w:szCs w:val="24"/>
              <w:lang w:eastAsia="ja-JP"/>
            </w:rPr>
            <w:t>Compared to the current ratio it is a more conservative measure of liquidity which excludes inventory. From the Unilever’s balance sheet, it can be observed that quick ratio is lower than the current ratio because the company relies on the inventory in its current assets.</w:t>
          </w:r>
        </w:p>
        <w:p w14:paraId="5F7487DF">
          <w:pPr>
            <w:rPr>
              <w:b/>
              <w:bCs/>
              <w:szCs w:val="24"/>
              <w:lang w:eastAsia="ja-JP"/>
            </w:rPr>
          </w:pPr>
          <w:r>
            <w:rPr>
              <w:b/>
              <w:bCs/>
              <w:szCs w:val="24"/>
              <w:lang w:eastAsia="ja-JP"/>
            </w:rPr>
            <w:t>Cash Ratio</w:t>
          </w:r>
        </w:p>
        <w:p w14:paraId="148D6CA0">
          <w:pPr>
            <w:rPr>
              <w:b/>
              <w:bCs/>
              <w:szCs w:val="24"/>
              <w:lang w:eastAsia="ja-JP"/>
            </w:rPr>
          </w:pPr>
          <w:r>
            <w:rPr>
              <w:b/>
              <w:bCs/>
              <w:szCs w:val="24"/>
              <w:lang w:eastAsia="ja-JP"/>
            </w:rPr>
            <w:t>Formula: Cash and Cash Equivalents / Current Liabilities</w:t>
          </w:r>
        </w:p>
        <w:p w14:paraId="1B42F91D">
          <w:pPr>
            <w:pStyle w:val="25"/>
            <w:numPr>
              <w:ilvl w:val="0"/>
              <w:numId w:val="4"/>
            </w:numPr>
            <w:rPr>
              <w:szCs w:val="24"/>
              <w:lang w:eastAsia="ja-JP"/>
            </w:rPr>
          </w:pPr>
          <w:r>
            <w:rPr>
              <w:b/>
              <w:bCs/>
              <w:szCs w:val="24"/>
              <w:lang w:eastAsia="ja-JP"/>
            </w:rPr>
            <w:t>2023:</w:t>
          </w:r>
          <w:r>
            <w:rPr>
              <w:szCs w:val="24"/>
              <w:lang w:eastAsia="ja-JP"/>
            </w:rPr>
            <w:t xml:space="preserve"> 4,159 / 23,507 = 0.18 </w:t>
          </w:r>
        </w:p>
        <w:p w14:paraId="1A84E9D7">
          <w:pPr>
            <w:pStyle w:val="25"/>
            <w:numPr>
              <w:ilvl w:val="0"/>
              <w:numId w:val="4"/>
            </w:numPr>
            <w:rPr>
              <w:szCs w:val="24"/>
              <w:lang w:eastAsia="ja-JP"/>
            </w:rPr>
          </w:pPr>
          <w:r>
            <w:rPr>
              <w:b/>
              <w:bCs/>
              <w:szCs w:val="24"/>
              <w:lang w:eastAsia="ja-JP"/>
            </w:rPr>
            <w:t>2022:</w:t>
          </w:r>
          <w:r>
            <w:rPr>
              <w:szCs w:val="24"/>
              <w:lang w:eastAsia="ja-JP"/>
            </w:rPr>
            <w:t xml:space="preserve"> 4,326 / 25,427 = 0.17 </w:t>
          </w:r>
        </w:p>
        <w:p w14:paraId="6F62EE0A">
          <w:pPr>
            <w:pStyle w:val="25"/>
            <w:numPr>
              <w:ilvl w:val="0"/>
              <w:numId w:val="4"/>
            </w:numPr>
            <w:rPr>
              <w:szCs w:val="24"/>
              <w:lang w:eastAsia="ja-JP"/>
            </w:rPr>
          </w:pPr>
          <w:r>
            <w:rPr>
              <w:b/>
              <w:bCs/>
              <w:szCs w:val="24"/>
              <w:lang w:eastAsia="ja-JP"/>
            </w:rPr>
            <w:t>2021:</w:t>
          </w:r>
          <w:r>
            <w:rPr>
              <w:szCs w:val="24"/>
              <w:lang w:eastAsia="ja-JP"/>
            </w:rPr>
            <w:t xml:space="preserve"> 5,548 / 20,592 = 0.27 </w:t>
          </w:r>
        </w:p>
        <w:p w14:paraId="2413027F">
          <w:pPr>
            <w:pStyle w:val="25"/>
            <w:numPr>
              <w:ilvl w:val="0"/>
              <w:numId w:val="4"/>
            </w:numPr>
            <w:rPr>
              <w:szCs w:val="24"/>
              <w:lang w:eastAsia="ja-JP"/>
            </w:rPr>
          </w:pPr>
          <w:r>
            <w:rPr>
              <w:b/>
              <w:bCs/>
              <w:szCs w:val="24"/>
              <w:lang w:eastAsia="ja-JP"/>
            </w:rPr>
            <w:t>2020:</w:t>
          </w:r>
          <w:r>
            <w:rPr>
              <w:szCs w:val="24"/>
              <w:lang w:eastAsia="ja-JP"/>
            </w:rPr>
            <w:t xml:space="preserve"> 5,548 / 20,592 = 0.27 </w:t>
          </w:r>
        </w:p>
        <w:p w14:paraId="108CFE36">
          <w:pPr>
            <w:pStyle w:val="25"/>
            <w:numPr>
              <w:ilvl w:val="0"/>
              <w:numId w:val="4"/>
            </w:numPr>
            <w:rPr>
              <w:szCs w:val="24"/>
              <w:lang w:eastAsia="ja-JP"/>
            </w:rPr>
          </w:pPr>
          <w:r>
            <w:rPr>
              <w:b/>
              <w:bCs/>
              <w:szCs w:val="24"/>
              <w:lang w:eastAsia="ja-JP"/>
            </w:rPr>
            <w:t>2019:</w:t>
          </w:r>
          <w:r>
            <w:rPr>
              <w:szCs w:val="24"/>
              <w:lang w:eastAsia="ja-JP"/>
            </w:rPr>
            <w:t xml:space="preserve"> 4,185 / 20,978 = 0.20</w:t>
          </w:r>
        </w:p>
        <w:p w14:paraId="151F0868">
          <w:pPr>
            <w:rPr>
              <w:szCs w:val="24"/>
              <w:lang w:eastAsia="ja-JP"/>
            </w:rPr>
          </w:pPr>
          <w:r>
            <w:rPr>
              <w:szCs w:val="24"/>
              <w:lang w:eastAsia="ja-JP"/>
            </w:rPr>
            <w:t>Cash ratio depicts likelihood of a firm to pay short-term liabilities with cash that is easily accessible to the firm. Another thing that needs to be pointed out is that the value of the cash ratio is not high for Unilever, for many companies the effective management of cash is characteristic.</w:t>
          </w:r>
        </w:p>
        <w:p w14:paraId="4AD2E558">
          <w:pPr>
            <w:pStyle w:val="3"/>
            <w:rPr>
              <w:szCs w:val="24"/>
            </w:rPr>
          </w:pPr>
          <w:bookmarkStart w:id="4" w:name="_Toc174477869"/>
          <w:r>
            <w:rPr>
              <w:szCs w:val="24"/>
            </w:rPr>
            <w:t>Leverage Ratios</w:t>
          </w:r>
          <w:bookmarkEnd w:id="4"/>
        </w:p>
        <w:p w14:paraId="53D9FDAD">
          <w:pPr>
            <w:rPr>
              <w:b/>
              <w:bCs/>
              <w:szCs w:val="24"/>
              <w:lang w:eastAsia="ja-JP"/>
            </w:rPr>
          </w:pPr>
          <w:r>
            <w:rPr>
              <w:b/>
              <w:bCs/>
              <w:szCs w:val="24"/>
              <w:lang w:eastAsia="ja-JP"/>
            </w:rPr>
            <w:t>Debt-to-Equity Ratio- Formula: Total Liabilities / Shareholders' Equity</w:t>
          </w:r>
        </w:p>
        <w:p w14:paraId="19EE49F6">
          <w:pPr>
            <w:pStyle w:val="25"/>
            <w:numPr>
              <w:ilvl w:val="0"/>
              <w:numId w:val="5"/>
            </w:numPr>
            <w:rPr>
              <w:szCs w:val="24"/>
              <w:lang w:eastAsia="ja-JP"/>
            </w:rPr>
          </w:pPr>
          <w:r>
            <w:rPr>
              <w:b/>
              <w:bCs/>
              <w:szCs w:val="24"/>
              <w:lang w:eastAsia="ja-JP"/>
            </w:rPr>
            <w:t>2023:</w:t>
          </w:r>
          <w:r>
            <w:rPr>
              <w:szCs w:val="24"/>
              <w:lang w:eastAsia="ja-JP"/>
            </w:rPr>
            <w:t xml:space="preserve"> 54,502 / 18,102 = 3.01 </w:t>
          </w:r>
        </w:p>
        <w:p w14:paraId="15B61AB7">
          <w:pPr>
            <w:pStyle w:val="25"/>
            <w:numPr>
              <w:ilvl w:val="0"/>
              <w:numId w:val="5"/>
            </w:numPr>
            <w:rPr>
              <w:szCs w:val="24"/>
              <w:lang w:eastAsia="ja-JP"/>
            </w:rPr>
          </w:pPr>
          <w:r>
            <w:rPr>
              <w:b/>
              <w:bCs/>
              <w:szCs w:val="24"/>
              <w:lang w:eastAsia="ja-JP"/>
            </w:rPr>
            <w:t>2022:</w:t>
          </w:r>
          <w:r>
            <w:rPr>
              <w:szCs w:val="24"/>
              <w:lang w:eastAsia="ja-JP"/>
            </w:rPr>
            <w:t xml:space="preserve"> 56,120 / 19,021 = 2.95 </w:t>
          </w:r>
        </w:p>
        <w:p w14:paraId="502F39D0">
          <w:pPr>
            <w:pStyle w:val="25"/>
            <w:numPr>
              <w:ilvl w:val="0"/>
              <w:numId w:val="5"/>
            </w:numPr>
            <w:rPr>
              <w:szCs w:val="24"/>
              <w:lang w:eastAsia="ja-JP"/>
            </w:rPr>
          </w:pPr>
          <w:r>
            <w:rPr>
              <w:b/>
              <w:bCs/>
              <w:szCs w:val="24"/>
              <w:lang w:eastAsia="ja-JP"/>
            </w:rPr>
            <w:t>2021:</w:t>
          </w:r>
          <w:r>
            <w:rPr>
              <w:szCs w:val="24"/>
              <w:lang w:eastAsia="ja-JP"/>
            </w:rPr>
            <w:t xml:space="preserve"> 50,004 / 15,266 = 3.28 </w:t>
          </w:r>
        </w:p>
        <w:p w14:paraId="5E7376E5">
          <w:pPr>
            <w:pStyle w:val="25"/>
            <w:numPr>
              <w:ilvl w:val="0"/>
              <w:numId w:val="5"/>
            </w:numPr>
            <w:rPr>
              <w:szCs w:val="24"/>
              <w:lang w:eastAsia="ja-JP"/>
            </w:rPr>
          </w:pPr>
          <w:r>
            <w:rPr>
              <w:b/>
              <w:bCs/>
              <w:szCs w:val="24"/>
              <w:lang w:eastAsia="ja-JP"/>
            </w:rPr>
            <w:t>2020:</w:t>
          </w:r>
          <w:r>
            <w:rPr>
              <w:szCs w:val="24"/>
              <w:lang w:eastAsia="ja-JP"/>
            </w:rPr>
            <w:t xml:space="preserve"> 50,004 / 15,266 = 3.28 </w:t>
          </w:r>
        </w:p>
        <w:p w14:paraId="6CE5B3CE">
          <w:pPr>
            <w:pStyle w:val="25"/>
            <w:numPr>
              <w:ilvl w:val="0"/>
              <w:numId w:val="5"/>
            </w:numPr>
            <w:rPr>
              <w:szCs w:val="24"/>
              <w:lang w:eastAsia="ja-JP"/>
            </w:rPr>
          </w:pPr>
          <w:r>
            <w:rPr>
              <w:b/>
              <w:bCs/>
              <w:szCs w:val="24"/>
              <w:lang w:eastAsia="ja-JP"/>
            </w:rPr>
            <w:t>2019:</w:t>
          </w:r>
          <w:r>
            <w:rPr>
              <w:szCs w:val="24"/>
              <w:lang w:eastAsia="ja-JP"/>
            </w:rPr>
            <w:t xml:space="preserve"> 50,920 / 13,192 = 3.86</w:t>
          </w:r>
        </w:p>
        <w:p w14:paraId="2FBCF68A">
          <w:pPr>
            <w:rPr>
              <w:szCs w:val="24"/>
              <w:lang w:eastAsia="ja-JP"/>
            </w:rPr>
          </w:pPr>
          <w:r>
            <w:rPr>
              <w:szCs w:val="24"/>
              <w:lang w:eastAsia="ja-JP"/>
            </w:rPr>
            <w:t>This ratio shows how much of it is generated through shareholders’ funds and how much through credit. Thus, Unilever ratio shows that it has been experiencing a trend of decline in its balance sheet funded by financial leverage.</w:t>
          </w:r>
        </w:p>
        <w:p w14:paraId="2B634510">
          <w:pPr>
            <w:rPr>
              <w:b/>
              <w:bCs/>
              <w:szCs w:val="24"/>
              <w:lang w:eastAsia="ja-JP"/>
            </w:rPr>
          </w:pPr>
          <w:r>
            <w:rPr>
              <w:b/>
              <w:bCs/>
              <w:szCs w:val="24"/>
              <w:lang w:eastAsia="ja-JP"/>
            </w:rPr>
            <w:t>Debt-to-Assets Ratio - Formula: Total Liabilities / Total Assets</w:t>
          </w:r>
        </w:p>
        <w:p w14:paraId="01BB4723">
          <w:pPr>
            <w:pStyle w:val="25"/>
            <w:numPr>
              <w:ilvl w:val="0"/>
              <w:numId w:val="6"/>
            </w:numPr>
            <w:rPr>
              <w:szCs w:val="24"/>
              <w:lang w:eastAsia="ja-JP"/>
            </w:rPr>
          </w:pPr>
          <w:r>
            <w:rPr>
              <w:b/>
              <w:bCs/>
              <w:szCs w:val="24"/>
              <w:lang w:eastAsia="ja-JP"/>
            </w:rPr>
            <w:t>2023:</w:t>
          </w:r>
          <w:r>
            <w:rPr>
              <w:szCs w:val="24"/>
              <w:lang w:eastAsia="ja-JP"/>
            </w:rPr>
            <w:t xml:space="preserve"> 54,502 / 75,266 = 0.72 </w:t>
          </w:r>
        </w:p>
        <w:p w14:paraId="30AAAD1E">
          <w:pPr>
            <w:pStyle w:val="25"/>
            <w:numPr>
              <w:ilvl w:val="0"/>
              <w:numId w:val="6"/>
            </w:numPr>
            <w:rPr>
              <w:szCs w:val="24"/>
              <w:lang w:eastAsia="ja-JP"/>
            </w:rPr>
          </w:pPr>
          <w:r>
            <w:rPr>
              <w:b/>
              <w:bCs/>
              <w:szCs w:val="24"/>
              <w:lang w:eastAsia="ja-JP"/>
            </w:rPr>
            <w:t>2022:</w:t>
          </w:r>
          <w:r>
            <w:rPr>
              <w:szCs w:val="24"/>
              <w:lang w:eastAsia="ja-JP"/>
            </w:rPr>
            <w:t xml:space="preserve"> 56,120 / 77,821 = 0.72 </w:t>
          </w:r>
        </w:p>
        <w:p w14:paraId="4C9FC81C">
          <w:pPr>
            <w:pStyle w:val="25"/>
            <w:numPr>
              <w:ilvl w:val="0"/>
              <w:numId w:val="6"/>
            </w:numPr>
            <w:rPr>
              <w:szCs w:val="24"/>
              <w:lang w:eastAsia="ja-JP"/>
            </w:rPr>
          </w:pPr>
          <w:r>
            <w:rPr>
              <w:b/>
              <w:bCs/>
              <w:szCs w:val="24"/>
              <w:lang w:eastAsia="ja-JP"/>
            </w:rPr>
            <w:t>2021:</w:t>
          </w:r>
          <w:r>
            <w:rPr>
              <w:szCs w:val="24"/>
              <w:lang w:eastAsia="ja-JP"/>
            </w:rPr>
            <w:t xml:space="preserve"> 50,004 / 67,659 = 0.74 </w:t>
          </w:r>
        </w:p>
        <w:p w14:paraId="50B6B223">
          <w:pPr>
            <w:pStyle w:val="25"/>
            <w:numPr>
              <w:ilvl w:val="0"/>
              <w:numId w:val="6"/>
            </w:numPr>
            <w:rPr>
              <w:szCs w:val="24"/>
              <w:lang w:eastAsia="ja-JP"/>
            </w:rPr>
          </w:pPr>
          <w:r>
            <w:rPr>
              <w:b/>
              <w:bCs/>
              <w:szCs w:val="24"/>
              <w:lang w:eastAsia="ja-JP"/>
            </w:rPr>
            <w:t>2020:</w:t>
          </w:r>
          <w:r>
            <w:rPr>
              <w:szCs w:val="24"/>
              <w:lang w:eastAsia="ja-JP"/>
            </w:rPr>
            <w:t xml:space="preserve"> 50,004 / 67,659 = 0.74 </w:t>
          </w:r>
        </w:p>
        <w:p w14:paraId="1A5D3C93">
          <w:pPr>
            <w:pStyle w:val="25"/>
            <w:numPr>
              <w:ilvl w:val="0"/>
              <w:numId w:val="6"/>
            </w:numPr>
            <w:rPr>
              <w:szCs w:val="24"/>
              <w:lang w:eastAsia="ja-JP"/>
            </w:rPr>
          </w:pPr>
          <w:r>
            <w:rPr>
              <w:b/>
              <w:bCs/>
              <w:szCs w:val="24"/>
              <w:lang w:eastAsia="ja-JP"/>
            </w:rPr>
            <w:t>2019:</w:t>
          </w:r>
          <w:r>
            <w:rPr>
              <w:szCs w:val="24"/>
              <w:lang w:eastAsia="ja-JP"/>
            </w:rPr>
            <w:t xml:space="preserve"> 50,920 / 64,806 = 0.79</w:t>
          </w:r>
        </w:p>
        <w:p w14:paraId="5CD1C7DB">
          <w:pPr>
            <w:rPr>
              <w:szCs w:val="24"/>
              <w:lang w:eastAsia="ja-JP"/>
            </w:rPr>
          </w:pPr>
          <w:r>
            <w:rPr>
              <w:szCs w:val="24"/>
              <w:lang w:eastAsia="ja-JP"/>
            </w:rPr>
            <w:t>This ratio indicates the part of the company’s assets funded by capital obtained through borrowing. Unilever’s ratio has slightly gone down implying that there is a small reduction in the level of assets that is funded by the debt.</w:t>
          </w:r>
        </w:p>
        <w:p w14:paraId="1AC35086">
          <w:pPr>
            <w:rPr>
              <w:b/>
              <w:bCs/>
              <w:szCs w:val="24"/>
              <w:lang w:eastAsia="ja-JP"/>
            </w:rPr>
          </w:pPr>
          <w:r>
            <w:rPr>
              <w:b/>
              <w:bCs/>
              <w:szCs w:val="24"/>
              <w:lang w:eastAsia="ja-JP"/>
            </w:rPr>
            <w:t>Interest Coverage Ratio - Formula: EBIT / Interest Expense</w:t>
          </w:r>
        </w:p>
        <w:p w14:paraId="2A712F81">
          <w:pPr>
            <w:pStyle w:val="25"/>
            <w:numPr>
              <w:ilvl w:val="0"/>
              <w:numId w:val="7"/>
            </w:numPr>
            <w:rPr>
              <w:szCs w:val="24"/>
              <w:lang w:eastAsia="ja-JP"/>
            </w:rPr>
          </w:pPr>
          <w:r>
            <w:rPr>
              <w:b/>
              <w:bCs/>
              <w:szCs w:val="24"/>
              <w:lang w:eastAsia="ja-JP"/>
            </w:rPr>
            <w:t>2023:</w:t>
          </w:r>
          <w:r>
            <w:rPr>
              <w:szCs w:val="24"/>
              <w:lang w:eastAsia="ja-JP"/>
            </w:rPr>
            <w:t xml:space="preserve"> 9,758 / 1,038 = 9.40 </w:t>
          </w:r>
        </w:p>
        <w:p w14:paraId="2E54BE0D">
          <w:pPr>
            <w:pStyle w:val="25"/>
            <w:numPr>
              <w:ilvl w:val="0"/>
              <w:numId w:val="7"/>
            </w:numPr>
            <w:rPr>
              <w:szCs w:val="24"/>
              <w:lang w:eastAsia="ja-JP"/>
            </w:rPr>
          </w:pPr>
          <w:r>
            <w:rPr>
              <w:b/>
              <w:bCs/>
              <w:szCs w:val="24"/>
              <w:lang w:eastAsia="ja-JP"/>
            </w:rPr>
            <w:t>2022:</w:t>
          </w:r>
          <w:r>
            <w:rPr>
              <w:szCs w:val="24"/>
              <w:lang w:eastAsia="ja-JP"/>
            </w:rPr>
            <w:t xml:space="preserve"> 10,755 / 818 = 13.15 </w:t>
          </w:r>
        </w:p>
        <w:p w14:paraId="5049E1A5">
          <w:pPr>
            <w:pStyle w:val="25"/>
            <w:numPr>
              <w:ilvl w:val="0"/>
              <w:numId w:val="7"/>
            </w:numPr>
            <w:rPr>
              <w:szCs w:val="24"/>
              <w:lang w:eastAsia="ja-JP"/>
            </w:rPr>
          </w:pPr>
          <w:r>
            <w:rPr>
              <w:b/>
              <w:bCs/>
              <w:szCs w:val="24"/>
              <w:lang w:eastAsia="ja-JP"/>
            </w:rPr>
            <w:t>2021:</w:t>
          </w:r>
          <w:r>
            <w:rPr>
              <w:szCs w:val="24"/>
              <w:lang w:eastAsia="ja-JP"/>
            </w:rPr>
            <w:t xml:space="preserve"> 8,702 / 491 = 17.72 </w:t>
          </w:r>
        </w:p>
        <w:p w14:paraId="01208A8E">
          <w:pPr>
            <w:pStyle w:val="25"/>
            <w:numPr>
              <w:ilvl w:val="0"/>
              <w:numId w:val="7"/>
            </w:numPr>
            <w:rPr>
              <w:szCs w:val="24"/>
              <w:lang w:eastAsia="ja-JP"/>
            </w:rPr>
          </w:pPr>
          <w:r>
            <w:rPr>
              <w:b/>
              <w:bCs/>
              <w:szCs w:val="24"/>
              <w:lang w:eastAsia="ja-JP"/>
            </w:rPr>
            <w:t>2020:</w:t>
          </w:r>
          <w:r>
            <w:rPr>
              <w:szCs w:val="24"/>
              <w:lang w:eastAsia="ja-JP"/>
            </w:rPr>
            <w:t xml:space="preserve"> 8,303 / 728 = 11.40 </w:t>
          </w:r>
        </w:p>
        <w:p w14:paraId="51F4E125">
          <w:pPr>
            <w:pStyle w:val="25"/>
            <w:numPr>
              <w:ilvl w:val="0"/>
              <w:numId w:val="7"/>
            </w:numPr>
            <w:rPr>
              <w:szCs w:val="24"/>
              <w:lang w:eastAsia="ja-JP"/>
            </w:rPr>
          </w:pPr>
          <w:r>
            <w:rPr>
              <w:b/>
              <w:bCs/>
              <w:szCs w:val="24"/>
              <w:lang w:eastAsia="ja-JP"/>
            </w:rPr>
            <w:t>2019:</w:t>
          </w:r>
          <w:r>
            <w:rPr>
              <w:szCs w:val="24"/>
              <w:lang w:eastAsia="ja-JP"/>
            </w:rPr>
            <w:t xml:space="preserve"> 8,708 / 821 = 10.61</w:t>
          </w:r>
        </w:p>
        <w:p w14:paraId="0D413F02">
          <w:pPr>
            <w:rPr>
              <w:szCs w:val="24"/>
              <w:lang w:eastAsia="ja-JP"/>
            </w:rPr>
          </w:pPr>
          <w:r>
            <w:rPr>
              <w:szCs w:val="24"/>
              <w:lang w:eastAsia="ja-JP"/>
            </w:rPr>
            <w:t>This ratio reflects how the company is placed to meet its interest obligation on the taken loans. Unilever’s interest coverage ratio has not remained constant, but it still reveals good measures in terms of interest obligation.</w:t>
          </w:r>
        </w:p>
        <w:p w14:paraId="1AC420A4">
          <w:pPr>
            <w:pStyle w:val="3"/>
            <w:rPr>
              <w:szCs w:val="24"/>
            </w:rPr>
          </w:pPr>
          <w:bookmarkStart w:id="5" w:name="_Toc174477870"/>
          <w:r>
            <w:rPr>
              <w:szCs w:val="24"/>
            </w:rPr>
            <w:t>Comparison of Ratios</w:t>
          </w:r>
          <w:bookmarkEnd w:id="5"/>
        </w:p>
        <w:p w14:paraId="3618C4D2">
          <w:pPr>
            <w:rPr>
              <w:szCs w:val="24"/>
              <w:lang w:eastAsia="ja-JP"/>
            </w:rPr>
          </w:pPr>
          <w:r>
            <w:rPr>
              <w:szCs w:val="24"/>
              <w:lang w:eastAsia="ja-JP"/>
            </w:rPr>
            <w:t>For the competitor chosen Proctor &amp; Gamble and collected the data from the annual report (Proctor &amp; Gamble, 2021; Proctor &amp; Gamble, 2023).</w:t>
          </w:r>
        </w:p>
        <w:p w14:paraId="4D951C49">
          <w:pPr>
            <w:rPr>
              <w:szCs w:val="24"/>
              <w:lang w:eastAsia="ja-JP"/>
            </w:rPr>
          </w:pPr>
          <w:r>
            <w:rPr>
              <w:b/>
              <w:bCs/>
              <w:szCs w:val="24"/>
              <w:lang w:eastAsia="ja-JP"/>
            </w:rPr>
            <w:t xml:space="preserve">Liquidity Analysis: </w:t>
          </w:r>
          <w:r>
            <w:rPr>
              <w:szCs w:val="24"/>
              <w:lang w:eastAsia="ja-JP"/>
            </w:rPr>
            <w:t xml:space="preserve">Current ratios of both Unilever and P&amp;G are less than 1 meaning that the values are an indication of solvency short term liquidation problems. Nonetheless, the current ratio that shows the usability of the current assets to meet the near-choices liability is lower in case of P&amp;G comparing to Unilever for the last five financial years of concern. </w:t>
          </w:r>
        </w:p>
        <w:p w14:paraId="25D62D13">
          <w:pPr>
            <w:rPr>
              <w:b/>
              <w:bCs/>
              <w:szCs w:val="24"/>
              <w:lang w:eastAsia="ja-JP"/>
            </w:rPr>
          </w:pPr>
          <w:r>
            <w:rPr>
              <w:b/>
              <w:bCs/>
              <w:szCs w:val="24"/>
              <w:lang w:eastAsia="ja-JP"/>
            </w:rPr>
            <w:t xml:space="preserve">Current Ratio (Current Assets / Current Liabilities) </w:t>
          </w:r>
        </w:p>
        <w:p w14:paraId="248BEF32">
          <w:pPr>
            <w:pStyle w:val="25"/>
            <w:numPr>
              <w:ilvl w:val="0"/>
              <w:numId w:val="8"/>
            </w:numPr>
            <w:rPr>
              <w:szCs w:val="24"/>
              <w:lang w:eastAsia="ja-JP"/>
            </w:rPr>
          </w:pPr>
          <w:r>
            <w:rPr>
              <w:b/>
              <w:bCs/>
              <w:szCs w:val="24"/>
              <w:lang w:eastAsia="ja-JP"/>
            </w:rPr>
            <w:t>2023:</w:t>
          </w:r>
          <w:r>
            <w:rPr>
              <w:szCs w:val="24"/>
              <w:lang w:eastAsia="ja-JP"/>
            </w:rPr>
            <w:t xml:space="preserve"> 22,648 / 35,756 = 0.63</w:t>
          </w:r>
        </w:p>
        <w:p w14:paraId="27641AF8">
          <w:pPr>
            <w:pStyle w:val="25"/>
            <w:numPr>
              <w:ilvl w:val="0"/>
              <w:numId w:val="8"/>
            </w:numPr>
            <w:rPr>
              <w:szCs w:val="24"/>
              <w:lang w:eastAsia="ja-JP"/>
            </w:rPr>
          </w:pPr>
          <w:r>
            <w:rPr>
              <w:b/>
              <w:bCs/>
              <w:szCs w:val="24"/>
              <w:lang w:eastAsia="ja-JP"/>
            </w:rPr>
            <w:t>2022:</w:t>
          </w:r>
          <w:r>
            <w:rPr>
              <w:szCs w:val="24"/>
              <w:lang w:eastAsia="ja-JP"/>
            </w:rPr>
            <w:t xml:space="preserve"> 21,653 / 33,081 = 0.65</w:t>
          </w:r>
        </w:p>
        <w:p w14:paraId="466B72B6">
          <w:pPr>
            <w:pStyle w:val="25"/>
            <w:numPr>
              <w:ilvl w:val="0"/>
              <w:numId w:val="8"/>
            </w:numPr>
            <w:rPr>
              <w:szCs w:val="24"/>
              <w:lang w:eastAsia="ja-JP"/>
            </w:rPr>
          </w:pPr>
          <w:r>
            <w:rPr>
              <w:b/>
              <w:bCs/>
              <w:szCs w:val="24"/>
              <w:lang w:eastAsia="ja-JP"/>
            </w:rPr>
            <w:t>2021:</w:t>
          </w:r>
          <w:r>
            <w:rPr>
              <w:szCs w:val="24"/>
              <w:lang w:eastAsia="ja-JP"/>
            </w:rPr>
            <w:t xml:space="preserve"> 27,987 / 32,976 = 0.85</w:t>
          </w:r>
        </w:p>
        <w:p w14:paraId="231C890F">
          <w:pPr>
            <w:pStyle w:val="25"/>
            <w:numPr>
              <w:ilvl w:val="0"/>
              <w:numId w:val="8"/>
            </w:numPr>
            <w:rPr>
              <w:szCs w:val="24"/>
              <w:lang w:eastAsia="ja-JP"/>
            </w:rPr>
          </w:pPr>
          <w:r>
            <w:rPr>
              <w:b/>
              <w:bCs/>
              <w:szCs w:val="24"/>
              <w:lang w:eastAsia="ja-JP"/>
            </w:rPr>
            <w:t>2020:</w:t>
          </w:r>
          <w:r>
            <w:rPr>
              <w:szCs w:val="24"/>
              <w:lang w:eastAsia="ja-JP"/>
            </w:rPr>
            <w:t xml:space="preserve"> 27,987 / 32,976 = 0.85</w:t>
          </w:r>
        </w:p>
        <w:p w14:paraId="5EB37681">
          <w:pPr>
            <w:pStyle w:val="25"/>
            <w:numPr>
              <w:ilvl w:val="0"/>
              <w:numId w:val="8"/>
            </w:numPr>
            <w:rPr>
              <w:szCs w:val="24"/>
              <w:lang w:eastAsia="ja-JP"/>
            </w:rPr>
          </w:pPr>
          <w:r>
            <w:rPr>
              <w:b/>
              <w:bCs/>
              <w:szCs w:val="24"/>
              <w:lang w:eastAsia="ja-JP"/>
            </w:rPr>
            <w:t>2019:</w:t>
          </w:r>
          <w:r>
            <w:rPr>
              <w:szCs w:val="24"/>
              <w:lang w:eastAsia="ja-JP"/>
            </w:rPr>
            <w:t xml:space="preserve"> 22,473 / 30,011 = 0.75</w:t>
          </w:r>
        </w:p>
        <w:p w14:paraId="72E8FA07">
          <w:pPr>
            <w:rPr>
              <w:szCs w:val="24"/>
              <w:lang w:eastAsia="ja-JP"/>
            </w:rPr>
          </w:pPr>
          <w:r>
            <w:rPr>
              <w:szCs w:val="24"/>
              <w:lang w:eastAsia="ja-JP"/>
            </w:rPr>
            <w:t xml:space="preserve">For example, current ratio of P&amp;G in 2023 was 0.63 compared to Unilever 0.76. For this reason, Unilever may appear to have a slightly better short-term liquidity position. </w:t>
          </w:r>
        </w:p>
        <w:p w14:paraId="605CC4CB">
          <w:pPr>
            <w:rPr>
              <w:szCs w:val="24"/>
              <w:lang w:eastAsia="ja-JP"/>
            </w:rPr>
          </w:pPr>
          <w:r>
            <w:rPr>
              <w:szCs w:val="24"/>
              <w:lang w:eastAsia="ja-JP"/>
            </w:rPr>
            <w:t xml:space="preserve">The result of calculation based on the cash ratio is as follows the cash ratio has a different story to tell. Again P&amp;G has a higher cash ratio than Unilever as shown over the period. </w:t>
          </w:r>
        </w:p>
        <w:p w14:paraId="25698836">
          <w:pPr>
            <w:rPr>
              <w:b/>
              <w:bCs/>
              <w:szCs w:val="24"/>
              <w:lang w:eastAsia="ja-JP"/>
            </w:rPr>
          </w:pPr>
          <w:r>
            <w:rPr>
              <w:b/>
              <w:bCs/>
              <w:szCs w:val="24"/>
              <w:lang w:eastAsia="ja-JP"/>
            </w:rPr>
            <w:t xml:space="preserve">Cash Ratio (Cash and Cash Equivalents / Current Liabilities) </w:t>
          </w:r>
        </w:p>
        <w:p w14:paraId="5C9B4D17">
          <w:pPr>
            <w:pStyle w:val="25"/>
            <w:numPr>
              <w:ilvl w:val="0"/>
              <w:numId w:val="9"/>
            </w:numPr>
            <w:rPr>
              <w:szCs w:val="24"/>
              <w:lang w:eastAsia="ja-JP"/>
            </w:rPr>
          </w:pPr>
          <w:r>
            <w:rPr>
              <w:b/>
              <w:bCs/>
              <w:szCs w:val="24"/>
              <w:lang w:eastAsia="ja-JP"/>
            </w:rPr>
            <w:t>2023:</w:t>
          </w:r>
          <w:r>
            <w:rPr>
              <w:szCs w:val="24"/>
              <w:lang w:eastAsia="ja-JP"/>
            </w:rPr>
            <w:t xml:space="preserve"> 8,246 / 35,756 = 0.23</w:t>
          </w:r>
        </w:p>
        <w:p w14:paraId="4CE96484">
          <w:pPr>
            <w:pStyle w:val="25"/>
            <w:numPr>
              <w:ilvl w:val="0"/>
              <w:numId w:val="9"/>
            </w:numPr>
            <w:rPr>
              <w:szCs w:val="24"/>
              <w:lang w:eastAsia="ja-JP"/>
            </w:rPr>
          </w:pPr>
          <w:r>
            <w:rPr>
              <w:b/>
              <w:bCs/>
              <w:szCs w:val="24"/>
              <w:lang w:eastAsia="ja-JP"/>
            </w:rPr>
            <w:t>2022:</w:t>
          </w:r>
          <w:r>
            <w:rPr>
              <w:szCs w:val="24"/>
              <w:lang w:eastAsia="ja-JP"/>
            </w:rPr>
            <w:t xml:space="preserve"> 7,214 / 33,081 = 0.22</w:t>
          </w:r>
        </w:p>
        <w:p w14:paraId="30C1EAC7">
          <w:pPr>
            <w:pStyle w:val="25"/>
            <w:numPr>
              <w:ilvl w:val="0"/>
              <w:numId w:val="9"/>
            </w:numPr>
            <w:rPr>
              <w:szCs w:val="24"/>
              <w:lang w:eastAsia="ja-JP"/>
            </w:rPr>
          </w:pPr>
          <w:r>
            <w:rPr>
              <w:b/>
              <w:bCs/>
              <w:szCs w:val="24"/>
              <w:lang w:eastAsia="ja-JP"/>
            </w:rPr>
            <w:t>2021:</w:t>
          </w:r>
          <w:r>
            <w:rPr>
              <w:szCs w:val="24"/>
              <w:lang w:eastAsia="ja-JP"/>
            </w:rPr>
            <w:t xml:space="preserve"> 16,181 / 32,976 = 0.49</w:t>
          </w:r>
        </w:p>
        <w:p w14:paraId="1A58B16E">
          <w:pPr>
            <w:pStyle w:val="25"/>
            <w:numPr>
              <w:ilvl w:val="0"/>
              <w:numId w:val="9"/>
            </w:numPr>
            <w:rPr>
              <w:szCs w:val="24"/>
              <w:lang w:eastAsia="ja-JP"/>
            </w:rPr>
          </w:pPr>
          <w:r>
            <w:rPr>
              <w:b/>
              <w:bCs/>
              <w:szCs w:val="24"/>
              <w:lang w:eastAsia="ja-JP"/>
            </w:rPr>
            <w:t>2020:</w:t>
          </w:r>
          <w:r>
            <w:rPr>
              <w:szCs w:val="24"/>
              <w:lang w:eastAsia="ja-JP"/>
            </w:rPr>
            <w:t xml:space="preserve"> 16,181 / 32,976 = 0.49</w:t>
          </w:r>
        </w:p>
        <w:p w14:paraId="4A8D2FA4">
          <w:pPr>
            <w:pStyle w:val="25"/>
            <w:numPr>
              <w:ilvl w:val="0"/>
              <w:numId w:val="9"/>
            </w:numPr>
            <w:rPr>
              <w:szCs w:val="24"/>
              <w:lang w:eastAsia="ja-JP"/>
            </w:rPr>
          </w:pPr>
          <w:r>
            <w:rPr>
              <w:b/>
              <w:bCs/>
              <w:szCs w:val="24"/>
              <w:lang w:eastAsia="ja-JP"/>
            </w:rPr>
            <w:t>2019:</w:t>
          </w:r>
          <w:r>
            <w:rPr>
              <w:szCs w:val="24"/>
              <w:lang w:eastAsia="ja-JP"/>
            </w:rPr>
            <w:t xml:space="preserve"> 4,239 / 30,011 = 0.14</w:t>
          </w:r>
        </w:p>
        <w:p w14:paraId="2170F9F8">
          <w:pPr>
            <w:rPr>
              <w:szCs w:val="24"/>
              <w:lang w:eastAsia="ja-JP"/>
            </w:rPr>
          </w:pPr>
          <w:r>
            <w:rPr>
              <w:szCs w:val="24"/>
              <w:lang w:eastAsia="ja-JP"/>
            </w:rPr>
            <w:t>In the FY ended 2023, P&amp;G records a cash ratio of 0.23, while Unilever’s was 0. 18. This means that P&amp;G has more liquid funds available to meet its current obligation, this can be a plus in a time of economic downturn.</w:t>
          </w:r>
        </w:p>
        <w:p w14:paraId="4231523D">
          <w:pPr>
            <w:rPr>
              <w:b/>
              <w:bCs/>
              <w:szCs w:val="24"/>
              <w:lang w:eastAsia="ja-JP"/>
            </w:rPr>
          </w:pPr>
          <w:r>
            <w:rPr>
              <w:b/>
              <w:bCs/>
              <w:szCs w:val="24"/>
              <w:lang w:eastAsia="ja-JP"/>
            </w:rPr>
            <w:t xml:space="preserve">Leverage Analysis </w:t>
          </w:r>
        </w:p>
        <w:p w14:paraId="1F0573EA">
          <w:pPr>
            <w:rPr>
              <w:szCs w:val="24"/>
              <w:lang w:eastAsia="ja-JP"/>
            </w:rPr>
          </w:pPr>
          <w:r>
            <w:rPr>
              <w:szCs w:val="24"/>
              <w:lang w:eastAsia="ja-JP"/>
            </w:rPr>
            <w:t xml:space="preserve"> </w:t>
          </w:r>
          <w:r>
            <w:rPr>
              <w:szCs w:val="24"/>
              <w:lang w:val="en-IN" w:eastAsia="ja-JP"/>
            </w:rPr>
            <w:t>Analyzing</w:t>
          </w:r>
          <w:r>
            <w:rPr>
              <w:szCs w:val="24"/>
              <w:lang w:eastAsia="ja-JP"/>
            </w:rPr>
            <w:t xml:space="preserve"> the ratio, P&amp;G shows leaner Leverage ratio than what Unilever has depicted. </w:t>
          </w:r>
        </w:p>
        <w:p w14:paraId="755D6EAC">
          <w:pPr>
            <w:rPr>
              <w:szCs w:val="24"/>
              <w:lang w:eastAsia="ja-JP"/>
            </w:rPr>
          </w:pPr>
          <w:r>
            <w:rPr>
              <w:b/>
              <w:bCs/>
              <w:szCs w:val="24"/>
              <w:lang w:eastAsia="ja-JP"/>
            </w:rPr>
            <w:t>Debt-to-Equity Ratio (Total Liabilities / Shareholders' Equity</w:t>
          </w:r>
          <w:r>
            <w:rPr>
              <w:szCs w:val="24"/>
              <w:lang w:eastAsia="ja-JP"/>
            </w:rPr>
            <w:t xml:space="preserve">) </w:t>
          </w:r>
        </w:p>
        <w:p w14:paraId="1C6BA131">
          <w:pPr>
            <w:pStyle w:val="25"/>
            <w:numPr>
              <w:ilvl w:val="0"/>
              <w:numId w:val="10"/>
            </w:numPr>
            <w:rPr>
              <w:szCs w:val="24"/>
              <w:lang w:eastAsia="ja-JP"/>
            </w:rPr>
          </w:pPr>
          <w:r>
            <w:rPr>
              <w:b/>
              <w:bCs/>
              <w:szCs w:val="24"/>
              <w:lang w:eastAsia="ja-JP"/>
            </w:rPr>
            <w:t>2023:</w:t>
          </w:r>
          <w:r>
            <w:rPr>
              <w:szCs w:val="24"/>
              <w:lang w:eastAsia="ja-JP"/>
            </w:rPr>
            <w:t xml:space="preserve"> 73,764 / 47,065 = 1.57</w:t>
          </w:r>
        </w:p>
        <w:p w14:paraId="68138D12">
          <w:pPr>
            <w:pStyle w:val="25"/>
            <w:numPr>
              <w:ilvl w:val="0"/>
              <w:numId w:val="10"/>
            </w:numPr>
            <w:rPr>
              <w:szCs w:val="24"/>
              <w:lang w:eastAsia="ja-JP"/>
            </w:rPr>
          </w:pPr>
          <w:r>
            <w:rPr>
              <w:b/>
              <w:bCs/>
              <w:szCs w:val="24"/>
              <w:lang w:eastAsia="ja-JP"/>
            </w:rPr>
            <w:t>2022:</w:t>
          </w:r>
          <w:r>
            <w:rPr>
              <w:szCs w:val="24"/>
              <w:lang w:eastAsia="ja-JP"/>
            </w:rPr>
            <w:t xml:space="preserve"> 70,354 / 46,854 = 1.50</w:t>
          </w:r>
        </w:p>
        <w:p w14:paraId="5117D530">
          <w:pPr>
            <w:pStyle w:val="25"/>
            <w:numPr>
              <w:ilvl w:val="0"/>
              <w:numId w:val="10"/>
            </w:numPr>
            <w:rPr>
              <w:szCs w:val="24"/>
              <w:lang w:eastAsia="ja-JP"/>
            </w:rPr>
          </w:pPr>
          <w:r>
            <w:rPr>
              <w:b/>
              <w:bCs/>
              <w:szCs w:val="24"/>
              <w:lang w:eastAsia="ja-JP"/>
            </w:rPr>
            <w:t>2021:</w:t>
          </w:r>
          <w:r>
            <w:rPr>
              <w:szCs w:val="24"/>
              <w:lang w:eastAsia="ja-JP"/>
            </w:rPr>
            <w:t xml:space="preserve"> 73,822 / 46,878 = 1.57</w:t>
          </w:r>
        </w:p>
        <w:p w14:paraId="1A5A70A0">
          <w:pPr>
            <w:pStyle w:val="25"/>
            <w:numPr>
              <w:ilvl w:val="0"/>
              <w:numId w:val="10"/>
            </w:numPr>
            <w:rPr>
              <w:szCs w:val="24"/>
              <w:lang w:eastAsia="ja-JP"/>
            </w:rPr>
          </w:pPr>
          <w:r>
            <w:rPr>
              <w:b/>
              <w:bCs/>
              <w:szCs w:val="24"/>
              <w:lang w:eastAsia="ja-JP"/>
            </w:rPr>
            <w:t>2020:</w:t>
          </w:r>
          <w:r>
            <w:rPr>
              <w:szCs w:val="24"/>
              <w:lang w:eastAsia="ja-JP"/>
            </w:rPr>
            <w:t xml:space="preserve"> 73,822 / 46,878 = 1.57</w:t>
          </w:r>
        </w:p>
        <w:p w14:paraId="416C5DF6">
          <w:pPr>
            <w:pStyle w:val="25"/>
            <w:numPr>
              <w:ilvl w:val="0"/>
              <w:numId w:val="10"/>
            </w:numPr>
            <w:rPr>
              <w:szCs w:val="24"/>
              <w:lang w:eastAsia="ja-JP"/>
            </w:rPr>
          </w:pPr>
          <w:r>
            <w:rPr>
              <w:b/>
              <w:bCs/>
              <w:szCs w:val="24"/>
              <w:lang w:eastAsia="ja-JP"/>
            </w:rPr>
            <w:t>2019:</w:t>
          </w:r>
          <w:r>
            <w:rPr>
              <w:szCs w:val="24"/>
              <w:lang w:eastAsia="ja-JP"/>
            </w:rPr>
            <w:t xml:space="preserve"> 67,516 / 47,579 = 1.42</w:t>
          </w:r>
        </w:p>
        <w:p w14:paraId="3FEAD8E9">
          <w:pPr>
            <w:rPr>
              <w:szCs w:val="24"/>
              <w:lang w:eastAsia="ja-JP"/>
            </w:rPr>
          </w:pPr>
          <w:r>
            <w:rPr>
              <w:szCs w:val="24"/>
              <w:lang w:eastAsia="ja-JP"/>
            </w:rPr>
            <w:t xml:space="preserve">The total amount of long-term debt of P&amp;G represented 45% of the equity at the end of year 2023 and thus its debt/equity ratio was 1.57 which was lower than the Unilever’s 3.01. This means that P&amp;G relies more on equity than on debt which may depict a more cautious approach regarding the financing and might depict lower financial risk than the models imply. </w:t>
          </w:r>
        </w:p>
        <w:p w14:paraId="435CE3B7">
          <w:pPr>
            <w:rPr>
              <w:b/>
              <w:bCs/>
              <w:szCs w:val="24"/>
              <w:lang w:eastAsia="ja-JP"/>
            </w:rPr>
          </w:pPr>
          <w:r>
            <w:rPr>
              <w:b/>
              <w:bCs/>
              <w:szCs w:val="24"/>
              <w:lang w:eastAsia="ja-JP"/>
            </w:rPr>
            <w:t xml:space="preserve">Debt-to-Assets Ratio (Total Liabilities / Total Assets) </w:t>
          </w:r>
        </w:p>
        <w:p w14:paraId="5D98AD95">
          <w:pPr>
            <w:pStyle w:val="25"/>
            <w:numPr>
              <w:ilvl w:val="0"/>
              <w:numId w:val="11"/>
            </w:numPr>
            <w:rPr>
              <w:b/>
              <w:bCs/>
              <w:szCs w:val="24"/>
              <w:lang w:eastAsia="ja-JP"/>
            </w:rPr>
          </w:pPr>
          <w:r>
            <w:rPr>
              <w:b/>
              <w:bCs/>
              <w:szCs w:val="24"/>
              <w:lang w:eastAsia="ja-JP"/>
            </w:rPr>
            <w:t xml:space="preserve">2023: </w:t>
          </w:r>
          <w:r>
            <w:rPr>
              <w:szCs w:val="24"/>
              <w:lang w:eastAsia="ja-JP"/>
            </w:rPr>
            <w:t>73,764 / 120,829 = 0.61</w:t>
          </w:r>
        </w:p>
        <w:p w14:paraId="45481F9F">
          <w:pPr>
            <w:pStyle w:val="25"/>
            <w:numPr>
              <w:ilvl w:val="0"/>
              <w:numId w:val="11"/>
            </w:numPr>
            <w:rPr>
              <w:szCs w:val="24"/>
              <w:lang w:eastAsia="ja-JP"/>
            </w:rPr>
          </w:pPr>
          <w:r>
            <w:rPr>
              <w:b/>
              <w:bCs/>
              <w:szCs w:val="24"/>
              <w:lang w:eastAsia="ja-JP"/>
            </w:rPr>
            <w:t xml:space="preserve">2022: </w:t>
          </w:r>
          <w:r>
            <w:rPr>
              <w:szCs w:val="24"/>
              <w:lang w:eastAsia="ja-JP"/>
            </w:rPr>
            <w:t>70,354 / 117,208 = 0.60</w:t>
          </w:r>
        </w:p>
        <w:p w14:paraId="7AF1DF37">
          <w:pPr>
            <w:pStyle w:val="25"/>
            <w:numPr>
              <w:ilvl w:val="0"/>
              <w:numId w:val="11"/>
            </w:numPr>
            <w:rPr>
              <w:b/>
              <w:bCs/>
              <w:szCs w:val="24"/>
              <w:lang w:eastAsia="ja-JP"/>
            </w:rPr>
          </w:pPr>
          <w:r>
            <w:rPr>
              <w:b/>
              <w:bCs/>
              <w:szCs w:val="24"/>
              <w:lang w:eastAsia="ja-JP"/>
            </w:rPr>
            <w:t xml:space="preserve">2021: </w:t>
          </w:r>
          <w:r>
            <w:rPr>
              <w:szCs w:val="24"/>
              <w:lang w:eastAsia="ja-JP"/>
            </w:rPr>
            <w:t>73,822 / 120,700 = 0.61</w:t>
          </w:r>
        </w:p>
        <w:p w14:paraId="2C0D339F">
          <w:pPr>
            <w:pStyle w:val="25"/>
            <w:numPr>
              <w:ilvl w:val="0"/>
              <w:numId w:val="11"/>
            </w:numPr>
            <w:rPr>
              <w:szCs w:val="24"/>
              <w:lang w:eastAsia="ja-JP"/>
            </w:rPr>
          </w:pPr>
          <w:r>
            <w:rPr>
              <w:b/>
              <w:bCs/>
              <w:szCs w:val="24"/>
              <w:lang w:eastAsia="ja-JP"/>
            </w:rPr>
            <w:t xml:space="preserve">2020: </w:t>
          </w:r>
          <w:r>
            <w:rPr>
              <w:szCs w:val="24"/>
              <w:lang w:eastAsia="ja-JP"/>
            </w:rPr>
            <w:t>73,822 / 120,700 = 0.61</w:t>
          </w:r>
        </w:p>
        <w:p w14:paraId="1182314F">
          <w:pPr>
            <w:pStyle w:val="25"/>
            <w:numPr>
              <w:ilvl w:val="0"/>
              <w:numId w:val="11"/>
            </w:numPr>
            <w:rPr>
              <w:b/>
              <w:bCs/>
              <w:szCs w:val="24"/>
              <w:lang w:eastAsia="ja-JP"/>
            </w:rPr>
          </w:pPr>
          <w:r>
            <w:rPr>
              <w:b/>
              <w:bCs/>
              <w:szCs w:val="24"/>
              <w:lang w:eastAsia="ja-JP"/>
            </w:rPr>
            <w:t xml:space="preserve">2019: </w:t>
          </w:r>
          <w:r>
            <w:rPr>
              <w:szCs w:val="24"/>
              <w:lang w:eastAsia="ja-JP"/>
            </w:rPr>
            <w:t>67,516 / 115,095 = 0.59</w:t>
          </w:r>
        </w:p>
        <w:p w14:paraId="44E2069B">
          <w:pPr>
            <w:rPr>
              <w:szCs w:val="24"/>
              <w:lang w:eastAsia="ja-JP"/>
            </w:rPr>
          </w:pPr>
          <w:r>
            <w:rPr>
              <w:szCs w:val="24"/>
              <w:lang w:eastAsia="ja-JP"/>
            </w:rPr>
            <w:t>Thus, the debt-to-assets ratio also testifies to this statement. Here is what the above ratio implies for P&amp;G in 2023 is 0.61 &amp; Unilever is 0.72. This means that comparatively smaller percentage of P&amp;G’s assets is funded through debt, which could help in having more kind of flexibility over its financial decision-making.</w:t>
          </w:r>
        </w:p>
        <w:p w14:paraId="6FACE24F">
          <w:pPr>
            <w:rPr>
              <w:szCs w:val="24"/>
              <w:lang w:eastAsia="ja-JP"/>
            </w:rPr>
          </w:pPr>
          <w:r>
            <w:rPr>
              <w:szCs w:val="24"/>
              <w:lang w:eastAsia="ja-JP"/>
            </w:rPr>
            <w:t xml:space="preserve"> As for  interest coverage, again P&amp;G is much better off that Unilever. </w:t>
          </w:r>
        </w:p>
        <w:p w14:paraId="6937B3B6">
          <w:pPr>
            <w:rPr>
              <w:b/>
              <w:bCs/>
              <w:szCs w:val="24"/>
              <w:lang w:eastAsia="ja-JP"/>
            </w:rPr>
          </w:pPr>
          <w:r>
            <w:rPr>
              <w:b/>
              <w:bCs/>
              <w:szCs w:val="24"/>
              <w:lang w:eastAsia="ja-JP"/>
            </w:rPr>
            <w:t xml:space="preserve">Interest Coverage Ratio (EBIT / Interest Expense) </w:t>
          </w:r>
        </w:p>
        <w:p w14:paraId="18F64CDF">
          <w:pPr>
            <w:pStyle w:val="25"/>
            <w:numPr>
              <w:ilvl w:val="0"/>
              <w:numId w:val="12"/>
            </w:numPr>
            <w:rPr>
              <w:b/>
              <w:bCs/>
              <w:szCs w:val="24"/>
              <w:lang w:eastAsia="ja-JP"/>
            </w:rPr>
          </w:pPr>
          <w:r>
            <w:rPr>
              <w:b/>
              <w:bCs/>
              <w:szCs w:val="24"/>
              <w:lang w:eastAsia="ja-JP"/>
            </w:rPr>
            <w:t xml:space="preserve">2023: </w:t>
          </w:r>
          <w:r>
            <w:rPr>
              <w:szCs w:val="24"/>
              <w:lang w:eastAsia="ja-JP"/>
            </w:rPr>
            <w:t>18,134 / 756 = 23.99</w:t>
          </w:r>
        </w:p>
        <w:p w14:paraId="3BEFD53D">
          <w:pPr>
            <w:pStyle w:val="25"/>
            <w:numPr>
              <w:ilvl w:val="0"/>
              <w:numId w:val="12"/>
            </w:numPr>
            <w:rPr>
              <w:b/>
              <w:bCs/>
              <w:szCs w:val="24"/>
              <w:lang w:eastAsia="ja-JP"/>
            </w:rPr>
          </w:pPr>
          <w:r>
            <w:rPr>
              <w:b/>
              <w:bCs/>
              <w:szCs w:val="24"/>
              <w:lang w:eastAsia="ja-JP"/>
            </w:rPr>
            <w:t xml:space="preserve">2022: </w:t>
          </w:r>
          <w:r>
            <w:rPr>
              <w:szCs w:val="24"/>
              <w:lang w:eastAsia="ja-JP"/>
            </w:rPr>
            <w:t>17,813 / 439 = 40.58</w:t>
          </w:r>
        </w:p>
        <w:p w14:paraId="7AD450E9">
          <w:pPr>
            <w:pStyle w:val="25"/>
            <w:numPr>
              <w:ilvl w:val="0"/>
              <w:numId w:val="12"/>
            </w:numPr>
            <w:rPr>
              <w:b/>
              <w:bCs/>
              <w:szCs w:val="24"/>
              <w:lang w:eastAsia="ja-JP"/>
            </w:rPr>
          </w:pPr>
          <w:r>
            <w:rPr>
              <w:b/>
              <w:bCs/>
              <w:szCs w:val="24"/>
              <w:lang w:eastAsia="ja-JP"/>
            </w:rPr>
            <w:t xml:space="preserve">2021: </w:t>
          </w:r>
          <w:r>
            <w:rPr>
              <w:szCs w:val="24"/>
              <w:lang w:eastAsia="ja-JP"/>
            </w:rPr>
            <w:t>17,986 / 502 = 35.83</w:t>
          </w:r>
        </w:p>
        <w:p w14:paraId="3E30ECFC">
          <w:pPr>
            <w:pStyle w:val="25"/>
            <w:numPr>
              <w:ilvl w:val="0"/>
              <w:numId w:val="12"/>
            </w:numPr>
            <w:rPr>
              <w:b/>
              <w:bCs/>
              <w:szCs w:val="24"/>
              <w:lang w:eastAsia="ja-JP"/>
            </w:rPr>
          </w:pPr>
          <w:r>
            <w:rPr>
              <w:b/>
              <w:bCs/>
              <w:szCs w:val="24"/>
              <w:lang w:eastAsia="ja-JP"/>
            </w:rPr>
            <w:t xml:space="preserve">2020: </w:t>
          </w:r>
          <w:r>
            <w:rPr>
              <w:szCs w:val="24"/>
              <w:lang w:eastAsia="ja-JP"/>
            </w:rPr>
            <w:t>15,706 / 465 = 33.78</w:t>
          </w:r>
        </w:p>
        <w:p w14:paraId="10D8D388">
          <w:pPr>
            <w:pStyle w:val="25"/>
            <w:numPr>
              <w:ilvl w:val="0"/>
              <w:numId w:val="12"/>
            </w:numPr>
            <w:rPr>
              <w:szCs w:val="24"/>
              <w:lang w:eastAsia="ja-JP"/>
            </w:rPr>
          </w:pPr>
          <w:r>
            <w:rPr>
              <w:b/>
              <w:bCs/>
              <w:szCs w:val="24"/>
              <w:lang w:eastAsia="ja-JP"/>
            </w:rPr>
            <w:t>2019</w:t>
          </w:r>
          <w:r>
            <w:rPr>
              <w:szCs w:val="24"/>
              <w:lang w:eastAsia="ja-JP"/>
            </w:rPr>
            <w:t>: 5,487 / 509 = 10.78</w:t>
          </w:r>
        </w:p>
        <w:p w14:paraId="51C75F3C">
          <w:pPr>
            <w:rPr>
              <w:szCs w:val="24"/>
              <w:lang w:eastAsia="ja-JP"/>
            </w:rPr>
          </w:pPr>
          <w:r>
            <w:rPr>
              <w:szCs w:val="24"/>
              <w:lang w:eastAsia="ja-JP"/>
            </w:rPr>
            <w:t>As of end of 2023, P&amp;G’s ratio was 23.99, while Unilever total current assets are 9.40. This also indicates that P&amp;G has a much higher capability for payment of its interest that may make creditors and investors take a positive look at the firm.</w:t>
          </w:r>
        </w:p>
        <w:p w14:paraId="60316B55">
          <w:pPr>
            <w:pStyle w:val="3"/>
            <w:rPr>
              <w:szCs w:val="24"/>
            </w:rPr>
          </w:pPr>
          <w:bookmarkStart w:id="6" w:name="_Toc174477871"/>
          <w:r>
            <w:rPr>
              <w:szCs w:val="24"/>
            </w:rPr>
            <w:t>Strategic Implications</w:t>
          </w:r>
          <w:bookmarkEnd w:id="6"/>
        </w:p>
        <w:p w14:paraId="63E61919">
          <w:pPr>
            <w:rPr>
              <w:szCs w:val="24"/>
              <w:lang w:eastAsia="ja-JP"/>
            </w:rPr>
          </w:pPr>
          <w:r>
            <w:rPr>
              <w:b/>
              <w:bCs/>
              <w:szCs w:val="24"/>
              <w:lang w:eastAsia="ja-JP"/>
            </w:rPr>
            <w:t>Working Capital Management:</w:t>
          </w:r>
          <w:r>
            <w:rPr>
              <w:szCs w:val="24"/>
              <w:lang w:eastAsia="ja-JP"/>
            </w:rPr>
            <w:t xml:space="preserve"> Current ratio is also kept rather low by both companies, it is quite typical for consumer goods manufacturers because of integrated supply chain management and spare parts purchasing competencies. However, this strategy should be a subject to close monitoring to prevent potential problems with liquidity (Darun et al. , 2015).</w:t>
          </w:r>
        </w:p>
        <w:p w14:paraId="0D5DCC6C">
          <w:pPr>
            <w:rPr>
              <w:szCs w:val="24"/>
              <w:lang w:eastAsia="ja-JP"/>
            </w:rPr>
          </w:pPr>
          <w:r>
            <w:rPr>
              <w:b/>
              <w:bCs/>
              <w:szCs w:val="24"/>
              <w:lang w:eastAsia="ja-JP"/>
            </w:rPr>
            <w:t>Cash Management:</w:t>
          </w:r>
          <w:r>
            <w:rPr>
              <w:szCs w:val="24"/>
              <w:lang w:eastAsia="ja-JP"/>
            </w:rPr>
            <w:t xml:space="preserve"> P&amp;G’s a higher cash ratio indicates a better safety margin for the organization in management of its cash, this can be used as a safety net in case of market fluctuations. This corresponds with research that shows that higher amounts of cash are in fact healthy in incidences of economic </w:t>
          </w:r>
          <w:r>
            <w:rPr>
              <w:szCs w:val="24"/>
              <w:lang w:val="en-IN" w:eastAsia="ja-JP"/>
            </w:rPr>
            <w:t>volatility</w:t>
          </w:r>
          <w:r>
            <w:rPr>
              <w:szCs w:val="24"/>
              <w:lang w:eastAsia="ja-JP"/>
            </w:rPr>
            <w:t xml:space="preserve"> (Bates et al. , 2009).</w:t>
          </w:r>
        </w:p>
        <w:p w14:paraId="6277F3C5">
          <w:pPr>
            <w:rPr>
              <w:szCs w:val="24"/>
              <w:lang w:eastAsia="ja-JP"/>
            </w:rPr>
          </w:pPr>
          <w:r>
            <w:rPr>
              <w:b/>
              <w:bCs/>
              <w:szCs w:val="24"/>
              <w:lang w:eastAsia="ja-JP"/>
            </w:rPr>
            <w:t>Capital Structure:</w:t>
          </w:r>
          <w:r>
            <w:rPr>
              <w:szCs w:val="24"/>
              <w:lang w:eastAsia="ja-JP"/>
            </w:rPr>
            <w:t xml:space="preserve"> Higher leverage of Unilever may imply that it has more lucrative growth plan or more ambitious buyback-attractive plan. However it also enhances the financial risk in this business and more so when the rates of interest are gradually changing and turning upwards (Frank &amp; Goyal 2009).</w:t>
          </w:r>
        </w:p>
        <w:p w14:paraId="171C6A2D">
          <w:pPr>
            <w:rPr>
              <w:szCs w:val="24"/>
              <w:lang w:eastAsia="ja-JP"/>
            </w:rPr>
          </w:pPr>
          <w:r>
            <w:rPr>
              <w:b/>
              <w:bCs/>
              <w:szCs w:val="24"/>
              <w:lang w:eastAsia="ja-JP"/>
            </w:rPr>
            <w:t>Operational Efficiency:</w:t>
          </w:r>
          <w:r>
            <w:rPr>
              <w:szCs w:val="24"/>
              <w:lang w:eastAsia="ja-JP"/>
            </w:rPr>
            <w:t xml:space="preserve"> P&amp;G has a higher interest coverage ratio which implies that the company is likely to be more efficient in making earnings to meet her obligations especially that of the debt. This could give P&amp;G more financial manoeuvring capability in terms of investing in new structures for the future or paying out more cash to the shareholders (Damodaran, 1997).</w:t>
          </w:r>
        </w:p>
        <w:p w14:paraId="08BF00E6">
          <w:pPr>
            <w:rPr>
              <w:szCs w:val="24"/>
              <w:lang w:eastAsia="ja-JP"/>
            </w:rPr>
          </w:pPr>
          <w:r>
            <w:rPr>
              <w:szCs w:val="24"/>
              <w:lang w:eastAsia="ja-JP"/>
            </w:rPr>
            <w:t>Regarding the ratios of financial analysis, Unilever and P&amp;G: while being close competitors on the consumer goods market, they have opposite trends in the sphere of financial management. As it can be seen, P&amp;G has lower financial leverage and more cash, which can indicate the company has a more conservative financial strategy. Yet Unilever occupies a higher level of leverage and therefore points to more powerful growth effect, at the same time, more obvious financial risk.</w:t>
          </w:r>
        </w:p>
        <w:p w14:paraId="1F30C915">
          <w:pPr>
            <w:pStyle w:val="2"/>
          </w:pPr>
          <w:bookmarkStart w:id="7" w:name="_Toc174477872"/>
          <w:r>
            <w:t>Capital Structure Theories and Unilever's Performance: A Critical Analysis</w:t>
          </w:r>
          <w:bookmarkEnd w:id="7"/>
        </w:p>
        <w:p w14:paraId="610466B4">
          <w:pPr>
            <w:rPr>
              <w:szCs w:val="24"/>
              <w:lang w:eastAsia="ja-JP"/>
            </w:rPr>
          </w:pPr>
          <w:r>
            <w:rPr>
              <w:szCs w:val="24"/>
              <w:lang w:eastAsia="ja-JP"/>
            </w:rPr>
            <w:t>Capital structure choices are central to theories of corporate finance, determining a firm’s cost of capital, its value and expected returns to shareholders. The paper focuses on the evaluation of the capital structure of Unilever and return on its capital, with a view to determine whether there is any link between the chosen measure of capital structure and the performance of the company’s shares.</w:t>
          </w:r>
        </w:p>
        <w:p w14:paraId="1F196EBF">
          <w:pPr>
            <w:pStyle w:val="3"/>
            <w:rPr>
              <w:szCs w:val="24"/>
            </w:rPr>
          </w:pPr>
          <w:bookmarkStart w:id="8" w:name="_Toc174477873"/>
          <w:r>
            <w:rPr>
              <w:szCs w:val="24"/>
            </w:rPr>
            <w:t>Theoretical Framework</w:t>
          </w:r>
          <w:bookmarkEnd w:id="8"/>
        </w:p>
        <w:p w14:paraId="6755460B">
          <w:pPr>
            <w:pStyle w:val="4"/>
            <w:rPr>
              <w:lang w:eastAsia="ja-JP"/>
            </w:rPr>
          </w:pPr>
          <w:bookmarkStart w:id="9" w:name="_Toc174477874"/>
          <w:r>
            <w:rPr>
              <w:lang w:eastAsia="ja-JP"/>
            </w:rPr>
            <w:t>Modigliani and Miller (1958) Proposition</w:t>
          </w:r>
          <w:bookmarkEnd w:id="9"/>
        </w:p>
        <w:p w14:paraId="574B79FD">
          <w:pPr>
            <w:rPr>
              <w:szCs w:val="24"/>
              <w:lang w:eastAsia="ja-JP"/>
            </w:rPr>
          </w:pPr>
          <w:r>
            <w:rPr>
              <w:szCs w:val="24"/>
              <w:lang w:eastAsia="ja-JP"/>
            </w:rPr>
            <w:t xml:space="preserve">Modigliani &amp; Miller (1958) presented and argued that in perfect capital structure markets the overall value of a firm is not in any way affected by the capital structure. This also referred to as the ‘‘irrelevance proposition’’ anticipates that the sourcing of funds through debt and or equity should not alter the firm’s market value or the cost of capital. </w:t>
          </w:r>
        </w:p>
        <w:p w14:paraId="060FB015">
          <w:pPr>
            <w:rPr>
              <w:szCs w:val="24"/>
              <w:lang w:eastAsia="ja-JP"/>
            </w:rPr>
          </w:pPr>
          <w:r>
            <w:rPr>
              <w:szCs w:val="24"/>
              <w:lang w:eastAsia="ja-JP"/>
            </w:rPr>
            <w:t>Critical Analysis: Although the M&amp;M proposition may sound very theoretically sound, the assumptions of perfect markets as postulated for the analysis never are in this world. For example, taxes, information asymmetry, and transactions costs make a strong impact on capital structure decisions in the Myers (2001) real world.</w:t>
          </w:r>
        </w:p>
        <w:p w14:paraId="33B41D30">
          <w:pPr>
            <w:pStyle w:val="4"/>
            <w:rPr>
              <w:lang w:eastAsia="ja-JP"/>
            </w:rPr>
          </w:pPr>
          <w:bookmarkStart w:id="10" w:name="_Toc174477875"/>
          <w:r>
            <w:rPr>
              <w:lang w:eastAsia="ja-JP"/>
            </w:rPr>
            <w:t>Modigliani and Miller (1963) with Taxation</w:t>
          </w:r>
          <w:bookmarkEnd w:id="10"/>
        </w:p>
        <w:p w14:paraId="6593227B">
          <w:pPr>
            <w:rPr>
              <w:szCs w:val="24"/>
              <w:lang w:eastAsia="ja-JP"/>
            </w:rPr>
          </w:pPr>
          <w:r>
            <w:rPr>
              <w:szCs w:val="24"/>
              <w:lang w:eastAsia="ja-JP"/>
            </w:rPr>
            <w:t xml:space="preserve">Understanding that corporate taxes are a going-concern and that interest is tax-deductible, Modigliani and Miller (1963) added the tax factor to the original theory. This way the revision argues that firms should opt for debt financing to be able to benefit from the tax shield. </w:t>
          </w:r>
        </w:p>
        <w:p w14:paraId="437503E9">
          <w:pPr>
            <w:rPr>
              <w:szCs w:val="24"/>
              <w:lang w:eastAsia="ja-JP"/>
            </w:rPr>
          </w:pPr>
          <w:r>
            <w:rPr>
              <w:szCs w:val="24"/>
              <w:lang w:eastAsia="ja-JP"/>
            </w:rPr>
            <w:t>Critical Analysis: The tax shield benefit manifests with specificity in practice, but many firms fail to optimally use this benefit; Graham (2000) argues that there are factors other than this favouring the use of debt.</w:t>
          </w:r>
        </w:p>
        <w:p w14:paraId="0DC5CE21">
          <w:pPr>
            <w:pStyle w:val="4"/>
            <w:rPr>
              <w:lang w:eastAsia="ja-JP"/>
            </w:rPr>
          </w:pPr>
          <w:bookmarkStart w:id="11" w:name="_Toc174477876"/>
          <w:r>
            <w:rPr>
              <w:lang w:eastAsia="ja-JP"/>
            </w:rPr>
            <w:t>Trade-Off Theory</w:t>
          </w:r>
          <w:bookmarkEnd w:id="11"/>
        </w:p>
        <w:p w14:paraId="6E50E64E">
          <w:pPr>
            <w:rPr>
              <w:szCs w:val="24"/>
              <w:lang w:eastAsia="ja-JP"/>
            </w:rPr>
          </w:pPr>
          <w:r>
            <w:rPr>
              <w:szCs w:val="24"/>
              <w:lang w:eastAsia="ja-JP"/>
            </w:rPr>
            <w:t xml:space="preserve">Trade-off theory in the words of Kraun &amp; Litzen Berger (1973) extends that firms maximise the net benefits of utilizing debts which entail tax shields with the cost which encompasses financial distress and bankruptcy cost. </w:t>
          </w:r>
        </w:p>
        <w:p w14:paraId="0DC228B2">
          <w:pPr>
            <w:rPr>
              <w:szCs w:val="24"/>
              <w:lang w:eastAsia="ja-JP"/>
            </w:rPr>
          </w:pPr>
          <w:r>
            <w:rPr>
              <w:szCs w:val="24"/>
              <w:lang w:eastAsia="ja-JP"/>
            </w:rPr>
            <w:t>Critical Analysis: While theoretically even more attractive as an analytically feasible theory as compared to the growth option theory, the practical evidence for the trade-off theory is still rather weak. The other weakness of theory is that Fama &amp; French (2002) notice that leverage has an inverse relationship with level of profitability in firms.</w:t>
          </w:r>
        </w:p>
        <w:p w14:paraId="1BF88D4E">
          <w:pPr>
            <w:pStyle w:val="4"/>
            <w:rPr>
              <w:lang w:eastAsia="ja-JP"/>
            </w:rPr>
          </w:pPr>
          <w:bookmarkStart w:id="12" w:name="_Toc174477877"/>
          <w:r>
            <w:rPr>
              <w:lang w:eastAsia="ja-JP"/>
            </w:rPr>
            <w:t>Pecking Order theory</w:t>
          </w:r>
          <w:bookmarkEnd w:id="12"/>
        </w:p>
        <w:p w14:paraId="0FE5046A">
          <w:pPr>
            <w:rPr>
              <w:szCs w:val="24"/>
              <w:lang w:eastAsia="ja-JP"/>
            </w:rPr>
          </w:pPr>
          <w:r>
            <w:rPr>
              <w:szCs w:val="24"/>
              <w:lang w:eastAsia="ja-JP"/>
            </w:rPr>
            <w:t xml:space="preserve">Myers &amp; Majluf (1984) wrote the paper on  pecking order theory arguing that due to the presence of information asymmetry, the firms like to use internal funds if available, if not, they like to use debt and if required, then equity. </w:t>
          </w:r>
        </w:p>
        <w:p w14:paraId="145DEEFC">
          <w:pPr>
            <w:rPr>
              <w:szCs w:val="24"/>
              <w:lang w:eastAsia="ja-JP"/>
            </w:rPr>
          </w:pPr>
          <w:r>
            <w:rPr>
              <w:b/>
              <w:bCs/>
              <w:szCs w:val="24"/>
              <w:lang w:eastAsia="ja-JP"/>
            </w:rPr>
            <w:t>Critical Analysis:</w:t>
          </w:r>
          <w:r>
            <w:rPr>
              <w:szCs w:val="24"/>
              <w:lang w:eastAsia="ja-JP"/>
            </w:rPr>
            <w:t xml:space="preserve"> Despite the shortcomings, the pecking order was one of the most significant theories expounding financing behaviour and was supported robustly by Shyam-Sunder &amp; Myers (1999), especially among firms that were already set up. However, Frank &amp; Goyal (2003) dismissed this argument particularly in the later years, and in case of small companies.</w:t>
          </w:r>
        </w:p>
        <w:p w14:paraId="717766EE">
          <w:pPr>
            <w:pStyle w:val="3"/>
            <w:rPr>
              <w:szCs w:val="24"/>
            </w:rPr>
          </w:pPr>
          <w:bookmarkStart w:id="13" w:name="_Toc174477878"/>
          <w:r>
            <w:rPr>
              <w:szCs w:val="24"/>
            </w:rPr>
            <w:t>Variation in Capital Structure and Share Returns</w:t>
          </w:r>
          <w:bookmarkEnd w:id="13"/>
        </w:p>
        <w:p w14:paraId="69FD312D">
          <w:pPr>
            <w:pStyle w:val="4"/>
            <w:rPr>
              <w:lang w:eastAsia="ja-JP"/>
            </w:rPr>
          </w:pPr>
          <w:bookmarkStart w:id="14" w:name="_Toc174477879"/>
          <w:r>
            <w:rPr>
              <w:lang w:eastAsia="ja-JP"/>
            </w:rPr>
            <w:t>Capital Structure</w:t>
          </w:r>
          <w:bookmarkEnd w:id="14"/>
        </w:p>
        <w:p w14:paraId="69B1452B">
          <w:pPr>
            <w:rPr>
              <w:szCs w:val="24"/>
              <w:lang w:eastAsia="ja-JP"/>
            </w:rPr>
          </w:pPr>
          <w:r>
            <w:rPr>
              <w:szCs w:val="24"/>
              <w:lang w:eastAsia="ja-JP"/>
            </w:rPr>
            <w:t xml:space="preserve">Unilever's capital structure, as indicated by its leverage ratios, has shown some variation over the 2019-2023 period: </w:t>
          </w:r>
        </w:p>
        <w:p w14:paraId="29CF7996">
          <w:pPr>
            <w:rPr>
              <w:szCs w:val="24"/>
              <w:lang w:eastAsia="ja-JP"/>
            </w:rPr>
          </w:pPr>
          <w:r>
            <w:rPr>
              <w:b/>
              <w:bCs/>
              <w:szCs w:val="24"/>
              <w:lang w:eastAsia="ja-JP"/>
            </w:rPr>
            <w:t>Debt-to-Equity Ratio:</w:t>
          </w:r>
          <w:r>
            <w:rPr>
              <w:szCs w:val="24"/>
              <w:lang w:eastAsia="ja-JP"/>
            </w:rPr>
            <w:t xml:space="preserve"> This ratio reduced from 3.86 in 2019 to 3.01 in 2023 to show a decline in financial leverage ratio. This has pointed to the fact that over time Unilever has been reducing on the level at which it depends on debt as a source of funds as compared to equity. </w:t>
          </w:r>
        </w:p>
        <w:p w14:paraId="17783C72">
          <w:pPr>
            <w:rPr>
              <w:szCs w:val="24"/>
              <w:lang w:eastAsia="ja-JP"/>
            </w:rPr>
          </w:pPr>
          <w:r>
            <w:rPr>
              <w:b/>
              <w:bCs/>
              <w:szCs w:val="24"/>
              <w:lang w:eastAsia="ja-JP"/>
            </w:rPr>
            <w:t>Debt-to-Assets Ratio:</w:t>
          </w:r>
          <w:r>
            <w:rPr>
              <w:szCs w:val="24"/>
              <w:lang w:eastAsia="ja-JP"/>
            </w:rPr>
            <w:t xml:space="preserve"> This metric reduced marginally from 0.79 in 2019 to 0.72 in 2018, as a result giving a slightly lower figure in the ratio of assets funded by debt. </w:t>
          </w:r>
        </w:p>
        <w:p w14:paraId="7AB3A9CB">
          <w:pPr>
            <w:rPr>
              <w:szCs w:val="24"/>
              <w:lang w:eastAsia="ja-JP"/>
            </w:rPr>
          </w:pPr>
          <w:r>
            <w:rPr>
              <w:b/>
              <w:bCs/>
              <w:szCs w:val="24"/>
              <w:lang w:eastAsia="ja-JP"/>
            </w:rPr>
            <w:t>Interest Coverage Ratio:</w:t>
          </w:r>
          <w:r>
            <w:rPr>
              <w:szCs w:val="24"/>
              <w:lang w:eastAsia="ja-JP"/>
            </w:rPr>
            <w:t xml:space="preserve"> This ratio however was not constant over the period and it was at its high of 17.72 in 2021 and then decreasing to 9.40 in 2023. The trend reveals a comparatively better capacity in terms of interest coverage compared to the FY 2019 though it has declined recently. </w:t>
          </w:r>
        </w:p>
        <w:p w14:paraId="52CA1038">
          <w:pPr>
            <w:rPr>
              <w:szCs w:val="24"/>
              <w:lang w:eastAsia="ja-JP"/>
            </w:rPr>
          </w:pPr>
          <w:r>
            <w:rPr>
              <w:szCs w:val="24"/>
              <w:lang w:eastAsia="ja-JP"/>
            </w:rPr>
            <w:t>This implies that Unilever has been gently reducing the proportion of debt in its balance sheet during the last few years, perhaps for the purpose of seeking a precisely optimal capital structure.</w:t>
          </w:r>
        </w:p>
        <w:p w14:paraId="0C356EE9">
          <w:pPr>
            <w:pStyle w:val="4"/>
            <w:rPr>
              <w:lang w:eastAsia="ja-JP"/>
            </w:rPr>
          </w:pPr>
          <w:bookmarkStart w:id="15" w:name="_Toc174477880"/>
          <w:r>
            <w:rPr>
              <w:lang w:eastAsia="ja-JP"/>
            </w:rPr>
            <w:t>Share Returns</w:t>
          </w:r>
          <w:bookmarkEnd w:id="15"/>
        </w:p>
        <w:p w14:paraId="61E32657">
          <w:pPr>
            <w:rPr>
              <w:szCs w:val="24"/>
              <w:lang w:eastAsia="ja-JP"/>
            </w:rPr>
          </w:pPr>
          <w:r>
            <w:rPr>
              <w:szCs w:val="24"/>
              <w:lang w:eastAsia="ja-JP"/>
            </w:rPr>
            <w:t>Unilever's annual returns have shown significant volatility: Data is Collected From Yahoo Finance (Yahoo finance, 2024)</w:t>
          </w:r>
        </w:p>
        <w:p w14:paraId="790E50C9">
          <w:pPr>
            <w:jc w:val="center"/>
            <w:rPr>
              <w:szCs w:val="24"/>
              <w:lang w:eastAsia="ja-JP"/>
            </w:rPr>
          </w:pPr>
          <w:r>
            <w:rPr>
              <w:szCs w:val="24"/>
              <w:lang w:eastAsia="ja-JP"/>
            </w:rPr>
            <w:drawing>
              <wp:inline distT="0" distB="0" distL="0" distR="0">
                <wp:extent cx="5379720" cy="2141220"/>
                <wp:effectExtent l="0" t="0" r="0" b="0"/>
                <wp:docPr id="526400762" name="Picture 1" descr="A graph with numbers and a number of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400762" name="Picture 1" descr="A graph with numbers and a number of numbers&#10;&#10;Description automatically generated with medium confidence"/>
                        <pic:cNvPicPr>
                          <a:picLocks noChangeAspect="1"/>
                        </pic:cNvPicPr>
                      </pic:nvPicPr>
                      <pic:blipFill>
                        <a:blip r:embed="rId13"/>
                        <a:stretch>
                          <a:fillRect/>
                        </a:stretch>
                      </pic:blipFill>
                      <pic:spPr>
                        <a:xfrm>
                          <a:off x="0" y="0"/>
                          <a:ext cx="5380200" cy="2141411"/>
                        </a:xfrm>
                        <a:prstGeom prst="rect">
                          <a:avLst/>
                        </a:prstGeom>
                      </pic:spPr>
                    </pic:pic>
                  </a:graphicData>
                </a:graphic>
              </wp:inline>
            </w:drawing>
          </w:r>
        </w:p>
        <w:p w14:paraId="184635B8">
          <w:pPr>
            <w:jc w:val="center"/>
            <w:rPr>
              <w:b/>
              <w:bCs/>
              <w:sz w:val="20"/>
              <w:szCs w:val="20"/>
              <w:lang w:eastAsia="ja-JP"/>
            </w:rPr>
          </w:pPr>
          <w:r>
            <w:rPr>
              <w:b/>
              <w:bCs/>
              <w:sz w:val="20"/>
              <w:szCs w:val="20"/>
              <w:lang w:eastAsia="ja-JP"/>
            </w:rPr>
            <w:t>Figure 1: Unilever Annual Returns</w:t>
          </w:r>
        </w:p>
        <w:p w14:paraId="634FECD2">
          <w:pPr>
            <w:rPr>
              <w:szCs w:val="24"/>
              <w:lang w:eastAsia="ja-JP"/>
            </w:rPr>
          </w:pPr>
          <w:r>
            <w:rPr>
              <w:szCs w:val="24"/>
              <w:lang w:eastAsia="ja-JP"/>
            </w:rPr>
            <w:t>The average annual return over this period is 4.46%, masking considerable year-to-year variations. Unilever had a poor year in the period 2020-2021 and this could be attributed to the impacts of the COVID -19 on the global economy. But returns have also been on the rise since then, with a great boost in each subsequent year, including a spectacular 20.91% return in 2023-2024.</w:t>
          </w:r>
        </w:p>
        <w:p w14:paraId="65BD4117">
          <w:pPr>
            <w:pStyle w:val="4"/>
            <w:rPr>
              <w:lang w:eastAsia="ja-JP"/>
            </w:rPr>
          </w:pPr>
          <w:bookmarkStart w:id="16" w:name="_Toc174477881"/>
          <w:r>
            <w:rPr>
              <w:lang w:eastAsia="ja-JP"/>
            </w:rPr>
            <w:t>Association Between Leverage and Return</w:t>
          </w:r>
          <w:bookmarkEnd w:id="16"/>
        </w:p>
        <w:p w14:paraId="083BF8A8">
          <w:pPr>
            <w:rPr>
              <w:szCs w:val="24"/>
              <w:lang w:eastAsia="ja-JP"/>
            </w:rPr>
          </w:pPr>
          <w:r>
            <w:rPr>
              <w:szCs w:val="24"/>
              <w:lang w:eastAsia="ja-JP"/>
            </w:rPr>
            <w:t xml:space="preserve">The behaviour of leverage ratios and return on equity for Unilever provides an interesting consideration of the management of corporations finances. Following the decrease in the company’s financial leverage from the year 2019 to 2023 as would be depicted by the Debt-to-Equity and the Debt-to-assets ratios below, the element of share returns generally indicated a rising trend from year 2021 onwards. This pattern is consistent with the trade-off theory of capital structure which explains that the company seeks to offset the advantage of paying less tax through use of debt against the costs that arise from financial distress (Kraus &amp; Litzenberger, 1973). Although there is a positive relationship, it is not direct since the highest average returns were achieved with additional deterioration after the first signs of deleveraging. This delay effect, may be explained, using the market efficiency and information asymmetry theory developed by Myers and Majluf, 1984 and the investors may take some time before they revise their model and price the reduction in financial risk appropriately. Higher Interest Coverage Ratio over the period also suggests better debt management which also contributed to the improved shareholder value in line with Jensen’s (1986) free cash flow hypothesis. However, to avoid overly attributing Unilever’s success to social marketing, it remains necessary to examine this seemingly correlation with certain degree of skepticism, although social marketing very likely has contributed a lot to it, the other factors as such post-pandemic business recovery, operations optimization, and generally favourable market conditions cannot be ruled out by any means. Leverage and returns trends depicted here are consonant with empirical evidence initially popularised by Fama &amp; French (1992) which cast aspersion on difficulty risk-returns functional character argued in early capital structure theories. </w:t>
          </w:r>
        </w:p>
        <w:p w14:paraId="42459475">
          <w:pPr>
            <w:pStyle w:val="2"/>
          </w:pPr>
          <w:bookmarkStart w:id="17" w:name="_Toc174477882"/>
          <w:r>
            <w:t>Critical Review of Unilever's Major Investment Activities</w:t>
          </w:r>
          <w:bookmarkEnd w:id="17"/>
        </w:p>
        <w:p w14:paraId="0AC5BF01">
          <w:pPr>
            <w:pStyle w:val="3"/>
            <w:rPr>
              <w:szCs w:val="24"/>
            </w:rPr>
          </w:pPr>
          <w:bookmarkStart w:id="18" w:name="_Toc174477883"/>
          <w:r>
            <w:rPr>
              <w:szCs w:val="24"/>
            </w:rPr>
            <w:t>Research and Development (R&amp;D) Investments</w:t>
          </w:r>
          <w:bookmarkEnd w:id="18"/>
        </w:p>
        <w:p w14:paraId="18205924">
          <w:pPr>
            <w:rPr>
              <w:szCs w:val="24"/>
              <w:lang w:eastAsia="ja-JP"/>
            </w:rPr>
          </w:pPr>
          <w:r>
            <w:rPr>
              <w:szCs w:val="24"/>
              <w:lang w:eastAsia="ja-JP"/>
            </w:rPr>
            <w:t xml:space="preserve">Unilever has always invested heavily on research and development this is because the company has always aimed at being at par with its innovations within the FMCG industry. In the year 2022, this company used € 1.1 billion on R&amp;D, representing approximately 1.8% of its turnover (Unilever, 2023). This level of investment which has been outlined below has remained almost constant in the last few years; it shows the seriousness of Unilever in innovation even under the top most economy considerations. </w:t>
          </w:r>
        </w:p>
        <w:p w14:paraId="34959712">
          <w:pPr>
            <w:rPr>
              <w:szCs w:val="24"/>
              <w:lang w:eastAsia="ja-JP"/>
            </w:rPr>
          </w:pPr>
          <w:r>
            <w:rPr>
              <w:szCs w:val="24"/>
              <w:lang w:eastAsia="ja-JP"/>
            </w:rPr>
            <w:t xml:space="preserve"> However, when comparing it to some of its rivals such as Procter &amp; Gamble; the later spends approximately 2.2% of its net sales in R&amp;D in the same period (Proctor &amp; Gamble, 2023). This leads to some questions, regarding the fact whether Unilever investing enough money today to remain an innovative company in the highly competitive environment. According to the company these research and development expenses have paid off and have spearheaded the introduction of several products especially in the beauty and personal care division. For instance, the new product of Dove that is the reusable deodorant is an example of sustainable innovation. There is so much ambiguity regarding the long-run effects that are good for the general sales’ growth and the market share. This may imply that there is space between the investment in R&amp;D and market outcome, as observed by Knott &amp; Vieregger (2020) in their study on the effectiveness of R&amp;D.</w:t>
          </w:r>
        </w:p>
        <w:p w14:paraId="32DD3418">
          <w:pPr>
            <w:pStyle w:val="3"/>
            <w:rPr>
              <w:szCs w:val="24"/>
            </w:rPr>
          </w:pPr>
          <w:bookmarkStart w:id="19" w:name="_Toc174477884"/>
          <w:r>
            <w:rPr>
              <w:szCs w:val="24"/>
            </w:rPr>
            <w:t>Digital Transformation and E-commerce</w:t>
          </w:r>
          <w:bookmarkEnd w:id="19"/>
        </w:p>
        <w:p w14:paraId="0EB4707E">
          <w:pPr>
            <w:rPr>
              <w:szCs w:val="24"/>
              <w:lang w:eastAsia="ja-JP"/>
            </w:rPr>
          </w:pPr>
          <w:r>
            <w:rPr>
              <w:szCs w:val="24"/>
              <w:lang w:eastAsia="ja-JP"/>
            </w:rPr>
            <w:t xml:space="preserve">To address changed consumers’ behaviour and especially by the influence of the COVID-19, Unilever stepped up the investments in digital competencies and in e-commerce. The company disclosed that e-commerce has made up of 14% of its revenues and has grown by 20% in 2022 (Unilever, 2023). To enable this growth, Unilever has had to invest in digital, new technologies especially in areas like automation with sophisticated digital marketing USP and </w:t>
          </w:r>
          <w:r>
            <w:rPr>
              <w:szCs w:val="24"/>
              <w:lang w:val="en-IN" w:eastAsia="ja-JP"/>
            </w:rPr>
            <w:t>analytic</w:t>
          </w:r>
          <w:r>
            <w:rPr>
              <w:szCs w:val="24"/>
              <w:lang w:eastAsia="ja-JP"/>
            </w:rPr>
            <w:t xml:space="preserve">, as well as DTC channels. </w:t>
          </w:r>
        </w:p>
        <w:p w14:paraId="3899FF44">
          <w:pPr>
            <w:rPr>
              <w:szCs w:val="24"/>
              <w:lang w:eastAsia="ja-JP"/>
            </w:rPr>
          </w:pPr>
          <w:r>
            <w:rPr>
              <w:szCs w:val="24"/>
              <w:lang w:eastAsia="ja-JP"/>
            </w:rPr>
            <w:t xml:space="preserve"> One of the most significant programs is establishing the Unilever’s People Data Centers and their usage of artificial intelligence and machine learning for the consumers. Although such investments have positively affected digital sales they may not necessarily improve the company overall profitability. According to Verhoef et al., (2021), large traditional companies are not always able to fully </w:t>
          </w:r>
          <w:r>
            <w:rPr>
              <w:szCs w:val="24"/>
              <w:lang w:val="en-IN" w:eastAsia="ja-JP"/>
            </w:rPr>
            <w:t>realize</w:t>
          </w:r>
          <w:r>
            <w:rPr>
              <w:szCs w:val="24"/>
              <w:lang w:eastAsia="ja-JP"/>
            </w:rPr>
            <w:t xml:space="preserve"> the digital investments because of the large </w:t>
          </w:r>
          <w:r>
            <w:rPr>
              <w:szCs w:val="24"/>
              <w:lang w:val="en-IN" w:eastAsia="ja-JP"/>
            </w:rPr>
            <w:t>organizational</w:t>
          </w:r>
          <w:r>
            <w:rPr>
              <w:szCs w:val="24"/>
              <w:lang w:eastAsia="ja-JP"/>
            </w:rPr>
            <w:t xml:space="preserve"> structures and systems.</w:t>
          </w:r>
        </w:p>
        <w:p w14:paraId="2D9A6517">
          <w:pPr>
            <w:pStyle w:val="3"/>
            <w:rPr>
              <w:szCs w:val="24"/>
            </w:rPr>
          </w:pPr>
          <w:bookmarkStart w:id="20" w:name="_Toc174477885"/>
          <w:r>
            <w:rPr>
              <w:szCs w:val="24"/>
            </w:rPr>
            <w:t>Mergers and Acquisitions (M&amp;A)</w:t>
          </w:r>
          <w:bookmarkEnd w:id="20"/>
        </w:p>
        <w:p w14:paraId="24991F3A">
          <w:pPr>
            <w:rPr>
              <w:szCs w:val="24"/>
              <w:lang w:eastAsia="ja-JP"/>
            </w:rPr>
          </w:pPr>
          <w:r>
            <w:rPr>
              <w:szCs w:val="24"/>
              <w:lang w:eastAsia="ja-JP"/>
            </w:rPr>
            <w:t xml:space="preserve">The multinational company has established its M&amp;A strategy on the acquisition of businesses with creative, and socially responsible products. Among them, the latest was Paula’s Choice, a skincare brand based on an online sales model, which was acquired for $ 2 billion at the beginning of 2021 (Unilever, 2022). This is in line with Unilever’s plan to deepen its positioning in the space of premium skincare products and build up its digital strength. </w:t>
          </w:r>
        </w:p>
        <w:p w14:paraId="37F91D03">
          <w:pPr>
            <w:rPr>
              <w:szCs w:val="24"/>
              <w:lang w:eastAsia="ja-JP"/>
            </w:rPr>
          </w:pPr>
          <w:r>
            <w:rPr>
              <w:szCs w:val="24"/>
              <w:lang w:eastAsia="ja-JP"/>
            </w:rPr>
            <w:t>However, the acquisition price is considered high and this makes them concern of over acquisition price and return. Entrant disruption troubles of digital-native brands into the conventional form of business are widely known. In addition, Unilever’s prospective large-scale acquisition of GlaxoSmithKline worth £50 billion in 2022 failed badly and it caused lots of shareholder criticism; large-scale M&amp;A activities are risky. (Financial Times, 2022).</w:t>
          </w:r>
        </w:p>
        <w:p w14:paraId="26C51A3E">
          <w:pPr>
            <w:pStyle w:val="3"/>
            <w:rPr>
              <w:szCs w:val="24"/>
            </w:rPr>
          </w:pPr>
          <w:bookmarkStart w:id="21" w:name="_Toc174477886"/>
          <w:r>
            <w:rPr>
              <w:szCs w:val="24"/>
            </w:rPr>
            <w:t>Sustainability Initiatives</w:t>
          </w:r>
          <w:bookmarkEnd w:id="21"/>
          <w:r>
            <w:rPr>
              <w:szCs w:val="24"/>
            </w:rPr>
            <w:t xml:space="preserve"> </w:t>
          </w:r>
        </w:p>
        <w:p w14:paraId="728C7B03">
          <w:pPr>
            <w:rPr>
              <w:szCs w:val="24"/>
              <w:lang w:eastAsia="ja-JP"/>
            </w:rPr>
          </w:pPr>
          <w:r>
            <w:rPr>
              <w:szCs w:val="24"/>
              <w:lang w:eastAsia="ja-JP"/>
            </w:rPr>
            <w:t xml:space="preserve">Unilever has gone deep into the pockets to secure sustainable growth, and from 2020 to 2030 alone, the company set aside €1 euros for the nature-based solution and another €1 for the Climate &amp; Nature fund. The following investments are in line with the company’s Unilever Compass approach. </w:t>
          </w:r>
        </w:p>
        <w:p w14:paraId="12580EAA">
          <w:pPr>
            <w:rPr>
              <w:szCs w:val="24"/>
              <w:lang w:eastAsia="ja-JP"/>
            </w:rPr>
          </w:pPr>
          <w:r>
            <w:rPr>
              <w:szCs w:val="24"/>
              <w:lang w:eastAsia="ja-JP"/>
            </w:rPr>
            <w:t xml:space="preserve">The importance of commitment to sustainability can be seen in these initiatives, but as to the effect on financial performance, it is not as straightforward. Eccles et al., (2014) opine that sustainability investments lead to specific brand value over the long-term, as well as customer loyalty. However, the high initial investment required for sustainable solutions can stress the firm to aggressively meet quarterly earnings targets, making sustainable solution investments a problem on how to meet shareholder demands for quick returns. </w:t>
          </w:r>
        </w:p>
        <w:p w14:paraId="57374AE0">
          <w:pPr>
            <w:pStyle w:val="3"/>
            <w:rPr>
              <w:szCs w:val="24"/>
            </w:rPr>
          </w:pPr>
          <w:r>
            <w:rPr>
              <w:szCs w:val="24"/>
            </w:rPr>
            <w:t xml:space="preserve"> </w:t>
          </w:r>
          <w:bookmarkStart w:id="22" w:name="_Toc174477887"/>
          <w:r>
            <w:rPr>
              <w:szCs w:val="24"/>
            </w:rPr>
            <w:t>Geographical Expansion and Emerging Markets</w:t>
          </w:r>
          <w:bookmarkEnd w:id="22"/>
          <w:r>
            <w:rPr>
              <w:szCs w:val="24"/>
            </w:rPr>
            <w:t xml:space="preserve"> </w:t>
          </w:r>
        </w:p>
        <w:p w14:paraId="7F405946">
          <w:pPr>
            <w:rPr>
              <w:szCs w:val="24"/>
              <w:lang w:eastAsia="ja-JP"/>
            </w:rPr>
          </w:pPr>
          <w:r>
            <w:rPr>
              <w:szCs w:val="24"/>
              <w:lang w:eastAsia="ja-JP"/>
            </w:rPr>
            <w:t xml:space="preserve">The company has also upped its investment into the emerging markets as they constitute approximately 58% of Unilever business. At the beginning of the year 2022, the company presented rather impressive growth rates to the countries of the Asia-Pacific region, including India, Indonesia, and Brazil (Unilever, 2023). Major transactions are €150 million for construction of manufacturing plant in Pakistan in 2021. </w:t>
          </w:r>
        </w:p>
        <w:p w14:paraId="644AF705">
          <w:pPr>
            <w:rPr>
              <w:szCs w:val="24"/>
              <w:lang w:eastAsia="ja-JP"/>
            </w:rPr>
          </w:pPr>
          <w:r>
            <w:rPr>
              <w:szCs w:val="24"/>
              <w:lang w:eastAsia="ja-JP"/>
            </w:rPr>
            <w:t>These investments have been a source of growth to Unilever but have put the company in a position where facing more risks than before such as fluctuations in foreign currency, instabilities in political systems, and unfavourable regulatory systems. The fluctuations that can be observed on the example of emerging markets are evident in the recent economic slowdown in China. According to Khanna &amp; Palepu (2010), while gaining entry to and network positioning within a foreign country is good news for multinational champions, this is bad news for their investment returns especially because they are often competed out of the market by more knowledgeable and nimble local players.</w:t>
          </w:r>
        </w:p>
        <w:p w14:paraId="3EAEFA85">
          <w:pPr>
            <w:rPr>
              <w:szCs w:val="24"/>
              <w:lang w:eastAsia="ja-JP"/>
            </w:rPr>
          </w:pPr>
          <w:r>
            <w:rPr>
              <w:szCs w:val="24"/>
              <w:lang w:eastAsia="ja-JP"/>
            </w:rPr>
            <w:t>Unilever investment activities paints a picture of a company that aims to embrace more of innovation, digitization, sustainability, and growth in emerging economy markets. However, these investments as with the strategic postures they support, these investments do not always have positive short to medium-term implications on performance and shareholder returns. It is therefore important that it proves that it can generate high returns on its digital and sustainable investments to shareholders. In the future, Unilever has several tasks to perform and the main one is to enhance the efficiency of investment management to continue the company’s growth and increase its profitability in a global environment that becomes more challenging and competitive all the time. The company may need to make further increases in R&amp;D intensity, be even more disciplined about M&amp;A, and concentrate on digital-product initiatives that generate high returns to create and sustain superior performance and superior returns to shareholders. Managing these priorities along with its acceptable sustainability strategies will help Unilever to become sustainable in the future consumer goods industries.</w:t>
          </w:r>
        </w:p>
        <w:p w14:paraId="7F7A0B32">
          <w:pPr>
            <w:pStyle w:val="2"/>
          </w:pPr>
          <w:bookmarkStart w:id="23" w:name="_Toc174477888"/>
          <w:r>
            <w:t>Critical Review of Unilever's Dividend Decisions (2019-2023)</w:t>
          </w:r>
          <w:bookmarkEnd w:id="23"/>
        </w:p>
        <w:p w14:paraId="1A3FDB8F">
          <w:pPr>
            <w:rPr>
              <w:szCs w:val="24"/>
              <w:lang w:eastAsia="ja-JP"/>
            </w:rPr>
          </w:pPr>
          <w:r>
            <w:rPr>
              <w:szCs w:val="24"/>
              <w:lang w:eastAsia="ja-JP"/>
            </w:rPr>
            <w:t>In this review, it includes a critical view on Unilever’s dividend pay-outs that has been made from 2019 to 2023 with particular emphasis on factors explaining the dividend strategy. It is essential to have informed dividend policy to maximize shareholders’ value as well as financial position of organizations (Baker et al., 2018).</w:t>
          </w:r>
        </w:p>
        <w:p w14:paraId="3F445BF8">
          <w:pPr>
            <w:pStyle w:val="3"/>
            <w:rPr>
              <w:szCs w:val="24"/>
            </w:rPr>
          </w:pPr>
          <w:bookmarkStart w:id="24" w:name="_Toc174477889"/>
          <w:r>
            <w:rPr>
              <w:szCs w:val="24"/>
            </w:rPr>
            <w:t>Profitability and Dividend Sustainability</w:t>
          </w:r>
          <w:bookmarkEnd w:id="24"/>
        </w:p>
        <w:p w14:paraId="55DC49F5">
          <w:pPr>
            <w:rPr>
              <w:szCs w:val="24"/>
              <w:lang w:eastAsia="ja-JP"/>
            </w:rPr>
          </w:pPr>
          <w:r>
            <w:rPr>
              <w:szCs w:val="24"/>
              <w:lang w:eastAsia="ja-JP"/>
            </w:rPr>
            <w:t>Unilever's dividend payments and net profits (in millions of euros) were:</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4"/>
            <w:gridCol w:w="2254"/>
            <w:gridCol w:w="2254"/>
            <w:gridCol w:w="2254"/>
          </w:tblGrid>
          <w:tr w14:paraId="1416A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4" w:type="dxa"/>
              </w:tcPr>
              <w:p w14:paraId="621473D0">
                <w:pPr>
                  <w:spacing w:after="0"/>
                  <w:rPr>
                    <w:b/>
                    <w:bCs/>
                    <w:szCs w:val="24"/>
                    <w:lang w:eastAsia="ja-JP"/>
                  </w:rPr>
                </w:pPr>
                <w:r>
                  <w:rPr>
                    <w:b/>
                    <w:bCs/>
                    <w:szCs w:val="24"/>
                    <w:lang w:eastAsia="ja-JP"/>
                  </w:rPr>
                  <w:t>Year</w:t>
                </w:r>
              </w:p>
            </w:tc>
            <w:tc>
              <w:tcPr>
                <w:tcW w:w="2254" w:type="dxa"/>
              </w:tcPr>
              <w:p w14:paraId="45ABD16C">
                <w:pPr>
                  <w:spacing w:after="0"/>
                  <w:rPr>
                    <w:b/>
                    <w:bCs/>
                    <w:szCs w:val="24"/>
                    <w:lang w:eastAsia="ja-JP"/>
                  </w:rPr>
                </w:pPr>
                <w:r>
                  <w:rPr>
                    <w:b/>
                    <w:bCs/>
                    <w:szCs w:val="24"/>
                    <w:lang w:eastAsia="ja-JP"/>
                  </w:rPr>
                  <w:t>Dividend</w:t>
                </w:r>
              </w:p>
            </w:tc>
            <w:tc>
              <w:tcPr>
                <w:tcW w:w="2254" w:type="dxa"/>
              </w:tcPr>
              <w:p w14:paraId="6B8DF46C">
                <w:pPr>
                  <w:spacing w:after="0"/>
                  <w:rPr>
                    <w:b/>
                    <w:bCs/>
                    <w:szCs w:val="24"/>
                    <w:lang w:eastAsia="ja-JP"/>
                  </w:rPr>
                </w:pPr>
                <w:r>
                  <w:rPr>
                    <w:b/>
                    <w:bCs/>
                    <w:szCs w:val="24"/>
                    <w:lang w:eastAsia="ja-JP"/>
                  </w:rPr>
                  <w:t>Net Profit</w:t>
                </w:r>
              </w:p>
            </w:tc>
            <w:tc>
              <w:tcPr>
                <w:tcW w:w="2254" w:type="dxa"/>
              </w:tcPr>
              <w:p w14:paraId="3FE6CB6B">
                <w:pPr>
                  <w:spacing w:after="0"/>
                  <w:rPr>
                    <w:b/>
                    <w:bCs/>
                    <w:szCs w:val="24"/>
                    <w:lang w:eastAsia="ja-JP"/>
                  </w:rPr>
                </w:pPr>
                <w:r>
                  <w:rPr>
                    <w:b/>
                    <w:bCs/>
                    <w:szCs w:val="24"/>
                    <w:lang w:eastAsia="ja-JP"/>
                  </w:rPr>
                  <w:t>Payout Ratio</w:t>
                </w:r>
              </w:p>
            </w:tc>
          </w:tr>
          <w:tr w14:paraId="1CAC5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4" w:type="dxa"/>
              </w:tcPr>
              <w:p w14:paraId="454BFD83">
                <w:pPr>
                  <w:spacing w:after="0"/>
                  <w:rPr>
                    <w:szCs w:val="24"/>
                    <w:lang w:eastAsia="ja-JP"/>
                  </w:rPr>
                </w:pPr>
                <w:r>
                  <w:rPr>
                    <w:szCs w:val="24"/>
                    <w:lang w:eastAsia="ja-JP"/>
                  </w:rPr>
                  <w:t>2023</w:t>
                </w:r>
              </w:p>
            </w:tc>
            <w:tc>
              <w:tcPr>
                <w:tcW w:w="2254" w:type="dxa"/>
              </w:tcPr>
              <w:p w14:paraId="0F495718">
                <w:pPr>
                  <w:spacing w:after="0"/>
                  <w:rPr>
                    <w:szCs w:val="24"/>
                    <w:lang w:eastAsia="ja-JP"/>
                  </w:rPr>
                </w:pPr>
                <w:r>
                  <w:rPr>
                    <w:szCs w:val="24"/>
                    <w:lang w:eastAsia="ja-JP"/>
                  </w:rPr>
                  <w:t>4,327</w:t>
                </w:r>
              </w:p>
            </w:tc>
            <w:tc>
              <w:tcPr>
                <w:tcW w:w="2254" w:type="dxa"/>
              </w:tcPr>
              <w:p w14:paraId="0B9EF8A8">
                <w:pPr>
                  <w:spacing w:after="0"/>
                  <w:rPr>
                    <w:szCs w:val="24"/>
                    <w:lang w:eastAsia="ja-JP"/>
                  </w:rPr>
                </w:pPr>
                <w:r>
                  <w:rPr>
                    <w:szCs w:val="24"/>
                    <w:lang w:eastAsia="ja-JP"/>
                  </w:rPr>
                  <w:t>6,487</w:t>
                </w:r>
              </w:p>
            </w:tc>
            <w:tc>
              <w:tcPr>
                <w:tcW w:w="2254" w:type="dxa"/>
              </w:tcPr>
              <w:p w14:paraId="6CB5FCB3">
                <w:pPr>
                  <w:spacing w:after="0"/>
                  <w:rPr>
                    <w:szCs w:val="24"/>
                    <w:lang w:eastAsia="ja-JP"/>
                  </w:rPr>
                </w:pPr>
                <w:r>
                  <w:rPr>
                    <w:szCs w:val="24"/>
                    <w:lang w:eastAsia="ja-JP"/>
                  </w:rPr>
                  <w:t>66.7%</w:t>
                </w:r>
              </w:p>
            </w:tc>
          </w:tr>
          <w:tr w14:paraId="50D7A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4" w:type="dxa"/>
              </w:tcPr>
              <w:p w14:paraId="1B91CEF9">
                <w:pPr>
                  <w:spacing w:after="0"/>
                  <w:rPr>
                    <w:szCs w:val="24"/>
                    <w:lang w:eastAsia="ja-JP"/>
                  </w:rPr>
                </w:pPr>
                <w:r>
                  <w:rPr>
                    <w:szCs w:val="24"/>
                    <w:lang w:eastAsia="ja-JP"/>
                  </w:rPr>
                  <w:t>2022</w:t>
                </w:r>
              </w:p>
            </w:tc>
            <w:tc>
              <w:tcPr>
                <w:tcW w:w="2254" w:type="dxa"/>
              </w:tcPr>
              <w:p w14:paraId="43BDF13C">
                <w:pPr>
                  <w:spacing w:after="0"/>
                  <w:rPr>
                    <w:szCs w:val="24"/>
                    <w:lang w:eastAsia="ja-JP"/>
                  </w:rPr>
                </w:pPr>
                <w:r>
                  <w:rPr>
                    <w:szCs w:val="24"/>
                    <w:lang w:eastAsia="ja-JP"/>
                  </w:rPr>
                  <w:t>4,356</w:t>
                </w:r>
              </w:p>
            </w:tc>
            <w:tc>
              <w:tcPr>
                <w:tcW w:w="2254" w:type="dxa"/>
              </w:tcPr>
              <w:p w14:paraId="68DC6F46">
                <w:pPr>
                  <w:spacing w:after="0"/>
                  <w:rPr>
                    <w:szCs w:val="24"/>
                    <w:lang w:eastAsia="ja-JP"/>
                  </w:rPr>
                </w:pPr>
                <w:r>
                  <w:rPr>
                    <w:szCs w:val="24"/>
                    <w:lang w:eastAsia="ja-JP"/>
                  </w:rPr>
                  <w:t>7,642</w:t>
                </w:r>
              </w:p>
            </w:tc>
            <w:tc>
              <w:tcPr>
                <w:tcW w:w="2254" w:type="dxa"/>
              </w:tcPr>
              <w:p w14:paraId="6BA5C085">
                <w:pPr>
                  <w:spacing w:after="0"/>
                  <w:rPr>
                    <w:szCs w:val="24"/>
                    <w:lang w:eastAsia="ja-JP"/>
                  </w:rPr>
                </w:pPr>
                <w:r>
                  <w:rPr>
                    <w:szCs w:val="24"/>
                    <w:lang w:eastAsia="ja-JP"/>
                  </w:rPr>
                  <w:t>57%</w:t>
                </w:r>
              </w:p>
            </w:tc>
          </w:tr>
          <w:tr w14:paraId="69725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4" w:type="dxa"/>
              </w:tcPr>
              <w:p w14:paraId="7BC807A6">
                <w:pPr>
                  <w:spacing w:after="0"/>
                  <w:rPr>
                    <w:szCs w:val="24"/>
                    <w:lang w:eastAsia="ja-JP"/>
                  </w:rPr>
                </w:pPr>
                <w:r>
                  <w:rPr>
                    <w:szCs w:val="24"/>
                    <w:lang w:eastAsia="ja-JP"/>
                  </w:rPr>
                  <w:t>2021</w:t>
                </w:r>
              </w:p>
            </w:tc>
            <w:tc>
              <w:tcPr>
                <w:tcW w:w="2254" w:type="dxa"/>
              </w:tcPr>
              <w:p w14:paraId="43DA630A">
                <w:pPr>
                  <w:spacing w:after="0"/>
                  <w:rPr>
                    <w:szCs w:val="24"/>
                    <w:lang w:eastAsia="ja-JP"/>
                  </w:rPr>
                </w:pPr>
                <w:r>
                  <w:rPr>
                    <w:szCs w:val="24"/>
                    <w:lang w:eastAsia="ja-JP"/>
                  </w:rPr>
                  <w:t>4,458</w:t>
                </w:r>
              </w:p>
            </w:tc>
            <w:tc>
              <w:tcPr>
                <w:tcW w:w="2254" w:type="dxa"/>
              </w:tcPr>
              <w:p w14:paraId="2C165AAA">
                <w:pPr>
                  <w:spacing w:after="0"/>
                  <w:rPr>
                    <w:szCs w:val="24"/>
                    <w:lang w:eastAsia="ja-JP"/>
                  </w:rPr>
                </w:pPr>
                <w:r>
                  <w:rPr>
                    <w:szCs w:val="24"/>
                    <w:lang w:eastAsia="ja-JP"/>
                  </w:rPr>
                  <w:t>6,049</w:t>
                </w:r>
              </w:p>
            </w:tc>
            <w:tc>
              <w:tcPr>
                <w:tcW w:w="2254" w:type="dxa"/>
              </w:tcPr>
              <w:p w14:paraId="70A0F20A">
                <w:pPr>
                  <w:spacing w:after="0"/>
                  <w:rPr>
                    <w:szCs w:val="24"/>
                    <w:lang w:eastAsia="ja-JP"/>
                  </w:rPr>
                </w:pPr>
                <w:r>
                  <w:rPr>
                    <w:szCs w:val="24"/>
                    <w:lang w:eastAsia="ja-JP"/>
                  </w:rPr>
                  <w:t>73.7%</w:t>
                </w:r>
              </w:p>
            </w:tc>
          </w:tr>
          <w:tr w14:paraId="5F0ED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4" w:type="dxa"/>
              </w:tcPr>
              <w:p w14:paraId="61C0F19D">
                <w:pPr>
                  <w:spacing w:after="0"/>
                  <w:rPr>
                    <w:szCs w:val="24"/>
                    <w:lang w:eastAsia="ja-JP"/>
                  </w:rPr>
                </w:pPr>
                <w:r>
                  <w:rPr>
                    <w:szCs w:val="24"/>
                    <w:lang w:eastAsia="ja-JP"/>
                  </w:rPr>
                  <w:t>2020</w:t>
                </w:r>
              </w:p>
            </w:tc>
            <w:tc>
              <w:tcPr>
                <w:tcW w:w="2254" w:type="dxa"/>
              </w:tcPr>
              <w:p w14:paraId="4201FA8A">
                <w:pPr>
                  <w:spacing w:after="0"/>
                  <w:rPr>
                    <w:szCs w:val="24"/>
                    <w:lang w:eastAsia="ja-JP"/>
                  </w:rPr>
                </w:pPr>
                <w:r>
                  <w:rPr>
                    <w:szCs w:val="24"/>
                    <w:lang w:eastAsia="ja-JP"/>
                  </w:rPr>
                  <w:t>4,300</w:t>
                </w:r>
              </w:p>
            </w:tc>
            <w:tc>
              <w:tcPr>
                <w:tcW w:w="2254" w:type="dxa"/>
              </w:tcPr>
              <w:p w14:paraId="60F54630">
                <w:pPr>
                  <w:spacing w:after="0"/>
                  <w:rPr>
                    <w:szCs w:val="24"/>
                    <w:lang w:eastAsia="ja-JP"/>
                  </w:rPr>
                </w:pPr>
                <w:r>
                  <w:rPr>
                    <w:szCs w:val="24"/>
                    <w:lang w:eastAsia="ja-JP"/>
                  </w:rPr>
                  <w:t>5,581</w:t>
                </w:r>
              </w:p>
            </w:tc>
            <w:tc>
              <w:tcPr>
                <w:tcW w:w="2254" w:type="dxa"/>
              </w:tcPr>
              <w:p w14:paraId="3C929945">
                <w:pPr>
                  <w:spacing w:after="0"/>
                  <w:rPr>
                    <w:szCs w:val="24"/>
                    <w:lang w:eastAsia="ja-JP"/>
                  </w:rPr>
                </w:pPr>
                <w:r>
                  <w:rPr>
                    <w:szCs w:val="24"/>
                    <w:lang w:eastAsia="ja-JP"/>
                  </w:rPr>
                  <w:t>77%</w:t>
                </w:r>
              </w:p>
            </w:tc>
          </w:tr>
          <w:tr w14:paraId="7A2A1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4" w:type="dxa"/>
              </w:tcPr>
              <w:p w14:paraId="56CACFEF">
                <w:pPr>
                  <w:spacing w:after="0"/>
                  <w:rPr>
                    <w:szCs w:val="24"/>
                    <w:lang w:eastAsia="ja-JP"/>
                  </w:rPr>
                </w:pPr>
                <w:r>
                  <w:rPr>
                    <w:szCs w:val="24"/>
                    <w:lang w:eastAsia="ja-JP"/>
                  </w:rPr>
                  <w:t>2019</w:t>
                </w:r>
              </w:p>
            </w:tc>
            <w:tc>
              <w:tcPr>
                <w:tcW w:w="2254" w:type="dxa"/>
              </w:tcPr>
              <w:p w14:paraId="3D97D892">
                <w:pPr>
                  <w:spacing w:after="0"/>
                  <w:rPr>
                    <w:szCs w:val="24"/>
                    <w:lang w:eastAsia="ja-JP"/>
                  </w:rPr>
                </w:pPr>
                <w:r>
                  <w:rPr>
                    <w:szCs w:val="24"/>
                    <w:lang w:eastAsia="ja-JP"/>
                  </w:rPr>
                  <w:t>4,223</w:t>
                </w:r>
              </w:p>
            </w:tc>
            <w:tc>
              <w:tcPr>
                <w:tcW w:w="2254" w:type="dxa"/>
              </w:tcPr>
              <w:p w14:paraId="055C1D3A">
                <w:pPr>
                  <w:spacing w:after="0"/>
                  <w:rPr>
                    <w:szCs w:val="24"/>
                    <w:lang w:eastAsia="ja-JP"/>
                  </w:rPr>
                </w:pPr>
                <w:r>
                  <w:rPr>
                    <w:szCs w:val="24"/>
                    <w:lang w:eastAsia="ja-JP"/>
                  </w:rPr>
                  <w:t>5,625</w:t>
                </w:r>
              </w:p>
            </w:tc>
            <w:tc>
              <w:tcPr>
                <w:tcW w:w="2254" w:type="dxa"/>
              </w:tcPr>
              <w:p w14:paraId="39D9F8C9">
                <w:pPr>
                  <w:spacing w:after="0"/>
                  <w:rPr>
                    <w:szCs w:val="24"/>
                    <w:lang w:eastAsia="ja-JP"/>
                  </w:rPr>
                </w:pPr>
                <w:r>
                  <w:rPr>
                    <w:szCs w:val="24"/>
                    <w:lang w:eastAsia="ja-JP"/>
                  </w:rPr>
                  <w:t>76.1%</w:t>
                </w:r>
              </w:p>
            </w:tc>
          </w:tr>
        </w:tbl>
        <w:p w14:paraId="12AEE19C">
          <w:pPr>
            <w:jc w:val="center"/>
            <w:rPr>
              <w:sz w:val="20"/>
              <w:szCs w:val="20"/>
              <w:lang w:eastAsia="ja-JP"/>
            </w:rPr>
          </w:pPr>
          <w:r>
            <w:rPr>
              <w:sz w:val="20"/>
              <w:szCs w:val="20"/>
              <w:lang w:eastAsia="ja-JP"/>
            </w:rPr>
            <w:t>Table 1: Profit and Dividend sustainability</w:t>
          </w:r>
        </w:p>
        <w:p w14:paraId="0AA0E85B">
          <w:pPr>
            <w:rPr>
              <w:szCs w:val="24"/>
              <w:lang w:eastAsia="ja-JP"/>
            </w:rPr>
          </w:pPr>
          <w:r>
            <w:rPr>
              <w:szCs w:val="24"/>
              <w:lang w:eastAsia="ja-JP"/>
            </w:rPr>
            <w:t>The payout for each year has been above 70% which is unhealthy for sustaining the dividend policy in the future. It was, however, established that sustainable dividends may indicate financial health (Lintner, 1956) though Unilever seems to have been extreme on this aspect. The company was constantly paying out relatively high proportions of its profits, which may have restricted its financial manoeuvrability.</w:t>
          </w:r>
        </w:p>
        <w:p w14:paraId="44A605EA">
          <w:pPr>
            <w:rPr>
              <w:b/>
              <w:bCs/>
              <w:szCs w:val="24"/>
              <w:lang w:eastAsia="ja-JP"/>
            </w:rPr>
          </w:pPr>
          <w:r>
            <w:rPr>
              <w:b/>
              <w:bCs/>
              <w:szCs w:val="24"/>
              <w:lang w:eastAsia="ja-JP"/>
            </w:rPr>
            <w:t>Formula for Dividend Growth Rate = (D0 / D</w:t>
          </w:r>
          <w:r>
            <w:rPr>
              <w:rFonts w:hint="default"/>
              <w:b/>
              <w:bCs/>
              <w:szCs w:val="24"/>
              <w:lang w:val="en-IN" w:eastAsia="ja-JP"/>
            </w:rPr>
            <w:t>1</w:t>
          </w:r>
          <w:r>
            <w:rPr>
              <w:b/>
              <w:bCs/>
              <w:szCs w:val="24"/>
              <w:lang w:eastAsia="ja-JP"/>
            </w:rPr>
            <w:t>)</w:t>
          </w:r>
          <w:r>
            <w:rPr>
              <w:b/>
              <w:bCs/>
              <w:szCs w:val="24"/>
              <w:vertAlign w:val="superscript"/>
              <w:lang w:eastAsia="ja-JP"/>
            </w:rPr>
            <w:t xml:space="preserve">1/n </w:t>
          </w:r>
          <w:r>
            <w:rPr>
              <w:b/>
              <w:bCs/>
              <w:szCs w:val="24"/>
              <w:lang w:eastAsia="ja-JP"/>
            </w:rPr>
            <w:t>– 1 = (4,327/4223)</w:t>
          </w:r>
          <w:r>
            <w:rPr>
              <w:b/>
              <w:bCs/>
              <w:szCs w:val="24"/>
              <w:vertAlign w:val="superscript"/>
              <w:lang w:eastAsia="ja-JP"/>
            </w:rPr>
            <w:t>1/4</w:t>
          </w:r>
          <w:r>
            <w:rPr>
              <w:b/>
              <w:bCs/>
              <w:szCs w:val="24"/>
              <w:lang w:eastAsia="ja-JP"/>
            </w:rPr>
            <w:t xml:space="preserve"> – 1 = 0.61%</w:t>
          </w:r>
        </w:p>
        <w:p w14:paraId="19E5280F">
          <w:pPr>
            <w:pStyle w:val="25"/>
            <w:numPr>
              <w:ilvl w:val="0"/>
              <w:numId w:val="13"/>
            </w:numPr>
            <w:rPr>
              <w:szCs w:val="24"/>
              <w:lang w:eastAsia="ja-JP"/>
            </w:rPr>
          </w:pPr>
          <w:r>
            <w:rPr>
              <w:szCs w:val="24"/>
              <w:lang w:eastAsia="ja-JP"/>
            </w:rPr>
            <w:t>D</w:t>
          </w:r>
          <w:r>
            <w:rPr>
              <w:szCs w:val="24"/>
              <w:vertAlign w:val="subscript"/>
              <w:lang w:eastAsia="ja-JP"/>
            </w:rPr>
            <w:t>1​</w:t>
          </w:r>
          <w:r>
            <w:rPr>
              <w:szCs w:val="24"/>
              <w:lang w:eastAsia="ja-JP"/>
            </w:rPr>
            <w:t xml:space="preserve"> = Dividend in the most recent period (e.g., this year)</w:t>
          </w:r>
        </w:p>
        <w:p w14:paraId="073E88F1">
          <w:pPr>
            <w:pStyle w:val="25"/>
            <w:numPr>
              <w:ilvl w:val="0"/>
              <w:numId w:val="13"/>
            </w:numPr>
            <w:rPr>
              <w:szCs w:val="24"/>
              <w:lang w:eastAsia="ja-JP"/>
            </w:rPr>
          </w:pPr>
          <w:r>
            <w:rPr>
              <w:szCs w:val="24"/>
              <w:lang w:eastAsia="ja-JP"/>
            </w:rPr>
            <w:t>D</w:t>
          </w:r>
          <w:r>
            <w:rPr>
              <w:szCs w:val="24"/>
              <w:vertAlign w:val="subscript"/>
              <w:lang w:eastAsia="ja-JP"/>
            </w:rPr>
            <w:t>0</w:t>
          </w:r>
          <w:r>
            <w:rPr>
              <w:szCs w:val="24"/>
              <w:lang w:eastAsia="ja-JP"/>
            </w:rPr>
            <w:t>​ = Dividend in the base period (e.g., last year)</w:t>
          </w:r>
        </w:p>
        <w:p w14:paraId="19E96812">
          <w:pPr>
            <w:pStyle w:val="25"/>
            <w:numPr>
              <w:ilvl w:val="0"/>
              <w:numId w:val="13"/>
            </w:numPr>
            <w:rPr>
              <w:szCs w:val="24"/>
              <w:lang w:eastAsia="ja-JP"/>
            </w:rPr>
          </w:pPr>
          <w:r>
            <w:rPr>
              <w:szCs w:val="24"/>
              <w:lang w:eastAsia="ja-JP"/>
            </w:rPr>
            <w:t>n = Number of years over which the growth is being measured</w:t>
          </w:r>
        </w:p>
        <w:p w14:paraId="18BCF5E6">
          <w:pPr>
            <w:rPr>
              <w:szCs w:val="24"/>
              <w:lang w:eastAsia="ja-JP"/>
            </w:rPr>
          </w:pPr>
          <w:r>
            <w:rPr>
              <w:szCs w:val="24"/>
              <w:lang w:eastAsia="ja-JP"/>
            </w:rPr>
            <w:t>The average dividend growth rate of 0.61% in the five-year period is so low and indicates that there is little movement in the shareholder remunerations. This goes against the dividend growth model which Gordon (1959) proposed that one component of the firm’s worth is expected growth in dividend payments.</w:t>
          </w:r>
        </w:p>
        <w:p w14:paraId="598CEEFF">
          <w:pPr>
            <w:pStyle w:val="3"/>
            <w:rPr>
              <w:szCs w:val="24"/>
            </w:rPr>
          </w:pPr>
          <w:bookmarkStart w:id="25" w:name="_Toc174477890"/>
          <w:r>
            <w:rPr>
              <w:szCs w:val="24"/>
            </w:rPr>
            <w:t>Cash Flow Management</w:t>
          </w:r>
          <w:bookmarkEnd w:id="25"/>
        </w:p>
        <w:p w14:paraId="4F530DCF">
          <w:pPr>
            <w:rPr>
              <w:szCs w:val="24"/>
              <w:lang w:eastAsia="ja-JP"/>
            </w:rPr>
          </w:pPr>
          <w:r>
            <w:rPr>
              <w:szCs w:val="24"/>
              <w:lang w:val="en-IN" w:eastAsia="ja-JP"/>
            </w:rPr>
            <w:t>Analyzing</w:t>
          </w:r>
          <w:r>
            <w:rPr>
              <w:szCs w:val="24"/>
              <w:lang w:eastAsia="ja-JP"/>
            </w:rPr>
            <w:t xml:space="preserve"> the Unilever’s cash flow management in the relation to the company’s dividend policy it is possible to note that the company has a rather worrying approach to maintaining dividends at the cost of the sound financial management. The company's net cash flow from operating activities demonstrates significant volatility: It was €9,426 million in 2023 and €7,282 million in 2022, €7,972 million in 2021, €9,058 million in 2020, and €8,109 million in 2019. It is pertinent to point out that the figure of 8.65% down from 2021 to 2022 where the operating cash flow declined by €690 million. Despite such a reduction, the company’s dividend payout was nearly the same (€4,356 million in 2022 and €4,458 million in 2021); the difference being a mere 2.3%. Such strict dividend policy in relation to cash flow </w:t>
          </w:r>
          <w:r>
            <w:rPr>
              <w:szCs w:val="24"/>
              <w:lang w:val="en-IN" w:eastAsia="ja-JP"/>
            </w:rPr>
            <w:t>volatility</w:t>
          </w:r>
          <w:r>
            <w:rPr>
              <w:szCs w:val="24"/>
              <w:lang w:eastAsia="ja-JP"/>
            </w:rPr>
            <w:t xml:space="preserve"> may be counterproductive and raises a lot of questions over the company’s risk management strategies. On the one hand, sustaining high dividends may be necessary to assure investors that the firm’s has a solid financial base (Lintner, 1956), on the other hand, Unilever does not appear to exercise flexibility when it comes to changing dividends significantly in response to large changes in the cash flow rate, which hints at short-term focus on earnings per share performance at the expense of a long-term orientation towards the firm’s financial needs for growth Such an approach could reduce the company’s capacity to reestablish itself in future </w:t>
          </w:r>
          <w:r>
            <w:rPr>
              <w:szCs w:val="24"/>
              <w:lang w:val="en-IN" w:eastAsia="ja-JP"/>
            </w:rPr>
            <w:t>volatility</w:t>
          </w:r>
          <w:r>
            <w:rPr>
              <w:szCs w:val="24"/>
              <w:lang w:eastAsia="ja-JP"/>
            </w:rPr>
            <w:t xml:space="preserve"> in the economy or take advantage of eventual growth prospects, because a greater proportion of seemingly unpredictable cash flows is expected to go into dividends rather than retained to cater for operational requirements or other profitable ventures.</w:t>
          </w:r>
        </w:p>
        <w:p w14:paraId="585814EB">
          <w:pPr>
            <w:pStyle w:val="3"/>
            <w:rPr>
              <w:szCs w:val="24"/>
            </w:rPr>
          </w:pPr>
          <w:bookmarkStart w:id="26" w:name="_Toc174477891"/>
          <w:r>
            <w:rPr>
              <w:szCs w:val="24"/>
            </w:rPr>
            <w:t>Capital Structure and Financial Leverage</w:t>
          </w:r>
          <w:bookmarkEnd w:id="26"/>
        </w:p>
        <w:p w14:paraId="4778F726">
          <w:pPr>
            <w:rPr>
              <w:szCs w:val="24"/>
              <w:lang w:eastAsia="ja-JP"/>
            </w:rPr>
          </w:pPr>
          <w:r>
            <w:rPr>
              <w:szCs w:val="24"/>
              <w:lang w:eastAsia="ja-JP"/>
            </w:rPr>
            <w:t xml:space="preserve">Unilever's financial liabilities (in millions of euros): </w:t>
          </w:r>
        </w:p>
        <w:p w14:paraId="46B2371C">
          <w:pPr>
            <w:pStyle w:val="25"/>
            <w:numPr>
              <w:ilvl w:val="0"/>
              <w:numId w:val="14"/>
            </w:numPr>
            <w:rPr>
              <w:szCs w:val="24"/>
              <w:lang w:eastAsia="ja-JP"/>
            </w:rPr>
          </w:pPr>
          <w:r>
            <w:rPr>
              <w:szCs w:val="24"/>
              <w:lang w:eastAsia="ja-JP"/>
            </w:rPr>
            <w:t>2023: 29,622</w:t>
          </w:r>
        </w:p>
        <w:p w14:paraId="0CCDB225">
          <w:pPr>
            <w:pStyle w:val="25"/>
            <w:numPr>
              <w:ilvl w:val="0"/>
              <w:numId w:val="14"/>
            </w:numPr>
            <w:rPr>
              <w:szCs w:val="24"/>
              <w:lang w:eastAsia="ja-JP"/>
            </w:rPr>
          </w:pPr>
          <w:r>
            <w:rPr>
              <w:szCs w:val="24"/>
              <w:lang w:eastAsia="ja-JP"/>
            </w:rPr>
            <w:t>2022: 29,488</w:t>
          </w:r>
        </w:p>
        <w:p w14:paraId="64449683">
          <w:pPr>
            <w:pStyle w:val="25"/>
            <w:numPr>
              <w:ilvl w:val="0"/>
              <w:numId w:val="14"/>
            </w:numPr>
            <w:rPr>
              <w:szCs w:val="24"/>
              <w:lang w:eastAsia="ja-JP"/>
            </w:rPr>
          </w:pPr>
          <w:r>
            <w:rPr>
              <w:szCs w:val="24"/>
              <w:lang w:eastAsia="ja-JP"/>
            </w:rPr>
            <w:t>2021: 23,713</w:t>
          </w:r>
        </w:p>
        <w:p w14:paraId="34797827">
          <w:pPr>
            <w:pStyle w:val="25"/>
            <w:numPr>
              <w:ilvl w:val="0"/>
              <w:numId w:val="14"/>
            </w:numPr>
            <w:rPr>
              <w:szCs w:val="24"/>
              <w:lang w:eastAsia="ja-JP"/>
            </w:rPr>
          </w:pPr>
          <w:r>
            <w:rPr>
              <w:szCs w:val="24"/>
              <w:lang w:eastAsia="ja-JP"/>
            </w:rPr>
            <w:t>2020: 22,844</w:t>
          </w:r>
        </w:p>
        <w:p w14:paraId="55D663BB">
          <w:pPr>
            <w:pStyle w:val="25"/>
            <w:numPr>
              <w:ilvl w:val="0"/>
              <w:numId w:val="14"/>
            </w:numPr>
            <w:rPr>
              <w:szCs w:val="24"/>
              <w:lang w:eastAsia="ja-JP"/>
            </w:rPr>
          </w:pPr>
          <w:r>
            <w:rPr>
              <w:szCs w:val="24"/>
              <w:lang w:eastAsia="ja-JP"/>
            </w:rPr>
            <w:t>2019: 23,566</w:t>
          </w:r>
        </w:p>
        <w:p w14:paraId="77BCA5ED">
          <w:pPr>
            <w:rPr>
              <w:szCs w:val="24"/>
              <w:lang w:eastAsia="ja-JP"/>
            </w:rPr>
          </w:pPr>
          <w:r>
            <w:rPr>
              <w:szCs w:val="24"/>
              <w:lang w:eastAsia="ja-JP"/>
            </w:rPr>
            <w:t xml:space="preserve">The </w:t>
          </w:r>
          <w:r>
            <w:rPr>
              <w:szCs w:val="24"/>
              <w:lang w:val="en-IN" w:eastAsia="ja-JP"/>
            </w:rPr>
            <w:t>realized</w:t>
          </w:r>
          <w:bookmarkStart w:id="33" w:name="_GoBack"/>
          <w:bookmarkEnd w:id="33"/>
          <w:r>
            <w:rPr>
              <w:szCs w:val="24"/>
              <w:lang w:eastAsia="ja-JP"/>
            </w:rPr>
            <w:t xml:space="preserve"> incidence of debt has also risen immensely to 24.4% increase from 2021 to 2022. when high leverage is used concurrently with high dividend payout, it opens a firm to a lot of risks (Fama &amp; French, 2002) From debt-equity-ratio calculated in section 2 has increased from 1.70 in 2019 to 1.84 in 2023, indicating increased reliance on debt financing.</w:t>
          </w:r>
        </w:p>
        <w:p w14:paraId="4189655A">
          <w:pPr>
            <w:pStyle w:val="3"/>
            <w:rPr>
              <w:szCs w:val="24"/>
            </w:rPr>
          </w:pPr>
          <w:bookmarkStart w:id="27" w:name="_Toc174477892"/>
          <w:r>
            <w:rPr>
              <w:szCs w:val="24"/>
            </w:rPr>
            <w:t>Investment and Growth</w:t>
          </w:r>
          <w:bookmarkEnd w:id="27"/>
        </w:p>
        <w:p w14:paraId="2B703A79">
          <w:pPr>
            <w:rPr>
              <w:szCs w:val="24"/>
              <w:lang w:eastAsia="ja-JP"/>
            </w:rPr>
          </w:pPr>
          <w:r>
            <w:rPr>
              <w:szCs w:val="24"/>
              <w:lang w:eastAsia="ja-JP"/>
            </w:rPr>
            <w:t>Unilever's turnover (in millions of euros):</w:t>
          </w:r>
        </w:p>
        <w:p w14:paraId="55A7502A">
          <w:pPr>
            <w:pStyle w:val="25"/>
            <w:numPr>
              <w:ilvl w:val="0"/>
              <w:numId w:val="15"/>
            </w:numPr>
            <w:rPr>
              <w:szCs w:val="24"/>
              <w:lang w:eastAsia="ja-JP"/>
            </w:rPr>
          </w:pPr>
          <w:r>
            <w:rPr>
              <w:szCs w:val="24"/>
              <w:lang w:eastAsia="ja-JP"/>
            </w:rPr>
            <w:t>2023: 59,604</w:t>
          </w:r>
        </w:p>
        <w:p w14:paraId="6785F06F">
          <w:pPr>
            <w:pStyle w:val="25"/>
            <w:numPr>
              <w:ilvl w:val="0"/>
              <w:numId w:val="15"/>
            </w:numPr>
            <w:rPr>
              <w:szCs w:val="24"/>
              <w:lang w:eastAsia="ja-JP"/>
            </w:rPr>
          </w:pPr>
          <w:r>
            <w:rPr>
              <w:szCs w:val="24"/>
              <w:lang w:eastAsia="ja-JP"/>
            </w:rPr>
            <w:t>2022: 60,073</w:t>
          </w:r>
        </w:p>
        <w:p w14:paraId="630A8F21">
          <w:pPr>
            <w:pStyle w:val="25"/>
            <w:numPr>
              <w:ilvl w:val="0"/>
              <w:numId w:val="15"/>
            </w:numPr>
            <w:rPr>
              <w:szCs w:val="24"/>
              <w:lang w:eastAsia="ja-JP"/>
            </w:rPr>
          </w:pPr>
          <w:r>
            <w:rPr>
              <w:szCs w:val="24"/>
              <w:lang w:eastAsia="ja-JP"/>
            </w:rPr>
            <w:t>2021: 52,444</w:t>
          </w:r>
        </w:p>
        <w:p w14:paraId="6E5C9EC2">
          <w:pPr>
            <w:pStyle w:val="25"/>
            <w:numPr>
              <w:ilvl w:val="0"/>
              <w:numId w:val="15"/>
            </w:numPr>
            <w:rPr>
              <w:szCs w:val="24"/>
              <w:lang w:eastAsia="ja-JP"/>
            </w:rPr>
          </w:pPr>
          <w:r>
            <w:rPr>
              <w:szCs w:val="24"/>
              <w:lang w:eastAsia="ja-JP"/>
            </w:rPr>
            <w:t>2020: 50,724</w:t>
          </w:r>
        </w:p>
        <w:p w14:paraId="0B7FEFE7">
          <w:pPr>
            <w:pStyle w:val="25"/>
            <w:numPr>
              <w:ilvl w:val="0"/>
              <w:numId w:val="15"/>
            </w:numPr>
            <w:rPr>
              <w:szCs w:val="24"/>
              <w:lang w:eastAsia="ja-JP"/>
            </w:rPr>
          </w:pPr>
          <w:r>
            <w:rPr>
              <w:szCs w:val="24"/>
              <w:lang w:eastAsia="ja-JP"/>
            </w:rPr>
            <w:t>2019: 51,980</w:t>
          </w:r>
        </w:p>
        <w:p w14:paraId="21C99CD9">
          <w:pPr>
            <w:rPr>
              <w:b/>
              <w:bCs/>
              <w:szCs w:val="24"/>
              <w:lang w:eastAsia="ja-JP"/>
            </w:rPr>
          </w:pPr>
          <w:r>
            <w:rPr>
              <w:szCs w:val="24"/>
              <w:lang w:eastAsia="ja-JP"/>
            </w:rPr>
            <w:t>CAGR = (Ending Value / Beginning Value)</w:t>
          </w:r>
          <w:r>
            <w:rPr>
              <w:szCs w:val="24"/>
              <w:vertAlign w:val="superscript"/>
              <w:lang w:eastAsia="ja-JP"/>
            </w:rPr>
            <w:t xml:space="preserve">(1/n) </w:t>
          </w:r>
          <w:r>
            <w:rPr>
              <w:szCs w:val="24"/>
              <w:lang w:eastAsia="ja-JP"/>
            </w:rPr>
            <w:t>– 1 = (59,604 / 51,980)</w:t>
          </w:r>
          <w:r>
            <w:rPr>
              <w:szCs w:val="24"/>
              <w:vertAlign w:val="superscript"/>
              <w:lang w:eastAsia="ja-JP"/>
            </w:rPr>
            <w:t xml:space="preserve">(1/4) </w:t>
          </w:r>
          <w:r>
            <w:rPr>
              <w:szCs w:val="24"/>
              <w:lang w:eastAsia="ja-JP"/>
            </w:rPr>
            <w:t xml:space="preserve">– 1 = 0.0349= </w:t>
          </w:r>
          <w:r>
            <w:rPr>
              <w:b/>
              <w:bCs/>
              <w:szCs w:val="24"/>
              <w:lang w:eastAsia="ja-JP"/>
            </w:rPr>
            <w:t>3.49%</w:t>
          </w:r>
        </w:p>
        <w:p w14:paraId="1C8E0FFA">
          <w:pPr>
            <w:rPr>
              <w:szCs w:val="24"/>
              <w:lang w:eastAsia="ja-JP"/>
            </w:rPr>
          </w:pPr>
          <w:r>
            <w:rPr>
              <w:szCs w:val="24"/>
              <w:lang w:eastAsia="ja-JP"/>
            </w:rPr>
            <w:t>The average yearly growth of turnover from the year 2019 to 2023 is 3.49% This is not bad for a global consumer goods company, but still seems a bit low. This implies that appropriate levels of dividend payouts could be limiting investment on growth options. The pecking order theory developed by (Myers &amp; Majluf, 1984) provides that internal funds should be a company’s first source of funding for investments and Unilever’s high payouts may be preventing it.</w:t>
          </w:r>
        </w:p>
        <w:p w14:paraId="4FCB60E5">
          <w:pPr>
            <w:pStyle w:val="3"/>
            <w:rPr>
              <w:sz w:val="23"/>
              <w:szCs w:val="23"/>
            </w:rPr>
          </w:pPr>
          <w:bookmarkStart w:id="28" w:name="_Toc174477893"/>
          <w:r>
            <w:rPr>
              <w:sz w:val="23"/>
              <w:szCs w:val="23"/>
            </w:rPr>
            <w:t xml:space="preserve">Market </w:t>
          </w:r>
          <w:r>
            <w:rPr>
              <w:sz w:val="23"/>
              <w:szCs w:val="23"/>
              <w:lang w:val="en-IN"/>
            </w:rPr>
            <w:t>Signaling</w:t>
          </w:r>
          <w:r>
            <w:rPr>
              <w:sz w:val="23"/>
              <w:szCs w:val="23"/>
            </w:rPr>
            <w:t xml:space="preserve"> and Shareholder Expectations</w:t>
          </w:r>
          <w:bookmarkEnd w:id="28"/>
        </w:p>
        <w:p w14:paraId="7D33EE3C">
          <w:pPr>
            <w:rPr>
              <w:szCs w:val="24"/>
              <w:lang w:eastAsia="ja-JP"/>
            </w:rPr>
          </w:pPr>
          <w:r>
            <w:rPr>
              <w:szCs w:val="24"/>
              <w:lang w:eastAsia="ja-JP"/>
            </w:rPr>
            <w:t xml:space="preserve">This behaviour of Unilever is supported by the theory on dividend smoothing as suggested by Leary &amp; </w:t>
          </w:r>
          <w:r>
            <w:rPr>
              <w:szCs w:val="24"/>
              <w:lang w:val="en-IN" w:eastAsia="ja-JP"/>
            </w:rPr>
            <w:t>Michael</w:t>
          </w:r>
          <w:r>
            <w:rPr>
              <w:szCs w:val="24"/>
              <w:lang w:eastAsia="ja-JP"/>
            </w:rPr>
            <w:t xml:space="preserve"> (2011). This approach, however, may lead to a formation of high expectations among shareholders and at the same time concealing several significant problems in the financial statements. </w:t>
          </w:r>
        </w:p>
        <w:p w14:paraId="4CB43045">
          <w:pPr>
            <w:pStyle w:val="3"/>
            <w:rPr>
              <w:sz w:val="23"/>
              <w:szCs w:val="23"/>
            </w:rPr>
          </w:pPr>
          <w:bookmarkStart w:id="29" w:name="_Toc174477894"/>
          <w:r>
            <w:rPr>
              <w:sz w:val="23"/>
              <w:szCs w:val="23"/>
            </w:rPr>
            <w:t>Economic Conditions and Risk Management</w:t>
          </w:r>
          <w:bookmarkEnd w:id="29"/>
        </w:p>
        <w:p w14:paraId="3074BA4A">
          <w:pPr>
            <w:rPr>
              <w:szCs w:val="24"/>
              <w:lang w:eastAsia="ja-JP"/>
            </w:rPr>
          </w:pPr>
          <w:r>
            <w:rPr>
              <w:szCs w:val="24"/>
              <w:lang w:eastAsia="ja-JP"/>
            </w:rPr>
            <w:t xml:space="preserve">The years between 2019 to 2023 were crowned with severe economic risks and threats such as the COVID-19 pandemic and inflation. </w:t>
          </w:r>
          <w:r>
            <w:rPr>
              <w:szCs w:val="24"/>
              <w:lang w:val="en-IN" w:eastAsia="ja-JP"/>
            </w:rPr>
            <w:t>Analyzing</w:t>
          </w:r>
          <w:r>
            <w:rPr>
              <w:szCs w:val="24"/>
              <w:lang w:eastAsia="ja-JP"/>
            </w:rPr>
            <w:t xml:space="preserve"> Unilever’s key financial ratios during this period, it is possible to notice that though the company has obviously been managing risks well, high dividends also create questions. As, Brav et al., (2005) stated that companies should change in dividends, in favour or against, in proportion to sustainable changes in earnings.</w:t>
          </w:r>
        </w:p>
        <w:p w14:paraId="2907321C">
          <w:pPr>
            <w:pStyle w:val="3"/>
            <w:rPr>
              <w:sz w:val="23"/>
              <w:szCs w:val="23"/>
            </w:rPr>
          </w:pPr>
          <w:bookmarkStart w:id="30" w:name="_Toc174477895"/>
          <w:r>
            <w:rPr>
              <w:sz w:val="23"/>
              <w:szCs w:val="23"/>
            </w:rPr>
            <w:t>Alternative Shareholder Returns</w:t>
          </w:r>
          <w:bookmarkEnd w:id="30"/>
        </w:p>
        <w:p w14:paraId="6F40A5E5">
          <w:pPr>
            <w:rPr>
              <w:szCs w:val="24"/>
              <w:lang w:eastAsia="ja-JP"/>
            </w:rPr>
          </w:pPr>
          <w:r>
            <w:rPr>
              <w:szCs w:val="24"/>
              <w:lang w:eastAsia="ja-JP"/>
            </w:rPr>
            <w:t>Unilever's share repurchases (in millions of euros):</w:t>
          </w:r>
        </w:p>
        <w:p w14:paraId="203BAD98">
          <w:pPr>
            <w:pStyle w:val="25"/>
            <w:numPr>
              <w:ilvl w:val="0"/>
              <w:numId w:val="16"/>
            </w:numPr>
            <w:rPr>
              <w:szCs w:val="24"/>
              <w:lang w:eastAsia="ja-JP"/>
            </w:rPr>
          </w:pPr>
          <w:r>
            <w:rPr>
              <w:b/>
              <w:bCs/>
              <w:szCs w:val="24"/>
              <w:lang w:eastAsia="ja-JP"/>
            </w:rPr>
            <w:t>2023:</w:t>
          </w:r>
          <w:r>
            <w:rPr>
              <w:szCs w:val="24"/>
              <w:lang w:eastAsia="ja-JP"/>
            </w:rPr>
            <w:t xml:space="preserve"> 1,507</w:t>
          </w:r>
        </w:p>
        <w:p w14:paraId="5D2EE505">
          <w:pPr>
            <w:pStyle w:val="25"/>
            <w:numPr>
              <w:ilvl w:val="0"/>
              <w:numId w:val="16"/>
            </w:numPr>
            <w:rPr>
              <w:szCs w:val="24"/>
              <w:lang w:eastAsia="ja-JP"/>
            </w:rPr>
          </w:pPr>
          <w:r>
            <w:rPr>
              <w:b/>
              <w:bCs/>
              <w:szCs w:val="24"/>
              <w:lang w:eastAsia="ja-JP"/>
            </w:rPr>
            <w:t xml:space="preserve">2022: </w:t>
          </w:r>
          <w:r>
            <w:rPr>
              <w:szCs w:val="24"/>
              <w:lang w:eastAsia="ja-JP"/>
            </w:rPr>
            <w:t>1,509</w:t>
          </w:r>
        </w:p>
        <w:p w14:paraId="53850648">
          <w:pPr>
            <w:pStyle w:val="25"/>
            <w:numPr>
              <w:ilvl w:val="0"/>
              <w:numId w:val="16"/>
            </w:numPr>
            <w:rPr>
              <w:szCs w:val="24"/>
              <w:lang w:eastAsia="ja-JP"/>
            </w:rPr>
          </w:pPr>
          <w:r>
            <w:rPr>
              <w:b/>
              <w:bCs/>
              <w:szCs w:val="24"/>
              <w:lang w:eastAsia="ja-JP"/>
            </w:rPr>
            <w:t>2021:</w:t>
          </w:r>
          <w:r>
            <w:rPr>
              <w:szCs w:val="24"/>
              <w:lang w:eastAsia="ja-JP"/>
            </w:rPr>
            <w:t xml:space="preserve"> 3,018</w:t>
          </w:r>
        </w:p>
        <w:p w14:paraId="32DE6A91">
          <w:pPr>
            <w:pStyle w:val="25"/>
            <w:numPr>
              <w:ilvl w:val="0"/>
              <w:numId w:val="16"/>
            </w:numPr>
            <w:rPr>
              <w:szCs w:val="24"/>
              <w:lang w:eastAsia="ja-JP"/>
            </w:rPr>
          </w:pPr>
          <w:r>
            <w:rPr>
              <w:b/>
              <w:bCs/>
              <w:szCs w:val="24"/>
              <w:lang w:eastAsia="ja-JP"/>
            </w:rPr>
            <w:t>2020:</w:t>
          </w:r>
          <w:r>
            <w:rPr>
              <w:szCs w:val="24"/>
              <w:lang w:eastAsia="ja-JP"/>
            </w:rPr>
            <w:t xml:space="preserve"> 0</w:t>
          </w:r>
        </w:p>
        <w:p w14:paraId="0F6F2A62">
          <w:pPr>
            <w:pStyle w:val="25"/>
            <w:numPr>
              <w:ilvl w:val="0"/>
              <w:numId w:val="16"/>
            </w:numPr>
            <w:rPr>
              <w:szCs w:val="24"/>
              <w:lang w:eastAsia="ja-JP"/>
            </w:rPr>
          </w:pPr>
          <w:r>
            <w:rPr>
              <w:b/>
              <w:bCs/>
              <w:szCs w:val="24"/>
              <w:lang w:eastAsia="ja-JP"/>
            </w:rPr>
            <w:t>2019:</w:t>
          </w:r>
          <w:r>
            <w:rPr>
              <w:szCs w:val="24"/>
              <w:lang w:eastAsia="ja-JP"/>
            </w:rPr>
            <w:t xml:space="preserve"> 9,416 (cancellation)</w:t>
          </w:r>
        </w:p>
        <w:p w14:paraId="4EDEAA02">
          <w:pPr>
            <w:rPr>
              <w:szCs w:val="24"/>
              <w:lang w:eastAsia="ja-JP"/>
            </w:rPr>
          </w:pPr>
          <w:r>
            <w:rPr>
              <w:szCs w:val="24"/>
              <w:lang w:eastAsia="ja-JP"/>
            </w:rPr>
            <w:t xml:space="preserve">Especially the 2019 and 2021 maxed out share buybacks combined with high dividend pay-outs can be seen as inefficient capital allocation. Although buybacks are in their flexibility (Jagannathan et al., 2000), </w:t>
          </w:r>
          <w:r>
            <w:rPr>
              <w:szCs w:val="24"/>
              <w:lang w:val="en-IN" w:eastAsia="ja-JP"/>
            </w:rPr>
            <w:t>over extension</w:t>
          </w:r>
          <w:r>
            <w:rPr>
              <w:szCs w:val="24"/>
              <w:lang w:eastAsia="ja-JP"/>
            </w:rPr>
            <w:t xml:space="preserve"> in returns is indicated by high dividends and large repurchases when leverage is on its rise. The dividend policy of Unilever that was highlighted from the financial year ending 2019 to that of 2023 shows a company’s commitment to shareholder returns, but it is troubling for the future financial stability of the business. Considering this analysis, Unilever should possibly maintain a more adjustable payout ratio if its financial capacity is to fund the growth objectives it wants to achieve, possibly lower leverage, strike a balance between the shareholder returns and the spending on growth projects. </w:t>
          </w:r>
        </w:p>
        <w:p w14:paraId="15EC39D9">
          <w:pPr>
            <w:pStyle w:val="2"/>
          </w:pPr>
          <w:bookmarkStart w:id="31" w:name="_Toc174477896"/>
          <w:r>
            <w:t>Conclusion</w:t>
          </w:r>
          <w:bookmarkEnd w:id="31"/>
        </w:p>
        <w:p w14:paraId="49AA84E3">
          <w:pPr>
            <w:rPr>
              <w:szCs w:val="24"/>
              <w:lang w:eastAsia="ja-JP"/>
            </w:rPr>
          </w:pPr>
          <w:r>
            <w:rPr>
              <w:szCs w:val="24"/>
              <w:lang w:eastAsia="ja-JP"/>
            </w:rPr>
            <w:t xml:space="preserve">Unilever's financial story from 2019 to 2023 tells a company trying to steer through turbulent global waters while delivering shareholder value and, at the same time, growing in a sustainable manner. The report indicates a slow decline in leverage, consistent with a shift towards a more equity-like capital structure. Together with better-than-expected post 2021 share returns, this movement is consistent with the trade-off theory of capital structure, where we can see some financial risk and tax benefit optimization. </w:t>
          </w:r>
        </w:p>
        <w:p w14:paraId="2DB8CE56">
          <w:pPr>
            <w:rPr>
              <w:szCs w:val="24"/>
              <w:lang w:eastAsia="ja-JP"/>
            </w:rPr>
          </w:pPr>
          <w:r>
            <w:rPr>
              <w:szCs w:val="24"/>
              <w:lang w:eastAsia="ja-JP"/>
            </w:rPr>
            <w:t xml:space="preserve">That said, Unilever's investment practices, on R&amp;D, digital transformation and sustainability, are a wash. Though these efforts will help to ensure the company's long-term success its temporary effect on earnings is unclear. The high payout ratio of dividends, and share buybacks, in the face of cash flow uncertainties, cast doubts on the company's long-term financial flexibility and growth investment. </w:t>
          </w:r>
        </w:p>
        <w:p w14:paraId="60A8D551">
          <w:pPr>
            <w:rPr>
              <w:szCs w:val="24"/>
              <w:lang w:eastAsia="ja-JP"/>
            </w:rPr>
          </w:pPr>
          <w:r>
            <w:rPr>
              <w:szCs w:val="24"/>
              <w:lang w:eastAsia="ja-JP"/>
            </w:rPr>
            <w:t xml:space="preserve"> In the longer term, Unilever's challenge is to deliver on the needs of shareholders while investing in growth that is sustainable. The company would be well-served by a more relaxed dividend policy, higher R&amp;D intensity and narrowed digital efforts to drive longer term value creation. </w:t>
          </w:r>
        </w:p>
        <w:p w14:paraId="656478D0">
          <w:pPr>
            <w:rPr>
              <w:szCs w:val="24"/>
              <w:lang w:eastAsia="ja-JP"/>
            </w:rPr>
          </w:pPr>
        </w:p>
        <w:p w14:paraId="5B5D221B">
          <w:pPr>
            <w:rPr>
              <w:szCs w:val="24"/>
              <w:lang w:eastAsia="ja-JP"/>
            </w:rPr>
          </w:pPr>
        </w:p>
        <w:p w14:paraId="4555F762">
          <w:pPr>
            <w:rPr>
              <w:szCs w:val="24"/>
              <w:lang w:eastAsia="ja-JP"/>
            </w:rPr>
          </w:pPr>
        </w:p>
        <w:p w14:paraId="6901676B">
          <w:pPr>
            <w:rPr>
              <w:szCs w:val="24"/>
              <w:lang w:eastAsia="ja-JP"/>
            </w:rPr>
          </w:pPr>
        </w:p>
        <w:p w14:paraId="49360D64">
          <w:pPr>
            <w:rPr>
              <w:szCs w:val="24"/>
              <w:lang w:eastAsia="ja-JP"/>
            </w:rPr>
          </w:pPr>
        </w:p>
        <w:p w14:paraId="1A00D9BC">
          <w:pPr>
            <w:rPr>
              <w:szCs w:val="24"/>
              <w:lang w:eastAsia="ja-JP"/>
            </w:rPr>
          </w:pPr>
        </w:p>
        <w:p w14:paraId="7DEB4B5B">
          <w:pPr>
            <w:rPr>
              <w:szCs w:val="24"/>
              <w:lang w:eastAsia="ja-JP"/>
            </w:rPr>
          </w:pPr>
        </w:p>
        <w:p w14:paraId="6E44566A">
          <w:pPr>
            <w:rPr>
              <w:szCs w:val="24"/>
              <w:lang w:eastAsia="ja-JP"/>
            </w:rPr>
          </w:pPr>
        </w:p>
        <w:p w14:paraId="6F7D161B">
          <w:pPr>
            <w:rPr>
              <w:szCs w:val="24"/>
              <w:lang w:eastAsia="ja-JP"/>
            </w:rPr>
          </w:pPr>
        </w:p>
        <w:p w14:paraId="422221F1">
          <w:pPr>
            <w:rPr>
              <w:szCs w:val="24"/>
              <w:lang w:eastAsia="ja-JP"/>
            </w:rPr>
          </w:pPr>
        </w:p>
        <w:p w14:paraId="7D961F0F">
          <w:pPr>
            <w:rPr>
              <w:szCs w:val="24"/>
              <w:lang w:eastAsia="ja-JP"/>
            </w:rPr>
          </w:pPr>
        </w:p>
        <w:p w14:paraId="798EAFC8">
          <w:pPr>
            <w:rPr>
              <w:szCs w:val="24"/>
              <w:lang w:eastAsia="ja-JP"/>
            </w:rPr>
          </w:pPr>
        </w:p>
        <w:p w14:paraId="7493F6FD">
          <w:pPr>
            <w:rPr>
              <w:szCs w:val="24"/>
              <w:lang w:eastAsia="ja-JP"/>
            </w:rPr>
          </w:pPr>
        </w:p>
        <w:p w14:paraId="0FDC6485">
          <w:pPr>
            <w:pStyle w:val="2"/>
            <w:rPr>
              <w:sz w:val="23"/>
              <w:szCs w:val="23"/>
            </w:rPr>
          </w:pPr>
          <w:bookmarkStart w:id="32" w:name="_Toc174477897"/>
          <w:r>
            <w:rPr>
              <w:sz w:val="23"/>
              <w:szCs w:val="23"/>
            </w:rPr>
            <w:t>References</w:t>
          </w:r>
          <w:bookmarkEnd w:id="32"/>
        </w:p>
        <w:p w14:paraId="0C41022C">
          <w:pPr>
            <w:rPr>
              <w:sz w:val="23"/>
              <w:szCs w:val="23"/>
              <w:lang w:eastAsia="ja-JP"/>
            </w:rPr>
          </w:pPr>
          <w:r>
            <w:rPr>
              <w:sz w:val="23"/>
              <w:szCs w:val="23"/>
              <w:lang w:eastAsia="ja-JP"/>
            </w:rPr>
            <w:t>Bates, T.W., Kahle, K.M. and Stulz, R.M., 2009. Why do US firms hold so much more cash than they used to?. </w:t>
          </w:r>
          <w:r>
            <w:rPr>
              <w:i/>
              <w:iCs/>
              <w:sz w:val="23"/>
              <w:szCs w:val="23"/>
              <w:lang w:eastAsia="ja-JP"/>
            </w:rPr>
            <w:t>The journal of finance</w:t>
          </w:r>
          <w:r>
            <w:rPr>
              <w:sz w:val="23"/>
              <w:szCs w:val="23"/>
              <w:lang w:eastAsia="ja-JP"/>
            </w:rPr>
            <w:t>, </w:t>
          </w:r>
          <w:r>
            <w:rPr>
              <w:i/>
              <w:iCs/>
              <w:sz w:val="23"/>
              <w:szCs w:val="23"/>
              <w:lang w:eastAsia="ja-JP"/>
            </w:rPr>
            <w:t>64</w:t>
          </w:r>
          <w:r>
            <w:rPr>
              <w:sz w:val="23"/>
              <w:szCs w:val="23"/>
              <w:lang w:eastAsia="ja-JP"/>
            </w:rPr>
            <w:t>(5), pp.1985-2021.</w:t>
          </w:r>
        </w:p>
        <w:p w14:paraId="54AD81E9">
          <w:pPr>
            <w:rPr>
              <w:sz w:val="23"/>
              <w:szCs w:val="23"/>
              <w:lang w:eastAsia="ja-JP"/>
            </w:rPr>
          </w:pPr>
          <w:r>
            <w:rPr>
              <w:sz w:val="23"/>
              <w:szCs w:val="23"/>
              <w:lang w:eastAsia="ja-JP"/>
            </w:rPr>
            <w:t>Baker, H.K., Kapoor, S. and Jabbouri, I., 2018. Institutional perspectives of dividend policy in India. </w:t>
          </w:r>
          <w:r>
            <w:rPr>
              <w:i/>
              <w:iCs/>
              <w:sz w:val="23"/>
              <w:szCs w:val="23"/>
              <w:lang w:eastAsia="ja-JP"/>
            </w:rPr>
            <w:t>Qualitative Research in Financial Markets</w:t>
          </w:r>
          <w:r>
            <w:rPr>
              <w:sz w:val="23"/>
              <w:szCs w:val="23"/>
              <w:lang w:eastAsia="ja-JP"/>
            </w:rPr>
            <w:t>, </w:t>
          </w:r>
          <w:r>
            <w:rPr>
              <w:i/>
              <w:iCs/>
              <w:sz w:val="23"/>
              <w:szCs w:val="23"/>
              <w:lang w:eastAsia="ja-JP"/>
            </w:rPr>
            <w:t>10</w:t>
          </w:r>
          <w:r>
            <w:rPr>
              <w:sz w:val="23"/>
              <w:szCs w:val="23"/>
              <w:lang w:eastAsia="ja-JP"/>
            </w:rPr>
            <w:t>(3), pp.324-342.</w:t>
          </w:r>
        </w:p>
        <w:p w14:paraId="7C459A50">
          <w:pPr>
            <w:rPr>
              <w:sz w:val="23"/>
              <w:szCs w:val="23"/>
              <w:lang w:eastAsia="ja-JP"/>
            </w:rPr>
          </w:pPr>
          <w:r>
            <w:rPr>
              <w:sz w:val="23"/>
              <w:szCs w:val="23"/>
              <w:lang w:eastAsia="ja-JP"/>
            </w:rPr>
            <w:t>Brav, A., Graham, J.R., Harvey, C.R. and Michaely, R., 2005. Payout policy in the 21st century. </w:t>
          </w:r>
          <w:r>
            <w:rPr>
              <w:i/>
              <w:iCs/>
              <w:sz w:val="23"/>
              <w:szCs w:val="23"/>
              <w:lang w:eastAsia="ja-JP"/>
            </w:rPr>
            <w:t>Journal of financial economics</w:t>
          </w:r>
          <w:r>
            <w:rPr>
              <w:sz w:val="23"/>
              <w:szCs w:val="23"/>
              <w:lang w:eastAsia="ja-JP"/>
            </w:rPr>
            <w:t>, </w:t>
          </w:r>
          <w:r>
            <w:rPr>
              <w:i/>
              <w:iCs/>
              <w:sz w:val="23"/>
              <w:szCs w:val="23"/>
              <w:lang w:eastAsia="ja-JP"/>
            </w:rPr>
            <w:t>77</w:t>
          </w:r>
          <w:r>
            <w:rPr>
              <w:sz w:val="23"/>
              <w:szCs w:val="23"/>
              <w:lang w:eastAsia="ja-JP"/>
            </w:rPr>
            <w:t>(3), pp.483-527.</w:t>
          </w:r>
        </w:p>
        <w:p w14:paraId="24A8B13F">
          <w:pPr>
            <w:rPr>
              <w:sz w:val="23"/>
              <w:szCs w:val="23"/>
              <w:lang w:eastAsia="ja-JP"/>
            </w:rPr>
          </w:pPr>
          <w:r>
            <w:rPr>
              <w:sz w:val="23"/>
              <w:szCs w:val="23"/>
              <w:lang w:eastAsia="ja-JP"/>
            </w:rPr>
            <w:t>Damodaran, A., 1997. Corporate Finance. Theory and Practice, John Wiley&amp;Sons. </w:t>
          </w:r>
          <w:r>
            <w:rPr>
              <w:i/>
              <w:iCs/>
              <w:sz w:val="23"/>
              <w:szCs w:val="23"/>
              <w:lang w:eastAsia="ja-JP"/>
            </w:rPr>
            <w:t>Inc. Newyork</w:t>
          </w:r>
          <w:r>
            <w:rPr>
              <w:sz w:val="23"/>
              <w:szCs w:val="23"/>
              <w:lang w:eastAsia="ja-JP"/>
            </w:rPr>
            <w:t>.</w:t>
          </w:r>
        </w:p>
        <w:p w14:paraId="3F801B88">
          <w:pPr>
            <w:rPr>
              <w:sz w:val="23"/>
              <w:szCs w:val="23"/>
              <w:lang w:eastAsia="ja-JP"/>
            </w:rPr>
          </w:pPr>
          <w:r>
            <w:rPr>
              <w:sz w:val="23"/>
              <w:szCs w:val="23"/>
              <w:lang w:eastAsia="ja-JP"/>
            </w:rPr>
            <w:t>Darun, M.R., Roudaki, J. and Radford, J.J., 2015. The evolution of working capital management research.</w:t>
          </w:r>
        </w:p>
        <w:p w14:paraId="6805533A">
          <w:pPr>
            <w:rPr>
              <w:sz w:val="23"/>
              <w:szCs w:val="23"/>
              <w:lang w:eastAsia="ja-JP"/>
            </w:rPr>
          </w:pPr>
          <w:r>
            <w:rPr>
              <w:sz w:val="23"/>
              <w:szCs w:val="23"/>
              <w:lang w:eastAsia="ja-JP"/>
            </w:rPr>
            <w:t>Eccles, R.G., Ioannou, I. and Serafeim, G., 2014. The impact of corporate sustainability on organizational processes and performance. </w:t>
          </w:r>
          <w:r>
            <w:rPr>
              <w:i/>
              <w:iCs/>
              <w:sz w:val="23"/>
              <w:szCs w:val="23"/>
              <w:lang w:eastAsia="ja-JP"/>
            </w:rPr>
            <w:t>Management science</w:t>
          </w:r>
          <w:r>
            <w:rPr>
              <w:sz w:val="23"/>
              <w:szCs w:val="23"/>
              <w:lang w:eastAsia="ja-JP"/>
            </w:rPr>
            <w:t>, </w:t>
          </w:r>
          <w:r>
            <w:rPr>
              <w:i/>
              <w:iCs/>
              <w:sz w:val="23"/>
              <w:szCs w:val="23"/>
              <w:lang w:eastAsia="ja-JP"/>
            </w:rPr>
            <w:t>60</w:t>
          </w:r>
          <w:r>
            <w:rPr>
              <w:sz w:val="23"/>
              <w:szCs w:val="23"/>
              <w:lang w:eastAsia="ja-JP"/>
            </w:rPr>
            <w:t>(11), pp.2835-2857.</w:t>
          </w:r>
        </w:p>
        <w:p w14:paraId="4BA4AA0D">
          <w:pPr>
            <w:rPr>
              <w:sz w:val="23"/>
              <w:szCs w:val="23"/>
              <w:lang w:eastAsia="ja-JP"/>
            </w:rPr>
          </w:pPr>
          <w:r>
            <w:rPr>
              <w:sz w:val="23"/>
              <w:szCs w:val="23"/>
              <w:lang w:eastAsia="ja-JP"/>
            </w:rPr>
            <w:t>Fama, E.F. and French, K.R., 1992. The cross‐section of expected stock returns. </w:t>
          </w:r>
          <w:r>
            <w:rPr>
              <w:i/>
              <w:iCs/>
              <w:sz w:val="23"/>
              <w:szCs w:val="23"/>
              <w:lang w:eastAsia="ja-JP"/>
            </w:rPr>
            <w:t>the Journal of Finance</w:t>
          </w:r>
          <w:r>
            <w:rPr>
              <w:sz w:val="23"/>
              <w:szCs w:val="23"/>
              <w:lang w:eastAsia="ja-JP"/>
            </w:rPr>
            <w:t>, </w:t>
          </w:r>
          <w:r>
            <w:rPr>
              <w:i/>
              <w:iCs/>
              <w:sz w:val="23"/>
              <w:szCs w:val="23"/>
              <w:lang w:eastAsia="ja-JP"/>
            </w:rPr>
            <w:t>47</w:t>
          </w:r>
          <w:r>
            <w:rPr>
              <w:sz w:val="23"/>
              <w:szCs w:val="23"/>
              <w:lang w:eastAsia="ja-JP"/>
            </w:rPr>
            <w:t>(2), pp.427-465.</w:t>
          </w:r>
        </w:p>
        <w:p w14:paraId="4264AFC7">
          <w:pPr>
            <w:rPr>
              <w:sz w:val="23"/>
              <w:szCs w:val="23"/>
              <w:lang w:eastAsia="ja-JP"/>
            </w:rPr>
          </w:pPr>
          <w:r>
            <w:rPr>
              <w:sz w:val="23"/>
              <w:szCs w:val="23"/>
              <w:lang w:eastAsia="ja-JP"/>
            </w:rPr>
            <w:t>Fama, E.F. and French, K.R., 2002. Testing trade-off and pecking order predictions about dividends and debt. </w:t>
          </w:r>
          <w:r>
            <w:rPr>
              <w:i/>
              <w:iCs/>
              <w:sz w:val="23"/>
              <w:szCs w:val="23"/>
              <w:lang w:eastAsia="ja-JP"/>
            </w:rPr>
            <w:t>Review of financial studies</w:t>
          </w:r>
          <w:r>
            <w:rPr>
              <w:sz w:val="23"/>
              <w:szCs w:val="23"/>
              <w:lang w:eastAsia="ja-JP"/>
            </w:rPr>
            <w:t>, pp.1-33.</w:t>
          </w:r>
        </w:p>
        <w:p w14:paraId="4457C6F7">
          <w:pPr>
            <w:jc w:val="left"/>
            <w:rPr>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t xml:space="preserve">Financial Times, 2022. </w:t>
          </w:r>
          <w:r>
            <w:rPr>
              <w:i/>
              <w:iCs/>
              <w:color w:val="000000" w:themeColor="text1"/>
              <w:sz w:val="23"/>
              <w:szCs w:val="23"/>
              <w14:textFill>
                <w14:solidFill>
                  <w14:schemeClr w14:val="tx1"/>
                </w14:solidFill>
              </w14:textFill>
            </w:rPr>
            <w:t xml:space="preserve">Unilever rules out increasing £50bn bid for GSK unit after backlash. </w:t>
          </w:r>
          <w:r>
            <w:rPr>
              <w:color w:val="000000" w:themeColor="text1"/>
              <w:sz w:val="23"/>
              <w:szCs w:val="23"/>
              <w14:textFill>
                <w14:solidFill>
                  <w14:schemeClr w14:val="tx1"/>
                </w14:solidFill>
              </w14:textFill>
            </w:rPr>
            <w:t xml:space="preserve">[online] Available at: </w:t>
          </w:r>
          <w:r>
            <w:rPr>
              <w:color w:val="000000" w:themeColor="text1"/>
              <w:sz w:val="23"/>
              <w:szCs w:val="23"/>
              <w:u w:val="single"/>
              <w14:textFill>
                <w14:solidFill>
                  <w14:schemeClr w14:val="tx1"/>
                </w14:solidFill>
              </w14:textFill>
            </w:rPr>
            <w:t xml:space="preserve">https://www.ft.com/content/1f7f4dfd-ebbf-466a-92ae-5b2e4eb5827c </w:t>
          </w:r>
          <w:r>
            <w:rPr>
              <w:color w:val="000000" w:themeColor="text1"/>
              <w:sz w:val="23"/>
              <w:szCs w:val="23"/>
              <w14:textFill>
                <w14:solidFill>
                  <w14:schemeClr w14:val="tx1"/>
                </w14:solidFill>
              </w14:textFill>
            </w:rPr>
            <w:t>[Accessed 2 August 2024].</w:t>
          </w:r>
        </w:p>
        <w:p w14:paraId="6CE923F8">
          <w:pPr>
            <w:jc w:val="left"/>
            <w:rPr>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t>Frank, M.Z. and Goyal, V.K., 2003. Testing the pecking order theory of capital structure. </w:t>
          </w:r>
          <w:r>
            <w:rPr>
              <w:i/>
              <w:iCs/>
              <w:color w:val="000000" w:themeColor="text1"/>
              <w:sz w:val="23"/>
              <w:szCs w:val="23"/>
              <w14:textFill>
                <w14:solidFill>
                  <w14:schemeClr w14:val="tx1"/>
                </w14:solidFill>
              </w14:textFill>
            </w:rPr>
            <w:t>Journal of financial economics</w:t>
          </w:r>
          <w:r>
            <w:rPr>
              <w:color w:val="000000" w:themeColor="text1"/>
              <w:sz w:val="23"/>
              <w:szCs w:val="23"/>
              <w14:textFill>
                <w14:solidFill>
                  <w14:schemeClr w14:val="tx1"/>
                </w14:solidFill>
              </w14:textFill>
            </w:rPr>
            <w:t>, </w:t>
          </w:r>
          <w:r>
            <w:rPr>
              <w:i/>
              <w:iCs/>
              <w:color w:val="000000" w:themeColor="text1"/>
              <w:sz w:val="23"/>
              <w:szCs w:val="23"/>
              <w14:textFill>
                <w14:solidFill>
                  <w14:schemeClr w14:val="tx1"/>
                </w14:solidFill>
              </w14:textFill>
            </w:rPr>
            <w:t>67</w:t>
          </w:r>
          <w:r>
            <w:rPr>
              <w:color w:val="000000" w:themeColor="text1"/>
              <w:sz w:val="23"/>
              <w:szCs w:val="23"/>
              <w14:textFill>
                <w14:solidFill>
                  <w14:schemeClr w14:val="tx1"/>
                </w14:solidFill>
              </w14:textFill>
            </w:rPr>
            <w:t>(2), pp.217-248.</w:t>
          </w:r>
        </w:p>
        <w:p w14:paraId="74E45A1D">
          <w:pPr>
            <w:jc w:val="left"/>
            <w:rPr>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t>Frank, M.Z. and Goyal, V.K., 2009. Capital structure decisions: which factors are reliably important?. </w:t>
          </w:r>
          <w:r>
            <w:rPr>
              <w:i/>
              <w:iCs/>
              <w:color w:val="000000" w:themeColor="text1"/>
              <w:sz w:val="23"/>
              <w:szCs w:val="23"/>
              <w14:textFill>
                <w14:solidFill>
                  <w14:schemeClr w14:val="tx1"/>
                </w14:solidFill>
              </w14:textFill>
            </w:rPr>
            <w:t>Financial management</w:t>
          </w:r>
          <w:r>
            <w:rPr>
              <w:color w:val="000000" w:themeColor="text1"/>
              <w:sz w:val="23"/>
              <w:szCs w:val="23"/>
              <w14:textFill>
                <w14:solidFill>
                  <w14:schemeClr w14:val="tx1"/>
                </w14:solidFill>
              </w14:textFill>
            </w:rPr>
            <w:t>, </w:t>
          </w:r>
          <w:r>
            <w:rPr>
              <w:i/>
              <w:iCs/>
              <w:color w:val="000000" w:themeColor="text1"/>
              <w:sz w:val="23"/>
              <w:szCs w:val="23"/>
              <w14:textFill>
                <w14:solidFill>
                  <w14:schemeClr w14:val="tx1"/>
                </w14:solidFill>
              </w14:textFill>
            </w:rPr>
            <w:t>38</w:t>
          </w:r>
          <w:r>
            <w:rPr>
              <w:color w:val="000000" w:themeColor="text1"/>
              <w:sz w:val="23"/>
              <w:szCs w:val="23"/>
              <w14:textFill>
                <w14:solidFill>
                  <w14:schemeClr w14:val="tx1"/>
                </w14:solidFill>
              </w14:textFill>
            </w:rPr>
            <w:t>(1), pp.1-37.</w:t>
          </w:r>
        </w:p>
        <w:p w14:paraId="0CE9A082">
          <w:pPr>
            <w:jc w:val="left"/>
            <w:rPr>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t>Gordon, M.J., 1959. Dividends, earnings, and stock prices. </w:t>
          </w:r>
          <w:r>
            <w:rPr>
              <w:i/>
              <w:iCs/>
              <w:color w:val="000000" w:themeColor="text1"/>
              <w:sz w:val="23"/>
              <w:szCs w:val="23"/>
              <w14:textFill>
                <w14:solidFill>
                  <w14:schemeClr w14:val="tx1"/>
                </w14:solidFill>
              </w14:textFill>
            </w:rPr>
            <w:t>The review of economics and statistics</w:t>
          </w:r>
          <w:r>
            <w:rPr>
              <w:color w:val="000000" w:themeColor="text1"/>
              <w:sz w:val="23"/>
              <w:szCs w:val="23"/>
              <w14:textFill>
                <w14:solidFill>
                  <w14:schemeClr w14:val="tx1"/>
                </w14:solidFill>
              </w14:textFill>
            </w:rPr>
            <w:t>, pp.99-105.</w:t>
          </w:r>
        </w:p>
        <w:p w14:paraId="7ECDDC74">
          <w:pPr>
            <w:jc w:val="left"/>
            <w:rPr>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t>Graham, J.R., 2000. How big are the tax benefits of debt?. </w:t>
          </w:r>
          <w:r>
            <w:rPr>
              <w:i/>
              <w:iCs/>
              <w:color w:val="000000" w:themeColor="text1"/>
              <w:sz w:val="23"/>
              <w:szCs w:val="23"/>
              <w14:textFill>
                <w14:solidFill>
                  <w14:schemeClr w14:val="tx1"/>
                </w14:solidFill>
              </w14:textFill>
            </w:rPr>
            <w:t>The journal of finance</w:t>
          </w:r>
          <w:r>
            <w:rPr>
              <w:color w:val="000000" w:themeColor="text1"/>
              <w:sz w:val="23"/>
              <w:szCs w:val="23"/>
              <w14:textFill>
                <w14:solidFill>
                  <w14:schemeClr w14:val="tx1"/>
                </w14:solidFill>
              </w14:textFill>
            </w:rPr>
            <w:t>, </w:t>
          </w:r>
          <w:r>
            <w:rPr>
              <w:i/>
              <w:iCs/>
              <w:color w:val="000000" w:themeColor="text1"/>
              <w:sz w:val="23"/>
              <w:szCs w:val="23"/>
              <w14:textFill>
                <w14:solidFill>
                  <w14:schemeClr w14:val="tx1"/>
                </w14:solidFill>
              </w14:textFill>
            </w:rPr>
            <w:t>55</w:t>
          </w:r>
          <w:r>
            <w:rPr>
              <w:color w:val="000000" w:themeColor="text1"/>
              <w:sz w:val="23"/>
              <w:szCs w:val="23"/>
              <w14:textFill>
                <w14:solidFill>
                  <w14:schemeClr w14:val="tx1"/>
                </w14:solidFill>
              </w14:textFill>
            </w:rPr>
            <w:t>(5), pp.1901-1941.</w:t>
          </w:r>
        </w:p>
        <w:p w14:paraId="5074B8E4">
          <w:pPr>
            <w:jc w:val="left"/>
            <w:rPr>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t>Jagannathan, M., Stephens, C.P. and Weisbach, M.S., 2000. Financial flexibility and the choice between dividends and stock repurchases. </w:t>
          </w:r>
          <w:r>
            <w:rPr>
              <w:i/>
              <w:iCs/>
              <w:color w:val="000000" w:themeColor="text1"/>
              <w:sz w:val="23"/>
              <w:szCs w:val="23"/>
              <w14:textFill>
                <w14:solidFill>
                  <w14:schemeClr w14:val="tx1"/>
                </w14:solidFill>
              </w14:textFill>
            </w:rPr>
            <w:t>Journal of financial Economics</w:t>
          </w:r>
          <w:r>
            <w:rPr>
              <w:color w:val="000000" w:themeColor="text1"/>
              <w:sz w:val="23"/>
              <w:szCs w:val="23"/>
              <w14:textFill>
                <w14:solidFill>
                  <w14:schemeClr w14:val="tx1"/>
                </w14:solidFill>
              </w14:textFill>
            </w:rPr>
            <w:t>, </w:t>
          </w:r>
          <w:r>
            <w:rPr>
              <w:i/>
              <w:iCs/>
              <w:color w:val="000000" w:themeColor="text1"/>
              <w:sz w:val="23"/>
              <w:szCs w:val="23"/>
              <w14:textFill>
                <w14:solidFill>
                  <w14:schemeClr w14:val="tx1"/>
                </w14:solidFill>
              </w14:textFill>
            </w:rPr>
            <w:t>57</w:t>
          </w:r>
          <w:r>
            <w:rPr>
              <w:color w:val="000000" w:themeColor="text1"/>
              <w:sz w:val="23"/>
              <w:szCs w:val="23"/>
              <w14:textFill>
                <w14:solidFill>
                  <w14:schemeClr w14:val="tx1"/>
                </w14:solidFill>
              </w14:textFill>
            </w:rPr>
            <w:t>(3), pp.355-384.</w:t>
          </w:r>
        </w:p>
        <w:p w14:paraId="67C8E499">
          <w:pPr>
            <w:jc w:val="left"/>
            <w:rPr>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t>Jensen, M.C., 1986. Agency costs of free cash flow, corporate finance, and takeovers. </w:t>
          </w:r>
          <w:r>
            <w:rPr>
              <w:i/>
              <w:iCs/>
              <w:color w:val="000000" w:themeColor="text1"/>
              <w:sz w:val="23"/>
              <w:szCs w:val="23"/>
              <w14:textFill>
                <w14:solidFill>
                  <w14:schemeClr w14:val="tx1"/>
                </w14:solidFill>
              </w14:textFill>
            </w:rPr>
            <w:t>The American economic review</w:t>
          </w:r>
          <w:r>
            <w:rPr>
              <w:color w:val="000000" w:themeColor="text1"/>
              <w:sz w:val="23"/>
              <w:szCs w:val="23"/>
              <w14:textFill>
                <w14:solidFill>
                  <w14:schemeClr w14:val="tx1"/>
                </w14:solidFill>
              </w14:textFill>
            </w:rPr>
            <w:t>, </w:t>
          </w:r>
          <w:r>
            <w:rPr>
              <w:i/>
              <w:iCs/>
              <w:color w:val="000000" w:themeColor="text1"/>
              <w:sz w:val="23"/>
              <w:szCs w:val="23"/>
              <w14:textFill>
                <w14:solidFill>
                  <w14:schemeClr w14:val="tx1"/>
                </w14:solidFill>
              </w14:textFill>
            </w:rPr>
            <w:t>76</w:t>
          </w:r>
          <w:r>
            <w:rPr>
              <w:color w:val="000000" w:themeColor="text1"/>
              <w:sz w:val="23"/>
              <w:szCs w:val="23"/>
              <w14:textFill>
                <w14:solidFill>
                  <w14:schemeClr w14:val="tx1"/>
                </w14:solidFill>
              </w14:textFill>
            </w:rPr>
            <w:t>(2), pp.323-329.</w:t>
          </w:r>
        </w:p>
        <w:p w14:paraId="093E320D">
          <w:pPr>
            <w:jc w:val="left"/>
            <w:rPr>
              <w:i/>
              <w:iCs/>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t xml:space="preserve">Jones, G., 2005. Renewing Unilever: Transformation and Tradition. </w:t>
          </w:r>
          <w:r>
            <w:rPr>
              <w:i/>
              <w:iCs/>
              <w:color w:val="000000" w:themeColor="text1"/>
              <w:sz w:val="23"/>
              <w:szCs w:val="23"/>
              <w14:textFill>
                <w14:solidFill>
                  <w14:schemeClr w14:val="tx1"/>
                </w14:solidFill>
              </w14:textFill>
            </w:rPr>
            <w:t>Oxford: Oxford University Press.</w:t>
          </w:r>
        </w:p>
        <w:p w14:paraId="510542C3">
          <w:pPr>
            <w:jc w:val="left"/>
            <w:rPr>
              <w:i/>
              <w:iCs/>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t>Khanna, T. and Palepu, K.G., 2010. Winning in emerging markets:</w:t>
          </w:r>
          <w:r>
            <w:rPr>
              <w:i/>
              <w:iCs/>
              <w:color w:val="000000" w:themeColor="text1"/>
              <w:sz w:val="23"/>
              <w:szCs w:val="23"/>
              <w14:textFill>
                <w14:solidFill>
                  <w14:schemeClr w14:val="tx1"/>
                </w14:solidFill>
              </w14:textFill>
            </w:rPr>
            <w:t xml:space="preserve"> A road map for strategy and execution. Harvard Business Press.</w:t>
          </w:r>
        </w:p>
        <w:p w14:paraId="74218A73">
          <w:pPr>
            <w:jc w:val="left"/>
            <w:rPr>
              <w:i/>
              <w:iCs/>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t>Knott, A.M. and Vieregger, C., 2020. Reconciling the firm size and innovation puzzle.</w:t>
          </w:r>
          <w:r>
            <w:rPr>
              <w:i/>
              <w:iCs/>
              <w:color w:val="000000" w:themeColor="text1"/>
              <w:sz w:val="23"/>
              <w:szCs w:val="23"/>
              <w14:textFill>
                <w14:solidFill>
                  <w14:schemeClr w14:val="tx1"/>
                </w14:solidFill>
              </w14:textFill>
            </w:rPr>
            <w:t xml:space="preserve"> Organization Science, 31(2), pp.477-488.</w:t>
          </w:r>
        </w:p>
        <w:p w14:paraId="79A19BED">
          <w:pPr>
            <w:jc w:val="left"/>
            <w:rPr>
              <w:i/>
              <w:iCs/>
              <w:color w:val="000000" w:themeColor="text1"/>
              <w:sz w:val="23"/>
              <w:szCs w:val="23"/>
              <w14:textFill>
                <w14:solidFill>
                  <w14:schemeClr w14:val="tx1"/>
                </w14:solidFill>
              </w14:textFill>
            </w:rPr>
          </w:pPr>
          <w:r>
            <w:rPr>
              <w:sz w:val="23"/>
              <w:szCs w:val="23"/>
            </w:rPr>
            <w:t xml:space="preserve">Kraus, A. and Litzenberger, R.H., 1973. A state-preference model of optimal financial leverage. </w:t>
          </w:r>
          <w:r>
            <w:rPr>
              <w:i/>
              <w:iCs/>
              <w:sz w:val="23"/>
              <w:szCs w:val="23"/>
            </w:rPr>
            <w:t>The journal of finance</w:t>
          </w:r>
          <w:r>
            <w:rPr>
              <w:sz w:val="23"/>
              <w:szCs w:val="23"/>
            </w:rPr>
            <w:t>, 28(4), pp.911-922</w:t>
          </w:r>
          <w:r>
            <w:rPr>
              <w:i/>
              <w:iCs/>
              <w:color w:val="000000" w:themeColor="text1"/>
              <w:sz w:val="23"/>
              <w:szCs w:val="23"/>
              <w14:textFill>
                <w14:solidFill>
                  <w14:schemeClr w14:val="tx1"/>
                </w14:solidFill>
              </w14:textFill>
            </w:rPr>
            <w:t>.</w:t>
          </w:r>
        </w:p>
        <w:p w14:paraId="06E028EE">
          <w:pPr>
            <w:rPr>
              <w:sz w:val="23"/>
              <w:szCs w:val="23"/>
            </w:rPr>
          </w:pPr>
          <w:r>
            <w:rPr>
              <w:sz w:val="23"/>
              <w:szCs w:val="23"/>
            </w:rPr>
            <w:t xml:space="preserve">Leary, M.T. and Michaely, R., 2011. Determinants of dividend smoothing: Empirical evidence. </w:t>
          </w:r>
          <w:r>
            <w:rPr>
              <w:i/>
              <w:iCs/>
              <w:sz w:val="23"/>
              <w:szCs w:val="23"/>
            </w:rPr>
            <w:t>The Review of Financial Studies</w:t>
          </w:r>
          <w:r>
            <w:rPr>
              <w:sz w:val="23"/>
              <w:szCs w:val="23"/>
            </w:rPr>
            <w:t>, 24(10), pp.3197-3249.</w:t>
          </w:r>
        </w:p>
        <w:p w14:paraId="4C2A9151">
          <w:pPr>
            <w:rPr>
              <w:sz w:val="23"/>
              <w:szCs w:val="23"/>
            </w:rPr>
          </w:pPr>
          <w:r>
            <w:rPr>
              <w:sz w:val="23"/>
              <w:szCs w:val="23"/>
            </w:rPr>
            <w:t>Lintner, J., 1956. Distribution of incomes of corporations among dividends, retained earnings, and taxes. </w:t>
          </w:r>
          <w:r>
            <w:rPr>
              <w:i/>
              <w:iCs/>
              <w:sz w:val="23"/>
              <w:szCs w:val="23"/>
            </w:rPr>
            <w:t>The American economic review</w:t>
          </w:r>
          <w:r>
            <w:rPr>
              <w:sz w:val="23"/>
              <w:szCs w:val="23"/>
            </w:rPr>
            <w:t>, </w:t>
          </w:r>
          <w:r>
            <w:rPr>
              <w:i/>
              <w:iCs/>
              <w:sz w:val="23"/>
              <w:szCs w:val="23"/>
            </w:rPr>
            <w:t>46</w:t>
          </w:r>
          <w:r>
            <w:rPr>
              <w:sz w:val="23"/>
              <w:szCs w:val="23"/>
            </w:rPr>
            <w:t>(2), pp.97-113.</w:t>
          </w:r>
        </w:p>
        <w:p w14:paraId="3212E45B">
          <w:pPr>
            <w:jc w:val="left"/>
            <w:rPr>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t xml:space="preserve">London Stock Exchange, 2023. </w:t>
          </w:r>
          <w:r>
            <w:rPr>
              <w:i/>
              <w:iCs/>
              <w:color w:val="000000" w:themeColor="text1"/>
              <w:sz w:val="23"/>
              <w:szCs w:val="23"/>
              <w14:textFill>
                <w14:solidFill>
                  <w14:schemeClr w14:val="tx1"/>
                </w14:solidFill>
              </w14:textFill>
            </w:rPr>
            <w:t>Unilever PLC (ULVR).</w:t>
          </w:r>
          <w:r>
            <w:rPr>
              <w:color w:val="000000" w:themeColor="text1"/>
              <w:sz w:val="23"/>
              <w:szCs w:val="23"/>
              <w14:textFill>
                <w14:solidFill>
                  <w14:schemeClr w14:val="tx1"/>
                </w14:solidFill>
              </w14:textFill>
            </w:rPr>
            <w:t xml:space="preserve"> [online] Available at: </w:t>
          </w:r>
          <w:r>
            <w:rPr>
              <w:color w:val="000000" w:themeColor="text1"/>
              <w:sz w:val="23"/>
              <w:szCs w:val="23"/>
              <w:u w:val="single"/>
              <w14:textFill>
                <w14:solidFill>
                  <w14:schemeClr w14:val="tx1"/>
                </w14:solidFill>
              </w14:textFill>
            </w:rPr>
            <w:t>https://www.londonstockexchange.com/stock/ULVR/unilever-plc</w:t>
          </w:r>
          <w:r>
            <w:rPr>
              <w:color w:val="000000" w:themeColor="text1"/>
              <w:sz w:val="23"/>
              <w:szCs w:val="23"/>
              <w14:textFill>
                <w14:solidFill>
                  <w14:schemeClr w14:val="tx1"/>
                </w14:solidFill>
              </w14:textFill>
            </w:rPr>
            <w:t xml:space="preserve"> [Accessed 3 August 2024].</w:t>
          </w:r>
        </w:p>
        <w:p w14:paraId="66AE4411">
          <w:pPr>
            <w:jc w:val="left"/>
            <w:rPr>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t>Modigliani, F. and Miller, M.H., 1958. The cost of capital, corporation finance and the theory of investment. </w:t>
          </w:r>
          <w:r>
            <w:rPr>
              <w:i/>
              <w:iCs/>
              <w:color w:val="000000" w:themeColor="text1"/>
              <w:sz w:val="23"/>
              <w:szCs w:val="23"/>
              <w14:textFill>
                <w14:solidFill>
                  <w14:schemeClr w14:val="tx1"/>
                </w14:solidFill>
              </w14:textFill>
            </w:rPr>
            <w:t>The American economic review</w:t>
          </w:r>
          <w:r>
            <w:rPr>
              <w:color w:val="000000" w:themeColor="text1"/>
              <w:sz w:val="23"/>
              <w:szCs w:val="23"/>
              <w14:textFill>
                <w14:solidFill>
                  <w14:schemeClr w14:val="tx1"/>
                </w14:solidFill>
              </w14:textFill>
            </w:rPr>
            <w:t>, </w:t>
          </w:r>
          <w:r>
            <w:rPr>
              <w:i/>
              <w:iCs/>
              <w:color w:val="000000" w:themeColor="text1"/>
              <w:sz w:val="23"/>
              <w:szCs w:val="23"/>
              <w14:textFill>
                <w14:solidFill>
                  <w14:schemeClr w14:val="tx1"/>
                </w14:solidFill>
              </w14:textFill>
            </w:rPr>
            <w:t>48</w:t>
          </w:r>
          <w:r>
            <w:rPr>
              <w:color w:val="000000" w:themeColor="text1"/>
              <w:sz w:val="23"/>
              <w:szCs w:val="23"/>
              <w14:textFill>
                <w14:solidFill>
                  <w14:schemeClr w14:val="tx1"/>
                </w14:solidFill>
              </w14:textFill>
            </w:rPr>
            <w:t>(3), pp.261-297.</w:t>
          </w:r>
        </w:p>
        <w:p w14:paraId="3CF82EC8">
          <w:pPr>
            <w:jc w:val="left"/>
            <w:rPr>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t>Modigliani, F. and Miller, M.H., 1963. Corporate income taxes and the cost of capital: a correction. </w:t>
          </w:r>
          <w:r>
            <w:rPr>
              <w:i/>
              <w:iCs/>
              <w:color w:val="000000" w:themeColor="text1"/>
              <w:sz w:val="23"/>
              <w:szCs w:val="23"/>
              <w14:textFill>
                <w14:solidFill>
                  <w14:schemeClr w14:val="tx1"/>
                </w14:solidFill>
              </w14:textFill>
            </w:rPr>
            <w:t>The American economic review</w:t>
          </w:r>
          <w:r>
            <w:rPr>
              <w:color w:val="000000" w:themeColor="text1"/>
              <w:sz w:val="23"/>
              <w:szCs w:val="23"/>
              <w14:textFill>
                <w14:solidFill>
                  <w14:schemeClr w14:val="tx1"/>
                </w14:solidFill>
              </w14:textFill>
            </w:rPr>
            <w:t>, </w:t>
          </w:r>
          <w:r>
            <w:rPr>
              <w:i/>
              <w:iCs/>
              <w:color w:val="000000" w:themeColor="text1"/>
              <w:sz w:val="23"/>
              <w:szCs w:val="23"/>
              <w14:textFill>
                <w14:solidFill>
                  <w14:schemeClr w14:val="tx1"/>
                </w14:solidFill>
              </w14:textFill>
            </w:rPr>
            <w:t>53</w:t>
          </w:r>
          <w:r>
            <w:rPr>
              <w:color w:val="000000" w:themeColor="text1"/>
              <w:sz w:val="23"/>
              <w:szCs w:val="23"/>
              <w14:textFill>
                <w14:solidFill>
                  <w14:schemeClr w14:val="tx1"/>
                </w14:solidFill>
              </w14:textFill>
            </w:rPr>
            <w:t>(3), pp.433-443.</w:t>
          </w:r>
        </w:p>
        <w:p w14:paraId="675E8E76">
          <w:pPr>
            <w:jc w:val="left"/>
            <w:rPr>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t>Myers, S.C., 2001. Capital structure. </w:t>
          </w:r>
          <w:r>
            <w:rPr>
              <w:i/>
              <w:iCs/>
              <w:color w:val="000000" w:themeColor="text1"/>
              <w:sz w:val="23"/>
              <w:szCs w:val="23"/>
              <w14:textFill>
                <w14:solidFill>
                  <w14:schemeClr w14:val="tx1"/>
                </w14:solidFill>
              </w14:textFill>
            </w:rPr>
            <w:t>Journal of Economic perspectives</w:t>
          </w:r>
          <w:r>
            <w:rPr>
              <w:color w:val="000000" w:themeColor="text1"/>
              <w:sz w:val="23"/>
              <w:szCs w:val="23"/>
              <w14:textFill>
                <w14:solidFill>
                  <w14:schemeClr w14:val="tx1"/>
                </w14:solidFill>
              </w14:textFill>
            </w:rPr>
            <w:t>, </w:t>
          </w:r>
          <w:r>
            <w:rPr>
              <w:i/>
              <w:iCs/>
              <w:color w:val="000000" w:themeColor="text1"/>
              <w:sz w:val="23"/>
              <w:szCs w:val="23"/>
              <w14:textFill>
                <w14:solidFill>
                  <w14:schemeClr w14:val="tx1"/>
                </w14:solidFill>
              </w14:textFill>
            </w:rPr>
            <w:t>15</w:t>
          </w:r>
          <w:r>
            <w:rPr>
              <w:color w:val="000000" w:themeColor="text1"/>
              <w:sz w:val="23"/>
              <w:szCs w:val="23"/>
              <w14:textFill>
                <w14:solidFill>
                  <w14:schemeClr w14:val="tx1"/>
                </w14:solidFill>
              </w14:textFill>
            </w:rPr>
            <w:t>(2), pp.81-102.</w:t>
          </w:r>
        </w:p>
        <w:p w14:paraId="2078EBFD">
          <w:pPr>
            <w:jc w:val="left"/>
            <w:rPr>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t>Myers, S.C. and Majluf, N.S., 1984. Corporate financing and investment decisions when firms have information that investors do not have. </w:t>
          </w:r>
          <w:r>
            <w:rPr>
              <w:i/>
              <w:iCs/>
              <w:color w:val="000000" w:themeColor="text1"/>
              <w:sz w:val="23"/>
              <w:szCs w:val="23"/>
              <w14:textFill>
                <w14:solidFill>
                  <w14:schemeClr w14:val="tx1"/>
                </w14:solidFill>
              </w14:textFill>
            </w:rPr>
            <w:t>Journal of financial economics</w:t>
          </w:r>
          <w:r>
            <w:rPr>
              <w:color w:val="000000" w:themeColor="text1"/>
              <w:sz w:val="23"/>
              <w:szCs w:val="23"/>
              <w14:textFill>
                <w14:solidFill>
                  <w14:schemeClr w14:val="tx1"/>
                </w14:solidFill>
              </w14:textFill>
            </w:rPr>
            <w:t>, </w:t>
          </w:r>
          <w:r>
            <w:rPr>
              <w:i/>
              <w:iCs/>
              <w:color w:val="000000" w:themeColor="text1"/>
              <w:sz w:val="23"/>
              <w:szCs w:val="23"/>
              <w14:textFill>
                <w14:solidFill>
                  <w14:schemeClr w14:val="tx1"/>
                </w14:solidFill>
              </w14:textFill>
            </w:rPr>
            <w:t>13</w:t>
          </w:r>
          <w:r>
            <w:rPr>
              <w:color w:val="000000" w:themeColor="text1"/>
              <w:sz w:val="23"/>
              <w:szCs w:val="23"/>
              <w14:textFill>
                <w14:solidFill>
                  <w14:schemeClr w14:val="tx1"/>
                </w14:solidFill>
              </w14:textFill>
            </w:rPr>
            <w:t>(2), pp.187-221.</w:t>
          </w:r>
        </w:p>
        <w:p w14:paraId="4039932D">
          <w:pPr>
            <w:jc w:val="left"/>
            <w:rPr>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t xml:space="preserve">Proctor &amp; Gamble, 2021. </w:t>
          </w:r>
          <w:r>
            <w:rPr>
              <w:i/>
              <w:iCs/>
              <w:color w:val="000000" w:themeColor="text1"/>
              <w:sz w:val="23"/>
              <w:szCs w:val="23"/>
              <w14:textFill>
                <w14:solidFill>
                  <w14:schemeClr w14:val="tx1"/>
                </w14:solidFill>
              </w14:textFill>
            </w:rPr>
            <w:t>Annual Report and Accounts 2020.</w:t>
          </w:r>
          <w:r>
            <w:rPr>
              <w:color w:val="000000" w:themeColor="text1"/>
              <w:sz w:val="23"/>
              <w:szCs w:val="23"/>
              <w14:textFill>
                <w14:solidFill>
                  <w14:schemeClr w14:val="tx1"/>
                </w14:solidFill>
              </w14:textFill>
            </w:rPr>
            <w:t xml:space="preserve"> [online] Available at: </w:t>
          </w:r>
          <w:r>
            <w:rPr>
              <w:color w:val="000000" w:themeColor="text1"/>
              <w:sz w:val="23"/>
              <w:szCs w:val="23"/>
              <w:u w:val="single"/>
              <w14:textFill>
                <w14:solidFill>
                  <w14:schemeClr w14:val="tx1"/>
                </w14:solidFill>
              </w14:textFill>
            </w:rPr>
            <w:t xml:space="preserve">https://us.pg.com/annualreport2021/ </w:t>
          </w:r>
          <w:r>
            <w:rPr>
              <w:color w:val="000000" w:themeColor="text1"/>
              <w:sz w:val="23"/>
              <w:szCs w:val="23"/>
              <w14:textFill>
                <w14:solidFill>
                  <w14:schemeClr w14:val="tx1"/>
                </w14:solidFill>
              </w14:textFill>
            </w:rPr>
            <w:t>[Accessed 5 August 2024].</w:t>
          </w:r>
        </w:p>
        <w:p w14:paraId="35C0CB07">
          <w:pPr>
            <w:jc w:val="left"/>
            <w:rPr>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t xml:space="preserve">Proctor &amp; Gamble, 2023. </w:t>
          </w:r>
          <w:r>
            <w:rPr>
              <w:i/>
              <w:iCs/>
              <w:color w:val="000000" w:themeColor="text1"/>
              <w:sz w:val="23"/>
              <w:szCs w:val="23"/>
              <w14:textFill>
                <w14:solidFill>
                  <w14:schemeClr w14:val="tx1"/>
                </w14:solidFill>
              </w14:textFill>
            </w:rPr>
            <w:t>Annual Report and Accounts 2022.</w:t>
          </w:r>
          <w:r>
            <w:rPr>
              <w:color w:val="000000" w:themeColor="text1"/>
              <w:sz w:val="23"/>
              <w:szCs w:val="23"/>
              <w14:textFill>
                <w14:solidFill>
                  <w14:schemeClr w14:val="tx1"/>
                </w14:solidFill>
              </w14:textFill>
            </w:rPr>
            <w:t xml:space="preserve"> [online] Available at: </w:t>
          </w:r>
          <w:r>
            <w:rPr>
              <w:color w:val="000000" w:themeColor="text1"/>
              <w:sz w:val="23"/>
              <w:szCs w:val="23"/>
              <w:u w:val="single"/>
              <w14:textFill>
                <w14:solidFill>
                  <w14:schemeClr w14:val="tx1"/>
                </w14:solidFill>
              </w14:textFill>
            </w:rPr>
            <w:t xml:space="preserve">https://us.pg.com/annualreport2023/ </w:t>
          </w:r>
          <w:r>
            <w:rPr>
              <w:color w:val="000000" w:themeColor="text1"/>
              <w:sz w:val="23"/>
              <w:szCs w:val="23"/>
              <w14:textFill>
                <w14:solidFill>
                  <w14:schemeClr w14:val="tx1"/>
                </w14:solidFill>
              </w14:textFill>
            </w:rPr>
            <w:t>[Accessed 5 August 2024].</w:t>
          </w:r>
        </w:p>
        <w:p w14:paraId="0CEFB8A0">
          <w:pPr>
            <w:jc w:val="left"/>
            <w:rPr>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t>Shyam-Sunder, L. and Myers, S.C., 1999. Testing static tradeoff against pecking order models of capital structure. </w:t>
          </w:r>
          <w:r>
            <w:rPr>
              <w:i/>
              <w:iCs/>
              <w:color w:val="000000" w:themeColor="text1"/>
              <w:sz w:val="23"/>
              <w:szCs w:val="23"/>
              <w14:textFill>
                <w14:solidFill>
                  <w14:schemeClr w14:val="tx1"/>
                </w14:solidFill>
              </w14:textFill>
            </w:rPr>
            <w:t>Journal of financial economics</w:t>
          </w:r>
          <w:r>
            <w:rPr>
              <w:color w:val="000000" w:themeColor="text1"/>
              <w:sz w:val="23"/>
              <w:szCs w:val="23"/>
              <w14:textFill>
                <w14:solidFill>
                  <w14:schemeClr w14:val="tx1"/>
                </w14:solidFill>
              </w14:textFill>
            </w:rPr>
            <w:t>, </w:t>
          </w:r>
          <w:r>
            <w:rPr>
              <w:i/>
              <w:iCs/>
              <w:color w:val="000000" w:themeColor="text1"/>
              <w:sz w:val="23"/>
              <w:szCs w:val="23"/>
              <w14:textFill>
                <w14:solidFill>
                  <w14:schemeClr w14:val="tx1"/>
                </w14:solidFill>
              </w14:textFill>
            </w:rPr>
            <w:t>51</w:t>
          </w:r>
          <w:r>
            <w:rPr>
              <w:color w:val="000000" w:themeColor="text1"/>
              <w:sz w:val="23"/>
              <w:szCs w:val="23"/>
              <w14:textFill>
                <w14:solidFill>
                  <w14:schemeClr w14:val="tx1"/>
                </w14:solidFill>
              </w14:textFill>
            </w:rPr>
            <w:t>(2), pp.219-244.</w:t>
          </w:r>
        </w:p>
        <w:p w14:paraId="19CF436A">
          <w:pPr>
            <w:jc w:val="left"/>
            <w:rPr>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t xml:space="preserve">Unilever, 2018. </w:t>
          </w:r>
          <w:r>
            <w:rPr>
              <w:i/>
              <w:iCs/>
              <w:color w:val="000000" w:themeColor="text1"/>
              <w:sz w:val="23"/>
              <w:szCs w:val="23"/>
              <w14:textFill>
                <w14:solidFill>
                  <w14:schemeClr w14:val="tx1"/>
                </w14:solidFill>
              </w14:textFill>
            </w:rPr>
            <w:t>Unilever to acquire Horlicks and other consumer healthcare nutrition products from GSK.</w:t>
          </w:r>
          <w:r>
            <w:rPr>
              <w:color w:val="000000" w:themeColor="text1"/>
              <w:sz w:val="23"/>
              <w:szCs w:val="23"/>
              <w14:textFill>
                <w14:solidFill>
                  <w14:schemeClr w14:val="tx1"/>
                </w14:solidFill>
              </w14:textFill>
            </w:rPr>
            <w:t xml:space="preserve"> [online] Available at: </w:t>
          </w:r>
          <w:r>
            <w:rPr>
              <w:color w:val="000000" w:themeColor="text1"/>
              <w:sz w:val="23"/>
              <w:szCs w:val="23"/>
              <w:u w:val="single"/>
              <w14:textFill>
                <w14:solidFill>
                  <w14:schemeClr w14:val="tx1"/>
                </w14:solidFill>
              </w14:textFill>
            </w:rPr>
            <w:t>https://www.unilever.com/news/press-releases/2018/unilever-to-acquire-horlicks-and-other-consumer-healthcare-nutrition-products-from-gsk/</w:t>
          </w:r>
          <w:r>
            <w:rPr>
              <w:color w:val="000000" w:themeColor="text1"/>
              <w:sz w:val="23"/>
              <w:szCs w:val="23"/>
              <w14:textFill>
                <w14:solidFill>
                  <w14:schemeClr w14:val="tx1"/>
                </w14:solidFill>
              </w14:textFill>
            </w:rPr>
            <w:t xml:space="preserve"> [Accessed 1 August 2024].</w:t>
          </w:r>
        </w:p>
        <w:p w14:paraId="3F59F081">
          <w:pPr>
            <w:jc w:val="left"/>
            <w:rPr>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t xml:space="preserve">Unilever, 2019a. </w:t>
          </w:r>
          <w:r>
            <w:rPr>
              <w:i/>
              <w:iCs/>
              <w:color w:val="000000" w:themeColor="text1"/>
              <w:sz w:val="23"/>
              <w:szCs w:val="23"/>
              <w14:textFill>
                <w14:solidFill>
                  <w14:schemeClr w14:val="tx1"/>
                </w14:solidFill>
              </w14:textFill>
            </w:rPr>
            <w:t>Unilever announces CEO succession</w:t>
          </w:r>
          <w:r>
            <w:rPr>
              <w:color w:val="000000" w:themeColor="text1"/>
              <w:sz w:val="23"/>
              <w:szCs w:val="23"/>
              <w14:textFill>
                <w14:solidFill>
                  <w14:schemeClr w14:val="tx1"/>
                </w14:solidFill>
              </w14:textFill>
            </w:rPr>
            <w:t xml:space="preserve">. [online] Available at: </w:t>
          </w:r>
          <w:r>
            <w:rPr>
              <w:color w:val="000000" w:themeColor="text1"/>
              <w:sz w:val="23"/>
              <w:szCs w:val="23"/>
              <w:u w:val="single"/>
              <w14:textFill>
                <w14:solidFill>
                  <w14:schemeClr w14:val="tx1"/>
                </w14:solidFill>
              </w14:textFill>
            </w:rPr>
            <w:t>https://www.unilever.com/news/press-and-media/press-releases/2018/unilever-ceo-announcement/#:~:text=London%20%2F%20Rotterdam%20%2D%20Unilever%20today%20announced,first%20half%20of%20the%20year.</w:t>
          </w:r>
          <w:r>
            <w:rPr>
              <w:color w:val="000000" w:themeColor="text1"/>
              <w:sz w:val="23"/>
              <w:szCs w:val="23"/>
              <w14:textFill>
                <w14:solidFill>
                  <w14:schemeClr w14:val="tx1"/>
                </w14:solidFill>
              </w14:textFill>
            </w:rPr>
            <w:t xml:space="preserve"> [Accessed 2 August 2024].</w:t>
          </w:r>
        </w:p>
        <w:p w14:paraId="72571B97">
          <w:pPr>
            <w:jc w:val="left"/>
            <w:rPr>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t xml:space="preserve">Unilever, 2020b. </w:t>
          </w:r>
          <w:r>
            <w:rPr>
              <w:i/>
              <w:iCs/>
              <w:color w:val="000000" w:themeColor="text1"/>
              <w:sz w:val="23"/>
              <w:szCs w:val="23"/>
              <w14:textFill>
                <w14:solidFill>
                  <w14:schemeClr w14:val="tx1"/>
                </w14:solidFill>
              </w14:textFill>
            </w:rPr>
            <w:t>Unilever contributes €100m to help the fight against the pandemic.</w:t>
          </w:r>
          <w:r>
            <w:rPr>
              <w:color w:val="000000" w:themeColor="text1"/>
              <w:sz w:val="23"/>
              <w:szCs w:val="23"/>
              <w14:textFill>
                <w14:solidFill>
                  <w14:schemeClr w14:val="tx1"/>
                </w14:solidFill>
              </w14:textFill>
            </w:rPr>
            <w:t xml:space="preserve"> [online] Available at: </w:t>
          </w:r>
          <w:r>
            <w:rPr>
              <w:color w:val="000000" w:themeColor="text1"/>
              <w:sz w:val="23"/>
              <w:szCs w:val="23"/>
              <w:u w:val="single"/>
              <w14:textFill>
                <w14:solidFill>
                  <w14:schemeClr w14:val="tx1"/>
                </w14:solidFill>
              </w14:textFill>
            </w:rPr>
            <w:t>https://www.unilever.com/news/press-and-media/press-releases/2020/helping-to-protect-lives-and-livelihoods-from-the-covid-19-pandemic/#:~:text=%E2%80%9CWe%20hope%20that%20our%20donation,mind%20during%20these%20uncertain%20times.</w:t>
          </w:r>
          <w:r>
            <w:rPr>
              <w:color w:val="000000" w:themeColor="text1"/>
              <w:sz w:val="23"/>
              <w:szCs w:val="23"/>
              <w14:textFill>
                <w14:solidFill>
                  <w14:schemeClr w14:val="tx1"/>
                </w14:solidFill>
              </w14:textFill>
            </w:rPr>
            <w:t xml:space="preserve"> [Accessed 3 August 2024].</w:t>
          </w:r>
        </w:p>
        <w:p w14:paraId="3BDDFEBA">
          <w:pPr>
            <w:jc w:val="left"/>
            <w:rPr>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t xml:space="preserve">Unilever, 2021. </w:t>
          </w:r>
          <w:r>
            <w:rPr>
              <w:i/>
              <w:iCs/>
              <w:color w:val="000000" w:themeColor="text1"/>
              <w:sz w:val="23"/>
              <w:szCs w:val="23"/>
              <w14:textFill>
                <w14:solidFill>
                  <w14:schemeClr w14:val="tx1"/>
                </w14:solidFill>
              </w14:textFill>
            </w:rPr>
            <w:t>Unilever Annual Report and Accounts 2020.</w:t>
          </w:r>
          <w:r>
            <w:rPr>
              <w:color w:val="000000" w:themeColor="text1"/>
              <w:sz w:val="23"/>
              <w:szCs w:val="23"/>
              <w14:textFill>
                <w14:solidFill>
                  <w14:schemeClr w14:val="tx1"/>
                </w14:solidFill>
              </w14:textFill>
            </w:rPr>
            <w:t xml:space="preserve"> [online] Available at: </w:t>
          </w:r>
          <w:r>
            <w:rPr>
              <w:color w:val="000000" w:themeColor="text1"/>
              <w:sz w:val="23"/>
              <w:szCs w:val="23"/>
              <w:u w:val="single"/>
              <w14:textFill>
                <w14:solidFill>
                  <w14:schemeClr w14:val="tx1"/>
                </w14:solidFill>
              </w14:textFill>
            </w:rPr>
            <w:t xml:space="preserve">https://www.unilever.com/files/92ui5egz/production/75f31d18a2219004f4afe03e37ccd2a3b383472f.pdf </w:t>
          </w:r>
          <w:r>
            <w:rPr>
              <w:color w:val="000000" w:themeColor="text1"/>
              <w:sz w:val="23"/>
              <w:szCs w:val="23"/>
              <w14:textFill>
                <w14:solidFill>
                  <w14:schemeClr w14:val="tx1"/>
                </w14:solidFill>
              </w14:textFill>
            </w:rPr>
            <w:t>[Accessed 4 August 2024].</w:t>
          </w:r>
        </w:p>
        <w:p w14:paraId="12CA760E">
          <w:pPr>
            <w:jc w:val="left"/>
            <w:rPr>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t xml:space="preserve">Unilever, 2021a. </w:t>
          </w:r>
          <w:r>
            <w:rPr>
              <w:i/>
              <w:iCs/>
              <w:color w:val="000000" w:themeColor="text1"/>
              <w:sz w:val="23"/>
              <w:szCs w:val="23"/>
              <w14:textFill>
                <w14:solidFill>
                  <w14:schemeClr w14:val="tx1"/>
                </w14:solidFill>
              </w14:textFill>
            </w:rPr>
            <w:t>Unilever announces sale of its Tea business, ekaterra, to CVC Capital Partners Fund VIII for €4.5bn.</w:t>
          </w:r>
          <w:r>
            <w:rPr>
              <w:color w:val="000000" w:themeColor="text1"/>
              <w:sz w:val="23"/>
              <w:szCs w:val="23"/>
              <w14:textFill>
                <w14:solidFill>
                  <w14:schemeClr w14:val="tx1"/>
                </w14:solidFill>
              </w14:textFill>
            </w:rPr>
            <w:t xml:space="preserve"> [online] Available at: </w:t>
          </w:r>
          <w:r>
            <w:rPr>
              <w:color w:val="000000" w:themeColor="text1"/>
              <w:sz w:val="23"/>
              <w:szCs w:val="23"/>
              <w:u w:val="single"/>
              <w14:textFill>
                <w14:solidFill>
                  <w14:schemeClr w14:val="tx1"/>
                </w14:solidFill>
              </w14:textFill>
            </w:rPr>
            <w:t>https://www.unilever.com/news/press-and-media/press-releases/2021/unilever-to-sell-its-tea-business-ekaterra-to-cvc-capital-partners-fund-viii-for-45-bn/#:~:text=London%2C%2018%20November%202021%20%E2%80%93%20Unilever,free%2C%20debt%2Dfree%20basis.</w:t>
          </w:r>
          <w:r>
            <w:rPr>
              <w:color w:val="000000" w:themeColor="text1"/>
              <w:sz w:val="23"/>
              <w:szCs w:val="23"/>
              <w14:textFill>
                <w14:solidFill>
                  <w14:schemeClr w14:val="tx1"/>
                </w14:solidFill>
              </w14:textFill>
            </w:rPr>
            <w:t xml:space="preserve"> [Accessed 4 August  2024].</w:t>
          </w:r>
        </w:p>
        <w:p w14:paraId="7C1FB6D9">
          <w:pPr>
            <w:jc w:val="left"/>
            <w:rPr>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t xml:space="preserve">Unilever, 2021b. </w:t>
          </w:r>
          <w:r>
            <w:rPr>
              <w:i/>
              <w:iCs/>
              <w:color w:val="000000" w:themeColor="text1"/>
              <w:sz w:val="23"/>
              <w:szCs w:val="23"/>
              <w14:textFill>
                <w14:solidFill>
                  <w14:schemeClr w14:val="tx1"/>
                </w14:solidFill>
              </w14:textFill>
            </w:rPr>
            <w:t>Unilever commits to help build a more inclusive society.</w:t>
          </w:r>
          <w:r>
            <w:rPr>
              <w:color w:val="000000" w:themeColor="text1"/>
              <w:sz w:val="23"/>
              <w:szCs w:val="23"/>
              <w14:textFill>
                <w14:solidFill>
                  <w14:schemeClr w14:val="tx1"/>
                </w14:solidFill>
              </w14:textFill>
            </w:rPr>
            <w:t xml:space="preserve"> [online] Available at: </w:t>
          </w:r>
          <w:r>
            <w:rPr>
              <w:color w:val="000000" w:themeColor="text1"/>
              <w:sz w:val="23"/>
              <w:szCs w:val="23"/>
              <w:u w:val="single"/>
              <w14:textFill>
                <w14:solidFill>
                  <w14:schemeClr w14:val="tx1"/>
                </w14:solidFill>
              </w14:textFill>
            </w:rPr>
            <w:t>https://www.unilever.com/news/press-releases/2021/unilever-commits-to-help-build-a-more-inclusive-society/</w:t>
          </w:r>
          <w:r>
            <w:rPr>
              <w:color w:val="000000" w:themeColor="text1"/>
              <w:sz w:val="23"/>
              <w:szCs w:val="23"/>
              <w14:textFill>
                <w14:solidFill>
                  <w14:schemeClr w14:val="tx1"/>
                </w14:solidFill>
              </w14:textFill>
            </w:rPr>
            <w:t xml:space="preserve"> [Accessed 1 August 2024].</w:t>
          </w:r>
        </w:p>
        <w:p w14:paraId="13BB13BB">
          <w:pPr>
            <w:jc w:val="left"/>
            <w:rPr>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t xml:space="preserve">Unilever, 2022a. </w:t>
          </w:r>
          <w:r>
            <w:rPr>
              <w:i/>
              <w:iCs/>
              <w:color w:val="000000" w:themeColor="text1"/>
              <w:sz w:val="23"/>
              <w:szCs w:val="23"/>
              <w14:textFill>
                <w14:solidFill>
                  <w14:schemeClr w14:val="tx1"/>
                </w14:solidFill>
              </w14:textFill>
            </w:rPr>
            <w:t>Update on GSK Consumer Healthcare acquisition proposal.</w:t>
          </w:r>
          <w:r>
            <w:rPr>
              <w:color w:val="000000" w:themeColor="text1"/>
              <w:sz w:val="23"/>
              <w:szCs w:val="23"/>
              <w14:textFill>
                <w14:solidFill>
                  <w14:schemeClr w14:val="tx1"/>
                </w14:solidFill>
              </w14:textFill>
            </w:rPr>
            <w:t xml:space="preserve"> [online] Available at: </w:t>
          </w:r>
          <w:r>
            <w:rPr>
              <w:color w:val="000000" w:themeColor="text1"/>
              <w:sz w:val="23"/>
              <w:szCs w:val="23"/>
              <w:u w:val="single"/>
              <w14:textFill>
                <w14:solidFill>
                  <w14:schemeClr w14:val="tx1"/>
                </w14:solidFill>
              </w14:textFill>
            </w:rPr>
            <w:t>https://www.unilever.com/news/press-and-media/press-releases/2022/unilever-update/</w:t>
          </w:r>
          <w:r>
            <w:rPr>
              <w:color w:val="000000" w:themeColor="text1"/>
              <w:sz w:val="23"/>
              <w:szCs w:val="23"/>
              <w14:textFill>
                <w14:solidFill>
                  <w14:schemeClr w14:val="tx1"/>
                </w14:solidFill>
              </w14:textFill>
            </w:rPr>
            <w:t xml:space="preserve"> [Accessed 6 August 2024].</w:t>
          </w:r>
        </w:p>
        <w:p w14:paraId="62299E27">
          <w:pPr>
            <w:jc w:val="left"/>
            <w:rPr>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t xml:space="preserve">Unilever, 2022b. </w:t>
          </w:r>
          <w:r>
            <w:rPr>
              <w:i/>
              <w:iCs/>
              <w:color w:val="000000" w:themeColor="text1"/>
              <w:sz w:val="23"/>
              <w:szCs w:val="23"/>
              <w14:textFill>
                <w14:solidFill>
                  <w14:schemeClr w14:val="tx1"/>
                </w14:solidFill>
              </w14:textFill>
            </w:rPr>
            <w:t>Unilever to create new organisation.</w:t>
          </w:r>
          <w:r>
            <w:rPr>
              <w:color w:val="000000" w:themeColor="text1"/>
              <w:sz w:val="23"/>
              <w:szCs w:val="23"/>
              <w14:textFill>
                <w14:solidFill>
                  <w14:schemeClr w14:val="tx1"/>
                </w14:solidFill>
              </w14:textFill>
            </w:rPr>
            <w:t xml:space="preserve"> [online] Available at: </w:t>
          </w:r>
          <w:r>
            <w:rPr>
              <w:color w:val="000000" w:themeColor="text1"/>
              <w:sz w:val="23"/>
              <w:szCs w:val="23"/>
              <w:u w:val="single"/>
              <w14:textFill>
                <w14:solidFill>
                  <w14:schemeClr w14:val="tx1"/>
                </w14:solidFill>
              </w14:textFill>
            </w:rPr>
            <w:t>https://www.unilever.com/news/press-and-media/press-releases/2022/unilever-simplifies-organisation/</w:t>
          </w:r>
          <w:r>
            <w:rPr>
              <w:color w:val="000000" w:themeColor="text1"/>
              <w:sz w:val="23"/>
              <w:szCs w:val="23"/>
              <w14:textFill>
                <w14:solidFill>
                  <w14:schemeClr w14:val="tx1"/>
                </w14:solidFill>
              </w14:textFill>
            </w:rPr>
            <w:t xml:space="preserve"> [Accessed 5 August 2024].</w:t>
          </w:r>
        </w:p>
        <w:p w14:paraId="7F861774">
          <w:pPr>
            <w:jc w:val="left"/>
            <w:rPr>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t xml:space="preserve">Unilever, 2023. </w:t>
          </w:r>
          <w:r>
            <w:rPr>
              <w:i/>
              <w:iCs/>
              <w:color w:val="000000" w:themeColor="text1"/>
              <w:sz w:val="23"/>
              <w:szCs w:val="23"/>
              <w14:textFill>
                <w14:solidFill>
                  <w14:schemeClr w14:val="tx1"/>
                </w14:solidFill>
              </w14:textFill>
            </w:rPr>
            <w:t>Unilever Annual Report and Accounts 2022.</w:t>
          </w:r>
          <w:r>
            <w:rPr>
              <w:color w:val="000000" w:themeColor="text1"/>
              <w:sz w:val="23"/>
              <w:szCs w:val="23"/>
              <w14:textFill>
                <w14:solidFill>
                  <w14:schemeClr w14:val="tx1"/>
                </w14:solidFill>
              </w14:textFill>
            </w:rPr>
            <w:t xml:space="preserve"> [online] Available at: </w:t>
          </w:r>
          <w:r>
            <w:rPr>
              <w:color w:val="000000" w:themeColor="text1"/>
              <w:sz w:val="23"/>
              <w:szCs w:val="23"/>
              <w:u w:val="single"/>
              <w14:textFill>
                <w14:solidFill>
                  <w14:schemeClr w14:val="tx1"/>
                </w14:solidFill>
              </w14:textFill>
            </w:rPr>
            <w:t xml:space="preserve">https://www.unilever.com/files/92ui5egz/production/0daddecec3fdde4d47d907689fe19e040aab9c58.pdf </w:t>
          </w:r>
          <w:r>
            <w:rPr>
              <w:color w:val="000000" w:themeColor="text1"/>
              <w:sz w:val="23"/>
              <w:szCs w:val="23"/>
              <w14:textFill>
                <w14:solidFill>
                  <w14:schemeClr w14:val="tx1"/>
                </w14:solidFill>
              </w14:textFill>
            </w:rPr>
            <w:t>[Accessed 7 August 2024].</w:t>
          </w:r>
        </w:p>
        <w:p w14:paraId="71A53168">
          <w:pPr>
            <w:jc w:val="left"/>
            <w:rPr>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t xml:space="preserve">Unilever, 2023a. </w:t>
          </w:r>
          <w:r>
            <w:rPr>
              <w:i/>
              <w:iCs/>
              <w:color w:val="000000" w:themeColor="text1"/>
              <w:sz w:val="23"/>
              <w:szCs w:val="23"/>
              <w14:textFill>
                <w14:solidFill>
                  <w14:schemeClr w14:val="tx1"/>
                </w14:solidFill>
              </w14:textFill>
            </w:rPr>
            <w:t>Our history.</w:t>
          </w:r>
          <w:r>
            <w:rPr>
              <w:color w:val="000000" w:themeColor="text1"/>
              <w:sz w:val="23"/>
              <w:szCs w:val="23"/>
              <w14:textFill>
                <w14:solidFill>
                  <w14:schemeClr w14:val="tx1"/>
                </w14:solidFill>
              </w14:textFill>
            </w:rPr>
            <w:t xml:space="preserve"> [online] Available at: </w:t>
          </w:r>
          <w:r>
            <w:rPr>
              <w:color w:val="000000" w:themeColor="text1"/>
              <w:sz w:val="23"/>
              <w:szCs w:val="23"/>
              <w:u w:val="single"/>
              <w14:textFill>
                <w14:solidFill>
                  <w14:schemeClr w14:val="tx1"/>
                </w14:solidFill>
              </w14:textFill>
            </w:rPr>
            <w:t>https://www.unilever.com/our-company/our-history-and-archives/1800s/</w:t>
          </w:r>
          <w:r>
            <w:rPr>
              <w:color w:val="000000" w:themeColor="text1"/>
              <w:sz w:val="23"/>
              <w:szCs w:val="23"/>
              <w14:textFill>
                <w14:solidFill>
                  <w14:schemeClr w14:val="tx1"/>
                </w14:solidFill>
              </w14:textFill>
            </w:rPr>
            <w:t xml:space="preserve"> [Accessed 1 August 2024].</w:t>
          </w:r>
        </w:p>
        <w:p w14:paraId="69654A8E">
          <w:pPr>
            <w:jc w:val="left"/>
            <w:rPr>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t xml:space="preserve">Unilever, 2023b. </w:t>
          </w:r>
          <w:r>
            <w:rPr>
              <w:i/>
              <w:iCs/>
              <w:color w:val="000000" w:themeColor="text1"/>
              <w:sz w:val="23"/>
              <w:szCs w:val="23"/>
              <w14:textFill>
                <w14:solidFill>
                  <w14:schemeClr w14:val="tx1"/>
                </w14:solidFill>
              </w14:textFill>
            </w:rPr>
            <w:t>Our brands</w:t>
          </w:r>
          <w:r>
            <w:rPr>
              <w:color w:val="000000" w:themeColor="text1"/>
              <w:sz w:val="23"/>
              <w:szCs w:val="23"/>
              <w14:textFill>
                <w14:solidFill>
                  <w14:schemeClr w14:val="tx1"/>
                </w14:solidFill>
              </w14:textFill>
            </w:rPr>
            <w:t xml:space="preserve">. [online] Available at: </w:t>
          </w:r>
          <w:r>
            <w:rPr>
              <w:color w:val="000000" w:themeColor="text1"/>
              <w:sz w:val="23"/>
              <w:szCs w:val="23"/>
              <w:u w:val="single"/>
              <w14:textFill>
                <w14:solidFill>
                  <w14:schemeClr w14:val="tx1"/>
                </w14:solidFill>
              </w14:textFill>
            </w:rPr>
            <w:t>https://www.unilever.com/brands/</w:t>
          </w:r>
          <w:r>
            <w:rPr>
              <w:color w:val="000000" w:themeColor="text1"/>
              <w:sz w:val="23"/>
              <w:szCs w:val="23"/>
              <w14:textFill>
                <w14:solidFill>
                  <w14:schemeClr w14:val="tx1"/>
                </w14:solidFill>
              </w14:textFill>
            </w:rPr>
            <w:t xml:space="preserve"> [Accessed 1 August 2024].</w:t>
          </w:r>
        </w:p>
        <w:p w14:paraId="543B0612">
          <w:pPr>
            <w:jc w:val="left"/>
            <w:rPr>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t xml:space="preserve">Unilever, 2023c. </w:t>
          </w:r>
          <w:r>
            <w:rPr>
              <w:i/>
              <w:iCs/>
              <w:color w:val="000000" w:themeColor="text1"/>
              <w:sz w:val="23"/>
              <w:szCs w:val="23"/>
              <w14:textFill>
                <w14:solidFill>
                  <w14:schemeClr w14:val="tx1"/>
                </w14:solidFill>
              </w14:textFill>
            </w:rPr>
            <w:t>Unilever announces CEO succession</w:t>
          </w:r>
          <w:r>
            <w:rPr>
              <w:color w:val="000000" w:themeColor="text1"/>
              <w:sz w:val="23"/>
              <w:szCs w:val="23"/>
              <w14:textFill>
                <w14:solidFill>
                  <w14:schemeClr w14:val="tx1"/>
                </w14:solidFill>
              </w14:textFill>
            </w:rPr>
            <w:t xml:space="preserve">. [online] Available at: </w:t>
          </w:r>
          <w:r>
            <w:rPr>
              <w:color w:val="000000" w:themeColor="text1"/>
              <w:sz w:val="23"/>
              <w:szCs w:val="23"/>
              <w:u w:val="single"/>
              <w14:textFill>
                <w14:solidFill>
                  <w14:schemeClr w14:val="tx1"/>
                </w14:solidFill>
              </w14:textFill>
            </w:rPr>
            <w:t>https://www.unilever.com/news/press-and-media/press-releases/2023/unilever-appoints-hein-schumacher-as-new-ceo/</w:t>
          </w:r>
          <w:r>
            <w:rPr>
              <w:color w:val="000000" w:themeColor="text1"/>
              <w:sz w:val="23"/>
              <w:szCs w:val="23"/>
              <w14:textFill>
                <w14:solidFill>
                  <w14:schemeClr w14:val="tx1"/>
                </w14:solidFill>
              </w14:textFill>
            </w:rPr>
            <w:t xml:space="preserve"> [Accessed 1 August 2024].</w:t>
          </w:r>
        </w:p>
        <w:p w14:paraId="6587C2FD">
          <w:pPr>
            <w:jc w:val="left"/>
            <w:rPr>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t>Verhoef, P.C., Broekhuizen, T., Bart, Y., Bhattacharya, A., Dong, J.Q., Fabian, N. and Haenlein, M., 2021. Digital transformation: A multidisciplinary reflection and research agenda. </w:t>
          </w:r>
          <w:r>
            <w:rPr>
              <w:i/>
              <w:iCs/>
              <w:color w:val="000000" w:themeColor="text1"/>
              <w:sz w:val="23"/>
              <w:szCs w:val="23"/>
              <w14:textFill>
                <w14:solidFill>
                  <w14:schemeClr w14:val="tx1"/>
                </w14:solidFill>
              </w14:textFill>
            </w:rPr>
            <w:t>Journal of business research</w:t>
          </w:r>
          <w:r>
            <w:rPr>
              <w:color w:val="000000" w:themeColor="text1"/>
              <w:sz w:val="23"/>
              <w:szCs w:val="23"/>
              <w14:textFill>
                <w14:solidFill>
                  <w14:schemeClr w14:val="tx1"/>
                </w14:solidFill>
              </w14:textFill>
            </w:rPr>
            <w:t>, </w:t>
          </w:r>
          <w:r>
            <w:rPr>
              <w:i/>
              <w:iCs/>
              <w:color w:val="000000" w:themeColor="text1"/>
              <w:sz w:val="23"/>
              <w:szCs w:val="23"/>
              <w14:textFill>
                <w14:solidFill>
                  <w14:schemeClr w14:val="tx1"/>
                </w14:solidFill>
              </w14:textFill>
            </w:rPr>
            <w:t>122</w:t>
          </w:r>
          <w:r>
            <w:rPr>
              <w:color w:val="000000" w:themeColor="text1"/>
              <w:sz w:val="23"/>
              <w:szCs w:val="23"/>
              <w14:textFill>
                <w14:solidFill>
                  <w14:schemeClr w14:val="tx1"/>
                </w14:solidFill>
              </w14:textFill>
            </w:rPr>
            <w:t>, pp.889-901.</w:t>
          </w:r>
        </w:p>
        <w:p w14:paraId="2CAA27BD">
          <w:pPr>
            <w:jc w:val="left"/>
          </w:pPr>
          <w:r>
            <w:rPr>
              <w:color w:val="000000" w:themeColor="text1"/>
              <w:sz w:val="23"/>
              <w:szCs w:val="23"/>
              <w14:textFill>
                <w14:solidFill>
                  <w14:schemeClr w14:val="tx1"/>
                </w14:solidFill>
              </w14:textFill>
            </w:rPr>
            <w:t xml:space="preserve">Yahoo Finance, 2024. </w:t>
          </w:r>
          <w:r>
            <w:rPr>
              <w:i/>
              <w:iCs/>
              <w:color w:val="000000" w:themeColor="text1"/>
              <w:sz w:val="23"/>
              <w:szCs w:val="23"/>
              <w14:textFill>
                <w14:solidFill>
                  <w14:schemeClr w14:val="tx1"/>
                </w14:solidFill>
              </w14:textFill>
            </w:rPr>
            <w:t>Historical Data</w:t>
          </w:r>
          <w:r>
            <w:rPr>
              <w:color w:val="000000" w:themeColor="text1"/>
              <w:sz w:val="23"/>
              <w:szCs w:val="23"/>
              <w14:textFill>
                <w14:solidFill>
                  <w14:schemeClr w14:val="tx1"/>
                </w14:solidFill>
              </w14:textFill>
            </w:rPr>
            <w:t xml:space="preserve">. [online] Available at: </w:t>
          </w:r>
          <w:r>
            <w:rPr>
              <w:color w:val="000000" w:themeColor="text1"/>
              <w:sz w:val="23"/>
              <w:szCs w:val="23"/>
              <w:u w:val="single"/>
              <w14:textFill>
                <w14:solidFill>
                  <w14:schemeClr w14:val="tx1"/>
                </w14:solidFill>
              </w14:textFill>
            </w:rPr>
            <w:t xml:space="preserve">https://uk.finance.yahoo.com/quote/ULVR.L/history/ </w:t>
          </w:r>
          <w:r>
            <w:rPr>
              <w:color w:val="000000" w:themeColor="text1"/>
              <w:sz w:val="23"/>
              <w:szCs w:val="23"/>
              <w14:textFill>
                <w14:solidFill>
                  <w14:schemeClr w14:val="tx1"/>
                </w14:solidFill>
              </w14:textFill>
            </w:rPr>
            <w:t>[Accessed 9 August 2024].</w:t>
          </w:r>
        </w:p>
      </w:sdtContent>
    </w:sdt>
    <w:p w14:paraId="390A0EFC">
      <w:pPr>
        <w:jc w:val="left"/>
      </w:pPr>
    </w:p>
    <w:p w14:paraId="23EE5255">
      <w:pPr>
        <w:jc w:val="left"/>
      </w:pPr>
    </w:p>
    <w:p w14:paraId="14499C93">
      <w:pPr>
        <w:jc w:val="left"/>
      </w:pPr>
    </w:p>
    <w:p w14:paraId="4831997B">
      <w:pPr>
        <w:jc w:val="left"/>
      </w:pPr>
    </w:p>
    <w:p w14:paraId="0C6502C1">
      <w:pPr>
        <w:jc w:val="left"/>
      </w:pPr>
    </w:p>
    <w:p w14:paraId="733A40CD">
      <w:pPr>
        <w:jc w:val="left"/>
      </w:pPr>
    </w:p>
    <w:p w14:paraId="2DE53E2B">
      <w:pPr>
        <w:jc w:val="left"/>
      </w:pPr>
    </w:p>
    <w:p w14:paraId="5842CAD2">
      <w:pPr>
        <w:pStyle w:val="2"/>
      </w:pPr>
      <w:r>
        <w:t>Appendix 1: Revenue of Unilever Group</w:t>
      </w:r>
    </w:p>
    <w:p w14:paraId="390668CC">
      <w:pPr>
        <w:jc w:val="center"/>
        <w:rPr>
          <w:lang w:eastAsia="ja-JP"/>
        </w:rPr>
      </w:pPr>
      <w:r>
        <w:rPr>
          <w:lang w:eastAsia="ja-JP"/>
        </w:rPr>
        <w:drawing>
          <wp:inline distT="0" distB="0" distL="0" distR="0">
            <wp:extent cx="4762500" cy="3299460"/>
            <wp:effectExtent l="0" t="0" r="0" b="0"/>
            <wp:docPr id="1326548887" name="Picture 1" descr="A graph of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548887" name="Picture 1" descr="A graph of blue bars&#10;&#10;Description automatically generated"/>
                    <pic:cNvPicPr>
                      <a:picLocks noChangeAspect="1"/>
                    </pic:cNvPicPr>
                  </pic:nvPicPr>
                  <pic:blipFill>
                    <a:blip r:embed="rId14"/>
                    <a:stretch>
                      <a:fillRect/>
                    </a:stretch>
                  </pic:blipFill>
                  <pic:spPr>
                    <a:xfrm>
                      <a:off x="0" y="0"/>
                      <a:ext cx="4762916" cy="3299748"/>
                    </a:xfrm>
                    <a:prstGeom prst="rect">
                      <a:avLst/>
                    </a:prstGeom>
                  </pic:spPr>
                </pic:pic>
              </a:graphicData>
            </a:graphic>
          </wp:inline>
        </w:drawing>
      </w:r>
    </w:p>
    <w:p w14:paraId="06338EDD">
      <w:pPr>
        <w:jc w:val="center"/>
        <w:rPr>
          <w:b/>
          <w:bCs/>
          <w:sz w:val="20"/>
          <w:szCs w:val="18"/>
          <w:lang w:eastAsia="ja-JP"/>
        </w:rPr>
      </w:pPr>
      <w:r>
        <w:rPr>
          <w:b/>
          <w:bCs/>
          <w:sz w:val="20"/>
          <w:szCs w:val="18"/>
          <w:lang w:eastAsia="ja-JP"/>
        </w:rPr>
        <w:t xml:space="preserve">Figure 2: Revenue of Unilever Group </w:t>
      </w:r>
    </w:p>
    <w:p w14:paraId="7B530551">
      <w:pPr>
        <w:pStyle w:val="2"/>
      </w:pPr>
      <w:r>
        <w:t>Appendix 2: PE Ratio</w:t>
      </w:r>
    </w:p>
    <w:p w14:paraId="2BFE66BC">
      <w:pPr>
        <w:rPr>
          <w:lang w:eastAsia="ja-JP"/>
        </w:rPr>
      </w:pPr>
      <w:r>
        <w:rPr>
          <w:lang w:eastAsia="ja-JP"/>
        </w:rPr>
        <w:drawing>
          <wp:inline distT="0" distB="0" distL="0" distR="0">
            <wp:extent cx="5730240" cy="3307080"/>
            <wp:effectExtent l="0" t="0" r="3810" b="7620"/>
            <wp:docPr id="2077027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02760" name="Picture 1"/>
                    <pic:cNvPicPr>
                      <a:picLocks noChangeAspect="1"/>
                    </pic:cNvPicPr>
                  </pic:nvPicPr>
                  <pic:blipFill>
                    <a:blip r:embed="rId15"/>
                    <a:stretch>
                      <a:fillRect/>
                    </a:stretch>
                  </pic:blipFill>
                  <pic:spPr>
                    <a:xfrm>
                      <a:off x="0" y="0"/>
                      <a:ext cx="5730739" cy="3307368"/>
                    </a:xfrm>
                    <a:prstGeom prst="rect">
                      <a:avLst/>
                    </a:prstGeom>
                  </pic:spPr>
                </pic:pic>
              </a:graphicData>
            </a:graphic>
          </wp:inline>
        </w:drawing>
      </w:r>
    </w:p>
    <w:p w14:paraId="4BDD32D8">
      <w:pPr>
        <w:jc w:val="center"/>
        <w:rPr>
          <w:sz w:val="20"/>
          <w:szCs w:val="18"/>
          <w:lang w:eastAsia="ja-JP"/>
        </w:rPr>
      </w:pPr>
      <w:r>
        <w:rPr>
          <w:sz w:val="20"/>
          <w:szCs w:val="18"/>
          <w:lang w:eastAsia="ja-JP"/>
        </w:rPr>
        <w:t>Figure 3: PE ratio of Unilever and its competitors</w:t>
      </w:r>
    </w:p>
    <w:p w14:paraId="548D7E73">
      <w:pPr>
        <w:jc w:val="center"/>
        <w:rPr>
          <w:sz w:val="20"/>
          <w:szCs w:val="18"/>
          <w:lang w:eastAsia="ja-JP"/>
        </w:rPr>
      </w:pPr>
    </w:p>
    <w:p w14:paraId="46EC5278">
      <w:pPr>
        <w:pStyle w:val="2"/>
      </w:pPr>
      <w:r>
        <w:t xml:space="preserve">Appendix 3: Appointment of New CEO downplays Purpose </w:t>
      </w:r>
    </w:p>
    <w:p w14:paraId="793AD9D3">
      <w:pPr>
        <w:jc w:val="center"/>
        <w:rPr>
          <w:lang w:eastAsia="ja-JP"/>
        </w:rPr>
      </w:pPr>
      <w:r>
        <w:rPr>
          <w:lang w:eastAsia="ja-JP"/>
        </w:rPr>
        <w:drawing>
          <wp:inline distT="0" distB="0" distL="0" distR="0">
            <wp:extent cx="5295900" cy="2476500"/>
            <wp:effectExtent l="0" t="0" r="0" b="0"/>
            <wp:docPr id="1078074430" name="Picture 1" descr="A graph of growth and retur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074430" name="Picture 1" descr="A graph of growth and return&#10;&#10;Description automatically generated with medium confidence"/>
                    <pic:cNvPicPr>
                      <a:picLocks noChangeAspect="1"/>
                    </pic:cNvPicPr>
                  </pic:nvPicPr>
                  <pic:blipFill>
                    <a:blip r:embed="rId16"/>
                    <a:stretch>
                      <a:fillRect/>
                    </a:stretch>
                  </pic:blipFill>
                  <pic:spPr>
                    <a:xfrm>
                      <a:off x="0" y="0"/>
                      <a:ext cx="5296360" cy="2476715"/>
                    </a:xfrm>
                    <a:prstGeom prst="rect">
                      <a:avLst/>
                    </a:prstGeom>
                  </pic:spPr>
                </pic:pic>
              </a:graphicData>
            </a:graphic>
          </wp:inline>
        </w:drawing>
      </w:r>
    </w:p>
    <w:p w14:paraId="4FC37827">
      <w:pPr>
        <w:jc w:val="center"/>
        <w:rPr>
          <w:b/>
          <w:bCs/>
          <w:lang w:eastAsia="ja-JP"/>
        </w:rPr>
      </w:pPr>
      <w:r>
        <w:rPr>
          <w:b/>
          <w:bCs/>
          <w:lang w:eastAsia="ja-JP"/>
        </w:rPr>
        <w:t>Figure 4: New Unilever CEO downplays purpose and hikes adspend</w:t>
      </w:r>
    </w:p>
    <w:p w14:paraId="3C0FFAE2">
      <w:pPr>
        <w:pStyle w:val="2"/>
      </w:pPr>
      <w:r>
        <w:t>Appendix 4: Unilever Net Operating Income</w:t>
      </w:r>
    </w:p>
    <w:p w14:paraId="18133ADE">
      <w:pPr>
        <w:rPr>
          <w:lang w:eastAsia="ja-JP"/>
        </w:rPr>
      </w:pPr>
      <w:r>
        <w:rPr>
          <w:lang w:eastAsia="ja-JP"/>
        </w:rPr>
        <w:drawing>
          <wp:inline distT="0" distB="0" distL="0" distR="0">
            <wp:extent cx="5364480" cy="3520440"/>
            <wp:effectExtent l="0" t="0" r="7620" b="3810"/>
            <wp:docPr id="437565688" name="Picture 1" descr="A graph of a number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565688" name="Picture 1" descr="A graph of a number of people&#10;&#10;Description automatically generated with medium confidence"/>
                    <pic:cNvPicPr>
                      <a:picLocks noChangeAspect="1"/>
                    </pic:cNvPicPr>
                  </pic:nvPicPr>
                  <pic:blipFill>
                    <a:blip r:embed="rId17"/>
                    <a:stretch>
                      <a:fillRect/>
                    </a:stretch>
                  </pic:blipFill>
                  <pic:spPr>
                    <a:xfrm>
                      <a:off x="0" y="0"/>
                      <a:ext cx="5364949" cy="3520748"/>
                    </a:xfrm>
                    <a:prstGeom prst="rect">
                      <a:avLst/>
                    </a:prstGeom>
                  </pic:spPr>
                </pic:pic>
              </a:graphicData>
            </a:graphic>
          </wp:inline>
        </w:drawing>
      </w:r>
    </w:p>
    <w:p w14:paraId="6D692586">
      <w:pPr>
        <w:jc w:val="center"/>
        <w:rPr>
          <w:b/>
          <w:bCs/>
          <w:sz w:val="20"/>
          <w:szCs w:val="18"/>
          <w:lang w:eastAsia="ja-JP"/>
        </w:rPr>
      </w:pPr>
      <w:r>
        <w:rPr>
          <w:b/>
          <w:bCs/>
          <w:sz w:val="20"/>
          <w:szCs w:val="18"/>
          <w:lang w:eastAsia="ja-JP"/>
        </w:rPr>
        <w:t>Figure 5: Unilever's net operating income hits N5.1bn, highest in six years</w:t>
      </w:r>
    </w:p>
    <w:p w14:paraId="5DEBED38">
      <w:pPr>
        <w:jc w:val="center"/>
        <w:rPr>
          <w:b/>
          <w:bCs/>
          <w:sz w:val="20"/>
          <w:szCs w:val="18"/>
          <w:lang w:eastAsia="ja-JP"/>
        </w:rPr>
      </w:pPr>
    </w:p>
    <w:p w14:paraId="5D27AEBD">
      <w:pPr>
        <w:jc w:val="center"/>
        <w:rPr>
          <w:b/>
          <w:bCs/>
          <w:sz w:val="20"/>
          <w:szCs w:val="18"/>
          <w:lang w:eastAsia="ja-JP"/>
        </w:rPr>
      </w:pPr>
    </w:p>
    <w:p w14:paraId="5A8D73E4">
      <w:pPr>
        <w:pStyle w:val="2"/>
      </w:pPr>
      <w:r>
        <w:t>Appendix 5: Net Cashflow Comparisons</w:t>
      </w:r>
    </w:p>
    <w:p w14:paraId="469A6521">
      <w:pPr>
        <w:jc w:val="center"/>
        <w:rPr>
          <w:lang w:eastAsia="ja-JP"/>
        </w:rPr>
      </w:pPr>
      <w:r>
        <w:rPr>
          <w:lang w:eastAsia="ja-JP"/>
        </w:rPr>
        <w:drawing>
          <wp:inline distT="0" distB="0" distL="0" distR="0">
            <wp:extent cx="4914900" cy="3360420"/>
            <wp:effectExtent l="0" t="0" r="0" b="0"/>
            <wp:docPr id="1093681460" name="Picture 1" descr="A graph of a number of different colored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681460" name="Picture 1" descr="A graph of a number of different colored bars&#10;&#10;Description automatically generated with medium confidence"/>
                    <pic:cNvPicPr>
                      <a:picLocks noChangeAspect="1"/>
                    </pic:cNvPicPr>
                  </pic:nvPicPr>
                  <pic:blipFill>
                    <a:blip r:embed="rId18"/>
                    <a:stretch>
                      <a:fillRect/>
                    </a:stretch>
                  </pic:blipFill>
                  <pic:spPr>
                    <a:xfrm>
                      <a:off x="0" y="0"/>
                      <a:ext cx="4915329" cy="3360713"/>
                    </a:xfrm>
                    <a:prstGeom prst="rect">
                      <a:avLst/>
                    </a:prstGeom>
                  </pic:spPr>
                </pic:pic>
              </a:graphicData>
            </a:graphic>
          </wp:inline>
        </w:drawing>
      </w:r>
    </w:p>
    <w:p w14:paraId="19A307DE">
      <w:pPr>
        <w:jc w:val="center"/>
        <w:rPr>
          <w:lang w:eastAsia="ja-JP"/>
        </w:rPr>
      </w:pPr>
      <w:r>
        <w:rPr>
          <w:lang w:eastAsia="ja-JP"/>
        </w:rPr>
        <w:t>Figure 6: Unilever, P&amp;G Net Cashflow Comparisons</w:t>
      </w:r>
    </w:p>
    <w:p w14:paraId="7D30D921">
      <w:pPr>
        <w:jc w:val="center"/>
        <w:rPr>
          <w:lang w:eastAsia="ja-JP"/>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440" w:bottom="1440" w:left="1440" w:header="708" w:footer="708" w:gutter="0"/>
      <w:pgNumType w:start="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LinoLetter-Roman">
    <w:altName w:val="Cambria"/>
    <w:panose1 w:val="00000000000000000000"/>
    <w:charset w:val="00"/>
    <w:family w:val="roman"/>
    <w:pitch w:val="default"/>
    <w:sig w:usb0="00000000" w:usb1="00000000" w:usb2="00000000" w:usb3="00000000" w:csb0="00000000" w:csb1="00000000"/>
  </w:font>
  <w:font w:name="Consolas">
    <w:panose1 w:val="020B0609020204030204"/>
    <w:charset w:val="00"/>
    <w:family w:val="modern"/>
    <w:pitch w:val="default"/>
    <w:sig w:usb0="E00006FF" w:usb1="0000FCFF" w:usb2="00000001" w:usb3="00000000" w:csb0="6000019F" w:csb1="DFD70000"/>
  </w:font>
  <w:font w:name="Symbol">
    <w:panose1 w:val="05050102010706020507"/>
    <w:charset w:val="02"/>
    <w:family w:val="roman"/>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61592858"/>
      <w:docPartObj>
        <w:docPartGallery w:val="AutoText"/>
      </w:docPartObj>
    </w:sdtPr>
    <w:sdtEndPr>
      <w:rPr>
        <w:color w:val="7F7F7F" w:themeColor="background1" w:themeShade="80"/>
        <w:spacing w:val="60"/>
      </w:rPr>
    </w:sdtEndPr>
    <w:sdtContent>
      <w:p w14:paraId="2588CE7C">
        <w:pPr>
          <w:pStyle w:val="14"/>
          <w:pBdr>
            <w:top w:val="single" w:color="D8D8D8" w:themeColor="background1" w:themeShade="D9" w:sz="4" w:space="1"/>
          </w:pBdr>
          <w:jc w:val="right"/>
        </w:pPr>
        <w:r>
          <w:fldChar w:fldCharType="begin"/>
        </w:r>
        <w:r>
          <w:instrText xml:space="preserve"> PAGE   \* MERGEFORMAT </w:instrText>
        </w:r>
        <w:r>
          <w:fldChar w:fldCharType="separate"/>
        </w:r>
        <w:r>
          <w:t>2</w:t>
        </w:r>
        <w:r>
          <w:fldChar w:fldCharType="end"/>
        </w:r>
        <w:r>
          <w:t xml:space="preserve"> | </w:t>
        </w:r>
        <w:r>
          <w:rPr>
            <w:color w:val="7F7F7F" w:themeColor="background1" w:themeShade="80"/>
            <w:spacing w:val="60"/>
          </w:rPr>
          <w:t>Page</w:t>
        </w:r>
      </w:p>
    </w:sdtContent>
  </w:sdt>
  <w:p w14:paraId="207D48FD">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79A216">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3BEA48">
    <w:pPr>
      <w:pStyle w:val="1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F5258">
    <w:pPr>
      <w:pStyle w:val="15"/>
    </w:pPr>
  </w:p>
  <w:p w14:paraId="1266B889">
    <w:pPr>
      <w:pStyle w:val="1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1FBD24">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3B92C0">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545E52"/>
    <w:multiLevelType w:val="multilevel"/>
    <w:tmpl w:val="15545E52"/>
    <w:lvl w:ilvl="0" w:tentative="0">
      <w:start w:val="1"/>
      <w:numFmt w:val="bullet"/>
      <w:lvlText w:val=""/>
      <w:lvlJc w:val="left"/>
      <w:pPr>
        <w:ind w:left="1800" w:hanging="360"/>
      </w:pPr>
      <w:rPr>
        <w:rFonts w:hint="default" w:ascii="Symbol" w:hAnsi="Symbol"/>
      </w:rPr>
    </w:lvl>
    <w:lvl w:ilvl="1" w:tentative="0">
      <w:start w:val="1"/>
      <w:numFmt w:val="bullet"/>
      <w:lvlText w:val="o"/>
      <w:lvlJc w:val="left"/>
      <w:pPr>
        <w:ind w:left="2520" w:hanging="360"/>
      </w:pPr>
      <w:rPr>
        <w:rFonts w:hint="default" w:ascii="Courier New" w:hAnsi="Courier New" w:cs="Courier New"/>
      </w:rPr>
    </w:lvl>
    <w:lvl w:ilvl="2" w:tentative="0">
      <w:start w:val="1"/>
      <w:numFmt w:val="bullet"/>
      <w:lvlText w:val=""/>
      <w:lvlJc w:val="left"/>
      <w:pPr>
        <w:ind w:left="3240" w:hanging="360"/>
      </w:pPr>
      <w:rPr>
        <w:rFonts w:hint="default" w:ascii="Wingdings" w:hAnsi="Wingdings"/>
      </w:rPr>
    </w:lvl>
    <w:lvl w:ilvl="3" w:tentative="0">
      <w:start w:val="1"/>
      <w:numFmt w:val="bullet"/>
      <w:lvlText w:val=""/>
      <w:lvlJc w:val="left"/>
      <w:pPr>
        <w:ind w:left="3960" w:hanging="360"/>
      </w:pPr>
      <w:rPr>
        <w:rFonts w:hint="default" w:ascii="Symbol" w:hAnsi="Symbol"/>
      </w:rPr>
    </w:lvl>
    <w:lvl w:ilvl="4" w:tentative="0">
      <w:start w:val="1"/>
      <w:numFmt w:val="bullet"/>
      <w:lvlText w:val="o"/>
      <w:lvlJc w:val="left"/>
      <w:pPr>
        <w:ind w:left="4680" w:hanging="360"/>
      </w:pPr>
      <w:rPr>
        <w:rFonts w:hint="default" w:ascii="Courier New" w:hAnsi="Courier New" w:cs="Courier New"/>
      </w:rPr>
    </w:lvl>
    <w:lvl w:ilvl="5" w:tentative="0">
      <w:start w:val="1"/>
      <w:numFmt w:val="bullet"/>
      <w:lvlText w:val=""/>
      <w:lvlJc w:val="left"/>
      <w:pPr>
        <w:ind w:left="5400" w:hanging="360"/>
      </w:pPr>
      <w:rPr>
        <w:rFonts w:hint="default" w:ascii="Wingdings" w:hAnsi="Wingdings"/>
      </w:rPr>
    </w:lvl>
    <w:lvl w:ilvl="6" w:tentative="0">
      <w:start w:val="1"/>
      <w:numFmt w:val="bullet"/>
      <w:lvlText w:val=""/>
      <w:lvlJc w:val="left"/>
      <w:pPr>
        <w:ind w:left="6120" w:hanging="360"/>
      </w:pPr>
      <w:rPr>
        <w:rFonts w:hint="default" w:ascii="Symbol" w:hAnsi="Symbol"/>
      </w:rPr>
    </w:lvl>
    <w:lvl w:ilvl="7" w:tentative="0">
      <w:start w:val="1"/>
      <w:numFmt w:val="bullet"/>
      <w:lvlText w:val="o"/>
      <w:lvlJc w:val="left"/>
      <w:pPr>
        <w:ind w:left="6840" w:hanging="360"/>
      </w:pPr>
      <w:rPr>
        <w:rFonts w:hint="default" w:ascii="Courier New" w:hAnsi="Courier New" w:cs="Courier New"/>
      </w:rPr>
    </w:lvl>
    <w:lvl w:ilvl="8" w:tentative="0">
      <w:start w:val="1"/>
      <w:numFmt w:val="bullet"/>
      <w:lvlText w:val=""/>
      <w:lvlJc w:val="left"/>
      <w:pPr>
        <w:ind w:left="7560" w:hanging="360"/>
      </w:pPr>
      <w:rPr>
        <w:rFonts w:hint="default" w:ascii="Wingdings" w:hAnsi="Wingdings"/>
      </w:rPr>
    </w:lvl>
  </w:abstractNum>
  <w:abstractNum w:abstractNumId="1">
    <w:nsid w:val="239A1248"/>
    <w:multiLevelType w:val="multilevel"/>
    <w:tmpl w:val="239A124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2DC47689"/>
    <w:multiLevelType w:val="multilevel"/>
    <w:tmpl w:val="2DC47689"/>
    <w:lvl w:ilvl="0" w:tentative="0">
      <w:start w:val="1"/>
      <w:numFmt w:val="bullet"/>
      <w:lvlText w:val=""/>
      <w:lvlJc w:val="left"/>
      <w:pPr>
        <w:ind w:left="1800" w:hanging="360"/>
      </w:pPr>
      <w:rPr>
        <w:rFonts w:hint="default" w:ascii="Symbol" w:hAnsi="Symbol"/>
      </w:rPr>
    </w:lvl>
    <w:lvl w:ilvl="1" w:tentative="0">
      <w:start w:val="1"/>
      <w:numFmt w:val="bullet"/>
      <w:lvlText w:val="o"/>
      <w:lvlJc w:val="left"/>
      <w:pPr>
        <w:ind w:left="2520" w:hanging="360"/>
      </w:pPr>
      <w:rPr>
        <w:rFonts w:hint="default" w:ascii="Courier New" w:hAnsi="Courier New" w:cs="Courier New"/>
      </w:rPr>
    </w:lvl>
    <w:lvl w:ilvl="2" w:tentative="0">
      <w:start w:val="1"/>
      <w:numFmt w:val="bullet"/>
      <w:lvlText w:val=""/>
      <w:lvlJc w:val="left"/>
      <w:pPr>
        <w:ind w:left="3240" w:hanging="360"/>
      </w:pPr>
      <w:rPr>
        <w:rFonts w:hint="default" w:ascii="Wingdings" w:hAnsi="Wingdings"/>
      </w:rPr>
    </w:lvl>
    <w:lvl w:ilvl="3" w:tentative="0">
      <w:start w:val="1"/>
      <w:numFmt w:val="bullet"/>
      <w:lvlText w:val=""/>
      <w:lvlJc w:val="left"/>
      <w:pPr>
        <w:ind w:left="3960" w:hanging="360"/>
      </w:pPr>
      <w:rPr>
        <w:rFonts w:hint="default" w:ascii="Symbol" w:hAnsi="Symbol"/>
      </w:rPr>
    </w:lvl>
    <w:lvl w:ilvl="4" w:tentative="0">
      <w:start w:val="1"/>
      <w:numFmt w:val="bullet"/>
      <w:lvlText w:val="o"/>
      <w:lvlJc w:val="left"/>
      <w:pPr>
        <w:ind w:left="4680" w:hanging="360"/>
      </w:pPr>
      <w:rPr>
        <w:rFonts w:hint="default" w:ascii="Courier New" w:hAnsi="Courier New" w:cs="Courier New"/>
      </w:rPr>
    </w:lvl>
    <w:lvl w:ilvl="5" w:tentative="0">
      <w:start w:val="1"/>
      <w:numFmt w:val="bullet"/>
      <w:lvlText w:val=""/>
      <w:lvlJc w:val="left"/>
      <w:pPr>
        <w:ind w:left="5400" w:hanging="360"/>
      </w:pPr>
      <w:rPr>
        <w:rFonts w:hint="default" w:ascii="Wingdings" w:hAnsi="Wingdings"/>
      </w:rPr>
    </w:lvl>
    <w:lvl w:ilvl="6" w:tentative="0">
      <w:start w:val="1"/>
      <w:numFmt w:val="bullet"/>
      <w:lvlText w:val=""/>
      <w:lvlJc w:val="left"/>
      <w:pPr>
        <w:ind w:left="6120" w:hanging="360"/>
      </w:pPr>
      <w:rPr>
        <w:rFonts w:hint="default" w:ascii="Symbol" w:hAnsi="Symbol"/>
      </w:rPr>
    </w:lvl>
    <w:lvl w:ilvl="7" w:tentative="0">
      <w:start w:val="1"/>
      <w:numFmt w:val="bullet"/>
      <w:lvlText w:val="o"/>
      <w:lvlJc w:val="left"/>
      <w:pPr>
        <w:ind w:left="6840" w:hanging="360"/>
      </w:pPr>
      <w:rPr>
        <w:rFonts w:hint="default" w:ascii="Courier New" w:hAnsi="Courier New" w:cs="Courier New"/>
      </w:rPr>
    </w:lvl>
    <w:lvl w:ilvl="8" w:tentative="0">
      <w:start w:val="1"/>
      <w:numFmt w:val="bullet"/>
      <w:lvlText w:val=""/>
      <w:lvlJc w:val="left"/>
      <w:pPr>
        <w:ind w:left="7560" w:hanging="360"/>
      </w:pPr>
      <w:rPr>
        <w:rFonts w:hint="default" w:ascii="Wingdings" w:hAnsi="Wingdings"/>
      </w:rPr>
    </w:lvl>
  </w:abstractNum>
  <w:abstractNum w:abstractNumId="3">
    <w:nsid w:val="2E676583"/>
    <w:multiLevelType w:val="multilevel"/>
    <w:tmpl w:val="2E67658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42B27AF6"/>
    <w:multiLevelType w:val="multilevel"/>
    <w:tmpl w:val="42B27AF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45592AD8"/>
    <w:multiLevelType w:val="multilevel"/>
    <w:tmpl w:val="45592AD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4A3066D9"/>
    <w:multiLevelType w:val="multilevel"/>
    <w:tmpl w:val="4A3066D9"/>
    <w:lvl w:ilvl="0" w:tentative="0">
      <w:start w:val="1"/>
      <w:numFmt w:val="bullet"/>
      <w:lvlText w:val=""/>
      <w:lvlJc w:val="left"/>
      <w:pPr>
        <w:ind w:left="1800" w:hanging="360"/>
      </w:pPr>
      <w:rPr>
        <w:rFonts w:hint="default" w:ascii="Symbol" w:hAnsi="Symbol"/>
      </w:rPr>
    </w:lvl>
    <w:lvl w:ilvl="1" w:tentative="0">
      <w:start w:val="1"/>
      <w:numFmt w:val="bullet"/>
      <w:lvlText w:val="o"/>
      <w:lvlJc w:val="left"/>
      <w:pPr>
        <w:ind w:left="2520" w:hanging="360"/>
      </w:pPr>
      <w:rPr>
        <w:rFonts w:hint="default" w:ascii="Courier New" w:hAnsi="Courier New" w:cs="Courier New"/>
      </w:rPr>
    </w:lvl>
    <w:lvl w:ilvl="2" w:tentative="0">
      <w:start w:val="1"/>
      <w:numFmt w:val="bullet"/>
      <w:lvlText w:val=""/>
      <w:lvlJc w:val="left"/>
      <w:pPr>
        <w:ind w:left="3240" w:hanging="360"/>
      </w:pPr>
      <w:rPr>
        <w:rFonts w:hint="default" w:ascii="Wingdings" w:hAnsi="Wingdings"/>
      </w:rPr>
    </w:lvl>
    <w:lvl w:ilvl="3" w:tentative="0">
      <w:start w:val="1"/>
      <w:numFmt w:val="bullet"/>
      <w:lvlText w:val=""/>
      <w:lvlJc w:val="left"/>
      <w:pPr>
        <w:ind w:left="3960" w:hanging="360"/>
      </w:pPr>
      <w:rPr>
        <w:rFonts w:hint="default" w:ascii="Symbol" w:hAnsi="Symbol"/>
      </w:rPr>
    </w:lvl>
    <w:lvl w:ilvl="4" w:tentative="0">
      <w:start w:val="1"/>
      <w:numFmt w:val="bullet"/>
      <w:lvlText w:val="o"/>
      <w:lvlJc w:val="left"/>
      <w:pPr>
        <w:ind w:left="4680" w:hanging="360"/>
      </w:pPr>
      <w:rPr>
        <w:rFonts w:hint="default" w:ascii="Courier New" w:hAnsi="Courier New" w:cs="Courier New"/>
      </w:rPr>
    </w:lvl>
    <w:lvl w:ilvl="5" w:tentative="0">
      <w:start w:val="1"/>
      <w:numFmt w:val="bullet"/>
      <w:lvlText w:val=""/>
      <w:lvlJc w:val="left"/>
      <w:pPr>
        <w:ind w:left="5400" w:hanging="360"/>
      </w:pPr>
      <w:rPr>
        <w:rFonts w:hint="default" w:ascii="Wingdings" w:hAnsi="Wingdings"/>
      </w:rPr>
    </w:lvl>
    <w:lvl w:ilvl="6" w:tentative="0">
      <w:start w:val="1"/>
      <w:numFmt w:val="bullet"/>
      <w:lvlText w:val=""/>
      <w:lvlJc w:val="left"/>
      <w:pPr>
        <w:ind w:left="6120" w:hanging="360"/>
      </w:pPr>
      <w:rPr>
        <w:rFonts w:hint="default" w:ascii="Symbol" w:hAnsi="Symbol"/>
      </w:rPr>
    </w:lvl>
    <w:lvl w:ilvl="7" w:tentative="0">
      <w:start w:val="1"/>
      <w:numFmt w:val="bullet"/>
      <w:lvlText w:val="o"/>
      <w:lvlJc w:val="left"/>
      <w:pPr>
        <w:ind w:left="6840" w:hanging="360"/>
      </w:pPr>
      <w:rPr>
        <w:rFonts w:hint="default" w:ascii="Courier New" w:hAnsi="Courier New" w:cs="Courier New"/>
      </w:rPr>
    </w:lvl>
    <w:lvl w:ilvl="8" w:tentative="0">
      <w:start w:val="1"/>
      <w:numFmt w:val="bullet"/>
      <w:lvlText w:val=""/>
      <w:lvlJc w:val="left"/>
      <w:pPr>
        <w:ind w:left="7560" w:hanging="360"/>
      </w:pPr>
      <w:rPr>
        <w:rFonts w:hint="default" w:ascii="Wingdings" w:hAnsi="Wingdings"/>
      </w:rPr>
    </w:lvl>
  </w:abstractNum>
  <w:abstractNum w:abstractNumId="7">
    <w:nsid w:val="4FD02934"/>
    <w:multiLevelType w:val="multilevel"/>
    <w:tmpl w:val="4FD0293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53B21674"/>
    <w:multiLevelType w:val="multilevel"/>
    <w:tmpl w:val="53B2167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
    <w:nsid w:val="66273A11"/>
    <w:multiLevelType w:val="multilevel"/>
    <w:tmpl w:val="66273A1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69D303B3"/>
    <w:multiLevelType w:val="multilevel"/>
    <w:tmpl w:val="69D303B3"/>
    <w:lvl w:ilvl="0" w:tentative="0">
      <w:start w:val="1"/>
      <w:numFmt w:val="bullet"/>
      <w:lvlText w:val=""/>
      <w:lvlJc w:val="left"/>
      <w:pPr>
        <w:ind w:left="1800" w:hanging="360"/>
      </w:pPr>
      <w:rPr>
        <w:rFonts w:hint="default" w:ascii="Symbol" w:hAnsi="Symbol"/>
      </w:rPr>
    </w:lvl>
    <w:lvl w:ilvl="1" w:tentative="0">
      <w:start w:val="1"/>
      <w:numFmt w:val="bullet"/>
      <w:lvlText w:val="o"/>
      <w:lvlJc w:val="left"/>
      <w:pPr>
        <w:ind w:left="2520" w:hanging="360"/>
      </w:pPr>
      <w:rPr>
        <w:rFonts w:hint="default" w:ascii="Courier New" w:hAnsi="Courier New" w:cs="Courier New"/>
      </w:rPr>
    </w:lvl>
    <w:lvl w:ilvl="2" w:tentative="0">
      <w:start w:val="1"/>
      <w:numFmt w:val="bullet"/>
      <w:lvlText w:val=""/>
      <w:lvlJc w:val="left"/>
      <w:pPr>
        <w:ind w:left="3240" w:hanging="360"/>
      </w:pPr>
      <w:rPr>
        <w:rFonts w:hint="default" w:ascii="Wingdings" w:hAnsi="Wingdings"/>
      </w:rPr>
    </w:lvl>
    <w:lvl w:ilvl="3" w:tentative="0">
      <w:start w:val="1"/>
      <w:numFmt w:val="bullet"/>
      <w:lvlText w:val=""/>
      <w:lvlJc w:val="left"/>
      <w:pPr>
        <w:ind w:left="3960" w:hanging="360"/>
      </w:pPr>
      <w:rPr>
        <w:rFonts w:hint="default" w:ascii="Symbol" w:hAnsi="Symbol"/>
      </w:rPr>
    </w:lvl>
    <w:lvl w:ilvl="4" w:tentative="0">
      <w:start w:val="1"/>
      <w:numFmt w:val="bullet"/>
      <w:lvlText w:val="o"/>
      <w:lvlJc w:val="left"/>
      <w:pPr>
        <w:ind w:left="4680" w:hanging="360"/>
      </w:pPr>
      <w:rPr>
        <w:rFonts w:hint="default" w:ascii="Courier New" w:hAnsi="Courier New" w:cs="Courier New"/>
      </w:rPr>
    </w:lvl>
    <w:lvl w:ilvl="5" w:tentative="0">
      <w:start w:val="1"/>
      <w:numFmt w:val="bullet"/>
      <w:lvlText w:val=""/>
      <w:lvlJc w:val="left"/>
      <w:pPr>
        <w:ind w:left="5400" w:hanging="360"/>
      </w:pPr>
      <w:rPr>
        <w:rFonts w:hint="default" w:ascii="Wingdings" w:hAnsi="Wingdings"/>
      </w:rPr>
    </w:lvl>
    <w:lvl w:ilvl="6" w:tentative="0">
      <w:start w:val="1"/>
      <w:numFmt w:val="bullet"/>
      <w:lvlText w:val=""/>
      <w:lvlJc w:val="left"/>
      <w:pPr>
        <w:ind w:left="6120" w:hanging="360"/>
      </w:pPr>
      <w:rPr>
        <w:rFonts w:hint="default" w:ascii="Symbol" w:hAnsi="Symbol"/>
      </w:rPr>
    </w:lvl>
    <w:lvl w:ilvl="7" w:tentative="0">
      <w:start w:val="1"/>
      <w:numFmt w:val="bullet"/>
      <w:lvlText w:val="o"/>
      <w:lvlJc w:val="left"/>
      <w:pPr>
        <w:ind w:left="6840" w:hanging="360"/>
      </w:pPr>
      <w:rPr>
        <w:rFonts w:hint="default" w:ascii="Courier New" w:hAnsi="Courier New" w:cs="Courier New"/>
      </w:rPr>
    </w:lvl>
    <w:lvl w:ilvl="8" w:tentative="0">
      <w:start w:val="1"/>
      <w:numFmt w:val="bullet"/>
      <w:lvlText w:val=""/>
      <w:lvlJc w:val="left"/>
      <w:pPr>
        <w:ind w:left="7560" w:hanging="360"/>
      </w:pPr>
      <w:rPr>
        <w:rFonts w:hint="default" w:ascii="Wingdings" w:hAnsi="Wingdings"/>
      </w:rPr>
    </w:lvl>
  </w:abstractNum>
  <w:abstractNum w:abstractNumId="11">
    <w:nsid w:val="6E517AC6"/>
    <w:multiLevelType w:val="multilevel"/>
    <w:tmpl w:val="6E517AC6"/>
    <w:lvl w:ilvl="0" w:tentative="0">
      <w:start w:val="1"/>
      <w:numFmt w:val="bullet"/>
      <w:lvlText w:val=""/>
      <w:lvlJc w:val="left"/>
      <w:pPr>
        <w:ind w:left="1800" w:hanging="360"/>
      </w:pPr>
      <w:rPr>
        <w:rFonts w:hint="default" w:ascii="Symbol" w:hAnsi="Symbol"/>
      </w:rPr>
    </w:lvl>
    <w:lvl w:ilvl="1" w:tentative="0">
      <w:start w:val="1"/>
      <w:numFmt w:val="bullet"/>
      <w:lvlText w:val="o"/>
      <w:lvlJc w:val="left"/>
      <w:pPr>
        <w:ind w:left="2520" w:hanging="360"/>
      </w:pPr>
      <w:rPr>
        <w:rFonts w:hint="default" w:ascii="Courier New" w:hAnsi="Courier New" w:cs="Courier New"/>
      </w:rPr>
    </w:lvl>
    <w:lvl w:ilvl="2" w:tentative="0">
      <w:start w:val="1"/>
      <w:numFmt w:val="bullet"/>
      <w:lvlText w:val=""/>
      <w:lvlJc w:val="left"/>
      <w:pPr>
        <w:ind w:left="3240" w:hanging="360"/>
      </w:pPr>
      <w:rPr>
        <w:rFonts w:hint="default" w:ascii="Wingdings" w:hAnsi="Wingdings"/>
      </w:rPr>
    </w:lvl>
    <w:lvl w:ilvl="3" w:tentative="0">
      <w:start w:val="1"/>
      <w:numFmt w:val="bullet"/>
      <w:lvlText w:val=""/>
      <w:lvlJc w:val="left"/>
      <w:pPr>
        <w:ind w:left="3960" w:hanging="360"/>
      </w:pPr>
      <w:rPr>
        <w:rFonts w:hint="default" w:ascii="Symbol" w:hAnsi="Symbol"/>
      </w:rPr>
    </w:lvl>
    <w:lvl w:ilvl="4" w:tentative="0">
      <w:start w:val="1"/>
      <w:numFmt w:val="bullet"/>
      <w:lvlText w:val="o"/>
      <w:lvlJc w:val="left"/>
      <w:pPr>
        <w:ind w:left="4680" w:hanging="360"/>
      </w:pPr>
      <w:rPr>
        <w:rFonts w:hint="default" w:ascii="Courier New" w:hAnsi="Courier New" w:cs="Courier New"/>
      </w:rPr>
    </w:lvl>
    <w:lvl w:ilvl="5" w:tentative="0">
      <w:start w:val="1"/>
      <w:numFmt w:val="bullet"/>
      <w:lvlText w:val=""/>
      <w:lvlJc w:val="left"/>
      <w:pPr>
        <w:ind w:left="5400" w:hanging="360"/>
      </w:pPr>
      <w:rPr>
        <w:rFonts w:hint="default" w:ascii="Wingdings" w:hAnsi="Wingdings"/>
      </w:rPr>
    </w:lvl>
    <w:lvl w:ilvl="6" w:tentative="0">
      <w:start w:val="1"/>
      <w:numFmt w:val="bullet"/>
      <w:lvlText w:val=""/>
      <w:lvlJc w:val="left"/>
      <w:pPr>
        <w:ind w:left="6120" w:hanging="360"/>
      </w:pPr>
      <w:rPr>
        <w:rFonts w:hint="default" w:ascii="Symbol" w:hAnsi="Symbol"/>
      </w:rPr>
    </w:lvl>
    <w:lvl w:ilvl="7" w:tentative="0">
      <w:start w:val="1"/>
      <w:numFmt w:val="bullet"/>
      <w:lvlText w:val="o"/>
      <w:lvlJc w:val="left"/>
      <w:pPr>
        <w:ind w:left="6840" w:hanging="360"/>
      </w:pPr>
      <w:rPr>
        <w:rFonts w:hint="default" w:ascii="Courier New" w:hAnsi="Courier New" w:cs="Courier New"/>
      </w:rPr>
    </w:lvl>
    <w:lvl w:ilvl="8" w:tentative="0">
      <w:start w:val="1"/>
      <w:numFmt w:val="bullet"/>
      <w:lvlText w:val=""/>
      <w:lvlJc w:val="left"/>
      <w:pPr>
        <w:ind w:left="7560" w:hanging="360"/>
      </w:pPr>
      <w:rPr>
        <w:rFonts w:hint="default" w:ascii="Wingdings" w:hAnsi="Wingdings"/>
      </w:rPr>
    </w:lvl>
  </w:abstractNum>
  <w:abstractNum w:abstractNumId="12">
    <w:nsid w:val="6F276E84"/>
    <w:multiLevelType w:val="multilevel"/>
    <w:tmpl w:val="6F276E84"/>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3">
    <w:nsid w:val="734571C3"/>
    <w:multiLevelType w:val="multilevel"/>
    <w:tmpl w:val="734571C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4">
    <w:nsid w:val="7B942C59"/>
    <w:multiLevelType w:val="multilevel"/>
    <w:tmpl w:val="7B942C5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5">
    <w:nsid w:val="7C58131F"/>
    <w:multiLevelType w:val="multilevel"/>
    <w:tmpl w:val="7C58131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2"/>
  </w:num>
  <w:num w:numId="2">
    <w:abstractNumId w:val="1"/>
  </w:num>
  <w:num w:numId="3">
    <w:abstractNumId w:val="3"/>
  </w:num>
  <w:num w:numId="4">
    <w:abstractNumId w:val="9"/>
  </w:num>
  <w:num w:numId="5">
    <w:abstractNumId w:val="5"/>
  </w:num>
  <w:num w:numId="6">
    <w:abstractNumId w:val="14"/>
  </w:num>
  <w:num w:numId="7">
    <w:abstractNumId w:val="4"/>
  </w:num>
  <w:num w:numId="8">
    <w:abstractNumId w:val="6"/>
  </w:num>
  <w:num w:numId="9">
    <w:abstractNumId w:val="2"/>
  </w:num>
  <w:num w:numId="10">
    <w:abstractNumId w:val="0"/>
  </w:num>
  <w:num w:numId="11">
    <w:abstractNumId w:val="11"/>
  </w:num>
  <w:num w:numId="12">
    <w:abstractNumId w:val="10"/>
  </w:num>
  <w:num w:numId="13">
    <w:abstractNumId w:val="8"/>
  </w:num>
  <w:num w:numId="14">
    <w:abstractNumId w:val="15"/>
  </w:num>
  <w:num w:numId="15">
    <w:abstractNumId w:val="13"/>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I3NjMwNjUzMLUwMLFU0lEKTi0uzszPAykwMqwFAL3YQLctAAAA"/>
  </w:docVars>
  <w:rsids>
    <w:rsidRoot w:val="006F71F5"/>
    <w:rsid w:val="00001DF6"/>
    <w:rsid w:val="00002154"/>
    <w:rsid w:val="00002309"/>
    <w:rsid w:val="00002D3D"/>
    <w:rsid w:val="00004351"/>
    <w:rsid w:val="000060D6"/>
    <w:rsid w:val="00006379"/>
    <w:rsid w:val="00010C24"/>
    <w:rsid w:val="00012744"/>
    <w:rsid w:val="00013AFA"/>
    <w:rsid w:val="000145FB"/>
    <w:rsid w:val="00015EB9"/>
    <w:rsid w:val="00022C34"/>
    <w:rsid w:val="0002391E"/>
    <w:rsid w:val="00023D8E"/>
    <w:rsid w:val="00026A49"/>
    <w:rsid w:val="00026FA2"/>
    <w:rsid w:val="00027C65"/>
    <w:rsid w:val="0003033B"/>
    <w:rsid w:val="000303B2"/>
    <w:rsid w:val="00031ADF"/>
    <w:rsid w:val="00032C2E"/>
    <w:rsid w:val="000350B3"/>
    <w:rsid w:val="00035273"/>
    <w:rsid w:val="00035641"/>
    <w:rsid w:val="0003578A"/>
    <w:rsid w:val="000363AD"/>
    <w:rsid w:val="0003691F"/>
    <w:rsid w:val="00037A50"/>
    <w:rsid w:val="0004035C"/>
    <w:rsid w:val="0004172C"/>
    <w:rsid w:val="00044A37"/>
    <w:rsid w:val="0005013A"/>
    <w:rsid w:val="00054591"/>
    <w:rsid w:val="000555DA"/>
    <w:rsid w:val="0005596A"/>
    <w:rsid w:val="00056FAF"/>
    <w:rsid w:val="0006247F"/>
    <w:rsid w:val="0006326D"/>
    <w:rsid w:val="000634C4"/>
    <w:rsid w:val="000635CD"/>
    <w:rsid w:val="0006476D"/>
    <w:rsid w:val="00064924"/>
    <w:rsid w:val="00065B84"/>
    <w:rsid w:val="00066453"/>
    <w:rsid w:val="00067AD4"/>
    <w:rsid w:val="000711CF"/>
    <w:rsid w:val="00073BF7"/>
    <w:rsid w:val="00074A6A"/>
    <w:rsid w:val="00075D36"/>
    <w:rsid w:val="00077C22"/>
    <w:rsid w:val="00080382"/>
    <w:rsid w:val="0008047B"/>
    <w:rsid w:val="000813EF"/>
    <w:rsid w:val="00083245"/>
    <w:rsid w:val="00083F61"/>
    <w:rsid w:val="000859ED"/>
    <w:rsid w:val="00087796"/>
    <w:rsid w:val="00095E3D"/>
    <w:rsid w:val="00096EFB"/>
    <w:rsid w:val="000A264D"/>
    <w:rsid w:val="000A2CBC"/>
    <w:rsid w:val="000A4680"/>
    <w:rsid w:val="000A53DC"/>
    <w:rsid w:val="000A6EDF"/>
    <w:rsid w:val="000A7DC7"/>
    <w:rsid w:val="000B0CD5"/>
    <w:rsid w:val="000B463F"/>
    <w:rsid w:val="000B5695"/>
    <w:rsid w:val="000B7EB3"/>
    <w:rsid w:val="000C1C5A"/>
    <w:rsid w:val="000C1F3C"/>
    <w:rsid w:val="000C1F85"/>
    <w:rsid w:val="000C2DB1"/>
    <w:rsid w:val="000C2E77"/>
    <w:rsid w:val="000C4551"/>
    <w:rsid w:val="000C598E"/>
    <w:rsid w:val="000C5E93"/>
    <w:rsid w:val="000C6F52"/>
    <w:rsid w:val="000D0956"/>
    <w:rsid w:val="000D119E"/>
    <w:rsid w:val="000D1660"/>
    <w:rsid w:val="000D1677"/>
    <w:rsid w:val="000D1AAD"/>
    <w:rsid w:val="000D27D5"/>
    <w:rsid w:val="000D2D1A"/>
    <w:rsid w:val="000D303E"/>
    <w:rsid w:val="000D5A88"/>
    <w:rsid w:val="000D6F1E"/>
    <w:rsid w:val="000E0928"/>
    <w:rsid w:val="000E092B"/>
    <w:rsid w:val="000E3CA8"/>
    <w:rsid w:val="000F0770"/>
    <w:rsid w:val="000F3177"/>
    <w:rsid w:val="000F5D41"/>
    <w:rsid w:val="000F5E40"/>
    <w:rsid w:val="000F6714"/>
    <w:rsid w:val="00101A38"/>
    <w:rsid w:val="00101E20"/>
    <w:rsid w:val="00103BF3"/>
    <w:rsid w:val="00105EC6"/>
    <w:rsid w:val="0011111A"/>
    <w:rsid w:val="001119A6"/>
    <w:rsid w:val="001137B5"/>
    <w:rsid w:val="001162DF"/>
    <w:rsid w:val="001166F1"/>
    <w:rsid w:val="00116DFE"/>
    <w:rsid w:val="00117461"/>
    <w:rsid w:val="001176C1"/>
    <w:rsid w:val="00117A2C"/>
    <w:rsid w:val="00120CEC"/>
    <w:rsid w:val="00120E31"/>
    <w:rsid w:val="0013214C"/>
    <w:rsid w:val="00132602"/>
    <w:rsid w:val="00133E40"/>
    <w:rsid w:val="00134BBB"/>
    <w:rsid w:val="001354AE"/>
    <w:rsid w:val="00135DFD"/>
    <w:rsid w:val="00136748"/>
    <w:rsid w:val="001410E0"/>
    <w:rsid w:val="00142286"/>
    <w:rsid w:val="00142815"/>
    <w:rsid w:val="00142C2E"/>
    <w:rsid w:val="0014700B"/>
    <w:rsid w:val="00150390"/>
    <w:rsid w:val="00151975"/>
    <w:rsid w:val="001532D1"/>
    <w:rsid w:val="00155499"/>
    <w:rsid w:val="00155C6C"/>
    <w:rsid w:val="00155E0A"/>
    <w:rsid w:val="0015622F"/>
    <w:rsid w:val="00156858"/>
    <w:rsid w:val="00162C5C"/>
    <w:rsid w:val="00162DCC"/>
    <w:rsid w:val="001676B0"/>
    <w:rsid w:val="00170AF6"/>
    <w:rsid w:val="00172BB8"/>
    <w:rsid w:val="001735D2"/>
    <w:rsid w:val="00174734"/>
    <w:rsid w:val="0017541A"/>
    <w:rsid w:val="0018042B"/>
    <w:rsid w:val="00183909"/>
    <w:rsid w:val="0018494A"/>
    <w:rsid w:val="00185764"/>
    <w:rsid w:val="00186844"/>
    <w:rsid w:val="00192DCC"/>
    <w:rsid w:val="00193DE2"/>
    <w:rsid w:val="00196325"/>
    <w:rsid w:val="00196442"/>
    <w:rsid w:val="001A1045"/>
    <w:rsid w:val="001A2FB0"/>
    <w:rsid w:val="001A469C"/>
    <w:rsid w:val="001B179D"/>
    <w:rsid w:val="001B1AF3"/>
    <w:rsid w:val="001B2A9C"/>
    <w:rsid w:val="001B41B6"/>
    <w:rsid w:val="001B4261"/>
    <w:rsid w:val="001B482C"/>
    <w:rsid w:val="001B48F2"/>
    <w:rsid w:val="001C1A6B"/>
    <w:rsid w:val="001C3108"/>
    <w:rsid w:val="001C4CDD"/>
    <w:rsid w:val="001C5286"/>
    <w:rsid w:val="001C55A5"/>
    <w:rsid w:val="001D0142"/>
    <w:rsid w:val="001D1551"/>
    <w:rsid w:val="001D3723"/>
    <w:rsid w:val="001D4350"/>
    <w:rsid w:val="001D661B"/>
    <w:rsid w:val="001D692F"/>
    <w:rsid w:val="001E0163"/>
    <w:rsid w:val="001E0AFF"/>
    <w:rsid w:val="001E14F5"/>
    <w:rsid w:val="001E2DC3"/>
    <w:rsid w:val="001E3E7E"/>
    <w:rsid w:val="001E41D1"/>
    <w:rsid w:val="001E421D"/>
    <w:rsid w:val="001E42EE"/>
    <w:rsid w:val="001E6453"/>
    <w:rsid w:val="001F318F"/>
    <w:rsid w:val="001F3A64"/>
    <w:rsid w:val="001F4595"/>
    <w:rsid w:val="001F744D"/>
    <w:rsid w:val="00200882"/>
    <w:rsid w:val="00200CCC"/>
    <w:rsid w:val="00200F9A"/>
    <w:rsid w:val="002013BC"/>
    <w:rsid w:val="00201AB8"/>
    <w:rsid w:val="002030AF"/>
    <w:rsid w:val="0021049C"/>
    <w:rsid w:val="002104B3"/>
    <w:rsid w:val="002104C1"/>
    <w:rsid w:val="0022027E"/>
    <w:rsid w:val="0022693B"/>
    <w:rsid w:val="00227CB0"/>
    <w:rsid w:val="002301AB"/>
    <w:rsid w:val="0023142C"/>
    <w:rsid w:val="00232008"/>
    <w:rsid w:val="0023352B"/>
    <w:rsid w:val="0023392D"/>
    <w:rsid w:val="002350E9"/>
    <w:rsid w:val="00241DB7"/>
    <w:rsid w:val="002450F4"/>
    <w:rsid w:val="00245ECE"/>
    <w:rsid w:val="00246EAE"/>
    <w:rsid w:val="00246EF7"/>
    <w:rsid w:val="00247584"/>
    <w:rsid w:val="0025060B"/>
    <w:rsid w:val="002545E6"/>
    <w:rsid w:val="00265005"/>
    <w:rsid w:val="002663F5"/>
    <w:rsid w:val="00266E5F"/>
    <w:rsid w:val="00267784"/>
    <w:rsid w:val="00267BA3"/>
    <w:rsid w:val="002731C2"/>
    <w:rsid w:val="002733D9"/>
    <w:rsid w:val="00273783"/>
    <w:rsid w:val="0027530B"/>
    <w:rsid w:val="00276EFB"/>
    <w:rsid w:val="00280439"/>
    <w:rsid w:val="00281684"/>
    <w:rsid w:val="00286F68"/>
    <w:rsid w:val="002910FF"/>
    <w:rsid w:val="0029334A"/>
    <w:rsid w:val="00293E08"/>
    <w:rsid w:val="002969AB"/>
    <w:rsid w:val="00296C77"/>
    <w:rsid w:val="002977A3"/>
    <w:rsid w:val="002A0625"/>
    <w:rsid w:val="002A12D6"/>
    <w:rsid w:val="002A3996"/>
    <w:rsid w:val="002A3AF7"/>
    <w:rsid w:val="002A3E66"/>
    <w:rsid w:val="002A4E37"/>
    <w:rsid w:val="002A728F"/>
    <w:rsid w:val="002B0180"/>
    <w:rsid w:val="002B25EB"/>
    <w:rsid w:val="002B3FFE"/>
    <w:rsid w:val="002B4CBE"/>
    <w:rsid w:val="002B5340"/>
    <w:rsid w:val="002B7244"/>
    <w:rsid w:val="002C11E5"/>
    <w:rsid w:val="002C2FAE"/>
    <w:rsid w:val="002C60D0"/>
    <w:rsid w:val="002C67E0"/>
    <w:rsid w:val="002C6C68"/>
    <w:rsid w:val="002D1642"/>
    <w:rsid w:val="002D1B96"/>
    <w:rsid w:val="002D1BC0"/>
    <w:rsid w:val="002D5294"/>
    <w:rsid w:val="002D562D"/>
    <w:rsid w:val="002D5708"/>
    <w:rsid w:val="002D5793"/>
    <w:rsid w:val="002D6C7C"/>
    <w:rsid w:val="002E094E"/>
    <w:rsid w:val="002E404B"/>
    <w:rsid w:val="002E6999"/>
    <w:rsid w:val="002E7442"/>
    <w:rsid w:val="002E7E0D"/>
    <w:rsid w:val="002F1507"/>
    <w:rsid w:val="002F56C1"/>
    <w:rsid w:val="002F662F"/>
    <w:rsid w:val="0030016E"/>
    <w:rsid w:val="00300828"/>
    <w:rsid w:val="00302FEA"/>
    <w:rsid w:val="00303970"/>
    <w:rsid w:val="00304C44"/>
    <w:rsid w:val="00304C6C"/>
    <w:rsid w:val="00306CE9"/>
    <w:rsid w:val="00310C35"/>
    <w:rsid w:val="00311962"/>
    <w:rsid w:val="00311E3C"/>
    <w:rsid w:val="00312EB0"/>
    <w:rsid w:val="00317507"/>
    <w:rsid w:val="003238D8"/>
    <w:rsid w:val="00324C5C"/>
    <w:rsid w:val="003319E5"/>
    <w:rsid w:val="00334714"/>
    <w:rsid w:val="00334CF0"/>
    <w:rsid w:val="00336485"/>
    <w:rsid w:val="00336535"/>
    <w:rsid w:val="003374BE"/>
    <w:rsid w:val="00337C1C"/>
    <w:rsid w:val="00340386"/>
    <w:rsid w:val="00340813"/>
    <w:rsid w:val="003424C6"/>
    <w:rsid w:val="0034310F"/>
    <w:rsid w:val="00343528"/>
    <w:rsid w:val="00343DFB"/>
    <w:rsid w:val="00345BAE"/>
    <w:rsid w:val="00346494"/>
    <w:rsid w:val="0034651A"/>
    <w:rsid w:val="003506D9"/>
    <w:rsid w:val="0035076B"/>
    <w:rsid w:val="00352037"/>
    <w:rsid w:val="003530AE"/>
    <w:rsid w:val="003536D5"/>
    <w:rsid w:val="003541B3"/>
    <w:rsid w:val="00356BC3"/>
    <w:rsid w:val="0035746C"/>
    <w:rsid w:val="00360D63"/>
    <w:rsid w:val="0036231E"/>
    <w:rsid w:val="003635A2"/>
    <w:rsid w:val="00367E1D"/>
    <w:rsid w:val="00371096"/>
    <w:rsid w:val="00372E43"/>
    <w:rsid w:val="0037411C"/>
    <w:rsid w:val="003768B3"/>
    <w:rsid w:val="003774D8"/>
    <w:rsid w:val="00380C0F"/>
    <w:rsid w:val="00381C59"/>
    <w:rsid w:val="00383957"/>
    <w:rsid w:val="003841E5"/>
    <w:rsid w:val="0038467B"/>
    <w:rsid w:val="003848F2"/>
    <w:rsid w:val="003868E4"/>
    <w:rsid w:val="003903EE"/>
    <w:rsid w:val="0039495B"/>
    <w:rsid w:val="00395520"/>
    <w:rsid w:val="003978D8"/>
    <w:rsid w:val="003A4662"/>
    <w:rsid w:val="003A72AE"/>
    <w:rsid w:val="003A7F61"/>
    <w:rsid w:val="003B1205"/>
    <w:rsid w:val="003B1824"/>
    <w:rsid w:val="003B2237"/>
    <w:rsid w:val="003B385F"/>
    <w:rsid w:val="003B70E6"/>
    <w:rsid w:val="003C02D3"/>
    <w:rsid w:val="003C24FC"/>
    <w:rsid w:val="003C252E"/>
    <w:rsid w:val="003D0101"/>
    <w:rsid w:val="003D1766"/>
    <w:rsid w:val="003D2665"/>
    <w:rsid w:val="003D267A"/>
    <w:rsid w:val="003D2F79"/>
    <w:rsid w:val="003D5162"/>
    <w:rsid w:val="003D61C3"/>
    <w:rsid w:val="003E06F0"/>
    <w:rsid w:val="003E2598"/>
    <w:rsid w:val="003E2676"/>
    <w:rsid w:val="003E3306"/>
    <w:rsid w:val="003E3C57"/>
    <w:rsid w:val="003E639A"/>
    <w:rsid w:val="003F1C26"/>
    <w:rsid w:val="003F3163"/>
    <w:rsid w:val="003F3D3A"/>
    <w:rsid w:val="003F4F21"/>
    <w:rsid w:val="003F4FA4"/>
    <w:rsid w:val="003F6C45"/>
    <w:rsid w:val="003F7C6D"/>
    <w:rsid w:val="004003DE"/>
    <w:rsid w:val="00400A56"/>
    <w:rsid w:val="0040286B"/>
    <w:rsid w:val="00402F64"/>
    <w:rsid w:val="00405D99"/>
    <w:rsid w:val="00406760"/>
    <w:rsid w:val="0040702E"/>
    <w:rsid w:val="004075FA"/>
    <w:rsid w:val="00410B63"/>
    <w:rsid w:val="00410DE7"/>
    <w:rsid w:val="004110A0"/>
    <w:rsid w:val="00411CBD"/>
    <w:rsid w:val="004123E1"/>
    <w:rsid w:val="00412BB4"/>
    <w:rsid w:val="004131E5"/>
    <w:rsid w:val="00415035"/>
    <w:rsid w:val="004165E8"/>
    <w:rsid w:val="00416B0A"/>
    <w:rsid w:val="00417407"/>
    <w:rsid w:val="00420F1A"/>
    <w:rsid w:val="00423510"/>
    <w:rsid w:val="00426FF4"/>
    <w:rsid w:val="004303FB"/>
    <w:rsid w:val="00430D15"/>
    <w:rsid w:val="004319AD"/>
    <w:rsid w:val="0043413E"/>
    <w:rsid w:val="00435758"/>
    <w:rsid w:val="0043612A"/>
    <w:rsid w:val="00443237"/>
    <w:rsid w:val="00443888"/>
    <w:rsid w:val="00444052"/>
    <w:rsid w:val="00446982"/>
    <w:rsid w:val="0045568D"/>
    <w:rsid w:val="004570B9"/>
    <w:rsid w:val="004573C7"/>
    <w:rsid w:val="00460EF1"/>
    <w:rsid w:val="00461B0B"/>
    <w:rsid w:val="00462F22"/>
    <w:rsid w:val="004635AE"/>
    <w:rsid w:val="004659C9"/>
    <w:rsid w:val="00467D62"/>
    <w:rsid w:val="004732A2"/>
    <w:rsid w:val="004736DD"/>
    <w:rsid w:val="00474C7C"/>
    <w:rsid w:val="00477D06"/>
    <w:rsid w:val="00480763"/>
    <w:rsid w:val="004866EC"/>
    <w:rsid w:val="00490D5D"/>
    <w:rsid w:val="00492D54"/>
    <w:rsid w:val="00493F33"/>
    <w:rsid w:val="00497538"/>
    <w:rsid w:val="00497982"/>
    <w:rsid w:val="004A295D"/>
    <w:rsid w:val="004A46C9"/>
    <w:rsid w:val="004A530C"/>
    <w:rsid w:val="004B504C"/>
    <w:rsid w:val="004C0806"/>
    <w:rsid w:val="004C1424"/>
    <w:rsid w:val="004C1748"/>
    <w:rsid w:val="004C1849"/>
    <w:rsid w:val="004C1AD5"/>
    <w:rsid w:val="004C1EBF"/>
    <w:rsid w:val="004C2BAD"/>
    <w:rsid w:val="004C4656"/>
    <w:rsid w:val="004C5777"/>
    <w:rsid w:val="004C75D8"/>
    <w:rsid w:val="004D018A"/>
    <w:rsid w:val="004D167F"/>
    <w:rsid w:val="004D3B72"/>
    <w:rsid w:val="004D4C32"/>
    <w:rsid w:val="004D6EEB"/>
    <w:rsid w:val="004D7074"/>
    <w:rsid w:val="004D7210"/>
    <w:rsid w:val="004E0713"/>
    <w:rsid w:val="004E2087"/>
    <w:rsid w:val="004E2562"/>
    <w:rsid w:val="004F0958"/>
    <w:rsid w:val="004F1C2D"/>
    <w:rsid w:val="004F40C5"/>
    <w:rsid w:val="004F52E3"/>
    <w:rsid w:val="004F6BFF"/>
    <w:rsid w:val="004F7D57"/>
    <w:rsid w:val="00500A88"/>
    <w:rsid w:val="00503952"/>
    <w:rsid w:val="00504716"/>
    <w:rsid w:val="00507D09"/>
    <w:rsid w:val="00507EBC"/>
    <w:rsid w:val="00510870"/>
    <w:rsid w:val="00511ACE"/>
    <w:rsid w:val="00512202"/>
    <w:rsid w:val="00513B35"/>
    <w:rsid w:val="00513C8E"/>
    <w:rsid w:val="0051451C"/>
    <w:rsid w:val="00522C58"/>
    <w:rsid w:val="00525575"/>
    <w:rsid w:val="00530327"/>
    <w:rsid w:val="005319F9"/>
    <w:rsid w:val="005320F2"/>
    <w:rsid w:val="00532560"/>
    <w:rsid w:val="0053316D"/>
    <w:rsid w:val="00534C5A"/>
    <w:rsid w:val="00535EE5"/>
    <w:rsid w:val="00536845"/>
    <w:rsid w:val="0054278A"/>
    <w:rsid w:val="00544B3B"/>
    <w:rsid w:val="00544C6A"/>
    <w:rsid w:val="00544CDB"/>
    <w:rsid w:val="005457EA"/>
    <w:rsid w:val="005471D7"/>
    <w:rsid w:val="005514CB"/>
    <w:rsid w:val="00552B37"/>
    <w:rsid w:val="0055301C"/>
    <w:rsid w:val="005531A3"/>
    <w:rsid w:val="00556022"/>
    <w:rsid w:val="00557A88"/>
    <w:rsid w:val="00562603"/>
    <w:rsid w:val="00563587"/>
    <w:rsid w:val="00564473"/>
    <w:rsid w:val="00564689"/>
    <w:rsid w:val="0056530F"/>
    <w:rsid w:val="00565EDD"/>
    <w:rsid w:val="00567404"/>
    <w:rsid w:val="00567773"/>
    <w:rsid w:val="00571BD4"/>
    <w:rsid w:val="005742F6"/>
    <w:rsid w:val="00574619"/>
    <w:rsid w:val="00575491"/>
    <w:rsid w:val="00581093"/>
    <w:rsid w:val="005817DC"/>
    <w:rsid w:val="00582AD8"/>
    <w:rsid w:val="00583BA6"/>
    <w:rsid w:val="00584211"/>
    <w:rsid w:val="005845C6"/>
    <w:rsid w:val="00585010"/>
    <w:rsid w:val="0058578A"/>
    <w:rsid w:val="00585899"/>
    <w:rsid w:val="005858C5"/>
    <w:rsid w:val="00585F45"/>
    <w:rsid w:val="00590AA1"/>
    <w:rsid w:val="005922FF"/>
    <w:rsid w:val="00594919"/>
    <w:rsid w:val="0059581C"/>
    <w:rsid w:val="00595B6E"/>
    <w:rsid w:val="00595EC6"/>
    <w:rsid w:val="00596861"/>
    <w:rsid w:val="005970DB"/>
    <w:rsid w:val="00597952"/>
    <w:rsid w:val="005A02E3"/>
    <w:rsid w:val="005A0DD7"/>
    <w:rsid w:val="005A11C1"/>
    <w:rsid w:val="005A1444"/>
    <w:rsid w:val="005A53B3"/>
    <w:rsid w:val="005A75E3"/>
    <w:rsid w:val="005B4B5E"/>
    <w:rsid w:val="005B4D9E"/>
    <w:rsid w:val="005B5B8E"/>
    <w:rsid w:val="005B680F"/>
    <w:rsid w:val="005B6AF7"/>
    <w:rsid w:val="005B792E"/>
    <w:rsid w:val="005C1E48"/>
    <w:rsid w:val="005C25C9"/>
    <w:rsid w:val="005C41C5"/>
    <w:rsid w:val="005C6D80"/>
    <w:rsid w:val="005D2281"/>
    <w:rsid w:val="005D259A"/>
    <w:rsid w:val="005D266E"/>
    <w:rsid w:val="005D3041"/>
    <w:rsid w:val="005D6BE7"/>
    <w:rsid w:val="005D7F6F"/>
    <w:rsid w:val="005F1551"/>
    <w:rsid w:val="005F17AF"/>
    <w:rsid w:val="005F1925"/>
    <w:rsid w:val="005F1B1B"/>
    <w:rsid w:val="005F2B32"/>
    <w:rsid w:val="005F2FC8"/>
    <w:rsid w:val="005F3E3E"/>
    <w:rsid w:val="005F4792"/>
    <w:rsid w:val="005F4A93"/>
    <w:rsid w:val="005F588C"/>
    <w:rsid w:val="005F5DED"/>
    <w:rsid w:val="005F7B4C"/>
    <w:rsid w:val="005F7E09"/>
    <w:rsid w:val="006009D8"/>
    <w:rsid w:val="00602044"/>
    <w:rsid w:val="0060408E"/>
    <w:rsid w:val="00604197"/>
    <w:rsid w:val="00612D52"/>
    <w:rsid w:val="00613B8C"/>
    <w:rsid w:val="00614B45"/>
    <w:rsid w:val="006179F7"/>
    <w:rsid w:val="006205E6"/>
    <w:rsid w:val="00621B41"/>
    <w:rsid w:val="00623E2B"/>
    <w:rsid w:val="0062479B"/>
    <w:rsid w:val="00624C26"/>
    <w:rsid w:val="00625D95"/>
    <w:rsid w:val="006264DE"/>
    <w:rsid w:val="0062717E"/>
    <w:rsid w:val="00627E00"/>
    <w:rsid w:val="00627EC9"/>
    <w:rsid w:val="00630857"/>
    <w:rsid w:val="00632CE2"/>
    <w:rsid w:val="006336A4"/>
    <w:rsid w:val="006375DE"/>
    <w:rsid w:val="00637EBF"/>
    <w:rsid w:val="0064032C"/>
    <w:rsid w:val="00641078"/>
    <w:rsid w:val="006443FB"/>
    <w:rsid w:val="00644639"/>
    <w:rsid w:val="00645264"/>
    <w:rsid w:val="00645365"/>
    <w:rsid w:val="006475E6"/>
    <w:rsid w:val="0065295C"/>
    <w:rsid w:val="00652F6C"/>
    <w:rsid w:val="006534C7"/>
    <w:rsid w:val="0065508C"/>
    <w:rsid w:val="00655E7C"/>
    <w:rsid w:val="006568AC"/>
    <w:rsid w:val="00664C5B"/>
    <w:rsid w:val="00666D4B"/>
    <w:rsid w:val="0066724F"/>
    <w:rsid w:val="00667C38"/>
    <w:rsid w:val="00670FA0"/>
    <w:rsid w:val="00677840"/>
    <w:rsid w:val="00677E72"/>
    <w:rsid w:val="00680989"/>
    <w:rsid w:val="00680C13"/>
    <w:rsid w:val="006838E6"/>
    <w:rsid w:val="00683FB6"/>
    <w:rsid w:val="00686251"/>
    <w:rsid w:val="00687E17"/>
    <w:rsid w:val="00690927"/>
    <w:rsid w:val="00690FE7"/>
    <w:rsid w:val="00691C38"/>
    <w:rsid w:val="00692F0B"/>
    <w:rsid w:val="0069457F"/>
    <w:rsid w:val="006959BC"/>
    <w:rsid w:val="0069632B"/>
    <w:rsid w:val="006A098F"/>
    <w:rsid w:val="006A1772"/>
    <w:rsid w:val="006A3DA2"/>
    <w:rsid w:val="006A43A8"/>
    <w:rsid w:val="006A50C7"/>
    <w:rsid w:val="006A5CB2"/>
    <w:rsid w:val="006A6078"/>
    <w:rsid w:val="006A6B1E"/>
    <w:rsid w:val="006A7599"/>
    <w:rsid w:val="006B1544"/>
    <w:rsid w:val="006B2E77"/>
    <w:rsid w:val="006B7A36"/>
    <w:rsid w:val="006C11B8"/>
    <w:rsid w:val="006C2355"/>
    <w:rsid w:val="006C395A"/>
    <w:rsid w:val="006C4738"/>
    <w:rsid w:val="006C63CC"/>
    <w:rsid w:val="006C67DF"/>
    <w:rsid w:val="006C6C70"/>
    <w:rsid w:val="006D299C"/>
    <w:rsid w:val="006D2A09"/>
    <w:rsid w:val="006D30A1"/>
    <w:rsid w:val="006D4671"/>
    <w:rsid w:val="006D542B"/>
    <w:rsid w:val="006D5822"/>
    <w:rsid w:val="006D5993"/>
    <w:rsid w:val="006D7608"/>
    <w:rsid w:val="006E4C35"/>
    <w:rsid w:val="006E4C65"/>
    <w:rsid w:val="006E73FE"/>
    <w:rsid w:val="006F0AE7"/>
    <w:rsid w:val="006F2470"/>
    <w:rsid w:val="006F3FA8"/>
    <w:rsid w:val="006F6DFB"/>
    <w:rsid w:val="006F71F5"/>
    <w:rsid w:val="006F7D92"/>
    <w:rsid w:val="007004D6"/>
    <w:rsid w:val="00703A87"/>
    <w:rsid w:val="00704378"/>
    <w:rsid w:val="007057B1"/>
    <w:rsid w:val="00707D7B"/>
    <w:rsid w:val="007111DF"/>
    <w:rsid w:val="00712BDD"/>
    <w:rsid w:val="007157BD"/>
    <w:rsid w:val="007173CA"/>
    <w:rsid w:val="007229ED"/>
    <w:rsid w:val="00722A0F"/>
    <w:rsid w:val="00725F89"/>
    <w:rsid w:val="0072745A"/>
    <w:rsid w:val="00733570"/>
    <w:rsid w:val="0073406C"/>
    <w:rsid w:val="0073473E"/>
    <w:rsid w:val="00734EF7"/>
    <w:rsid w:val="00742D06"/>
    <w:rsid w:val="00742F00"/>
    <w:rsid w:val="00744D07"/>
    <w:rsid w:val="00744DF5"/>
    <w:rsid w:val="007453BB"/>
    <w:rsid w:val="00745C91"/>
    <w:rsid w:val="00746753"/>
    <w:rsid w:val="00757526"/>
    <w:rsid w:val="00757F11"/>
    <w:rsid w:val="00763DA9"/>
    <w:rsid w:val="00764224"/>
    <w:rsid w:val="00764E3B"/>
    <w:rsid w:val="007653A3"/>
    <w:rsid w:val="007664F4"/>
    <w:rsid w:val="00767FE7"/>
    <w:rsid w:val="007705A5"/>
    <w:rsid w:val="007745F2"/>
    <w:rsid w:val="00774DAB"/>
    <w:rsid w:val="00774E82"/>
    <w:rsid w:val="00777248"/>
    <w:rsid w:val="00777D87"/>
    <w:rsid w:val="007817CC"/>
    <w:rsid w:val="007822F0"/>
    <w:rsid w:val="0078433A"/>
    <w:rsid w:val="00784495"/>
    <w:rsid w:val="00784799"/>
    <w:rsid w:val="00786755"/>
    <w:rsid w:val="00790033"/>
    <w:rsid w:val="0079275C"/>
    <w:rsid w:val="00794159"/>
    <w:rsid w:val="0079508C"/>
    <w:rsid w:val="00796961"/>
    <w:rsid w:val="007A0D0F"/>
    <w:rsid w:val="007A233E"/>
    <w:rsid w:val="007A2CD4"/>
    <w:rsid w:val="007A3016"/>
    <w:rsid w:val="007A42E7"/>
    <w:rsid w:val="007A6027"/>
    <w:rsid w:val="007A6C26"/>
    <w:rsid w:val="007B0C07"/>
    <w:rsid w:val="007B3210"/>
    <w:rsid w:val="007B324E"/>
    <w:rsid w:val="007B3CA9"/>
    <w:rsid w:val="007C2182"/>
    <w:rsid w:val="007C4427"/>
    <w:rsid w:val="007C527A"/>
    <w:rsid w:val="007C582B"/>
    <w:rsid w:val="007D27BE"/>
    <w:rsid w:val="007D4799"/>
    <w:rsid w:val="007D49F0"/>
    <w:rsid w:val="007D5D3E"/>
    <w:rsid w:val="007E0154"/>
    <w:rsid w:val="007E2D88"/>
    <w:rsid w:val="007E2EF3"/>
    <w:rsid w:val="007E38F0"/>
    <w:rsid w:val="007E47C9"/>
    <w:rsid w:val="007E4987"/>
    <w:rsid w:val="007E5F15"/>
    <w:rsid w:val="007E70B8"/>
    <w:rsid w:val="007F0268"/>
    <w:rsid w:val="007F0B71"/>
    <w:rsid w:val="007F0F92"/>
    <w:rsid w:val="007F108E"/>
    <w:rsid w:val="007F1262"/>
    <w:rsid w:val="007F19BE"/>
    <w:rsid w:val="007F1A31"/>
    <w:rsid w:val="007F278B"/>
    <w:rsid w:val="007F7C1E"/>
    <w:rsid w:val="0080057B"/>
    <w:rsid w:val="00801C35"/>
    <w:rsid w:val="00805AC7"/>
    <w:rsid w:val="008062ED"/>
    <w:rsid w:val="00810C3A"/>
    <w:rsid w:val="00811FE9"/>
    <w:rsid w:val="0081338F"/>
    <w:rsid w:val="00813DFE"/>
    <w:rsid w:val="00815B0E"/>
    <w:rsid w:val="00816C95"/>
    <w:rsid w:val="008221D1"/>
    <w:rsid w:val="0082283D"/>
    <w:rsid w:val="008231AC"/>
    <w:rsid w:val="00826D94"/>
    <w:rsid w:val="00830AA1"/>
    <w:rsid w:val="00830AE2"/>
    <w:rsid w:val="00841E80"/>
    <w:rsid w:val="008429B7"/>
    <w:rsid w:val="00843FDF"/>
    <w:rsid w:val="00845C09"/>
    <w:rsid w:val="00850678"/>
    <w:rsid w:val="00851C71"/>
    <w:rsid w:val="00852A3C"/>
    <w:rsid w:val="00862E12"/>
    <w:rsid w:val="00863C53"/>
    <w:rsid w:val="0086616B"/>
    <w:rsid w:val="00866862"/>
    <w:rsid w:val="00866B0B"/>
    <w:rsid w:val="008673A4"/>
    <w:rsid w:val="00875A7F"/>
    <w:rsid w:val="00880D9D"/>
    <w:rsid w:val="00881867"/>
    <w:rsid w:val="00882BE1"/>
    <w:rsid w:val="00883605"/>
    <w:rsid w:val="0088432D"/>
    <w:rsid w:val="008857C9"/>
    <w:rsid w:val="00892159"/>
    <w:rsid w:val="008926CE"/>
    <w:rsid w:val="00892A63"/>
    <w:rsid w:val="00894C15"/>
    <w:rsid w:val="00895EB5"/>
    <w:rsid w:val="008972DB"/>
    <w:rsid w:val="008A0FF6"/>
    <w:rsid w:val="008A3181"/>
    <w:rsid w:val="008A64CC"/>
    <w:rsid w:val="008A6CDA"/>
    <w:rsid w:val="008B0AA5"/>
    <w:rsid w:val="008B569F"/>
    <w:rsid w:val="008B5AA7"/>
    <w:rsid w:val="008B6B2A"/>
    <w:rsid w:val="008B7894"/>
    <w:rsid w:val="008C02D5"/>
    <w:rsid w:val="008C0604"/>
    <w:rsid w:val="008C495F"/>
    <w:rsid w:val="008D0F0D"/>
    <w:rsid w:val="008D2704"/>
    <w:rsid w:val="008D36CA"/>
    <w:rsid w:val="008D3BA4"/>
    <w:rsid w:val="008D739A"/>
    <w:rsid w:val="008E012E"/>
    <w:rsid w:val="008E08E9"/>
    <w:rsid w:val="008E0A1A"/>
    <w:rsid w:val="008E0D35"/>
    <w:rsid w:val="008E241E"/>
    <w:rsid w:val="008E6846"/>
    <w:rsid w:val="008E6929"/>
    <w:rsid w:val="008F01A8"/>
    <w:rsid w:val="008F1E2F"/>
    <w:rsid w:val="008F2BC4"/>
    <w:rsid w:val="008F461D"/>
    <w:rsid w:val="008F534A"/>
    <w:rsid w:val="008F7A83"/>
    <w:rsid w:val="00902965"/>
    <w:rsid w:val="009036AC"/>
    <w:rsid w:val="009102E9"/>
    <w:rsid w:val="00914980"/>
    <w:rsid w:val="00915BFA"/>
    <w:rsid w:val="00916166"/>
    <w:rsid w:val="00920ED2"/>
    <w:rsid w:val="0092238F"/>
    <w:rsid w:val="00922E92"/>
    <w:rsid w:val="00923B51"/>
    <w:rsid w:val="00924A47"/>
    <w:rsid w:val="00925049"/>
    <w:rsid w:val="00925912"/>
    <w:rsid w:val="00925D75"/>
    <w:rsid w:val="00927F56"/>
    <w:rsid w:val="00931034"/>
    <w:rsid w:val="00932580"/>
    <w:rsid w:val="0093284A"/>
    <w:rsid w:val="00933F5F"/>
    <w:rsid w:val="00934662"/>
    <w:rsid w:val="00934C69"/>
    <w:rsid w:val="00934CCF"/>
    <w:rsid w:val="0093533C"/>
    <w:rsid w:val="00936E20"/>
    <w:rsid w:val="00940F9C"/>
    <w:rsid w:val="00942148"/>
    <w:rsid w:val="0094219D"/>
    <w:rsid w:val="00944F89"/>
    <w:rsid w:val="00945A67"/>
    <w:rsid w:val="00946C0B"/>
    <w:rsid w:val="00946C98"/>
    <w:rsid w:val="00946F1E"/>
    <w:rsid w:val="0094791A"/>
    <w:rsid w:val="00947ED9"/>
    <w:rsid w:val="00952480"/>
    <w:rsid w:val="0095263D"/>
    <w:rsid w:val="00952AB8"/>
    <w:rsid w:val="0095359A"/>
    <w:rsid w:val="0095599D"/>
    <w:rsid w:val="00956613"/>
    <w:rsid w:val="0095672F"/>
    <w:rsid w:val="00956765"/>
    <w:rsid w:val="0095707B"/>
    <w:rsid w:val="00957787"/>
    <w:rsid w:val="00961832"/>
    <w:rsid w:val="00967289"/>
    <w:rsid w:val="00970A54"/>
    <w:rsid w:val="00971556"/>
    <w:rsid w:val="0097232C"/>
    <w:rsid w:val="009731E5"/>
    <w:rsid w:val="009773D1"/>
    <w:rsid w:val="00977DCE"/>
    <w:rsid w:val="0098033D"/>
    <w:rsid w:val="009811DD"/>
    <w:rsid w:val="00982106"/>
    <w:rsid w:val="00983931"/>
    <w:rsid w:val="00983D63"/>
    <w:rsid w:val="00985229"/>
    <w:rsid w:val="009862EC"/>
    <w:rsid w:val="00986D8C"/>
    <w:rsid w:val="00987F95"/>
    <w:rsid w:val="009915F1"/>
    <w:rsid w:val="00991CE2"/>
    <w:rsid w:val="00991DF1"/>
    <w:rsid w:val="00993588"/>
    <w:rsid w:val="00993D07"/>
    <w:rsid w:val="00994D5D"/>
    <w:rsid w:val="00995083"/>
    <w:rsid w:val="009A12AF"/>
    <w:rsid w:val="009A2282"/>
    <w:rsid w:val="009A634A"/>
    <w:rsid w:val="009A6540"/>
    <w:rsid w:val="009A6B82"/>
    <w:rsid w:val="009A6FFD"/>
    <w:rsid w:val="009A7FF8"/>
    <w:rsid w:val="009B0DB2"/>
    <w:rsid w:val="009C31CD"/>
    <w:rsid w:val="009C5011"/>
    <w:rsid w:val="009C69AB"/>
    <w:rsid w:val="009C77B9"/>
    <w:rsid w:val="009D0FB4"/>
    <w:rsid w:val="009D2AFB"/>
    <w:rsid w:val="009D353B"/>
    <w:rsid w:val="009D372C"/>
    <w:rsid w:val="009D4A9A"/>
    <w:rsid w:val="009D4B48"/>
    <w:rsid w:val="009D65BB"/>
    <w:rsid w:val="009D670A"/>
    <w:rsid w:val="009E2073"/>
    <w:rsid w:val="009E4CB2"/>
    <w:rsid w:val="009E573F"/>
    <w:rsid w:val="009E6660"/>
    <w:rsid w:val="009E75DA"/>
    <w:rsid w:val="009E7A9D"/>
    <w:rsid w:val="009E7E83"/>
    <w:rsid w:val="009F1879"/>
    <w:rsid w:val="009F1D49"/>
    <w:rsid w:val="009F1ED3"/>
    <w:rsid w:val="009F2021"/>
    <w:rsid w:val="009F21F6"/>
    <w:rsid w:val="009F46BA"/>
    <w:rsid w:val="009F5F15"/>
    <w:rsid w:val="009F65D5"/>
    <w:rsid w:val="00A03B5C"/>
    <w:rsid w:val="00A0476D"/>
    <w:rsid w:val="00A05216"/>
    <w:rsid w:val="00A06523"/>
    <w:rsid w:val="00A110D8"/>
    <w:rsid w:val="00A13F60"/>
    <w:rsid w:val="00A14136"/>
    <w:rsid w:val="00A1793C"/>
    <w:rsid w:val="00A17EAB"/>
    <w:rsid w:val="00A21B38"/>
    <w:rsid w:val="00A21F23"/>
    <w:rsid w:val="00A22EA0"/>
    <w:rsid w:val="00A234B0"/>
    <w:rsid w:val="00A2433A"/>
    <w:rsid w:val="00A24961"/>
    <w:rsid w:val="00A26C48"/>
    <w:rsid w:val="00A273C2"/>
    <w:rsid w:val="00A3245E"/>
    <w:rsid w:val="00A32F62"/>
    <w:rsid w:val="00A33F74"/>
    <w:rsid w:val="00A33FF8"/>
    <w:rsid w:val="00A35E19"/>
    <w:rsid w:val="00A363C0"/>
    <w:rsid w:val="00A378B3"/>
    <w:rsid w:val="00A40228"/>
    <w:rsid w:val="00A40888"/>
    <w:rsid w:val="00A53A0D"/>
    <w:rsid w:val="00A53ABF"/>
    <w:rsid w:val="00A54991"/>
    <w:rsid w:val="00A54DFB"/>
    <w:rsid w:val="00A57C62"/>
    <w:rsid w:val="00A57CF6"/>
    <w:rsid w:val="00A61EB1"/>
    <w:rsid w:val="00A63B12"/>
    <w:rsid w:val="00A65BD0"/>
    <w:rsid w:val="00A662D6"/>
    <w:rsid w:val="00A67454"/>
    <w:rsid w:val="00A67507"/>
    <w:rsid w:val="00A71803"/>
    <w:rsid w:val="00A7192F"/>
    <w:rsid w:val="00A72B6F"/>
    <w:rsid w:val="00A746D8"/>
    <w:rsid w:val="00A75D0D"/>
    <w:rsid w:val="00A770CA"/>
    <w:rsid w:val="00A8090E"/>
    <w:rsid w:val="00A825DB"/>
    <w:rsid w:val="00A830BD"/>
    <w:rsid w:val="00A83BA8"/>
    <w:rsid w:val="00A83D08"/>
    <w:rsid w:val="00A851EF"/>
    <w:rsid w:val="00A861DF"/>
    <w:rsid w:val="00A869B7"/>
    <w:rsid w:val="00A876FB"/>
    <w:rsid w:val="00A87879"/>
    <w:rsid w:val="00A908BF"/>
    <w:rsid w:val="00A921F0"/>
    <w:rsid w:val="00A923D1"/>
    <w:rsid w:val="00A94D29"/>
    <w:rsid w:val="00A95AAD"/>
    <w:rsid w:val="00A97DC5"/>
    <w:rsid w:val="00AA34E3"/>
    <w:rsid w:val="00AA36FF"/>
    <w:rsid w:val="00AA5F20"/>
    <w:rsid w:val="00AA75B3"/>
    <w:rsid w:val="00AB0FBE"/>
    <w:rsid w:val="00AB166A"/>
    <w:rsid w:val="00AB20D3"/>
    <w:rsid w:val="00AB27AE"/>
    <w:rsid w:val="00AB2C63"/>
    <w:rsid w:val="00AB2EA0"/>
    <w:rsid w:val="00AB5C9A"/>
    <w:rsid w:val="00AB6A59"/>
    <w:rsid w:val="00AB7D3D"/>
    <w:rsid w:val="00AC0F22"/>
    <w:rsid w:val="00AC1047"/>
    <w:rsid w:val="00AC12A7"/>
    <w:rsid w:val="00AC14ED"/>
    <w:rsid w:val="00AC64A4"/>
    <w:rsid w:val="00AC7033"/>
    <w:rsid w:val="00AC7371"/>
    <w:rsid w:val="00AD0602"/>
    <w:rsid w:val="00AD2C91"/>
    <w:rsid w:val="00AD31E4"/>
    <w:rsid w:val="00AD77B7"/>
    <w:rsid w:val="00AE25D7"/>
    <w:rsid w:val="00AE261A"/>
    <w:rsid w:val="00AE2F90"/>
    <w:rsid w:val="00AE37BC"/>
    <w:rsid w:val="00AE39B6"/>
    <w:rsid w:val="00AE473A"/>
    <w:rsid w:val="00AE56EC"/>
    <w:rsid w:val="00AF0A06"/>
    <w:rsid w:val="00AF0A5D"/>
    <w:rsid w:val="00AF0E9C"/>
    <w:rsid w:val="00AF25A8"/>
    <w:rsid w:val="00AF2D86"/>
    <w:rsid w:val="00AF5651"/>
    <w:rsid w:val="00AF7123"/>
    <w:rsid w:val="00B009B0"/>
    <w:rsid w:val="00B0308B"/>
    <w:rsid w:val="00B03774"/>
    <w:rsid w:val="00B0538B"/>
    <w:rsid w:val="00B05BF4"/>
    <w:rsid w:val="00B06728"/>
    <w:rsid w:val="00B06908"/>
    <w:rsid w:val="00B07838"/>
    <w:rsid w:val="00B14908"/>
    <w:rsid w:val="00B150B1"/>
    <w:rsid w:val="00B16B95"/>
    <w:rsid w:val="00B173D9"/>
    <w:rsid w:val="00B203F3"/>
    <w:rsid w:val="00B20C66"/>
    <w:rsid w:val="00B22769"/>
    <w:rsid w:val="00B30F02"/>
    <w:rsid w:val="00B34077"/>
    <w:rsid w:val="00B3571C"/>
    <w:rsid w:val="00B362C9"/>
    <w:rsid w:val="00B409AE"/>
    <w:rsid w:val="00B4219D"/>
    <w:rsid w:val="00B4416E"/>
    <w:rsid w:val="00B44209"/>
    <w:rsid w:val="00B44692"/>
    <w:rsid w:val="00B44928"/>
    <w:rsid w:val="00B44BC1"/>
    <w:rsid w:val="00B46E61"/>
    <w:rsid w:val="00B473DB"/>
    <w:rsid w:val="00B47CFE"/>
    <w:rsid w:val="00B47F92"/>
    <w:rsid w:val="00B5225D"/>
    <w:rsid w:val="00B54215"/>
    <w:rsid w:val="00B54B7D"/>
    <w:rsid w:val="00B56151"/>
    <w:rsid w:val="00B57102"/>
    <w:rsid w:val="00B60625"/>
    <w:rsid w:val="00B6271D"/>
    <w:rsid w:val="00B6308B"/>
    <w:rsid w:val="00B63690"/>
    <w:rsid w:val="00B640B9"/>
    <w:rsid w:val="00B64F8A"/>
    <w:rsid w:val="00B65C05"/>
    <w:rsid w:val="00B66446"/>
    <w:rsid w:val="00B66A78"/>
    <w:rsid w:val="00B70044"/>
    <w:rsid w:val="00B7179A"/>
    <w:rsid w:val="00B72962"/>
    <w:rsid w:val="00B7334A"/>
    <w:rsid w:val="00B733FE"/>
    <w:rsid w:val="00B772E3"/>
    <w:rsid w:val="00B80E49"/>
    <w:rsid w:val="00B817CB"/>
    <w:rsid w:val="00B84176"/>
    <w:rsid w:val="00B85055"/>
    <w:rsid w:val="00B90A7B"/>
    <w:rsid w:val="00B91F56"/>
    <w:rsid w:val="00B96355"/>
    <w:rsid w:val="00B96BA9"/>
    <w:rsid w:val="00B975A0"/>
    <w:rsid w:val="00BA0671"/>
    <w:rsid w:val="00BA09D9"/>
    <w:rsid w:val="00BA14C4"/>
    <w:rsid w:val="00BA19CD"/>
    <w:rsid w:val="00BB3DFA"/>
    <w:rsid w:val="00BB48E2"/>
    <w:rsid w:val="00BB4D47"/>
    <w:rsid w:val="00BB686A"/>
    <w:rsid w:val="00BB75FA"/>
    <w:rsid w:val="00BB7F14"/>
    <w:rsid w:val="00BC064F"/>
    <w:rsid w:val="00BC0DFD"/>
    <w:rsid w:val="00BC274B"/>
    <w:rsid w:val="00BC6745"/>
    <w:rsid w:val="00BD0E6B"/>
    <w:rsid w:val="00BD1665"/>
    <w:rsid w:val="00BD20E4"/>
    <w:rsid w:val="00BD2EDE"/>
    <w:rsid w:val="00BD3902"/>
    <w:rsid w:val="00BD4B7A"/>
    <w:rsid w:val="00BD6139"/>
    <w:rsid w:val="00BE326F"/>
    <w:rsid w:val="00BE4820"/>
    <w:rsid w:val="00BE7704"/>
    <w:rsid w:val="00BF0237"/>
    <w:rsid w:val="00BF1565"/>
    <w:rsid w:val="00BF48B3"/>
    <w:rsid w:val="00BF53FD"/>
    <w:rsid w:val="00C042B5"/>
    <w:rsid w:val="00C05CD7"/>
    <w:rsid w:val="00C06B55"/>
    <w:rsid w:val="00C14930"/>
    <w:rsid w:val="00C158E6"/>
    <w:rsid w:val="00C17551"/>
    <w:rsid w:val="00C23859"/>
    <w:rsid w:val="00C23E5B"/>
    <w:rsid w:val="00C257C8"/>
    <w:rsid w:val="00C26D30"/>
    <w:rsid w:val="00C27544"/>
    <w:rsid w:val="00C30903"/>
    <w:rsid w:val="00C309DF"/>
    <w:rsid w:val="00C30D02"/>
    <w:rsid w:val="00C32263"/>
    <w:rsid w:val="00C32695"/>
    <w:rsid w:val="00C32E7C"/>
    <w:rsid w:val="00C3351A"/>
    <w:rsid w:val="00C412F8"/>
    <w:rsid w:val="00C413A2"/>
    <w:rsid w:val="00C4421F"/>
    <w:rsid w:val="00C442CE"/>
    <w:rsid w:val="00C449B6"/>
    <w:rsid w:val="00C454E0"/>
    <w:rsid w:val="00C47ABE"/>
    <w:rsid w:val="00C47C6E"/>
    <w:rsid w:val="00C532F6"/>
    <w:rsid w:val="00C628A2"/>
    <w:rsid w:val="00C62CE1"/>
    <w:rsid w:val="00C6431C"/>
    <w:rsid w:val="00C6553E"/>
    <w:rsid w:val="00C67709"/>
    <w:rsid w:val="00C67E98"/>
    <w:rsid w:val="00C710B6"/>
    <w:rsid w:val="00C71AF4"/>
    <w:rsid w:val="00C729CD"/>
    <w:rsid w:val="00C730F6"/>
    <w:rsid w:val="00C77CF2"/>
    <w:rsid w:val="00C80770"/>
    <w:rsid w:val="00C824BE"/>
    <w:rsid w:val="00C829E4"/>
    <w:rsid w:val="00C83D91"/>
    <w:rsid w:val="00C84B84"/>
    <w:rsid w:val="00C866FB"/>
    <w:rsid w:val="00C86A27"/>
    <w:rsid w:val="00C86A6C"/>
    <w:rsid w:val="00C87F4F"/>
    <w:rsid w:val="00C90082"/>
    <w:rsid w:val="00C92072"/>
    <w:rsid w:val="00C92F29"/>
    <w:rsid w:val="00C93D94"/>
    <w:rsid w:val="00C947C7"/>
    <w:rsid w:val="00C94885"/>
    <w:rsid w:val="00C94A84"/>
    <w:rsid w:val="00C94D83"/>
    <w:rsid w:val="00C95B02"/>
    <w:rsid w:val="00C962BF"/>
    <w:rsid w:val="00C969D0"/>
    <w:rsid w:val="00CA092D"/>
    <w:rsid w:val="00CA1ECF"/>
    <w:rsid w:val="00CA4164"/>
    <w:rsid w:val="00CA491A"/>
    <w:rsid w:val="00CA4F58"/>
    <w:rsid w:val="00CA5B4F"/>
    <w:rsid w:val="00CA6020"/>
    <w:rsid w:val="00CA6659"/>
    <w:rsid w:val="00CA6BA9"/>
    <w:rsid w:val="00CA7E6F"/>
    <w:rsid w:val="00CB2063"/>
    <w:rsid w:val="00CB26E3"/>
    <w:rsid w:val="00CB2D52"/>
    <w:rsid w:val="00CB343F"/>
    <w:rsid w:val="00CB634D"/>
    <w:rsid w:val="00CB70CD"/>
    <w:rsid w:val="00CB7C67"/>
    <w:rsid w:val="00CC0447"/>
    <w:rsid w:val="00CC10FF"/>
    <w:rsid w:val="00CC1E29"/>
    <w:rsid w:val="00CC317A"/>
    <w:rsid w:val="00CC68D8"/>
    <w:rsid w:val="00CD1A37"/>
    <w:rsid w:val="00CD294F"/>
    <w:rsid w:val="00CD2C3E"/>
    <w:rsid w:val="00CD4103"/>
    <w:rsid w:val="00CD4AB4"/>
    <w:rsid w:val="00CD5759"/>
    <w:rsid w:val="00CD5801"/>
    <w:rsid w:val="00CD6CA6"/>
    <w:rsid w:val="00CD7C5C"/>
    <w:rsid w:val="00CE205B"/>
    <w:rsid w:val="00CE4121"/>
    <w:rsid w:val="00CE4A8E"/>
    <w:rsid w:val="00CE4D8D"/>
    <w:rsid w:val="00CE52EE"/>
    <w:rsid w:val="00CE6545"/>
    <w:rsid w:val="00CE78D7"/>
    <w:rsid w:val="00CE7B9C"/>
    <w:rsid w:val="00CF0035"/>
    <w:rsid w:val="00CF16E3"/>
    <w:rsid w:val="00CF5624"/>
    <w:rsid w:val="00CF5FD7"/>
    <w:rsid w:val="00CF7362"/>
    <w:rsid w:val="00D00067"/>
    <w:rsid w:val="00D01A18"/>
    <w:rsid w:val="00D0200F"/>
    <w:rsid w:val="00D039BB"/>
    <w:rsid w:val="00D04FB3"/>
    <w:rsid w:val="00D101BC"/>
    <w:rsid w:val="00D13270"/>
    <w:rsid w:val="00D133C0"/>
    <w:rsid w:val="00D1472C"/>
    <w:rsid w:val="00D159BC"/>
    <w:rsid w:val="00D20FE5"/>
    <w:rsid w:val="00D223F6"/>
    <w:rsid w:val="00D265F1"/>
    <w:rsid w:val="00D26BE6"/>
    <w:rsid w:val="00D31049"/>
    <w:rsid w:val="00D328A7"/>
    <w:rsid w:val="00D32917"/>
    <w:rsid w:val="00D3435F"/>
    <w:rsid w:val="00D348C6"/>
    <w:rsid w:val="00D3521C"/>
    <w:rsid w:val="00D37921"/>
    <w:rsid w:val="00D40E0E"/>
    <w:rsid w:val="00D44A47"/>
    <w:rsid w:val="00D44F2E"/>
    <w:rsid w:val="00D46666"/>
    <w:rsid w:val="00D509F9"/>
    <w:rsid w:val="00D50BA1"/>
    <w:rsid w:val="00D51309"/>
    <w:rsid w:val="00D52337"/>
    <w:rsid w:val="00D52427"/>
    <w:rsid w:val="00D549DC"/>
    <w:rsid w:val="00D5603C"/>
    <w:rsid w:val="00D60E71"/>
    <w:rsid w:val="00D6246C"/>
    <w:rsid w:val="00D62EFD"/>
    <w:rsid w:val="00D64FAA"/>
    <w:rsid w:val="00D66B0B"/>
    <w:rsid w:val="00D6794B"/>
    <w:rsid w:val="00D71AC8"/>
    <w:rsid w:val="00D72058"/>
    <w:rsid w:val="00D73363"/>
    <w:rsid w:val="00D7559F"/>
    <w:rsid w:val="00D758AC"/>
    <w:rsid w:val="00D762B2"/>
    <w:rsid w:val="00D768D7"/>
    <w:rsid w:val="00D76B03"/>
    <w:rsid w:val="00D7758D"/>
    <w:rsid w:val="00D805F1"/>
    <w:rsid w:val="00D8159C"/>
    <w:rsid w:val="00D83705"/>
    <w:rsid w:val="00D847E4"/>
    <w:rsid w:val="00D92A4A"/>
    <w:rsid w:val="00D92A9B"/>
    <w:rsid w:val="00D93529"/>
    <w:rsid w:val="00D94143"/>
    <w:rsid w:val="00D94D28"/>
    <w:rsid w:val="00D94FF3"/>
    <w:rsid w:val="00DA12E5"/>
    <w:rsid w:val="00DA21AC"/>
    <w:rsid w:val="00DA3557"/>
    <w:rsid w:val="00DA35BD"/>
    <w:rsid w:val="00DA471E"/>
    <w:rsid w:val="00DA4AEF"/>
    <w:rsid w:val="00DA5430"/>
    <w:rsid w:val="00DA7248"/>
    <w:rsid w:val="00DA7943"/>
    <w:rsid w:val="00DA7C2C"/>
    <w:rsid w:val="00DB07F9"/>
    <w:rsid w:val="00DB139F"/>
    <w:rsid w:val="00DB57C3"/>
    <w:rsid w:val="00DB6A17"/>
    <w:rsid w:val="00DB6EC8"/>
    <w:rsid w:val="00DC09B5"/>
    <w:rsid w:val="00DC10BF"/>
    <w:rsid w:val="00DC2A51"/>
    <w:rsid w:val="00DC4798"/>
    <w:rsid w:val="00DC6642"/>
    <w:rsid w:val="00DC6E7E"/>
    <w:rsid w:val="00DC7841"/>
    <w:rsid w:val="00DD3F47"/>
    <w:rsid w:val="00DD5291"/>
    <w:rsid w:val="00DE0C8E"/>
    <w:rsid w:val="00DE3072"/>
    <w:rsid w:val="00DE322D"/>
    <w:rsid w:val="00DE3D36"/>
    <w:rsid w:val="00DE540E"/>
    <w:rsid w:val="00DE71F2"/>
    <w:rsid w:val="00DE7C30"/>
    <w:rsid w:val="00DF0240"/>
    <w:rsid w:val="00DF05D8"/>
    <w:rsid w:val="00DF24B4"/>
    <w:rsid w:val="00DF359B"/>
    <w:rsid w:val="00DF6F2A"/>
    <w:rsid w:val="00E03203"/>
    <w:rsid w:val="00E04417"/>
    <w:rsid w:val="00E0785C"/>
    <w:rsid w:val="00E1100A"/>
    <w:rsid w:val="00E11A6E"/>
    <w:rsid w:val="00E11DFF"/>
    <w:rsid w:val="00E1248A"/>
    <w:rsid w:val="00E1519D"/>
    <w:rsid w:val="00E1665D"/>
    <w:rsid w:val="00E16CB2"/>
    <w:rsid w:val="00E170F9"/>
    <w:rsid w:val="00E2089E"/>
    <w:rsid w:val="00E26B4B"/>
    <w:rsid w:val="00E27CD5"/>
    <w:rsid w:val="00E30767"/>
    <w:rsid w:val="00E316D4"/>
    <w:rsid w:val="00E347A9"/>
    <w:rsid w:val="00E349D5"/>
    <w:rsid w:val="00E366B3"/>
    <w:rsid w:val="00E40096"/>
    <w:rsid w:val="00E4089E"/>
    <w:rsid w:val="00E41845"/>
    <w:rsid w:val="00E423CA"/>
    <w:rsid w:val="00E44E75"/>
    <w:rsid w:val="00E45911"/>
    <w:rsid w:val="00E516A0"/>
    <w:rsid w:val="00E52FDB"/>
    <w:rsid w:val="00E6171C"/>
    <w:rsid w:val="00E618BC"/>
    <w:rsid w:val="00E61F6A"/>
    <w:rsid w:val="00E629C7"/>
    <w:rsid w:val="00E63DE8"/>
    <w:rsid w:val="00E642AB"/>
    <w:rsid w:val="00E65D71"/>
    <w:rsid w:val="00E65F17"/>
    <w:rsid w:val="00E663CE"/>
    <w:rsid w:val="00E67243"/>
    <w:rsid w:val="00E6742F"/>
    <w:rsid w:val="00E70D42"/>
    <w:rsid w:val="00E72067"/>
    <w:rsid w:val="00E76F1A"/>
    <w:rsid w:val="00E77814"/>
    <w:rsid w:val="00E80824"/>
    <w:rsid w:val="00E861BA"/>
    <w:rsid w:val="00E867D1"/>
    <w:rsid w:val="00E87B5F"/>
    <w:rsid w:val="00E87C67"/>
    <w:rsid w:val="00E901AE"/>
    <w:rsid w:val="00E90BBE"/>
    <w:rsid w:val="00E91E8E"/>
    <w:rsid w:val="00E92BD1"/>
    <w:rsid w:val="00E93533"/>
    <w:rsid w:val="00E937FA"/>
    <w:rsid w:val="00E96813"/>
    <w:rsid w:val="00E97684"/>
    <w:rsid w:val="00EA1376"/>
    <w:rsid w:val="00EA3C3E"/>
    <w:rsid w:val="00EA4A4C"/>
    <w:rsid w:val="00EA7AA4"/>
    <w:rsid w:val="00EA7D21"/>
    <w:rsid w:val="00EB007B"/>
    <w:rsid w:val="00EB008E"/>
    <w:rsid w:val="00EB1F9D"/>
    <w:rsid w:val="00EB4AC4"/>
    <w:rsid w:val="00EB4D70"/>
    <w:rsid w:val="00EB4FEF"/>
    <w:rsid w:val="00EB51A1"/>
    <w:rsid w:val="00EB72C1"/>
    <w:rsid w:val="00EC05E9"/>
    <w:rsid w:val="00EC171C"/>
    <w:rsid w:val="00EC48A3"/>
    <w:rsid w:val="00EC5F58"/>
    <w:rsid w:val="00EC6B84"/>
    <w:rsid w:val="00EC73BE"/>
    <w:rsid w:val="00EC7442"/>
    <w:rsid w:val="00ED014F"/>
    <w:rsid w:val="00ED1E90"/>
    <w:rsid w:val="00ED41A5"/>
    <w:rsid w:val="00ED6012"/>
    <w:rsid w:val="00EE2E0F"/>
    <w:rsid w:val="00EE3204"/>
    <w:rsid w:val="00EE6A7A"/>
    <w:rsid w:val="00EF166E"/>
    <w:rsid w:val="00EF1C73"/>
    <w:rsid w:val="00EF27AC"/>
    <w:rsid w:val="00EF44A5"/>
    <w:rsid w:val="00EF450D"/>
    <w:rsid w:val="00EF599E"/>
    <w:rsid w:val="00EF5F4A"/>
    <w:rsid w:val="00EF7881"/>
    <w:rsid w:val="00F00ED0"/>
    <w:rsid w:val="00F014A1"/>
    <w:rsid w:val="00F03FEB"/>
    <w:rsid w:val="00F04D5A"/>
    <w:rsid w:val="00F06F3A"/>
    <w:rsid w:val="00F129DC"/>
    <w:rsid w:val="00F14B56"/>
    <w:rsid w:val="00F14C3F"/>
    <w:rsid w:val="00F14D0A"/>
    <w:rsid w:val="00F15272"/>
    <w:rsid w:val="00F20DE5"/>
    <w:rsid w:val="00F232B4"/>
    <w:rsid w:val="00F245BA"/>
    <w:rsid w:val="00F27546"/>
    <w:rsid w:val="00F3126F"/>
    <w:rsid w:val="00F3142E"/>
    <w:rsid w:val="00F3192D"/>
    <w:rsid w:val="00F35404"/>
    <w:rsid w:val="00F35E18"/>
    <w:rsid w:val="00F37019"/>
    <w:rsid w:val="00F4128F"/>
    <w:rsid w:val="00F424EA"/>
    <w:rsid w:val="00F4366D"/>
    <w:rsid w:val="00F438A8"/>
    <w:rsid w:val="00F4421F"/>
    <w:rsid w:val="00F46415"/>
    <w:rsid w:val="00F5016A"/>
    <w:rsid w:val="00F54355"/>
    <w:rsid w:val="00F553AD"/>
    <w:rsid w:val="00F564B2"/>
    <w:rsid w:val="00F565C1"/>
    <w:rsid w:val="00F5679C"/>
    <w:rsid w:val="00F57893"/>
    <w:rsid w:val="00F62736"/>
    <w:rsid w:val="00F6651C"/>
    <w:rsid w:val="00F66AFD"/>
    <w:rsid w:val="00F71CFD"/>
    <w:rsid w:val="00F72461"/>
    <w:rsid w:val="00F80327"/>
    <w:rsid w:val="00F82134"/>
    <w:rsid w:val="00F824C6"/>
    <w:rsid w:val="00F85C78"/>
    <w:rsid w:val="00F8660B"/>
    <w:rsid w:val="00F90671"/>
    <w:rsid w:val="00F92B30"/>
    <w:rsid w:val="00F92EA1"/>
    <w:rsid w:val="00F93827"/>
    <w:rsid w:val="00F94C31"/>
    <w:rsid w:val="00F95230"/>
    <w:rsid w:val="00F95AEB"/>
    <w:rsid w:val="00F96B83"/>
    <w:rsid w:val="00F97499"/>
    <w:rsid w:val="00FA0240"/>
    <w:rsid w:val="00FA36F2"/>
    <w:rsid w:val="00FA451F"/>
    <w:rsid w:val="00FA5C2A"/>
    <w:rsid w:val="00FA68D2"/>
    <w:rsid w:val="00FB4158"/>
    <w:rsid w:val="00FB4C0F"/>
    <w:rsid w:val="00FB6867"/>
    <w:rsid w:val="00FC0A4A"/>
    <w:rsid w:val="00FC347E"/>
    <w:rsid w:val="00FC35D4"/>
    <w:rsid w:val="00FC3D26"/>
    <w:rsid w:val="00FC411E"/>
    <w:rsid w:val="00FC4C30"/>
    <w:rsid w:val="00FC4D8B"/>
    <w:rsid w:val="00FC5445"/>
    <w:rsid w:val="00FC7632"/>
    <w:rsid w:val="00FD256E"/>
    <w:rsid w:val="00FD44D0"/>
    <w:rsid w:val="00FE00CD"/>
    <w:rsid w:val="00FE0AB1"/>
    <w:rsid w:val="00FE0BE5"/>
    <w:rsid w:val="00FE2001"/>
    <w:rsid w:val="00FE2007"/>
    <w:rsid w:val="00FE2E11"/>
    <w:rsid w:val="00FE39D0"/>
    <w:rsid w:val="00FE4101"/>
    <w:rsid w:val="00FE590B"/>
    <w:rsid w:val="00FF1665"/>
    <w:rsid w:val="00FF24FC"/>
    <w:rsid w:val="00FF2E33"/>
    <w:rsid w:val="00FF3B83"/>
    <w:rsid w:val="00FF3FA4"/>
    <w:rsid w:val="00FF4334"/>
    <w:rsid w:val="00FF5A7A"/>
    <w:rsid w:val="00FF6601"/>
    <w:rsid w:val="00FF6B34"/>
    <w:rsid w:val="3BD238A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iPriority="65"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360" w:lineRule="auto"/>
      <w:jc w:val="both"/>
    </w:pPr>
    <w:rPr>
      <w:rFonts w:ascii="Times New Roman" w:hAnsi="Times New Roman" w:eastAsiaTheme="minorHAnsi" w:cstheme="minorBidi"/>
      <w:sz w:val="24"/>
      <w:szCs w:val="22"/>
      <w:lang w:val="en-GB" w:eastAsia="en-US" w:bidi="ar-SA"/>
    </w:rPr>
  </w:style>
  <w:style w:type="paragraph" w:styleId="2">
    <w:name w:val="heading 1"/>
    <w:basedOn w:val="1"/>
    <w:next w:val="1"/>
    <w:link w:val="28"/>
    <w:autoRedefine/>
    <w:qFormat/>
    <w:uiPriority w:val="9"/>
    <w:pPr>
      <w:keepNext/>
      <w:keepLines/>
      <w:spacing w:before="360" w:after="240"/>
      <w:outlineLvl w:val="0"/>
    </w:pPr>
    <w:rPr>
      <w:rFonts w:ascii="Arial" w:hAnsi="Arial" w:cs="Times New Roman" w:eastAsiaTheme="majorEastAsia"/>
      <w:b/>
      <w:bCs/>
      <w:color w:val="17375E" w:themeColor="text2" w:themeShade="BF"/>
      <w:szCs w:val="24"/>
      <w:lang w:eastAsia="ja-JP"/>
    </w:rPr>
  </w:style>
  <w:style w:type="paragraph" w:styleId="3">
    <w:name w:val="heading 2"/>
    <w:basedOn w:val="1"/>
    <w:next w:val="1"/>
    <w:link w:val="33"/>
    <w:autoRedefine/>
    <w:unhideWhenUsed/>
    <w:qFormat/>
    <w:uiPriority w:val="9"/>
    <w:pPr>
      <w:keepNext/>
      <w:keepLines/>
      <w:spacing w:before="40" w:after="0"/>
      <w:outlineLvl w:val="1"/>
    </w:pPr>
    <w:rPr>
      <w:rFonts w:ascii="Arial" w:hAnsi="Arial" w:eastAsiaTheme="majorEastAsia" w:cstheme="majorBidi"/>
      <w:b/>
      <w:color w:val="376092" w:themeColor="accent1" w:themeShade="BF"/>
      <w:szCs w:val="26"/>
      <w:lang w:eastAsia="ja-JP"/>
    </w:rPr>
  </w:style>
  <w:style w:type="paragraph" w:styleId="4">
    <w:name w:val="heading 3"/>
    <w:basedOn w:val="1"/>
    <w:next w:val="1"/>
    <w:link w:val="37"/>
    <w:autoRedefine/>
    <w:unhideWhenUsed/>
    <w:qFormat/>
    <w:uiPriority w:val="9"/>
    <w:pPr>
      <w:keepNext/>
      <w:keepLines/>
      <w:spacing w:before="240" w:after="240"/>
      <w:outlineLvl w:val="2"/>
    </w:pPr>
    <w:rPr>
      <w:rFonts w:ascii="Arial" w:hAnsi="Arial" w:eastAsiaTheme="majorEastAsia" w:cstheme="majorBidi"/>
      <w:b/>
      <w:color w:val="254061" w:themeColor="accent1" w:themeShade="80"/>
      <w:szCs w:val="24"/>
    </w:rPr>
  </w:style>
  <w:style w:type="paragraph" w:styleId="5">
    <w:name w:val="heading 4"/>
    <w:basedOn w:val="1"/>
    <w:next w:val="1"/>
    <w:link w:val="39"/>
    <w:unhideWhenUsed/>
    <w:qFormat/>
    <w:uiPriority w:val="9"/>
    <w:pPr>
      <w:keepNext/>
      <w:keepLines/>
      <w:spacing w:before="40" w:after="0"/>
      <w:outlineLvl w:val="3"/>
    </w:pPr>
    <w:rPr>
      <w:rFonts w:ascii="Arial" w:hAnsi="Arial" w:eastAsiaTheme="majorEastAsia" w:cstheme="majorBidi"/>
      <w:b/>
      <w:iCs/>
      <w:color w:val="632523" w:themeColor="accent2" w:themeShade="80"/>
    </w:rPr>
  </w:style>
  <w:style w:type="character" w:default="1" w:styleId="6">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8">
    <w:name w:val="Balloon Text"/>
    <w:basedOn w:val="1"/>
    <w:link w:val="26"/>
    <w:semiHidden/>
    <w:unhideWhenUsed/>
    <w:uiPriority w:val="99"/>
    <w:pPr>
      <w:spacing w:after="0" w:line="240" w:lineRule="auto"/>
    </w:pPr>
    <w:rPr>
      <w:rFonts w:ascii="Tahoma" w:hAnsi="Tahoma" w:cs="Tahoma"/>
      <w:sz w:val="16"/>
      <w:szCs w:val="16"/>
    </w:rPr>
  </w:style>
  <w:style w:type="paragraph" w:styleId="9">
    <w:name w:val="caption"/>
    <w:basedOn w:val="1"/>
    <w:next w:val="1"/>
    <w:unhideWhenUsed/>
    <w:qFormat/>
    <w:uiPriority w:val="35"/>
    <w:pPr>
      <w:spacing w:line="240" w:lineRule="auto"/>
    </w:pPr>
    <w:rPr>
      <w:i/>
      <w:iCs/>
      <w:color w:val="1F497D" w:themeColor="text2"/>
      <w:sz w:val="18"/>
      <w:szCs w:val="18"/>
      <w14:textFill>
        <w14:solidFill>
          <w14:schemeClr w14:val="tx2"/>
        </w14:solidFill>
      </w14:textFill>
    </w:rPr>
  </w:style>
  <w:style w:type="character" w:styleId="10">
    <w:name w:val="annotation reference"/>
    <w:basedOn w:val="6"/>
    <w:semiHidden/>
    <w:unhideWhenUsed/>
    <w:uiPriority w:val="99"/>
    <w:rPr>
      <w:sz w:val="16"/>
      <w:szCs w:val="16"/>
    </w:rPr>
  </w:style>
  <w:style w:type="paragraph" w:styleId="11">
    <w:name w:val="annotation text"/>
    <w:basedOn w:val="1"/>
    <w:link w:val="40"/>
    <w:semiHidden/>
    <w:unhideWhenUsed/>
    <w:uiPriority w:val="99"/>
    <w:pPr>
      <w:spacing w:line="240" w:lineRule="auto"/>
    </w:pPr>
    <w:rPr>
      <w:sz w:val="20"/>
      <w:szCs w:val="20"/>
    </w:rPr>
  </w:style>
  <w:style w:type="paragraph" w:styleId="12">
    <w:name w:val="annotation subject"/>
    <w:basedOn w:val="11"/>
    <w:next w:val="11"/>
    <w:link w:val="41"/>
    <w:semiHidden/>
    <w:unhideWhenUsed/>
    <w:uiPriority w:val="99"/>
    <w:rPr>
      <w:b/>
      <w:bCs/>
    </w:rPr>
  </w:style>
  <w:style w:type="character" w:styleId="13">
    <w:name w:val="FollowedHyperlink"/>
    <w:basedOn w:val="6"/>
    <w:semiHidden/>
    <w:unhideWhenUsed/>
    <w:uiPriority w:val="99"/>
    <w:rPr>
      <w:color w:val="800080" w:themeColor="followedHyperlink"/>
      <w:u w:val="single"/>
      <w14:textFill>
        <w14:solidFill>
          <w14:schemeClr w14:val="folHlink"/>
        </w14:solidFill>
      </w14:textFill>
    </w:rPr>
  </w:style>
  <w:style w:type="paragraph" w:styleId="14">
    <w:name w:val="footer"/>
    <w:basedOn w:val="1"/>
    <w:link w:val="32"/>
    <w:unhideWhenUsed/>
    <w:uiPriority w:val="99"/>
    <w:pPr>
      <w:tabs>
        <w:tab w:val="center" w:pos="4513"/>
        <w:tab w:val="right" w:pos="9026"/>
      </w:tabs>
      <w:spacing w:after="0" w:line="240" w:lineRule="auto"/>
    </w:pPr>
  </w:style>
  <w:style w:type="paragraph" w:styleId="15">
    <w:name w:val="header"/>
    <w:basedOn w:val="1"/>
    <w:link w:val="31"/>
    <w:unhideWhenUsed/>
    <w:uiPriority w:val="99"/>
    <w:pPr>
      <w:tabs>
        <w:tab w:val="center" w:pos="4513"/>
        <w:tab w:val="right" w:pos="9026"/>
      </w:tabs>
      <w:spacing w:after="0" w:line="240" w:lineRule="auto"/>
    </w:pPr>
  </w:style>
  <w:style w:type="paragraph" w:styleId="16">
    <w:name w:val="HTML Preformatted"/>
    <w:basedOn w:val="1"/>
    <w:link w:val="43"/>
    <w:semiHidden/>
    <w:unhideWhenUsed/>
    <w:uiPriority w:val="99"/>
    <w:pPr>
      <w:spacing w:after="0" w:line="240" w:lineRule="auto"/>
    </w:pPr>
    <w:rPr>
      <w:rFonts w:ascii="Consolas" w:hAnsi="Consolas"/>
      <w:sz w:val="20"/>
      <w:szCs w:val="20"/>
    </w:rPr>
  </w:style>
  <w:style w:type="character" w:styleId="17">
    <w:name w:val="Hyperlink"/>
    <w:basedOn w:val="6"/>
    <w:unhideWhenUsed/>
    <w:qFormat/>
    <w:uiPriority w:val="99"/>
    <w:rPr>
      <w:color w:val="0000FF" w:themeColor="hyperlink"/>
      <w:u w:val="single"/>
      <w14:textFill>
        <w14:solidFill>
          <w14:schemeClr w14:val="hlink"/>
        </w14:solidFill>
      </w14:textFill>
    </w:rPr>
  </w:style>
  <w:style w:type="table" w:styleId="18">
    <w:name w:val="Table Grid"/>
    <w:basedOn w:val="7"/>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9">
    <w:name w:val="toc 1"/>
    <w:basedOn w:val="1"/>
    <w:next w:val="1"/>
    <w:autoRedefine/>
    <w:unhideWhenUsed/>
    <w:uiPriority w:val="39"/>
    <w:pPr>
      <w:spacing w:after="100"/>
    </w:pPr>
  </w:style>
  <w:style w:type="paragraph" w:styleId="20">
    <w:name w:val="toc 2"/>
    <w:basedOn w:val="1"/>
    <w:next w:val="1"/>
    <w:autoRedefine/>
    <w:unhideWhenUsed/>
    <w:uiPriority w:val="39"/>
    <w:pPr>
      <w:spacing w:after="100"/>
      <w:ind w:left="220"/>
    </w:pPr>
  </w:style>
  <w:style w:type="paragraph" w:styleId="21">
    <w:name w:val="toc 3"/>
    <w:basedOn w:val="1"/>
    <w:next w:val="1"/>
    <w:autoRedefine/>
    <w:unhideWhenUsed/>
    <w:uiPriority w:val="39"/>
    <w:pPr>
      <w:spacing w:after="100"/>
      <w:ind w:left="440"/>
    </w:pPr>
  </w:style>
  <w:style w:type="paragraph" w:styleId="22">
    <w:name w:val="toc 4"/>
    <w:basedOn w:val="1"/>
    <w:next w:val="1"/>
    <w:autoRedefine/>
    <w:unhideWhenUsed/>
    <w:uiPriority w:val="39"/>
    <w:pPr>
      <w:spacing w:after="100"/>
      <w:ind w:left="660"/>
    </w:pPr>
  </w:style>
  <w:style w:type="table" w:styleId="23">
    <w:name w:val="Medium List 1 Accent 5"/>
    <w:basedOn w:val="7"/>
    <w:semiHidden/>
    <w:unhideWhenUsed/>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24">
    <w:name w:val="Colorful Shading Accent 3"/>
    <w:basedOn w:val="7"/>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paragraph" w:styleId="25">
    <w:name w:val="List Paragraph"/>
    <w:basedOn w:val="1"/>
    <w:qFormat/>
    <w:uiPriority w:val="34"/>
    <w:pPr>
      <w:ind w:left="720"/>
      <w:contextualSpacing/>
    </w:pPr>
  </w:style>
  <w:style w:type="character" w:customStyle="1" w:styleId="26">
    <w:name w:val="Balloon Text Char"/>
    <w:basedOn w:val="6"/>
    <w:link w:val="8"/>
    <w:semiHidden/>
    <w:uiPriority w:val="99"/>
    <w:rPr>
      <w:rFonts w:ascii="Tahoma" w:hAnsi="Tahoma" w:cs="Tahoma"/>
      <w:sz w:val="16"/>
      <w:szCs w:val="16"/>
    </w:rPr>
  </w:style>
  <w:style w:type="paragraph" w:customStyle="1" w:styleId="27">
    <w:name w:val="Bibliography"/>
    <w:basedOn w:val="1"/>
    <w:next w:val="1"/>
    <w:unhideWhenUsed/>
    <w:uiPriority w:val="37"/>
  </w:style>
  <w:style w:type="character" w:customStyle="1" w:styleId="28">
    <w:name w:val="Heading 1 Char"/>
    <w:basedOn w:val="6"/>
    <w:link w:val="2"/>
    <w:uiPriority w:val="9"/>
    <w:rPr>
      <w:rFonts w:ascii="Arial" w:hAnsi="Arial" w:cs="Times New Roman" w:eastAsiaTheme="majorEastAsia"/>
      <w:b/>
      <w:bCs/>
      <w:color w:val="17375E" w:themeColor="text2" w:themeShade="BF"/>
      <w:sz w:val="24"/>
      <w:szCs w:val="24"/>
      <w:lang w:eastAsia="ja-JP"/>
    </w:rPr>
  </w:style>
  <w:style w:type="paragraph" w:styleId="29">
    <w:name w:val="No Spacing"/>
    <w:link w:val="30"/>
    <w:qFormat/>
    <w:uiPriority w:val="1"/>
    <w:pPr>
      <w:spacing w:after="0" w:line="240" w:lineRule="auto"/>
    </w:pPr>
    <w:rPr>
      <w:rFonts w:asciiTheme="minorHAnsi" w:hAnsiTheme="minorHAnsi" w:eastAsiaTheme="minorEastAsia" w:cstheme="minorBidi"/>
      <w:sz w:val="22"/>
      <w:szCs w:val="22"/>
      <w:lang w:val="en-US" w:eastAsia="ja-JP" w:bidi="ar-SA"/>
    </w:rPr>
  </w:style>
  <w:style w:type="character" w:customStyle="1" w:styleId="30">
    <w:name w:val="No Spacing Char"/>
    <w:basedOn w:val="6"/>
    <w:link w:val="29"/>
    <w:uiPriority w:val="1"/>
    <w:rPr>
      <w:rFonts w:eastAsiaTheme="minorEastAsia"/>
      <w:lang w:val="en-US" w:eastAsia="ja-JP"/>
    </w:rPr>
  </w:style>
  <w:style w:type="character" w:customStyle="1" w:styleId="31">
    <w:name w:val="Header Char"/>
    <w:basedOn w:val="6"/>
    <w:link w:val="15"/>
    <w:uiPriority w:val="99"/>
  </w:style>
  <w:style w:type="character" w:customStyle="1" w:styleId="32">
    <w:name w:val="Footer Char"/>
    <w:basedOn w:val="6"/>
    <w:link w:val="14"/>
    <w:uiPriority w:val="99"/>
  </w:style>
  <w:style w:type="character" w:customStyle="1" w:styleId="33">
    <w:name w:val="Heading 2 Char"/>
    <w:basedOn w:val="6"/>
    <w:link w:val="3"/>
    <w:uiPriority w:val="9"/>
    <w:rPr>
      <w:rFonts w:ascii="Arial" w:hAnsi="Arial" w:eastAsiaTheme="majorEastAsia" w:cstheme="majorBidi"/>
      <w:b/>
      <w:color w:val="376092" w:themeColor="accent1" w:themeShade="BF"/>
      <w:sz w:val="24"/>
      <w:szCs w:val="26"/>
      <w:lang w:eastAsia="ja-JP"/>
    </w:rPr>
  </w:style>
  <w:style w:type="paragraph" w:customStyle="1" w:styleId="34">
    <w:name w:val="TOC Heading"/>
    <w:basedOn w:val="2"/>
    <w:next w:val="1"/>
    <w:unhideWhenUsed/>
    <w:qFormat/>
    <w:uiPriority w:val="39"/>
    <w:pPr>
      <w:spacing w:before="240" w:line="259" w:lineRule="auto"/>
      <w:outlineLvl w:val="9"/>
    </w:pPr>
    <w:rPr>
      <w:rFonts w:asciiTheme="majorHAnsi" w:hAnsiTheme="majorHAnsi"/>
      <w:b w:val="0"/>
      <w:bCs w:val="0"/>
      <w:color w:val="376092" w:themeColor="accent1" w:themeShade="BF"/>
      <w:sz w:val="32"/>
      <w:szCs w:val="32"/>
      <w:lang w:eastAsia="en-US"/>
    </w:rPr>
  </w:style>
  <w:style w:type="character" w:customStyle="1" w:styleId="35">
    <w:name w:val="Unresolved Mention"/>
    <w:basedOn w:val="6"/>
    <w:semiHidden/>
    <w:unhideWhenUsed/>
    <w:uiPriority w:val="99"/>
    <w:rPr>
      <w:color w:val="605E5C"/>
      <w:shd w:val="clear" w:color="auto" w:fill="E1DFDD"/>
    </w:rPr>
  </w:style>
  <w:style w:type="character" w:customStyle="1" w:styleId="36">
    <w:name w:val="fontstyle01"/>
    <w:basedOn w:val="6"/>
    <w:uiPriority w:val="0"/>
    <w:rPr>
      <w:rFonts w:hint="default" w:ascii="LinoLetter-Roman" w:hAnsi="LinoLetter-Roman"/>
      <w:color w:val="242021"/>
      <w:sz w:val="20"/>
      <w:szCs w:val="20"/>
    </w:rPr>
  </w:style>
  <w:style w:type="character" w:customStyle="1" w:styleId="37">
    <w:name w:val="Heading 3 Char"/>
    <w:basedOn w:val="6"/>
    <w:link w:val="4"/>
    <w:uiPriority w:val="9"/>
    <w:rPr>
      <w:rFonts w:ascii="Arial" w:hAnsi="Arial" w:eastAsiaTheme="majorEastAsia" w:cstheme="majorBidi"/>
      <w:b/>
      <w:color w:val="254061" w:themeColor="accent1" w:themeShade="80"/>
      <w:sz w:val="24"/>
      <w:szCs w:val="24"/>
    </w:rPr>
  </w:style>
  <w:style w:type="table" w:customStyle="1" w:styleId="38">
    <w:name w:val="Medium List 1 - Accent 51"/>
    <w:basedOn w:val="7"/>
    <w:uiPriority w:val="65"/>
    <w:pPr>
      <w:spacing w:after="0" w:line="240" w:lineRule="auto"/>
      <w:jc w:val="both"/>
    </w:pPr>
    <w:rPr>
      <w:rFonts w:ascii="Times New Roman" w:hAnsi="Times New Roman" w:eastAsia="Times New Roman" w:cs="Times New Roman"/>
      <w:color w:val="000000"/>
      <w:sz w:val="24"/>
      <w:szCs w:val="24"/>
    </w:rPr>
    <w:tblPr>
      <w:tblBorders>
        <w:top w:val="single" w:color="4BACC6" w:sz="8" w:space="0"/>
        <w:bottom w:val="single" w:color="4BACC6" w:sz="8" w:space="0"/>
      </w:tblBorders>
    </w:tblPr>
    <w:tblStylePr w:type="firstRow">
      <w:rPr>
        <w:rFonts w:ascii="Cambria" w:hAnsi="Cambria" w:eastAsia="Times New Roman" w:cs="Times New Roman"/>
      </w:rPr>
      <w:tcPr>
        <w:tcBorders>
          <w:top w:val="nil"/>
          <w:bottom w:val="single" w:color="4BACC6" w:sz="8" w:space="0"/>
        </w:tcBorders>
      </w:tcPr>
    </w:tblStylePr>
    <w:tblStylePr w:type="lastRow">
      <w:rPr>
        <w:b/>
        <w:bCs/>
        <w:color w:val="1F497D"/>
      </w:rPr>
      <w:tcPr>
        <w:tcBorders>
          <w:top w:val="single" w:color="4BACC6" w:sz="8" w:space="0"/>
          <w:bottom w:val="single" w:color="4BACC6" w:sz="8" w:space="0"/>
        </w:tcBorders>
      </w:tcPr>
    </w:tblStylePr>
    <w:tblStylePr w:type="firstCol">
      <w:rPr>
        <w:b/>
        <w:bCs/>
      </w:rPr>
    </w:tblStylePr>
    <w:tblStylePr w:type="lastCol">
      <w:rPr>
        <w:b/>
        <w:bCs/>
      </w:rPr>
      <w:tcPr>
        <w:tcBorders>
          <w:top w:val="single" w:color="4BACC6" w:sz="8" w:space="0"/>
          <w:bottom w:val="single" w:color="4BACC6" w:sz="8" w:space="0"/>
        </w:tcBorders>
      </w:tcPr>
    </w:tblStylePr>
    <w:tblStylePr w:type="band1Vert">
      <w:tcPr>
        <w:shd w:val="clear" w:color="auto" w:fill="D2EAF1"/>
      </w:tcPr>
    </w:tblStylePr>
    <w:tblStylePr w:type="band1Horz">
      <w:tcPr>
        <w:shd w:val="clear" w:color="auto" w:fill="D2EAF1"/>
      </w:tcPr>
    </w:tblStylePr>
  </w:style>
  <w:style w:type="character" w:customStyle="1" w:styleId="39">
    <w:name w:val="Heading 4 Char"/>
    <w:basedOn w:val="6"/>
    <w:link w:val="5"/>
    <w:uiPriority w:val="9"/>
    <w:rPr>
      <w:rFonts w:ascii="Arial" w:hAnsi="Arial" w:eastAsiaTheme="majorEastAsia" w:cstheme="majorBidi"/>
      <w:b/>
      <w:iCs/>
      <w:color w:val="632523" w:themeColor="accent2" w:themeShade="80"/>
    </w:rPr>
  </w:style>
  <w:style w:type="character" w:customStyle="1" w:styleId="40">
    <w:name w:val="Comment Text Char"/>
    <w:basedOn w:val="6"/>
    <w:link w:val="11"/>
    <w:semiHidden/>
    <w:uiPriority w:val="99"/>
    <w:rPr>
      <w:rFonts w:ascii="Times New Roman" w:hAnsi="Times New Roman"/>
      <w:sz w:val="20"/>
      <w:szCs w:val="20"/>
    </w:rPr>
  </w:style>
  <w:style w:type="character" w:customStyle="1" w:styleId="41">
    <w:name w:val="Comment Subject Char"/>
    <w:basedOn w:val="40"/>
    <w:link w:val="12"/>
    <w:semiHidden/>
    <w:uiPriority w:val="99"/>
    <w:rPr>
      <w:rFonts w:ascii="Times New Roman" w:hAnsi="Times New Roman"/>
      <w:b/>
      <w:bCs/>
      <w:sz w:val="20"/>
      <w:szCs w:val="20"/>
    </w:rPr>
  </w:style>
  <w:style w:type="table" w:customStyle="1" w:styleId="42">
    <w:name w:val="Grid Table Light"/>
    <w:basedOn w:val="7"/>
    <w:uiPriority w:val="40"/>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character" w:customStyle="1" w:styleId="43">
    <w:name w:val="HTML Preformatted Char"/>
    <w:basedOn w:val="6"/>
    <w:link w:val="16"/>
    <w:semiHidden/>
    <w:uiPriority w:val="99"/>
    <w:rPr>
      <w:rFonts w:ascii="Consolas" w:hAnsi="Consolas"/>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5" Type="http://schemas.openxmlformats.org/officeDocument/2006/relationships/fontTable" Target="fontTable.xml"/><Relationship Id="rId24" Type="http://schemas.openxmlformats.org/officeDocument/2006/relationships/customXml" Target="../customXml/item5.xml"/><Relationship Id="rId23" Type="http://schemas.openxmlformats.org/officeDocument/2006/relationships/customXml" Target="../customXml/item4.xml"/><Relationship Id="rId22" Type="http://schemas.openxmlformats.org/officeDocument/2006/relationships/customXml" Target="../customXml/item3.xml"/><Relationship Id="rId21" Type="http://schemas.openxmlformats.org/officeDocument/2006/relationships/customXml" Target="../customXml/item2.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image" Target="media/image7.png"/><Relationship Id="rId17" Type="http://schemas.openxmlformats.org/officeDocument/2006/relationships/image" Target="media/image6.png"/><Relationship Id="rId16"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Air23</b:Tag>
    <b:SourceType>InternetSite</b:SourceType>
    <b:Guid>{056B5836-7CD1-4E41-9FBA-741F556B611F}</b:Guid>
    <b:Author>
      <b:Author>
        <b:Corporate>Airbnb</b:Corporate>
      </b:Author>
    </b:Author>
    <b:Title>About Us</b:Title>
    <b:Year>2023</b:Year>
    <b:YearAccessed>2023</b:YearAccessed>
    <b:MonthAccessed>July</b:MonthAccessed>
    <b:DayAccessed>10</b:DayAccessed>
    <b:URL>https://news.airbnb.com/about-us/</b:URL>
    <b:RefOrder>2</b:RefOrder>
  </b:Source>
  <b:Source>
    <b:Tag>Ste13</b:Tag>
    <b:SourceType>Book</b:SourceType>
    <b:Guid>{9F92AB30-68C7-4648-B62F-4B9A97F3DEB0}</b:Guid>
    <b:Title>Sustainable Strategic Management</b:Title>
    <b:Year>2013</b:Year>
    <b:City>Saltaire</b:City>
    <b:Publisher>Taylor &amp; Francis Group</b:Publisher>
    <b:Author>
      <b:Author>
        <b:NameList>
          <b:Person>
            <b:Last>Stead</b:Last>
            <b:First>JG</b:First>
          </b:Person>
        </b:NameList>
      </b:Author>
    </b:Author>
    <b:RefOrder>9</b:RefOrder>
  </b:Source>
  <b:Source>
    <b:Tag>Lyn18</b:Tag>
    <b:SourceType>Book</b:SourceType>
    <b:Guid>{C9FFCC21-3E86-419F-BC7C-708A0C033C8F}</b:Guid>
    <b:Title>Strategic Management</b:Title>
    <b:Year>2018</b:Year>
    <b:City>Harlow</b:City>
    <b:Publisher>Pearson Education</b:Publisher>
    <b:Author>
      <b:Author>
        <b:NameList>
          <b:Person>
            <b:Last>Lynch</b:Last>
            <b:First>R</b:First>
          </b:Person>
        </b:NameList>
      </b:Author>
    </b:Author>
    <b:Edition>8</b:Edition>
    <b:RefOrder>10</b:RefOrder>
  </b:Source>
  <b:Source>
    <b:Tag>Hal04</b:Tag>
    <b:SourceType>Book</b:SourceType>
    <b:Guid>{97E060AF-3350-4D5A-977A-42F316B2A264}</b:Guid>
    <b:Title>Tourism, Mobility and Second Homes : Between Elite Landscape and Common Ground</b:Title>
    <b:Year>2004</b:Year>
    <b:City>Clevedon</b:City>
    <b:Publisher>Channel View Publications</b:Publisher>
    <b:Edition>1</b:Edition>
    <b:Author>
      <b:Author>
        <b:NameList>
          <b:Person>
            <b:Last>Hall</b:Last>
            <b:First>CM</b:First>
          </b:Person>
          <b:Person>
            <b:Last>Müller</b:Last>
            <b:First>DK</b:First>
          </b:Person>
        </b:NameList>
      </b:Author>
    </b:Author>
    <b:RefOrder>12</b:RefOrder>
  </b:Source>
  <b:Source>
    <b:Tag>For212</b:Tag>
    <b:SourceType>InternetSite</b:SourceType>
    <b:Guid>{88462773-C610-43B6-97C5-C8548E8A094E}</b:Guid>
    <b:Title>AirBnB</b:Title>
    <b:Year>2021</b:Year>
    <b:Author>
      <b:Author>
        <b:Corporate>Forbes</b:Corporate>
      </b:Author>
    </b:Author>
    <b:YearAccessed>2023</b:YearAccessed>
    <b:MonthAccessed>July</b:MonthAccessed>
    <b:DayAccessed>6</b:DayAccessed>
    <b:URL>https://www.forbes.com/companies/airbnb/?sh=2000f018676e</b:URL>
    <b:RefOrder>3</b:RefOrder>
  </b:Source>
  <b:Source>
    <b:Tag>DSc22</b:Tag>
    <b:SourceType>JournalArticle</b:SourceType>
    <b:Guid>{0D047F07-9E90-4542-826C-FF0DA50E620C}</b:Guid>
    <b:Title>Progress on Airbnb: a literature review</b:Title>
    <b:Year>2019</b:Year>
    <b:YearAccessed>2023</b:YearAccessed>
    <b:MonthAccessed>July</b:MonthAccessed>
    <b:DayAccessed>6</b:DayAccessed>
    <b:URL>https://skift.com/2022/01/11/airbnb-250-million-guest-arrivals-in-14-years/</b:URL>
    <b:Author>
      <b:Author>
        <b:NameList>
          <b:Person>
            <b:Last>Guttentag</b:Last>
            <b:First>Daniel</b:First>
          </b:Person>
        </b:NameList>
      </b:Author>
    </b:Author>
    <b:JournalName>Journal of Hospitality and Toursim</b:JournalName>
    <b:Pages>33</b:Pages>
    <b:RefOrder>8</b:RefOrder>
  </b:Source>
  <b:Source>
    <b:Tag>Air21</b:Tag>
    <b:SourceType>InternetSite</b:SourceType>
    <b:Guid>{6E73FDE5-D567-4CFD-B0AE-1B406B4C06EA}</b:Guid>
    <b:Author>
      <b:Author>
        <b:Corporate>Airbnb</b:Corporate>
      </b:Author>
    </b:Author>
    <b:Title>Billionth guest gets year of stays around the world</b:Title>
    <b:Year>2021</b:Year>
    <b:YearAccessed>2023</b:YearAccessed>
    <b:MonthAccessed>July</b:MonthAccessed>
    <b:DayAccessed>17</b:DayAccessed>
    <b:URL>https://news.airbnb.com/surprise-billionth-airbnb-guest-gets-a-year-of-stays-around-the-world-marking-companys-historic-milestone/</b:URL>
    <b:RefOrder>7</b:RefOrder>
  </b:Source>
  <b:Source>
    <b:Tag>Joh171</b:Tag>
    <b:SourceType>Book</b:SourceType>
    <b:Guid>{56D10BFF-8595-4EF0-A867-8254F961A25E}</b:Guid>
    <b:Title>Exploring strategy : text and cases</b:Title>
    <b:Year>2017</b:Year>
    <b:City>Harlow</b:City>
    <b:Publisher>Pearson</b:Publisher>
    <b:Edition>11</b:Edition>
    <b:Author>
      <b:Author>
        <b:NameList>
          <b:Person>
            <b:Last>Johnson</b:Last>
            <b:First>G</b:First>
          </b:Person>
        </b:NameList>
      </b:Author>
    </b:Author>
    <b:RefOrder>14</b:RefOrder>
  </b:Source>
  <b:Source>
    <b:Tag>Mor16</b:Tag>
    <b:SourceType>Book</b:SourceType>
    <b:Guid>{423DF189-D5B0-4B26-9085-73188668B79B}</b:Guid>
    <b:Title>Principles of strategic management</b:Title>
    <b:Year>2016</b:Year>
    <b:City>New York</b:City>
    <b:Publisher>Routledge</b:Publisher>
    <b:Edition>3</b:Edition>
    <b:Author>
      <b:Author>
        <b:NameList>
          <b:Person>
            <b:Last>Morden</b:Last>
            <b:First>T</b:First>
          </b:Person>
        </b:NameList>
      </b:Author>
    </b:Author>
    <b:RefOrder>15</b:RefOrder>
  </b:Source>
  <b:Source>
    <b:Tag>Mac221</b:Tag>
    <b:SourceType>InternetSite</b:SourceType>
    <b:Guid>{670622BF-19E0-4133-9709-1860CA3C0C43}</b:Guid>
    <b:Author>
      <b:Author>
        <b:Corporate>MacroTrends</b:Corporate>
      </b:Author>
    </b:Author>
    <b:Title>Airbnb: Number of Employees 2018-2023</b:Title>
    <b:Year>2022</b:Year>
    <b:YearAccessed>2023</b:YearAccessed>
    <b:MonthAccessed>August</b:MonthAccessed>
    <b:DayAccessed>1</b:DayAccessed>
    <b:URL>https://www.macrotrends.net/stocks/charts/ABNB/airbnb/number-of-employees#:~:text=Interactive%20chart%20of%20Airbnb%20(ABNB,a%209.56%25%20increase%20from%202020.</b:URL>
    <b:RefOrder>4</b:RefOrder>
  </b:Source>
  <b:Source>
    <b:Tag>Sta227</b:Tag>
    <b:SourceType>InternetSite</b:SourceType>
    <b:Guid>{254705C4-220A-4ED1-B99C-DF7402872C0B}</b:Guid>
    <b:Title>Revenue of Airbnb worldwide from 2017 to 2022</b:Title>
    <b:Year>2022</b:Year>
    <b:YearAccessed>2023</b:YearAccessed>
    <b:MonthAccessed>August</b:MonthAccessed>
    <b:DayAccessed>1</b:DayAccessed>
    <b:URL>https://www.statista.com/statistics/1193134/airbnb-revenue-worldwide/</b:URL>
    <b:Author>
      <b:Author>
        <b:Corporate>Statista</b:Corporate>
      </b:Author>
    </b:Author>
    <b:RefOrder>5</b:RefOrder>
  </b:Source>
  <b:Source>
    <b:Tag>Str221</b:Tag>
    <b:SourceType>InternetSite</b:SourceType>
    <b:Guid>{85281BDF-CDC8-46C9-9C38-FCBC48C89882}</b:Guid>
    <b:Author>
      <b:Author>
        <b:Corporate>Stratos</b:Corporate>
      </b:Author>
    </b:Author>
    <b:Title>2022 Airbnb Statistics: Usage, Demographics, and Revenue Growth</b:Title>
    <b:Year>2022</b:Year>
    <b:YearAccessed>2023</b:YearAccessed>
    <b:MonthAccessed>August</b:MonthAccessed>
    <b:DayAccessed>1</b:DayAccessed>
    <b:URL>https://www.stratosjets.com/blog/airbnb-statistics/</b:URL>
    <b:RefOrder>6</b:RefOrder>
  </b:Source>
  <b:Source>
    <b:Tag>Val15</b:Tag>
    <b:SourceType>Book</b:SourceType>
    <b:Guid>{EF7AAC1D-C03C-42D9-9E86-B883AC7EBAE6}</b:Guid>
    <b:Title> Business planning and market strategy</b:Title>
    <b:Year>2015</b:Year>
    <b:City>Los Angeles</b:City>
    <b:Publisher>SAGE</b:Publisher>
    <b:Author>
      <b:Author>
        <b:NameList>
          <b:Person>
            <b:Last>Valentin</b:Last>
            <b:First>E.K</b:First>
          </b:Person>
        </b:NameList>
      </b:Author>
    </b:Author>
    <b:RefOrder>17</b:RefOrder>
  </b:Source>
  <b:Source>
    <b:Tag>Bus192</b:Tag>
    <b:SourceType>InternetSite</b:SourceType>
    <b:Guid>{378C7899-94E6-496C-956B-3C047150709D}</b:Guid>
    <b:Title>Airbnb Porter’s Five Forces Analysis</b:Title>
    <b:Year>2019</b:Year>
    <b:Author>
      <b:Author>
        <b:Corporate>Business research Methodology</b:Corporate>
      </b:Author>
    </b:Author>
    <b:YearAccessed>2023</b:YearAccessed>
    <b:MonthAccessed>August</b:MonthAccessed>
    <b:DayAccessed>03</b:DayAccessed>
    <b:URL>https://research-methodology.net/airbnb-porters-five-forces-analysis/</b:URL>
    <b:RefOrder>16</b:RefOrder>
  </b:Source>
  <b:Source>
    <b:Tag>Hiv23</b:Tag>
    <b:SourceType>InternetSite</b:SourceType>
    <b:Guid>{10A42991-3C99-4AED-9E12-31CCFC10D264}</b:Guid>
    <b:Author>
      <b:Author>
        <b:Corporate>Hivelr</b:Corporate>
      </b:Author>
    </b:Author>
    <b:Title>Airbnb: Porter’s Five Forces Industry and Competition Analysis</b:Title>
    <b:Year>2023</b:Year>
    <b:YearAccessed>2023</b:YearAccessed>
    <b:MonthAccessed>August</b:MonthAccessed>
    <b:DayAccessed>02</b:DayAccessed>
    <b:URL>https://www.hivelr.com/2023/03/airbnb-porters-five-forces-industry-and-competition-analysis/#:~:text=Threat%20of%20Substitutes&amp;text=Traditional%20hotels%20and%20motels%20are,brand%20recognition%20and%20customer%20loyalty.</b:URL>
    <b:RefOrder>18</b:RefOrder>
  </b:Source>
  <b:Source>
    <b:Tag>Nur16</b:Tag>
    <b:SourceType>JournalArticle</b:SourceType>
    <b:Guid>{88C084FD-FDB0-48FC-9499-1E9AAB3BE9E0}</b:Guid>
    <b:Title>Analysis Porter’s Five forces Model on Airbnb</b:Title>
    <b:Year>2016</b:Year>
    <b:JournalName>Jurnal Electronics, Informatics, and Vocational Education (ELINVO)</b:JournalName>
    <b:Pages>1-12</b:Pages>
    <b:Volume>1</b:Volume>
    <b:Issue>2</b:Issue>
    <b:Author>
      <b:Author>
        <b:NameList>
          <b:Person>
            <b:Last>Nurlansa</b:Last>
            <b:First>Osiany</b:First>
          </b:Person>
        </b:NameList>
      </b:Author>
    </b:Author>
    <b:RefOrder>19</b:RefOrder>
  </b:Source>
  <b:Source>
    <b:Tag>Fin20</b:Tag>
    <b:SourceType>InternetSite</b:SourceType>
    <b:Guid>{B64BACCD-BADB-4518-838E-E977828D3106}</b:Guid>
    <b:Title>Airbnb raises $1bn from new investors</b:Title>
    <b:Year>2020</b:Year>
    <b:Author>
      <b:Author>
        <b:Corporate>Financial Times</b:Corporate>
      </b:Author>
    </b:Author>
    <b:YearAccessed>2023</b:YearAccessed>
    <b:MonthAccessed>August</b:MonthAccessed>
    <b:DayAccessed>04</b:DayAccessed>
    <b:URL>https://www.ft.com/content/0dff2d66-ca0f-4257-8a3d-867e6aa6544b</b:URL>
    <b:RefOrder>20</b:RefOrder>
  </b:Source>
  <b:Source>
    <b:Tag>Sea23</b:Tag>
    <b:SourceType>InternetSite</b:SourceType>
    <b:Guid>{CD651D68-6B82-4C65-87B5-3579388EAB2B}</b:Guid>
    <b:Title>AIRBNB STATISTICS [2023]: USER &amp; MARKET GROWTH DATA</b:Title>
    <b:Year>2023</b:Year>
    <b:YearAccessed>2023</b:YearAccessed>
    <b:MonthAccessed>August </b:MonthAccessed>
    <b:DayAccessed>04</b:DayAccessed>
    <b:URL>https://www.searchlogistics.com/learn/statistics/airbnb-statistics/#:~:text=There%20are%20currently%20over%204,booked%20over%201%20billion%20stays</b:URL>
    <b:Author>
      <b:Author>
        <b:Corporate>Search Logistics</b:Corporate>
      </b:Author>
    </b:Author>
    <b:RefOrder>21</b:RefOrder>
  </b:Source>
  <b:Source>
    <b:Tag>Air211</b:Tag>
    <b:SourceType>InternetSite</b:SourceType>
    <b:Guid>{4287BC8A-0ACF-4558-BDDD-FE6C36B998BA}</b:Guid>
    <b:Author>
      <b:Author>
        <b:Corporate>Airbnb</b:Corporate>
      </b:Author>
    </b:Author>
    <b:Title>Why strive for Superhost status</b:Title>
    <b:Year>2021</b:Year>
    <b:YearAccessed>2023</b:YearAccessed>
    <b:MonthAccessed>August</b:MonthAccessed>
    <b:DayAccessed>05</b:DayAccessed>
    <b:URL>https://www.airbnb.co.uk/resources/hosting-homes/a/why-strive-for-superhost-status-50</b:URL>
    <b:RefOrder>22</b:RefOrder>
  </b:Source>
  <b:Source>
    <b:Tag>The15</b:Tag>
    <b:SourceType>InternetSite</b:SourceType>
    <b:Guid>{119E8C98-28A7-43B0-853E-CCECF98AB946}</b:Guid>
    <b:Author>
      <b:Author>
        <b:Corporate>TheNextPlatform</b:Corporate>
      </b:Author>
    </b:Author>
    <b:Title>AIRBNB SHARES THE KEYS TO ITS INFRASTRUCTURE</b:Title>
    <b:Year>2015</b:Year>
    <b:YearAccessed>2023</b:YearAccessed>
    <b:MonthAccessed>August</b:MonthAccessed>
    <b:DayAccessed>05</b:DayAccessed>
    <b:URL>https://www.nextplatform.com/2015/09/10/airbnb-shares-the-keys-to-its-infrastructure/</b:URL>
    <b:RefOrder>23</b:RefOrder>
  </b:Source>
  <b:Source>
    <b:Tag>Bus193</b:Tag>
    <b:SourceType>InternetSite</b:SourceType>
    <b:Guid>{42299363-F8E4-43C1-92A6-842AC871C794}</b:Guid>
    <b:Author>
      <b:Author>
        <b:Corporate>Business Research Methodology</b:Corporate>
      </b:Author>
    </b:Author>
    <b:Title>Airbnb Value Chain Analysis</b:Title>
    <b:Year>2019</b:Year>
    <b:YearAccessed>2023</b:YearAccessed>
    <b:MonthAccessed>August</b:MonthAccessed>
    <b:DayAccessed>5</b:DayAccessed>
    <b:URL>https://research-methodology.net/airbnb-value-chain-analysis/</b:URL>
    <b:RefOrder>24</b:RefOrder>
  </b:Source>
  <b:Source>
    <b:Tag>Ski14</b:Tag>
    <b:SourceType>InternetSite</b:SourceType>
    <b:Guid>{56142613-4EFD-430D-9DC2-F58A661CF026}</b:Guid>
    <b:Author>
      <b:Author>
        <b:Corporate>Skift</b:Corporate>
      </b:Author>
    </b:Author>
    <b:Title>The Startup Businesses Built Around the Airbnb Ecosystem</b:Title>
    <b:Year>2014</b:Year>
    <b:YearAccessed>2023</b:YearAccessed>
    <b:MonthAccessed>August</b:MonthAccessed>
    <b:DayAccessed>05</b:DayAccessed>
    <b:URL>https://skift.com/2014/11/18/the-startup-businesses-built-around-the-airbnb-ecosystem/</b:URL>
    <b:RefOrder>25</b:RefOrder>
  </b:Source>
  <b:Source>
    <b:Tag>Bus194</b:Tag>
    <b:SourceType>InternetSite</b:SourceType>
    <b:Guid>{CE887CD7-8A38-4C6D-AC0D-B36A48527E3B}</b:Guid>
    <b:Author>
      <b:Author>
        <b:Corporate>Business Research Methodology</b:Corporate>
      </b:Author>
    </b:Author>
    <b:Title>Airbnb Marketing Strategy: a brief overview</b:Title>
    <b:Year>2019</b:Year>
    <b:YearAccessed>2023</b:YearAccessed>
    <b:MonthAccessed>August</b:MonthAccessed>
    <b:DayAccessed>06</b:DayAccessed>
    <b:URL>https://research-methodology.net/airbnb-marketing-strategy-brief-overview/</b:URL>
    <b:RefOrder>26</b:RefOrder>
  </b:Source>
  <b:Source>
    <b:Tag>Bus23</b:Tag>
    <b:SourceType>InternetSite</b:SourceType>
    <b:Guid>{45672DAB-4959-4025-BA34-6458EBEB74B9}</b:Guid>
    <b:Author>
      <b:Author>
        <b:Corporate>Business Chronicler</b:Corporate>
      </b:Author>
    </b:Author>
    <b:Title>Airbnb Competitors Analysis : How Do They Stand Out?</b:Title>
    <b:Year>2023</b:Year>
    <b:YearAccessed>2023</b:YearAccessed>
    <b:MonthAccessed>August</b:MonthAccessed>
    <b:DayAccessed>05</b:DayAccessed>
    <b:URL>https://businesschronicler.com/competitors/airbnb-competitors-analysis/</b:URL>
    <b:RefOrder>27</b:RefOrder>
  </b:Source>
  <b:Source>
    <b:Tag>Web23</b:Tag>
    <b:SourceType>InternetSite</b:SourceType>
    <b:Guid>{32D0CD2E-D7D1-406D-AC3C-E023D56B533A}</b:Guid>
    <b:Author>
      <b:Author>
        <b:Corporate>Webo Digital</b:Corporate>
      </b:Author>
    </b:Author>
    <b:Title>Airbnb Tech Stack Explained: What’s Driving The Airbnb App? — The Tech Behind Series</b:Title>
    <b:Year>2023</b:Year>
    <b:YearAccessed>2023</b:YearAccessed>
    <b:MonthAccessed>August</b:MonthAccessed>
    <b:DayAccessed>01</b:DayAccessed>
    <b:URL>https://webo.digital/blog/airbnb-tech-stack-explained-airbnb-app/</b:URL>
    <b:RefOrder>30</b:RefOrder>
  </b:Source>
  <b:Source>
    <b:Tag>Liv23</b:Tag>
    <b:SourceType>InternetSite</b:SourceType>
    <b:Guid>{3F36E95B-D709-4C2D-9E04-88F7C03D88B7}</b:Guid>
    <b:Author>
      <b:Author>
        <b:Corporate>Livingroom Analytics</b:Corporate>
      </b:Author>
    </b:Author>
    <b:Title>How Airbnb Became The World’s Best Place To Work</b:Title>
    <b:Year>2023</b:Year>
    <b:YearAccessed>2023</b:YearAccessed>
    <b:MonthAccessed>August</b:MonthAccessed>
    <b:DayAccessed>01</b:DayAccessed>
    <b:URL>https://www.livingroomanalytics.com/how-airbnb-became-the-worlds-best-place-to-work</b:URL>
    <b:RefOrder>29</b:RefOrder>
  </b:Source>
  <b:Source>
    <b:Tag>Osk16</b:Tag>
    <b:SourceType>JournalArticle</b:SourceType>
    <b:Guid>{E6F5CC0D-486D-48EB-A0A4-A09FB6FDB3A0}</b:Guid>
    <b:Title>Airbnb: the future of networked hospitality businesses</b:Title>
    <b:Year>2016</b:Year>
    <b:JournalName>Journal of Tourism Futures</b:JournalName>
    <b:Pages>22-42</b:Pages>
    <b:Volume>2</b:Volume>
    <b:Issue>1</b:Issue>
    <b:Author>
      <b:Author>
        <b:NameList>
          <b:Person>
            <b:Last>Oskam</b:Last>
            <b:First>J</b:First>
          </b:Person>
          <b:Person>
            <b:Last>Boswijk</b:Last>
            <b:First>A</b:First>
          </b:Person>
        </b:NameList>
      </b:Author>
    </b:Author>
    <b:RefOrder>28</b:RefOrder>
  </b:Source>
  <b:Source>
    <b:Tag>Inv23</b:Tag>
    <b:SourceType>InternetSite</b:SourceType>
    <b:Guid>{521D4D61-9279-4FCB-A641-81165B864B0B}</b:Guid>
    <b:Title>How Airbnb Makes Money</b:Title>
    <b:Year>2023</b:Year>
    <b:Author>
      <b:Author>
        <b:Corporate>Investopedia</b:Corporate>
      </b:Author>
    </b:Author>
    <b:YearAccessed>2023</b:YearAccessed>
    <b:MonthAccessed>August</b:MonthAccessed>
    <b:DayAccessed>03</b:DayAccessed>
    <b:URL>https://www.investopedia.com/articles/investing/112414/how-airbnb-makes-money.asp</b:URL>
    <b:RefOrder>31</b:RefOrder>
  </b:Source>
  <b:Source>
    <b:Tag>Kas23</b:Tag>
    <b:SourceType>InternetSite</b:SourceType>
    <b:Guid>{DEDC8F33-9D8A-48F4-9F9D-0686BF02C96A}</b:Guid>
    <b:Title>VRIO Analysis of Airbnb</b:Title>
    <b:Year>2023</b:Year>
    <b:YearAccessed>2023</b:YearAccessed>
    <b:MonthAccessed>August</b:MonthAccessed>
    <b:DayAccessed>09</b:DayAccessed>
    <b:URL>https://freepestelanalysis.com/vrio-analysis-of-airbnb/</b:URL>
    <b:Author>
      <b:Author>
        <b:NameList>
          <b:Person>
            <b:Last>Kasi</b:Last>
            <b:First>Adam </b:First>
          </b:Person>
        </b:NameList>
      </b:Author>
    </b:Author>
    <b:RefOrder>33</b:RefOrder>
  </b:Source>
  <b:Source>
    <b:Tag>The23</b:Tag>
    <b:SourceType>InternetSite</b:SourceType>
    <b:Guid>{7655AA34-DA05-4407-938E-3994F2335C55}</b:Guid>
    <b:Author>
      <b:Author>
        <b:Corporate>The Business Model Analyst</b:Corporate>
      </b:Author>
    </b:Author>
    <b:Title>Airbnb SWOT Analysis</b:Title>
    <b:Year>2023</b:Year>
    <b:YearAccessed>2023</b:YearAccessed>
    <b:MonthAccessed>August</b:MonthAccessed>
    <b:DayAccessed>09</b:DayAccessed>
    <b:URL>https://businessmodelanalyst.com/airbnb-swot-analysis/</b:URL>
    <b:RefOrder>34</b:RefOrder>
  </b:Source>
  <b:Source>
    <b:Tag>Aid18</b:Tag>
    <b:SourceType>InternetSite</b:SourceType>
    <b:Guid>{67691016-2254-46EE-8510-D58296A241BF}</b:Guid>
    <b:Author>
      <b:Author>
        <b:Corporate>Aidan Butler</b:Corporate>
      </b:Author>
    </b:Author>
    <b:Title>Essay 48</b:Title>
    <b:Year>2018</b:Year>
    <b:YearAccessed>2023</b:YearAccessed>
    <b:MonthAccessed>August</b:MonthAccessed>
    <b:DayAccessed>09</b:DayAccessed>
    <b:URL>https://www.essay48.com/case/5120-Airbnb-Porters-Generic-Strategies</b:URL>
    <b:RefOrder>35</b:RefOrder>
  </b:Source>
  <b:Source>
    <b:Tag>Bus195</b:Tag>
    <b:SourceType>InternetSite</b:SourceType>
    <b:Guid>{C593F750-AE18-4ECD-B451-CDE37570FFCF}</b:Guid>
    <b:Author>
      <b:Author>
        <b:Corporate>Business Research Methodology</b:Corporate>
      </b:Author>
    </b:Author>
    <b:Title>Airbnb Ansoff Matrix: a brief overview</b:Title>
    <b:Year>2019</b:Year>
    <b:YearAccessed>2023</b:YearAccessed>
    <b:MonthAccessed>August</b:MonthAccessed>
    <b:DayAccessed>09</b:DayAccessed>
    <b:URL>https://research-methodology.net/airbnb-ansoff-matrix-a-brief-overview/</b:URL>
    <b:RefOrder>36</b:RefOrder>
  </b:Source>
  <b:Source>
    <b:Tag>Tay19</b:Tag>
    <b:SourceType>InternetSite</b:SourceType>
    <b:Guid>{722098A9-E728-45DA-BFD5-4ED77EF37A93}</b:Guid>
    <b:Title> Airbnb's Growth and Expansion Strategies. LinkedIn.</b:Title>
    <b:Year>2019</b:Year>
    <b:YearAccessed>2023</b:YearAccessed>
    <b:MonthAccessed>August</b:MonthAccessed>
    <b:DayAccessed>09</b:DayAccessed>
    <b:URL>https://www.linkedin.com/pulse/airbnbs-growth-expansion-strategies-pratik-s-tayade/</b:URL>
    <b:Author>
      <b:Author>
        <b:NameList>
          <b:Person>
            <b:Last>Tayade</b:Last>
            <b:First>P.S</b:First>
          </b:Person>
        </b:NameList>
      </b:Author>
    </b:Author>
    <b:RefOrder>37</b:RefOrder>
  </b:Source>
  <b:Source>
    <b:Tag>Bus196</b:Tag>
    <b:SourceType>InternetSite</b:SourceType>
    <b:Guid>{B4480315-26BE-4DEB-A14C-62B3EFF6D25F}</b:Guid>
    <b:Author>
      <b:Author>
        <b:Corporate>Business Research Methodology</b:Corporate>
      </b:Author>
    </b:Author>
    <b:Title>Airbnb Corporate Social Responsibility (CSR): a brief overview</b:Title>
    <b:Year>2019</b:Year>
    <b:YearAccessed>2023</b:YearAccessed>
    <b:MonthAccessed>August</b:MonthAccessed>
    <b:DayAccessed>09</b:DayAccessed>
    <b:URL>https://research-methodology.net/airbnb-corporate-social-responsibility/</b:URL>
    <b:RefOrder>38</b:RefOrder>
  </b:Source>
  <b:Source>
    <b:Tag>Air221</b:Tag>
    <b:SourceType>InternetSite</b:SourceType>
    <b:Guid>{3CEAF3FE-BF68-4202-8023-58422F2E9FCB}</b:Guid>
    <b:Author>
      <b:Author>
        <b:Corporate>Airbnb</b:Corporate>
      </b:Author>
    </b:Author>
    <b:Title>Airbnb Corporate Sustainability Update</b:Title>
    <b:Year>2022</b:Year>
    <b:YearAccessed>2023</b:YearAccessed>
    <b:MonthAccessed>August</b:MonthAccessed>
    <b:DayAccessed>10</b:DayAccessed>
    <b:URL>https://s26.q4cdn.com/656283129/files/doc_downloads/governance_doc_updated/2022/Airbnb-Corporate-Sustainability-Update_September-2022.pdf</b:URL>
    <b:RefOrder>39</b:RefOrder>
  </b:Source>
  <b:Source>
    <b:Tag>Uni21</b:Tag>
    <b:SourceType>InternetSite</b:SourceType>
    <b:Guid>{943EDDD7-A936-4DFB-A27F-FBA3E7E6343A}</b:Guid>
    <b:Author>
      <b:Author>
        <b:Corporate>University of queensland</b:Corporate>
      </b:Author>
    </b:Author>
    <b:Title>The evolution of Airbnb’s business model</b:Title>
    <b:Year>2021</b:Year>
    <b:YearAccessed>2023</b:YearAccessed>
    <b:MonthAccessed>August</b:MonthAccessed>
    <b:DayAccessed>09</b:DayAccessed>
    <b:URL>https://uq.pressbooks.pub/airbnb-978-1-74272-321-1/chapter/the-evolution-of-airbnbs-business-model/</b:URL>
    <b:RefOrder>40</b:RefOrder>
  </b:Source>
  <b:Source>
    <b:Tag>Bar19</b:Tag>
    <b:SourceType>Book</b:SourceType>
    <b:Guid>{93BC2A16-9B57-44B3-A4D2-CAFE0B07943E}</b:Guid>
    <b:Title>Strategic management and competitive advantage : concepts and cases .</b:Title>
    <b:Year>2019</b:Year>
    <b:City>Harlow</b:City>
    <b:Publisher>Pearson</b:Publisher>
    <b:Edition>6</b:Edition>
    <b:Author>
      <b:Author>
        <b:NameList>
          <b:Person>
            <b:Last>Barney</b:Last>
            <b:First>J.B</b:First>
          </b:Person>
          <b:Person>
            <b:Last>Hesterly</b:Last>
            <b:Middle>William</b:Middle>
            <b:First>S</b:First>
          </b:Person>
        </b:NameList>
      </b:Author>
    </b:Author>
    <b:RefOrder>13</b:RefOrder>
  </b:Source>
  <b:Source>
    <b:Tag>Bar12</b:Tag>
    <b:SourceType>Book</b:SourceType>
    <b:Guid>{4EC2FF1D-FEB0-4926-BB1F-F8B9B920B2A2}</b:Guid>
    <b:Title>Strategic Management and competitive advantage concepts and cases</b:Title>
    <b:Year>2012</b:Year>
    <b:Publisher>Pearson</b:Publisher>
    <b:Edition>5</b:Edition>
    <b:Author>
      <b:Author>
        <b:NameList>
          <b:Person>
            <b:Last>Barney</b:Last>
            <b:First>J.B</b:First>
          </b:Person>
          <b:Person>
            <b:Last>Hesterly</b:Last>
            <b:Middle>Smith</b:Middle>
            <b:First>W</b:First>
          </b:Person>
        </b:NameList>
      </b:Author>
    </b:Author>
    <b:City>Harlow</b:City>
    <b:RefOrder>32</b:RefOrder>
  </b:Source>
  <b:Source>
    <b:Tag>Dru07</b:Tag>
    <b:SourceType>Book</b:SourceType>
    <b:Guid>{7803FB60-4B2B-4826-811F-C34C8967232F}</b:Guid>
    <b:Title>Strategic marketing : planning and control.</b:Title>
    <b:Year>2007</b:Year>
    <b:Author>
      <b:Author>
        <b:NameList>
          <b:Person>
            <b:Last>Drummond</b:Last>
            <b:First>G</b:First>
          </b:Person>
          <b:Person>
            <b:Last>John</b:Last>
            <b:First>E</b:First>
          </b:Person>
          <b:Person>
            <b:Last>Ruth</b:Last>
            <b:First>Ashford</b:First>
          </b:Person>
        </b:NameList>
      </b:Author>
    </b:Author>
    <b:Publisher>Routledge</b:Publisher>
    <b:Edition>3</b:Edition>
    <b:City>London</b:City>
    <b:RefOrder>1</b:RefOrder>
  </b:Source>
  <b:Source>
    <b:Tag>Whi19</b:Tag>
    <b:SourceType>Book</b:SourceType>
    <b:Guid>{F6907EFD-3741-4DAF-8786-8F4D2CEDE176}</b:Guid>
    <b:Title>Exploring Strategy, Text and Cases</b:Title>
    <b:Year>2020</b:Year>
    <b:City>Harlow</b:City>
    <b:Publisher>Pearson Higher Education &amp; Professional Group</b:Publisher>
    <b:Edition>12</b:Edition>
    <b:Author>
      <b:Author>
        <b:NameList>
          <b:Person>
            <b:Last>Whittington</b:Last>
            <b:First>R</b:First>
          </b:Person>
          <b:Person>
            <b:Last>Patrick </b:Last>
            <b:First>Regnér </b:First>
          </b:Person>
          <b:Person>
            <b:Last>Gerry</b:Last>
            <b:First>Johnson</b:First>
          </b:Person>
        </b:NameList>
      </b:Author>
    </b:Author>
    <b:RefOrder>11</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_activity xmlns="2a630987-89b0-47a3-8b68-0b9471ccb2c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4E403059E77324C85625411ECC2F108" ma:contentTypeVersion="14" ma:contentTypeDescription="Create a new document." ma:contentTypeScope="" ma:versionID="fc432344947d19cdf2fb637fa2ce1de1">
  <xsd:schema xmlns:xsd="http://www.w3.org/2001/XMLSchema" xmlns:xs="http://www.w3.org/2001/XMLSchema" xmlns:p="http://schemas.microsoft.com/office/2006/metadata/properties" xmlns:ns3="2a630987-89b0-47a3-8b68-0b9471ccb2c5" xmlns:ns4="08bec322-8d32-4fb4-8f9c-0ce354bd995f" targetNamespace="http://schemas.microsoft.com/office/2006/metadata/properties" ma:root="true" ma:fieldsID="daf807e4677a78b9421bd58f7322058d" ns3:_="" ns4:_="">
    <xsd:import namespace="2a630987-89b0-47a3-8b68-0b9471ccb2c5"/>
    <xsd:import namespace="08bec322-8d32-4fb4-8f9c-0ce354bd995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630987-89b0-47a3-8b68-0b9471ccb2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8bec322-8d32-4fb4-8f9c-0ce354bd99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CoverPageProperties xmlns="http://schemas.microsoft.com/office/2006/coverPageProps">
  <PublishDate>2019/2020</PublishDate>
  <Abstract>Lecturer: Hossein Shokri</Abstract>
  <CompanyAddress/>
  <CompanyPhone/>
  <CompanyFax/>
  <CompanyEmail/>
</CoverPageProperties>
</file>

<file path=customXml/itemProps1.xml><?xml version="1.0" encoding="utf-8"?>
<ds:datastoreItem xmlns:ds="http://schemas.openxmlformats.org/officeDocument/2006/customXml" ds:itemID="{DB789D29-9A39-4EBB-931B-0095D9438054}">
  <ds:schemaRefs/>
</ds:datastoreItem>
</file>

<file path=customXml/itemProps2.xml><?xml version="1.0" encoding="utf-8"?>
<ds:datastoreItem xmlns:ds="http://schemas.openxmlformats.org/officeDocument/2006/customXml" ds:itemID="{32695C9F-AEB6-41C9-AFB2-CD3D069551A5}">
  <ds:schemaRefs/>
</ds:datastoreItem>
</file>

<file path=customXml/itemProps3.xml><?xml version="1.0" encoding="utf-8"?>
<ds:datastoreItem xmlns:ds="http://schemas.openxmlformats.org/officeDocument/2006/customXml" ds:itemID="{14674246-02B1-4859-B908-EFE999699868}">
  <ds:schemaRefs/>
</ds:datastoreItem>
</file>

<file path=customXml/itemProps4.xml><?xml version="1.0" encoding="utf-8"?>
<ds:datastoreItem xmlns:ds="http://schemas.openxmlformats.org/officeDocument/2006/customXml" ds:itemID="{767796E4-A938-4D40-AED2-07108D3FA7A6}">
  <ds:schemaRefs/>
</ds:datastoreItem>
</file>

<file path=customXml/itemProps5.xml><?xml version="1.0" encoding="utf-8"?>
<ds:datastoreItem xmlns:ds="http://schemas.openxmlformats.org/officeDocument/2006/customXml" ds:itemID="{55AF091B-3C7A-41E3-B477-F2FDAA23CFDA}">
  <ds:schemaRefs/>
</ds:datastoreItem>
</file>

<file path=docProps/app.xml><?xml version="1.0" encoding="utf-8"?>
<Properties xmlns="http://schemas.openxmlformats.org/officeDocument/2006/extended-properties" xmlns:vt="http://schemas.openxmlformats.org/officeDocument/2006/docPropsVTypes">
  <Template>Normal</Template>
  <Pages>27</Pages>
  <Words>6461</Words>
  <Characters>36834</Characters>
  <Lines>306</Lines>
  <Paragraphs>86</Paragraphs>
  <TotalTime>1003</TotalTime>
  <ScaleCrop>false</ScaleCrop>
  <LinksUpToDate>false</LinksUpToDate>
  <CharactersWithSpaces>43209</CharactersWithSpaces>
  <Application>WPS Office_12.2.0.17153_F1E327BC-269C-435d-A152-05C5408002CA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2024-08-12T16:10:00Z</dcterms:created>
  <dc:creator>Sakshi Soni</dc:creator>
  <cp:lastModifiedBy>YAGNESH</cp:lastModifiedBy>
  <cp:lastPrinted>2020-05-15T21:08:00Z</cp:lastPrinted>
  <dcterms:modified xsi:type="dcterms:W3CDTF">2024-08-21T00:35:49Z</dcterms:modified>
  <dc:subject>Marketing Management Report</dc:subject>
  <dc:title>Marketing Management LCMB 7001</dc:title>
  <cp:revision>106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0x010100F4E403059E77324C85625411ECC2F108</vt:lpwstr>
  </property>
  <property fmtid="{D5CDD505-2E9C-101B-9397-08002B2CF9AE}" pid="3" name="KSOProductBuildVer">
    <vt:lpwstr>1033-12.2.0.17153</vt:lpwstr>
  </property>
  <property fmtid="{D5CDD505-2E9C-101B-9397-08002B2CF9AE}" pid="4" name="ICV">
    <vt:lpwstr>5019A05DED05413396DCE5C655148544_12</vt:lpwstr>
  </property>
</Properties>
</file>