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6C8" w:rsidRPr="00F97286" w:rsidRDefault="00E046C8" w:rsidP="00F97286">
      <w:pPr>
        <w:jc w:val="center"/>
        <w:rPr>
          <w:rFonts w:ascii="Bradley Hand ITC" w:hAnsi="Bradley Hand ITC"/>
          <w:sz w:val="48"/>
          <w:szCs w:val="48"/>
        </w:rPr>
      </w:pPr>
      <w:r w:rsidRPr="00F97286">
        <w:rPr>
          <w:rFonts w:ascii="Bradley Hand ITC" w:hAnsi="Bradley Hand ITC"/>
          <w:sz w:val="48"/>
          <w:szCs w:val="48"/>
        </w:rPr>
        <w:t>Donaldson’s 12 Pedagogical Principles</w:t>
      </w:r>
    </w:p>
    <w:p w:rsidR="00E046C8" w:rsidRDefault="00E046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E046C8" w:rsidTr="00D120A4">
        <w:tc>
          <w:tcPr>
            <w:tcW w:w="3487" w:type="dxa"/>
            <w:shd w:val="clear" w:color="auto" w:fill="9CC2E5" w:themeFill="accent1" w:themeFillTint="99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Create authentic contexts for learning</w:t>
            </w:r>
          </w:p>
        </w:tc>
        <w:tc>
          <w:tcPr>
            <w:tcW w:w="3487" w:type="dxa"/>
            <w:shd w:val="clear" w:color="auto" w:fill="9CC2E5" w:themeFill="accent1" w:themeFillTint="99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Encourage learners to take responsibility for their learning</w:t>
            </w:r>
          </w:p>
        </w:tc>
        <w:tc>
          <w:tcPr>
            <w:tcW w:w="3487" w:type="dxa"/>
            <w:shd w:val="clear" w:color="auto" w:fill="9CC2E5" w:themeFill="accent1" w:themeFillTint="99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Support social and emotional development &amp; positive relationships</w:t>
            </w:r>
          </w:p>
        </w:tc>
        <w:tc>
          <w:tcPr>
            <w:tcW w:w="3487" w:type="dxa"/>
            <w:shd w:val="clear" w:color="auto" w:fill="9CC2E5" w:themeFill="accent1" w:themeFillTint="99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Encourage collaboration</w:t>
            </w:r>
          </w:p>
        </w:tc>
      </w:tr>
      <w:tr w:rsidR="00E046C8" w:rsidTr="00D120A4">
        <w:tc>
          <w:tcPr>
            <w:tcW w:w="3487" w:type="dxa"/>
            <w:shd w:val="clear" w:color="auto" w:fill="FFE599" w:themeFill="accent4" w:themeFillTint="66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Sustained pupil effort to reach high but achievable targets</w:t>
            </w:r>
          </w:p>
        </w:tc>
        <w:tc>
          <w:tcPr>
            <w:tcW w:w="3487" w:type="dxa"/>
            <w:shd w:val="clear" w:color="auto" w:fill="FFE599" w:themeFill="accent4" w:themeFillTint="66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Employing a broad repertoire of teaching approaches</w:t>
            </w:r>
          </w:p>
        </w:tc>
        <w:tc>
          <w:tcPr>
            <w:tcW w:w="3487" w:type="dxa"/>
            <w:shd w:val="clear" w:color="auto" w:fill="C5E0B3" w:themeFill="accent6" w:themeFillTint="66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Promote problem solving, creative &amp; critical thinking</w:t>
            </w:r>
          </w:p>
        </w:tc>
        <w:tc>
          <w:tcPr>
            <w:tcW w:w="3487" w:type="dxa"/>
            <w:shd w:val="clear" w:color="auto" w:fill="C5E0B3" w:themeFill="accent6" w:themeFillTint="66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Build on previous knowledge and experience to engage interest</w:t>
            </w:r>
          </w:p>
        </w:tc>
      </w:tr>
      <w:tr w:rsidR="00E046C8" w:rsidTr="00D120A4">
        <w:tc>
          <w:tcPr>
            <w:tcW w:w="3487" w:type="dxa"/>
            <w:shd w:val="clear" w:color="auto" w:fill="FF0000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Focus on the 4 purposes</w:t>
            </w:r>
          </w:p>
        </w:tc>
        <w:tc>
          <w:tcPr>
            <w:tcW w:w="3487" w:type="dxa"/>
            <w:shd w:val="clear" w:color="auto" w:fill="FFC000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Use assessment for learning to accelerate progress</w:t>
            </w:r>
          </w:p>
        </w:tc>
        <w:tc>
          <w:tcPr>
            <w:tcW w:w="3487" w:type="dxa"/>
            <w:shd w:val="clear" w:color="auto" w:fill="FFC000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Make connections within and across the AoLEs</w:t>
            </w:r>
          </w:p>
        </w:tc>
        <w:tc>
          <w:tcPr>
            <w:tcW w:w="3487" w:type="dxa"/>
            <w:shd w:val="clear" w:color="auto" w:fill="FF0000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Reinforce cross-curricular responsibilities, Literacy, Numeracy, Digital Competency</w:t>
            </w:r>
          </w:p>
        </w:tc>
      </w:tr>
    </w:tbl>
    <w:p w:rsidR="00E046C8" w:rsidRDefault="00E046C8"/>
    <w:p w:rsidR="00E03F00" w:rsidRDefault="00E03F00"/>
    <w:p w:rsidR="00E03F00" w:rsidRDefault="00E03F00"/>
    <w:p w:rsidR="00E03F00" w:rsidRDefault="00E03F00">
      <w:bookmarkStart w:id="0" w:name="_GoBack"/>
      <w:bookmarkEnd w:id="0"/>
    </w:p>
    <w:p w:rsidR="00E03F00" w:rsidRPr="0019387B" w:rsidRDefault="00E03F00" w:rsidP="00E03F00">
      <w:pPr>
        <w:jc w:val="center"/>
        <w:rPr>
          <w:rFonts w:ascii="Bradley Hand ITC" w:hAnsi="Bradley Hand ITC"/>
          <w:sz w:val="48"/>
          <w:szCs w:val="48"/>
          <w:lang w:val="cy-GB"/>
        </w:rPr>
      </w:pPr>
      <w:r w:rsidRPr="0019387B">
        <w:rPr>
          <w:rFonts w:ascii="Bradley Hand ITC" w:hAnsi="Bradley Hand ITC"/>
          <w:sz w:val="48"/>
          <w:szCs w:val="48"/>
          <w:lang w:val="cy-GB"/>
        </w:rPr>
        <w:lastRenderedPageBreak/>
        <w:t xml:space="preserve">12 Egwyddor </w:t>
      </w:r>
      <w:proofErr w:type="spellStart"/>
      <w:r w:rsidRPr="0019387B">
        <w:rPr>
          <w:rFonts w:ascii="Bradley Hand ITC" w:hAnsi="Bradley Hand ITC"/>
          <w:sz w:val="48"/>
          <w:szCs w:val="48"/>
          <w:lang w:val="cy-GB"/>
        </w:rPr>
        <w:t>Addysgegol</w:t>
      </w:r>
      <w:proofErr w:type="spellEnd"/>
      <w:r w:rsidRPr="0019387B">
        <w:rPr>
          <w:rFonts w:ascii="Bradley Hand ITC" w:hAnsi="Bradley Hand ITC"/>
          <w:sz w:val="48"/>
          <w:szCs w:val="48"/>
          <w:lang w:val="cy-GB"/>
        </w:rPr>
        <w:t xml:space="preserve"> </w:t>
      </w:r>
      <w:proofErr w:type="spellStart"/>
      <w:r w:rsidRPr="0019387B">
        <w:rPr>
          <w:rFonts w:ascii="Bradley Hand ITC" w:hAnsi="Bradley Hand ITC"/>
          <w:sz w:val="48"/>
          <w:szCs w:val="48"/>
          <w:lang w:val="cy-GB"/>
        </w:rPr>
        <w:t>Donaldson</w:t>
      </w:r>
      <w:proofErr w:type="spellEnd"/>
    </w:p>
    <w:p w:rsidR="00E03F00" w:rsidRPr="0019387B" w:rsidRDefault="00E03F00" w:rsidP="00E03F00">
      <w:pPr>
        <w:rPr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E03F00" w:rsidRPr="0019387B" w:rsidTr="00CA357C">
        <w:tc>
          <w:tcPr>
            <w:tcW w:w="3487" w:type="dxa"/>
            <w:shd w:val="clear" w:color="auto" w:fill="9CC2E5" w:themeFill="accent1" w:themeFillTint="99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 w:rsidRPr="0019387B"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Cre</w:t>
            </w: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u cyd-destunau dilys ar gyfer dysgu</w:t>
            </w:r>
          </w:p>
        </w:tc>
        <w:tc>
          <w:tcPr>
            <w:tcW w:w="3487" w:type="dxa"/>
            <w:shd w:val="clear" w:color="auto" w:fill="9CC2E5" w:themeFill="accent1" w:themeFillTint="99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Annog dysgwyr i gymryd cyfrifoldeb am eu dysgu</w:t>
            </w:r>
          </w:p>
        </w:tc>
        <w:tc>
          <w:tcPr>
            <w:tcW w:w="3487" w:type="dxa"/>
            <w:shd w:val="clear" w:color="auto" w:fill="9CC2E5" w:themeFill="accent1" w:themeFillTint="99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Cefnogi datblygiad cymdeithasol ac emosiynol a pherthnasoedd positif</w:t>
            </w:r>
          </w:p>
        </w:tc>
        <w:tc>
          <w:tcPr>
            <w:tcW w:w="3487" w:type="dxa"/>
            <w:shd w:val="clear" w:color="auto" w:fill="9CC2E5" w:themeFill="accent1" w:themeFillTint="99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Annog cydweithredu</w:t>
            </w:r>
          </w:p>
        </w:tc>
      </w:tr>
      <w:tr w:rsidR="00E03F00" w:rsidRPr="0019387B" w:rsidTr="00CA357C">
        <w:tc>
          <w:tcPr>
            <w:tcW w:w="3487" w:type="dxa"/>
            <w:shd w:val="clear" w:color="auto" w:fill="FFE599" w:themeFill="accent4" w:themeFillTint="66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Ymdrech cyson gan ddisgyblion i gyrraedd targedau uchel ond cyraeddadwy</w:t>
            </w:r>
          </w:p>
        </w:tc>
        <w:tc>
          <w:tcPr>
            <w:tcW w:w="3487" w:type="dxa"/>
            <w:shd w:val="clear" w:color="auto" w:fill="FFE599" w:themeFill="accent4" w:themeFillTint="66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Defnyddio repertoire eang o ymagweddau addysgu</w:t>
            </w:r>
          </w:p>
        </w:tc>
        <w:tc>
          <w:tcPr>
            <w:tcW w:w="3487" w:type="dxa"/>
            <w:shd w:val="clear" w:color="auto" w:fill="C5E0B3" w:themeFill="accent6" w:themeFillTint="66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 xml:space="preserve">Hyrwyddo datrys problemau, meddwl creadigol a beirniadol </w:t>
            </w:r>
          </w:p>
        </w:tc>
        <w:tc>
          <w:tcPr>
            <w:tcW w:w="3487" w:type="dxa"/>
            <w:shd w:val="clear" w:color="auto" w:fill="C5E0B3" w:themeFill="accent6" w:themeFillTint="66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Adeiladu ar wybodaeth a phrofiad blaenorol i ennyn diddordeb</w:t>
            </w:r>
          </w:p>
        </w:tc>
      </w:tr>
      <w:tr w:rsidR="00E03F00" w:rsidRPr="0019387B" w:rsidTr="00CA357C">
        <w:tc>
          <w:tcPr>
            <w:tcW w:w="3487" w:type="dxa"/>
            <w:shd w:val="clear" w:color="auto" w:fill="FF0000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Ffocysu ar y 4 diben</w:t>
            </w:r>
          </w:p>
        </w:tc>
        <w:tc>
          <w:tcPr>
            <w:tcW w:w="3487" w:type="dxa"/>
            <w:shd w:val="clear" w:color="auto" w:fill="FFC000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Defnyddio asesu ar gyfer dysgu i gyflymu cynnydd</w:t>
            </w:r>
          </w:p>
        </w:tc>
        <w:tc>
          <w:tcPr>
            <w:tcW w:w="3487" w:type="dxa"/>
            <w:shd w:val="clear" w:color="auto" w:fill="FFC000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 xml:space="preserve">Gwneud cysylltiadau o fewn ac ar draws yr </w:t>
            </w:r>
            <w:proofErr w:type="spellStart"/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MDaPh</w:t>
            </w:r>
            <w:proofErr w:type="spellEnd"/>
          </w:p>
        </w:tc>
        <w:tc>
          <w:tcPr>
            <w:tcW w:w="3487" w:type="dxa"/>
            <w:shd w:val="clear" w:color="auto" w:fill="FF0000"/>
            <w:vAlign w:val="center"/>
          </w:tcPr>
          <w:p w:rsidR="00E03F00" w:rsidRPr="0019387B" w:rsidRDefault="00E03F00" w:rsidP="00CA357C">
            <w:pPr>
              <w:jc w:val="center"/>
              <w:rPr>
                <w:rFonts w:ascii="Bradley Hand ITC" w:hAnsi="Bradley Hand ITC"/>
                <w:b/>
                <w:sz w:val="36"/>
                <w:szCs w:val="36"/>
                <w:lang w:val="cy-GB"/>
              </w:rPr>
            </w:pPr>
            <w:r>
              <w:rPr>
                <w:rFonts w:ascii="Bradley Hand ITC" w:hAnsi="Bradley Hand ITC"/>
                <w:b/>
                <w:sz w:val="36"/>
                <w:szCs w:val="36"/>
                <w:lang w:val="cy-GB"/>
              </w:rPr>
              <w:t>Atgyfnerthu cyfrifoldebau traws-gwricwlaidd, Llythrennedd, Rhifedd, Gallu Digidol</w:t>
            </w:r>
          </w:p>
        </w:tc>
      </w:tr>
    </w:tbl>
    <w:p w:rsidR="00E03F00" w:rsidRPr="0019387B" w:rsidRDefault="00E03F00" w:rsidP="00E03F00">
      <w:pPr>
        <w:rPr>
          <w:lang w:val="cy-GB"/>
        </w:rPr>
      </w:pPr>
    </w:p>
    <w:p w:rsidR="00E03F00" w:rsidRDefault="00E03F00"/>
    <w:sectPr w:rsidR="00E03F00" w:rsidSect="00E046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6C8"/>
    <w:rsid w:val="00025523"/>
    <w:rsid w:val="001A3181"/>
    <w:rsid w:val="001C0F5B"/>
    <w:rsid w:val="003E0768"/>
    <w:rsid w:val="0064004D"/>
    <w:rsid w:val="00644AAC"/>
    <w:rsid w:val="007552D3"/>
    <w:rsid w:val="007A2F9B"/>
    <w:rsid w:val="00960559"/>
    <w:rsid w:val="00A02F05"/>
    <w:rsid w:val="00AD0C90"/>
    <w:rsid w:val="00D120A4"/>
    <w:rsid w:val="00E03F00"/>
    <w:rsid w:val="00E046C8"/>
    <w:rsid w:val="00E532FC"/>
    <w:rsid w:val="00F35A18"/>
    <w:rsid w:val="00F4060C"/>
    <w:rsid w:val="00F52A39"/>
    <w:rsid w:val="00F9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51664"/>
  <w15:chartTrackingRefBased/>
  <w15:docId w15:val="{CC0C4F48-021D-4BDB-A5D6-4E928905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3</cp:revision>
  <dcterms:created xsi:type="dcterms:W3CDTF">2020-02-22T16:03:00Z</dcterms:created>
  <dcterms:modified xsi:type="dcterms:W3CDTF">2020-09-23T15:38:00Z</dcterms:modified>
</cp:coreProperties>
</file>