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07308112"/>
        <w:docPartObj>
          <w:docPartGallery w:val="Cover Pages"/>
          <w:docPartUnique/>
        </w:docPartObj>
      </w:sdtPr>
      <w:sdtContent>
        <w:p w14:paraId="3CFB4142" w14:textId="43926C09" w:rsidR="00950551" w:rsidRDefault="00950551">
          <w:r>
            <w:rPr>
              <w:noProof/>
            </w:rPr>
            <mc:AlternateContent>
              <mc:Choice Requires="wpg">
                <w:drawing>
                  <wp:anchor distT="0" distB="0" distL="114300" distR="114300" simplePos="0" relativeHeight="251658243" behindDoc="0" locked="0" layoutInCell="1" allowOverlap="1" wp14:anchorId="0E0363F6" wp14:editId="331E85D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534E6B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DE22D57" wp14:editId="1D50289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37C298D" w14:textId="67A1B109" w:rsidR="00950551" w:rsidRDefault="006314E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DE22D57" id="_x0000_t202" coordsize="21600,21600" o:spt="202" path="m,l,21600r21600,l21600,xe">
                    <v:stroke joinstyle="miter"/>
                    <v:path gradientshapeok="t" o:connecttype="rect"/>
                  </v:shapetype>
                  <v:shape id="Text Box 161" o:spid="_x0000_s1026"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37C298D" w14:textId="67A1B109" w:rsidR="00950551" w:rsidRDefault="006314E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66C2972" wp14:editId="1E7ED1E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52F9B0" w14:textId="6E66BB13" w:rsidR="00950551"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7227">
                                      <w:rPr>
                                        <w:caps/>
                                        <w:color w:val="156082" w:themeColor="accent1"/>
                                        <w:sz w:val="64"/>
                                        <w:szCs w:val="64"/>
                                      </w:rPr>
                                      <w:t xml:space="preserve">Site Investigation </w:t>
                                    </w:r>
                                    <w:r w:rsidR="00685CDC">
                                      <w:rPr>
                                        <w:caps/>
                                        <w:color w:val="156082" w:themeColor="accent1"/>
                                        <w:sz w:val="64"/>
                                        <w:szCs w:val="64"/>
                                      </w:rPr>
                                      <w:br/>
                                    </w:r>
                                    <w:r w:rsidR="00097227">
                                      <w:rPr>
                                        <w:caps/>
                                        <w:color w:val="156082" w:themeColor="accent1"/>
                                        <w:sz w:val="64"/>
                                        <w:szCs w:val="64"/>
                                      </w:rPr>
                                      <w:t>case study</w:t>
                                    </w:r>
                                  </w:sdtContent>
                                </w:sdt>
                              </w:p>
                              <w:p w14:paraId="5341AB41" w14:textId="02D69932" w:rsidR="00950551"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rPr>
                                      <w:smallCaps/>
                                    </w:rPr>
                                  </w:sdtEndPr>
                                  <w:sdtContent>
                                    <w:r w:rsidR="00097227">
                                      <w:rPr>
                                        <w:color w:val="404040" w:themeColor="text1" w:themeTint="BF"/>
                                        <w:sz w:val="36"/>
                                        <w:szCs w:val="36"/>
                                      </w:rPr>
                                      <w:t>Fundamentals Assignment 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6C2972" id="Text Box 163"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D52F9B0" w14:textId="6E66BB13" w:rsidR="00950551"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7227">
                                <w:rPr>
                                  <w:caps/>
                                  <w:color w:val="156082" w:themeColor="accent1"/>
                                  <w:sz w:val="64"/>
                                  <w:szCs w:val="64"/>
                                </w:rPr>
                                <w:t xml:space="preserve">Site Investigation </w:t>
                              </w:r>
                              <w:r w:rsidR="00685CDC">
                                <w:rPr>
                                  <w:caps/>
                                  <w:color w:val="156082" w:themeColor="accent1"/>
                                  <w:sz w:val="64"/>
                                  <w:szCs w:val="64"/>
                                </w:rPr>
                                <w:br/>
                              </w:r>
                              <w:r w:rsidR="00097227">
                                <w:rPr>
                                  <w:caps/>
                                  <w:color w:val="156082" w:themeColor="accent1"/>
                                  <w:sz w:val="64"/>
                                  <w:szCs w:val="64"/>
                                </w:rPr>
                                <w:t>case study</w:t>
                              </w:r>
                            </w:sdtContent>
                          </w:sdt>
                        </w:p>
                        <w:p w14:paraId="5341AB41" w14:textId="02D69932" w:rsidR="00950551"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rPr>
                                <w:smallCaps/>
                              </w:rPr>
                            </w:sdtEndPr>
                            <w:sdtContent>
                              <w:r w:rsidR="00097227">
                                <w:rPr>
                                  <w:color w:val="404040" w:themeColor="text1" w:themeTint="BF"/>
                                  <w:sz w:val="36"/>
                                  <w:szCs w:val="36"/>
                                </w:rPr>
                                <w:t>Fundamentals Assignment 1</w:t>
                              </w:r>
                            </w:sdtContent>
                          </w:sdt>
                        </w:p>
                      </w:txbxContent>
                    </v:textbox>
                    <w10:wrap type="square" anchorx="page" anchory="page"/>
                  </v:shape>
                </w:pict>
              </mc:Fallback>
            </mc:AlternateContent>
          </w:r>
        </w:p>
        <w:p w14:paraId="41784623" w14:textId="63477939" w:rsidR="00950551" w:rsidRDefault="00097227">
          <w:pPr>
            <w:spacing w:after="160" w:line="278" w:lineRule="auto"/>
          </w:pPr>
          <w:r>
            <w:rPr>
              <w:noProof/>
            </w:rPr>
            <mc:AlternateContent>
              <mc:Choice Requires="wps">
                <w:drawing>
                  <wp:anchor distT="0" distB="0" distL="114300" distR="114300" simplePos="0" relativeHeight="251658241" behindDoc="0" locked="0" layoutInCell="1" allowOverlap="1" wp14:anchorId="35009EA2" wp14:editId="34CE6202">
                    <wp:simplePos x="0" y="0"/>
                    <wp:positionH relativeFrom="margin">
                      <wp:align>center</wp:align>
                    </wp:positionH>
                    <wp:positionV relativeFrom="page">
                      <wp:posOffset>7080885</wp:posOffset>
                    </wp:positionV>
                    <wp:extent cx="731520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278B6D" w14:textId="1300A3C0" w:rsidR="00950551" w:rsidRDefault="00950551">
                                    <w:pPr>
                                      <w:pStyle w:val="NoSpacing"/>
                                      <w:jc w:val="right"/>
                                      <w:rPr>
                                        <w:color w:val="595959" w:themeColor="text1" w:themeTint="A6"/>
                                        <w:sz w:val="28"/>
                                        <w:szCs w:val="28"/>
                                      </w:rPr>
                                    </w:pPr>
                                    <w:r>
                                      <w:rPr>
                                        <w:color w:val="595959" w:themeColor="text1" w:themeTint="A6"/>
                                        <w:sz w:val="28"/>
                                        <w:szCs w:val="28"/>
                                      </w:rPr>
                                      <w:t>Tom McGaw (2305689)</w:t>
                                    </w:r>
                                  </w:p>
                                </w:sdtContent>
                              </w:sdt>
                              <w:p w14:paraId="0E1C9EDB" w14:textId="17C939C0" w:rsidR="0095055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314E8">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5009EA2" id="Text Box 159" o:spid="_x0000_s1028" type="#_x0000_t202" style="position:absolute;margin-left:0;margin-top:557.55pt;width:8in;height:1in;z-index:251658241;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278B6D" w14:textId="1300A3C0" w:rsidR="00950551" w:rsidRDefault="00950551">
                              <w:pPr>
                                <w:pStyle w:val="NoSpacing"/>
                                <w:jc w:val="right"/>
                                <w:rPr>
                                  <w:color w:val="595959" w:themeColor="text1" w:themeTint="A6"/>
                                  <w:sz w:val="28"/>
                                  <w:szCs w:val="28"/>
                                </w:rPr>
                              </w:pPr>
                              <w:r>
                                <w:rPr>
                                  <w:color w:val="595959" w:themeColor="text1" w:themeTint="A6"/>
                                  <w:sz w:val="28"/>
                                  <w:szCs w:val="28"/>
                                </w:rPr>
                                <w:t>Tom McGaw (2305689)</w:t>
                              </w:r>
                            </w:p>
                          </w:sdtContent>
                        </w:sdt>
                        <w:p w14:paraId="0E1C9EDB" w14:textId="17C939C0" w:rsidR="0095055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314E8">
                                <w:rPr>
                                  <w:color w:val="595959" w:themeColor="text1" w:themeTint="A6"/>
                                  <w:sz w:val="18"/>
                                  <w:szCs w:val="18"/>
                                </w:rPr>
                                <w:t xml:space="preserve">     </w:t>
                              </w:r>
                            </w:sdtContent>
                          </w:sdt>
                        </w:p>
                      </w:txbxContent>
                    </v:textbox>
                    <w10:wrap type="square" anchorx="margin" anchory="page"/>
                  </v:shape>
                </w:pict>
              </mc:Fallback>
            </mc:AlternateContent>
          </w:r>
          <w:r w:rsidR="00950551">
            <w:br w:type="page"/>
          </w:r>
        </w:p>
      </w:sdtContent>
    </w:sdt>
    <w:sdt>
      <w:sdtPr>
        <w:rPr>
          <w:rFonts w:asciiTheme="minorHAnsi" w:eastAsiaTheme="minorEastAsia" w:hAnsiTheme="minorHAnsi" w:cs="Vrinda"/>
          <w:color w:val="auto"/>
          <w:kern w:val="2"/>
          <w:sz w:val="24"/>
          <w:szCs w:val="24"/>
          <w:lang w:val="en-GB" w:bidi="bn-IN"/>
          <w14:ligatures w14:val="standardContextual"/>
        </w:rPr>
        <w:id w:val="846295759"/>
        <w:docPartObj>
          <w:docPartGallery w:val="Table of Contents"/>
          <w:docPartUnique/>
        </w:docPartObj>
      </w:sdtPr>
      <w:sdtEndPr>
        <w:rPr>
          <w:b/>
        </w:rPr>
      </w:sdtEndPr>
      <w:sdtContent>
        <w:p w14:paraId="2B314478" w14:textId="7EE90400" w:rsidR="009F0D0C" w:rsidRDefault="009F0D0C">
          <w:pPr>
            <w:pStyle w:val="TOCHeading"/>
          </w:pPr>
          <w:r>
            <w:t>Contents</w:t>
          </w:r>
        </w:p>
        <w:p w14:paraId="1DC4CD49" w14:textId="4837AC47" w:rsidR="0019654D" w:rsidRDefault="009F0D0C">
          <w:pPr>
            <w:pStyle w:val="TOC1"/>
            <w:tabs>
              <w:tab w:val="right" w:leader="dot" w:pos="9016"/>
            </w:tabs>
            <w:rPr>
              <w:rFonts w:eastAsiaTheme="minorEastAsia" w:cstheme="minorBidi"/>
              <w:noProof/>
              <w:szCs w:val="24"/>
              <w:lang w:eastAsia="en-GB" w:bidi="ar-SA"/>
            </w:rPr>
          </w:pPr>
          <w:r>
            <w:fldChar w:fldCharType="begin"/>
          </w:r>
          <w:r>
            <w:instrText xml:space="preserve"> TOC \o "1-3" \h \z \u </w:instrText>
          </w:r>
          <w:r>
            <w:fldChar w:fldCharType="separate"/>
          </w:r>
          <w:hyperlink w:anchor="_Toc172564874" w:history="1">
            <w:r w:rsidR="0019654D" w:rsidRPr="00184978">
              <w:rPr>
                <w:rStyle w:val="Hyperlink"/>
                <w:noProof/>
              </w:rPr>
              <w:t>Figure list</w:t>
            </w:r>
            <w:r w:rsidR="0019654D">
              <w:rPr>
                <w:noProof/>
                <w:webHidden/>
              </w:rPr>
              <w:tab/>
            </w:r>
            <w:r w:rsidR="0019654D">
              <w:rPr>
                <w:noProof/>
                <w:webHidden/>
              </w:rPr>
              <w:fldChar w:fldCharType="begin"/>
            </w:r>
            <w:r w:rsidR="0019654D">
              <w:rPr>
                <w:noProof/>
                <w:webHidden/>
              </w:rPr>
              <w:instrText xml:space="preserve"> PAGEREF _Toc172564874 \h </w:instrText>
            </w:r>
            <w:r w:rsidR="0019654D">
              <w:rPr>
                <w:noProof/>
                <w:webHidden/>
              </w:rPr>
            </w:r>
            <w:r w:rsidR="0019654D">
              <w:rPr>
                <w:noProof/>
                <w:webHidden/>
              </w:rPr>
              <w:fldChar w:fldCharType="separate"/>
            </w:r>
            <w:r w:rsidR="009711A2">
              <w:rPr>
                <w:noProof/>
                <w:webHidden/>
              </w:rPr>
              <w:t>1</w:t>
            </w:r>
            <w:r w:rsidR="0019654D">
              <w:rPr>
                <w:noProof/>
                <w:webHidden/>
              </w:rPr>
              <w:fldChar w:fldCharType="end"/>
            </w:r>
          </w:hyperlink>
        </w:p>
        <w:p w14:paraId="220421DE" w14:textId="5763ED38" w:rsidR="0019654D" w:rsidRDefault="0019654D">
          <w:pPr>
            <w:pStyle w:val="TOC1"/>
            <w:tabs>
              <w:tab w:val="left" w:pos="480"/>
              <w:tab w:val="right" w:leader="dot" w:pos="9016"/>
            </w:tabs>
            <w:rPr>
              <w:rFonts w:eastAsiaTheme="minorEastAsia" w:cstheme="minorBidi"/>
              <w:noProof/>
              <w:szCs w:val="24"/>
              <w:lang w:eastAsia="en-GB" w:bidi="ar-SA"/>
            </w:rPr>
          </w:pPr>
          <w:hyperlink w:anchor="_Toc172564875" w:history="1">
            <w:r w:rsidRPr="00184978">
              <w:rPr>
                <w:rStyle w:val="Hyperlink"/>
                <w:noProof/>
              </w:rPr>
              <w:t>A.</w:t>
            </w:r>
            <w:r>
              <w:rPr>
                <w:rFonts w:eastAsiaTheme="minorEastAsia" w:cstheme="minorBidi"/>
                <w:noProof/>
                <w:szCs w:val="24"/>
                <w:lang w:eastAsia="en-GB" w:bidi="ar-SA"/>
              </w:rPr>
              <w:tab/>
            </w:r>
            <w:r w:rsidRPr="00184978">
              <w:rPr>
                <w:rStyle w:val="Hyperlink"/>
                <w:noProof/>
              </w:rPr>
              <w:t>Site Investigation</w:t>
            </w:r>
            <w:r>
              <w:rPr>
                <w:noProof/>
                <w:webHidden/>
              </w:rPr>
              <w:tab/>
            </w:r>
            <w:r>
              <w:rPr>
                <w:noProof/>
                <w:webHidden/>
              </w:rPr>
              <w:fldChar w:fldCharType="begin"/>
            </w:r>
            <w:r>
              <w:rPr>
                <w:noProof/>
                <w:webHidden/>
              </w:rPr>
              <w:instrText xml:space="preserve"> PAGEREF _Toc172564875 \h </w:instrText>
            </w:r>
            <w:r>
              <w:rPr>
                <w:noProof/>
                <w:webHidden/>
              </w:rPr>
            </w:r>
            <w:r>
              <w:rPr>
                <w:noProof/>
                <w:webHidden/>
              </w:rPr>
              <w:fldChar w:fldCharType="separate"/>
            </w:r>
            <w:r w:rsidR="009711A2">
              <w:rPr>
                <w:noProof/>
                <w:webHidden/>
              </w:rPr>
              <w:t>2</w:t>
            </w:r>
            <w:r>
              <w:rPr>
                <w:noProof/>
                <w:webHidden/>
              </w:rPr>
              <w:fldChar w:fldCharType="end"/>
            </w:r>
          </w:hyperlink>
        </w:p>
        <w:p w14:paraId="13940BE8" w14:textId="50FFE5A4" w:rsidR="0019654D" w:rsidRDefault="0019654D">
          <w:pPr>
            <w:pStyle w:val="TOC1"/>
            <w:tabs>
              <w:tab w:val="left" w:pos="480"/>
              <w:tab w:val="right" w:leader="dot" w:pos="9016"/>
            </w:tabs>
            <w:rPr>
              <w:rFonts w:eastAsiaTheme="minorEastAsia" w:cstheme="minorBidi"/>
              <w:noProof/>
              <w:szCs w:val="24"/>
              <w:lang w:eastAsia="en-GB" w:bidi="ar-SA"/>
            </w:rPr>
          </w:pPr>
          <w:hyperlink w:anchor="_Toc172564876" w:history="1">
            <w:r w:rsidRPr="00184978">
              <w:rPr>
                <w:rStyle w:val="Hyperlink"/>
                <w:noProof/>
              </w:rPr>
              <w:t>1.</w:t>
            </w:r>
            <w:r>
              <w:rPr>
                <w:rFonts w:eastAsiaTheme="minorEastAsia" w:cstheme="minorBidi"/>
                <w:noProof/>
                <w:szCs w:val="24"/>
                <w:lang w:eastAsia="en-GB" w:bidi="ar-SA"/>
              </w:rPr>
              <w:tab/>
            </w:r>
            <w:r w:rsidRPr="00184978">
              <w:rPr>
                <w:rStyle w:val="Hyperlink"/>
                <w:noProof/>
              </w:rPr>
              <w:t>Site Details</w:t>
            </w:r>
            <w:r>
              <w:rPr>
                <w:noProof/>
                <w:webHidden/>
              </w:rPr>
              <w:tab/>
            </w:r>
            <w:r>
              <w:rPr>
                <w:noProof/>
                <w:webHidden/>
              </w:rPr>
              <w:fldChar w:fldCharType="begin"/>
            </w:r>
            <w:r>
              <w:rPr>
                <w:noProof/>
                <w:webHidden/>
              </w:rPr>
              <w:instrText xml:space="preserve"> PAGEREF _Toc172564876 \h </w:instrText>
            </w:r>
            <w:r>
              <w:rPr>
                <w:noProof/>
                <w:webHidden/>
              </w:rPr>
            </w:r>
            <w:r>
              <w:rPr>
                <w:noProof/>
                <w:webHidden/>
              </w:rPr>
              <w:fldChar w:fldCharType="separate"/>
            </w:r>
            <w:r w:rsidR="009711A2">
              <w:rPr>
                <w:noProof/>
                <w:webHidden/>
              </w:rPr>
              <w:t>2</w:t>
            </w:r>
            <w:r>
              <w:rPr>
                <w:noProof/>
                <w:webHidden/>
              </w:rPr>
              <w:fldChar w:fldCharType="end"/>
            </w:r>
          </w:hyperlink>
        </w:p>
        <w:p w14:paraId="319976FC" w14:textId="659483E7" w:rsidR="0019654D" w:rsidRDefault="0019654D">
          <w:pPr>
            <w:pStyle w:val="TOC1"/>
            <w:tabs>
              <w:tab w:val="left" w:pos="480"/>
              <w:tab w:val="right" w:leader="dot" w:pos="9016"/>
            </w:tabs>
            <w:rPr>
              <w:rFonts w:eastAsiaTheme="minorEastAsia" w:cstheme="minorBidi"/>
              <w:noProof/>
              <w:szCs w:val="24"/>
              <w:lang w:eastAsia="en-GB" w:bidi="ar-SA"/>
            </w:rPr>
          </w:pPr>
          <w:hyperlink w:anchor="_Toc172564877" w:history="1">
            <w:r w:rsidRPr="00184978">
              <w:rPr>
                <w:rStyle w:val="Hyperlink"/>
                <w:noProof/>
              </w:rPr>
              <w:t>1.</w:t>
            </w:r>
            <w:r>
              <w:rPr>
                <w:rFonts w:eastAsiaTheme="minorEastAsia" w:cstheme="minorBidi"/>
                <w:noProof/>
                <w:szCs w:val="24"/>
                <w:lang w:eastAsia="en-GB" w:bidi="ar-SA"/>
              </w:rPr>
              <w:tab/>
            </w:r>
            <w:r w:rsidRPr="00184978">
              <w:rPr>
                <w:rStyle w:val="Hyperlink"/>
                <w:noProof/>
              </w:rPr>
              <w:t>Historical Appraisal</w:t>
            </w:r>
            <w:r>
              <w:rPr>
                <w:noProof/>
                <w:webHidden/>
              </w:rPr>
              <w:tab/>
            </w:r>
            <w:r>
              <w:rPr>
                <w:noProof/>
                <w:webHidden/>
              </w:rPr>
              <w:fldChar w:fldCharType="begin"/>
            </w:r>
            <w:r>
              <w:rPr>
                <w:noProof/>
                <w:webHidden/>
              </w:rPr>
              <w:instrText xml:space="preserve"> PAGEREF _Toc172564877 \h </w:instrText>
            </w:r>
            <w:r>
              <w:rPr>
                <w:noProof/>
                <w:webHidden/>
              </w:rPr>
            </w:r>
            <w:r>
              <w:rPr>
                <w:noProof/>
                <w:webHidden/>
              </w:rPr>
              <w:fldChar w:fldCharType="separate"/>
            </w:r>
            <w:r w:rsidR="009711A2">
              <w:rPr>
                <w:noProof/>
                <w:webHidden/>
              </w:rPr>
              <w:t>3</w:t>
            </w:r>
            <w:r>
              <w:rPr>
                <w:noProof/>
                <w:webHidden/>
              </w:rPr>
              <w:fldChar w:fldCharType="end"/>
            </w:r>
          </w:hyperlink>
        </w:p>
        <w:p w14:paraId="677661C2" w14:textId="2EE1C66B" w:rsidR="0019654D" w:rsidRDefault="0019654D">
          <w:pPr>
            <w:pStyle w:val="TOC1"/>
            <w:tabs>
              <w:tab w:val="left" w:pos="480"/>
              <w:tab w:val="right" w:leader="dot" w:pos="9016"/>
            </w:tabs>
            <w:rPr>
              <w:rFonts w:eastAsiaTheme="minorEastAsia" w:cstheme="minorBidi"/>
              <w:noProof/>
              <w:szCs w:val="24"/>
              <w:lang w:eastAsia="en-GB" w:bidi="ar-SA"/>
            </w:rPr>
          </w:pPr>
          <w:hyperlink w:anchor="_Toc172564878" w:history="1">
            <w:r w:rsidRPr="00184978">
              <w:rPr>
                <w:rStyle w:val="Hyperlink"/>
                <w:noProof/>
              </w:rPr>
              <w:t>2.</w:t>
            </w:r>
            <w:r>
              <w:rPr>
                <w:rFonts w:eastAsiaTheme="minorEastAsia" w:cstheme="minorBidi"/>
                <w:noProof/>
                <w:szCs w:val="24"/>
                <w:lang w:eastAsia="en-GB" w:bidi="ar-SA"/>
              </w:rPr>
              <w:tab/>
            </w:r>
            <w:r w:rsidRPr="00184978">
              <w:rPr>
                <w:rStyle w:val="Hyperlink"/>
                <w:noProof/>
              </w:rPr>
              <w:t>Geological Appraisal</w:t>
            </w:r>
            <w:r>
              <w:rPr>
                <w:noProof/>
                <w:webHidden/>
              </w:rPr>
              <w:tab/>
            </w:r>
            <w:r>
              <w:rPr>
                <w:noProof/>
                <w:webHidden/>
              </w:rPr>
              <w:fldChar w:fldCharType="begin"/>
            </w:r>
            <w:r>
              <w:rPr>
                <w:noProof/>
                <w:webHidden/>
              </w:rPr>
              <w:instrText xml:space="preserve"> PAGEREF _Toc172564878 \h </w:instrText>
            </w:r>
            <w:r>
              <w:rPr>
                <w:noProof/>
                <w:webHidden/>
              </w:rPr>
            </w:r>
            <w:r>
              <w:rPr>
                <w:noProof/>
                <w:webHidden/>
              </w:rPr>
              <w:fldChar w:fldCharType="separate"/>
            </w:r>
            <w:r w:rsidR="009711A2">
              <w:rPr>
                <w:noProof/>
                <w:webHidden/>
              </w:rPr>
              <w:t>7</w:t>
            </w:r>
            <w:r>
              <w:rPr>
                <w:noProof/>
                <w:webHidden/>
              </w:rPr>
              <w:fldChar w:fldCharType="end"/>
            </w:r>
          </w:hyperlink>
        </w:p>
        <w:p w14:paraId="439142DE" w14:textId="76C1667E" w:rsidR="0019654D" w:rsidRDefault="0019654D">
          <w:pPr>
            <w:pStyle w:val="TOC1"/>
            <w:tabs>
              <w:tab w:val="left" w:pos="480"/>
              <w:tab w:val="right" w:leader="dot" w:pos="9016"/>
            </w:tabs>
            <w:rPr>
              <w:rFonts w:eastAsiaTheme="minorEastAsia" w:cstheme="minorBidi"/>
              <w:noProof/>
              <w:szCs w:val="24"/>
              <w:lang w:eastAsia="en-GB" w:bidi="ar-SA"/>
            </w:rPr>
          </w:pPr>
          <w:hyperlink w:anchor="_Toc172564879" w:history="1">
            <w:r w:rsidRPr="00184978">
              <w:rPr>
                <w:rStyle w:val="Hyperlink"/>
                <w:noProof/>
              </w:rPr>
              <w:t>3.</w:t>
            </w:r>
            <w:r>
              <w:rPr>
                <w:rFonts w:eastAsiaTheme="minorEastAsia" w:cstheme="minorBidi"/>
                <w:noProof/>
                <w:szCs w:val="24"/>
                <w:lang w:eastAsia="en-GB" w:bidi="ar-SA"/>
              </w:rPr>
              <w:tab/>
            </w:r>
            <w:r w:rsidRPr="00184978">
              <w:rPr>
                <w:rStyle w:val="Hyperlink"/>
                <w:noProof/>
              </w:rPr>
              <w:t>Environmental Appraisal</w:t>
            </w:r>
            <w:r>
              <w:rPr>
                <w:noProof/>
                <w:webHidden/>
              </w:rPr>
              <w:tab/>
            </w:r>
            <w:r>
              <w:rPr>
                <w:noProof/>
                <w:webHidden/>
              </w:rPr>
              <w:fldChar w:fldCharType="begin"/>
            </w:r>
            <w:r>
              <w:rPr>
                <w:noProof/>
                <w:webHidden/>
              </w:rPr>
              <w:instrText xml:space="preserve"> PAGEREF _Toc172564879 \h </w:instrText>
            </w:r>
            <w:r>
              <w:rPr>
                <w:noProof/>
                <w:webHidden/>
              </w:rPr>
            </w:r>
            <w:r>
              <w:rPr>
                <w:noProof/>
                <w:webHidden/>
              </w:rPr>
              <w:fldChar w:fldCharType="separate"/>
            </w:r>
            <w:r w:rsidR="009711A2">
              <w:rPr>
                <w:noProof/>
                <w:webHidden/>
              </w:rPr>
              <w:t>9</w:t>
            </w:r>
            <w:r>
              <w:rPr>
                <w:noProof/>
                <w:webHidden/>
              </w:rPr>
              <w:fldChar w:fldCharType="end"/>
            </w:r>
          </w:hyperlink>
        </w:p>
        <w:p w14:paraId="36BF0E00" w14:textId="50D5A142" w:rsidR="0019654D" w:rsidRDefault="0019654D">
          <w:pPr>
            <w:pStyle w:val="TOC1"/>
            <w:tabs>
              <w:tab w:val="left" w:pos="480"/>
              <w:tab w:val="right" w:leader="dot" w:pos="9016"/>
            </w:tabs>
            <w:rPr>
              <w:rFonts w:eastAsiaTheme="minorEastAsia" w:cstheme="minorBidi"/>
              <w:noProof/>
              <w:szCs w:val="24"/>
              <w:lang w:eastAsia="en-GB" w:bidi="ar-SA"/>
            </w:rPr>
          </w:pPr>
          <w:hyperlink w:anchor="_Toc172564880" w:history="1">
            <w:r w:rsidRPr="00184978">
              <w:rPr>
                <w:rStyle w:val="Hyperlink"/>
                <w:noProof/>
              </w:rPr>
              <w:t>4.</w:t>
            </w:r>
            <w:r>
              <w:rPr>
                <w:rFonts w:eastAsiaTheme="minorEastAsia" w:cstheme="minorBidi"/>
                <w:noProof/>
                <w:szCs w:val="24"/>
                <w:lang w:eastAsia="en-GB" w:bidi="ar-SA"/>
              </w:rPr>
              <w:tab/>
            </w:r>
            <w:r w:rsidRPr="00184978">
              <w:rPr>
                <w:rStyle w:val="Hyperlink"/>
                <w:noProof/>
              </w:rPr>
              <w:t>Archaeology Appraisal</w:t>
            </w:r>
            <w:r>
              <w:rPr>
                <w:noProof/>
                <w:webHidden/>
              </w:rPr>
              <w:tab/>
            </w:r>
            <w:r>
              <w:rPr>
                <w:noProof/>
                <w:webHidden/>
              </w:rPr>
              <w:fldChar w:fldCharType="begin"/>
            </w:r>
            <w:r>
              <w:rPr>
                <w:noProof/>
                <w:webHidden/>
              </w:rPr>
              <w:instrText xml:space="preserve"> PAGEREF _Toc172564880 \h </w:instrText>
            </w:r>
            <w:r>
              <w:rPr>
                <w:noProof/>
                <w:webHidden/>
              </w:rPr>
            </w:r>
            <w:r>
              <w:rPr>
                <w:noProof/>
                <w:webHidden/>
              </w:rPr>
              <w:fldChar w:fldCharType="separate"/>
            </w:r>
            <w:r w:rsidR="009711A2">
              <w:rPr>
                <w:noProof/>
                <w:webHidden/>
              </w:rPr>
              <w:t>10</w:t>
            </w:r>
            <w:r>
              <w:rPr>
                <w:noProof/>
                <w:webHidden/>
              </w:rPr>
              <w:fldChar w:fldCharType="end"/>
            </w:r>
          </w:hyperlink>
        </w:p>
        <w:p w14:paraId="5A88D730" w14:textId="207FBC53" w:rsidR="0019654D" w:rsidRDefault="0019654D">
          <w:pPr>
            <w:pStyle w:val="TOC1"/>
            <w:tabs>
              <w:tab w:val="left" w:pos="480"/>
              <w:tab w:val="right" w:leader="dot" w:pos="9016"/>
            </w:tabs>
            <w:rPr>
              <w:rFonts w:eastAsiaTheme="minorEastAsia" w:cstheme="minorBidi"/>
              <w:noProof/>
              <w:szCs w:val="24"/>
              <w:lang w:eastAsia="en-GB" w:bidi="ar-SA"/>
            </w:rPr>
          </w:pPr>
          <w:hyperlink w:anchor="_Toc172564881" w:history="1">
            <w:r w:rsidRPr="00184978">
              <w:rPr>
                <w:rStyle w:val="Hyperlink"/>
                <w:noProof/>
              </w:rPr>
              <w:t>5.</w:t>
            </w:r>
            <w:r>
              <w:rPr>
                <w:rFonts w:eastAsiaTheme="minorEastAsia" w:cstheme="minorBidi"/>
                <w:noProof/>
                <w:szCs w:val="24"/>
                <w:lang w:eastAsia="en-GB" w:bidi="ar-SA"/>
              </w:rPr>
              <w:tab/>
            </w:r>
            <w:r w:rsidRPr="00184978">
              <w:rPr>
                <w:rStyle w:val="Hyperlink"/>
                <w:noProof/>
              </w:rPr>
              <w:t>Conceptual Ground Model</w:t>
            </w:r>
            <w:r>
              <w:rPr>
                <w:noProof/>
                <w:webHidden/>
              </w:rPr>
              <w:tab/>
            </w:r>
            <w:r>
              <w:rPr>
                <w:noProof/>
                <w:webHidden/>
              </w:rPr>
              <w:fldChar w:fldCharType="begin"/>
            </w:r>
            <w:r>
              <w:rPr>
                <w:noProof/>
                <w:webHidden/>
              </w:rPr>
              <w:instrText xml:space="preserve"> PAGEREF _Toc172564881 \h </w:instrText>
            </w:r>
            <w:r>
              <w:rPr>
                <w:noProof/>
                <w:webHidden/>
              </w:rPr>
            </w:r>
            <w:r>
              <w:rPr>
                <w:noProof/>
                <w:webHidden/>
              </w:rPr>
              <w:fldChar w:fldCharType="separate"/>
            </w:r>
            <w:r w:rsidR="009711A2">
              <w:rPr>
                <w:noProof/>
                <w:webHidden/>
              </w:rPr>
              <w:t>10</w:t>
            </w:r>
            <w:r>
              <w:rPr>
                <w:noProof/>
                <w:webHidden/>
              </w:rPr>
              <w:fldChar w:fldCharType="end"/>
            </w:r>
          </w:hyperlink>
        </w:p>
        <w:p w14:paraId="4EB42753" w14:textId="47DC5F23" w:rsidR="0019654D" w:rsidRDefault="0019654D">
          <w:pPr>
            <w:pStyle w:val="TOC1"/>
            <w:tabs>
              <w:tab w:val="left" w:pos="480"/>
              <w:tab w:val="right" w:leader="dot" w:pos="9016"/>
            </w:tabs>
            <w:rPr>
              <w:rFonts w:eastAsiaTheme="minorEastAsia" w:cstheme="minorBidi"/>
              <w:noProof/>
              <w:szCs w:val="24"/>
              <w:lang w:eastAsia="en-GB" w:bidi="ar-SA"/>
            </w:rPr>
          </w:pPr>
          <w:hyperlink w:anchor="_Toc172564882" w:history="1">
            <w:r w:rsidRPr="00184978">
              <w:rPr>
                <w:rStyle w:val="Hyperlink"/>
                <w:noProof/>
              </w:rPr>
              <w:t>6.</w:t>
            </w:r>
            <w:r>
              <w:rPr>
                <w:rFonts w:eastAsiaTheme="minorEastAsia" w:cstheme="minorBidi"/>
                <w:noProof/>
                <w:szCs w:val="24"/>
                <w:lang w:eastAsia="en-GB" w:bidi="ar-SA"/>
              </w:rPr>
              <w:tab/>
            </w:r>
            <w:r w:rsidRPr="00184978">
              <w:rPr>
                <w:rStyle w:val="Hyperlink"/>
                <w:noProof/>
              </w:rPr>
              <w:t>Site Investigation</w:t>
            </w:r>
            <w:r>
              <w:rPr>
                <w:noProof/>
                <w:webHidden/>
              </w:rPr>
              <w:tab/>
            </w:r>
            <w:r>
              <w:rPr>
                <w:noProof/>
                <w:webHidden/>
              </w:rPr>
              <w:fldChar w:fldCharType="begin"/>
            </w:r>
            <w:r>
              <w:rPr>
                <w:noProof/>
                <w:webHidden/>
              </w:rPr>
              <w:instrText xml:space="preserve"> PAGEREF _Toc172564882 \h </w:instrText>
            </w:r>
            <w:r>
              <w:rPr>
                <w:noProof/>
                <w:webHidden/>
              </w:rPr>
            </w:r>
            <w:r>
              <w:rPr>
                <w:noProof/>
                <w:webHidden/>
              </w:rPr>
              <w:fldChar w:fldCharType="separate"/>
            </w:r>
            <w:r w:rsidR="009711A2">
              <w:rPr>
                <w:noProof/>
                <w:webHidden/>
              </w:rPr>
              <w:t>10</w:t>
            </w:r>
            <w:r>
              <w:rPr>
                <w:noProof/>
                <w:webHidden/>
              </w:rPr>
              <w:fldChar w:fldCharType="end"/>
            </w:r>
          </w:hyperlink>
        </w:p>
        <w:p w14:paraId="705581A7" w14:textId="21C44D5C" w:rsidR="0019654D" w:rsidRDefault="0019654D">
          <w:pPr>
            <w:pStyle w:val="TOC1"/>
            <w:tabs>
              <w:tab w:val="left" w:pos="480"/>
              <w:tab w:val="right" w:leader="dot" w:pos="9016"/>
            </w:tabs>
            <w:rPr>
              <w:rFonts w:eastAsiaTheme="minorEastAsia" w:cstheme="minorBidi"/>
              <w:noProof/>
              <w:szCs w:val="24"/>
              <w:lang w:eastAsia="en-GB" w:bidi="ar-SA"/>
            </w:rPr>
          </w:pPr>
          <w:hyperlink w:anchor="_Toc172564883" w:history="1">
            <w:r w:rsidRPr="00184978">
              <w:rPr>
                <w:rStyle w:val="Hyperlink"/>
                <w:noProof/>
              </w:rPr>
              <w:t>B.</w:t>
            </w:r>
            <w:r>
              <w:rPr>
                <w:rFonts w:eastAsiaTheme="minorEastAsia" w:cstheme="minorBidi"/>
                <w:noProof/>
                <w:szCs w:val="24"/>
                <w:lang w:eastAsia="en-GB" w:bidi="ar-SA"/>
              </w:rPr>
              <w:tab/>
            </w:r>
            <w:r w:rsidRPr="00184978">
              <w:rPr>
                <w:rStyle w:val="Hyperlink"/>
                <w:noProof/>
              </w:rPr>
              <w:t>Foundation Design</w:t>
            </w:r>
            <w:r>
              <w:rPr>
                <w:noProof/>
                <w:webHidden/>
              </w:rPr>
              <w:tab/>
            </w:r>
            <w:r>
              <w:rPr>
                <w:noProof/>
                <w:webHidden/>
              </w:rPr>
              <w:fldChar w:fldCharType="begin"/>
            </w:r>
            <w:r>
              <w:rPr>
                <w:noProof/>
                <w:webHidden/>
              </w:rPr>
              <w:instrText xml:space="preserve"> PAGEREF _Toc172564883 \h </w:instrText>
            </w:r>
            <w:r>
              <w:rPr>
                <w:noProof/>
                <w:webHidden/>
              </w:rPr>
            </w:r>
            <w:r>
              <w:rPr>
                <w:noProof/>
                <w:webHidden/>
              </w:rPr>
              <w:fldChar w:fldCharType="separate"/>
            </w:r>
            <w:r w:rsidR="009711A2">
              <w:rPr>
                <w:noProof/>
                <w:webHidden/>
              </w:rPr>
              <w:t>10</w:t>
            </w:r>
            <w:r>
              <w:rPr>
                <w:noProof/>
                <w:webHidden/>
              </w:rPr>
              <w:fldChar w:fldCharType="end"/>
            </w:r>
          </w:hyperlink>
        </w:p>
        <w:p w14:paraId="1B5BD017" w14:textId="48EA1F4A" w:rsidR="0019654D" w:rsidRDefault="0019654D">
          <w:pPr>
            <w:pStyle w:val="TOC1"/>
            <w:tabs>
              <w:tab w:val="right" w:leader="dot" w:pos="9016"/>
            </w:tabs>
            <w:rPr>
              <w:rFonts w:eastAsiaTheme="minorEastAsia" w:cstheme="minorBidi"/>
              <w:noProof/>
              <w:szCs w:val="24"/>
              <w:lang w:eastAsia="en-GB" w:bidi="ar-SA"/>
            </w:rPr>
          </w:pPr>
          <w:hyperlink w:anchor="_Toc172564884" w:history="1">
            <w:r w:rsidRPr="00184978">
              <w:rPr>
                <w:rStyle w:val="Hyperlink"/>
                <w:noProof/>
              </w:rPr>
              <w:t>Reference list</w:t>
            </w:r>
            <w:r>
              <w:rPr>
                <w:noProof/>
                <w:webHidden/>
              </w:rPr>
              <w:tab/>
            </w:r>
            <w:r>
              <w:rPr>
                <w:noProof/>
                <w:webHidden/>
              </w:rPr>
              <w:fldChar w:fldCharType="begin"/>
            </w:r>
            <w:r>
              <w:rPr>
                <w:noProof/>
                <w:webHidden/>
              </w:rPr>
              <w:instrText xml:space="preserve"> PAGEREF _Toc172564884 \h </w:instrText>
            </w:r>
            <w:r>
              <w:rPr>
                <w:noProof/>
                <w:webHidden/>
              </w:rPr>
            </w:r>
            <w:r>
              <w:rPr>
                <w:noProof/>
                <w:webHidden/>
              </w:rPr>
              <w:fldChar w:fldCharType="separate"/>
            </w:r>
            <w:r w:rsidR="009711A2">
              <w:rPr>
                <w:noProof/>
                <w:webHidden/>
              </w:rPr>
              <w:t>13</w:t>
            </w:r>
            <w:r>
              <w:rPr>
                <w:noProof/>
                <w:webHidden/>
              </w:rPr>
              <w:fldChar w:fldCharType="end"/>
            </w:r>
          </w:hyperlink>
        </w:p>
        <w:p w14:paraId="1C1C677E" w14:textId="2C4AD5E7" w:rsidR="009F0D0C" w:rsidRDefault="009F0D0C">
          <w:r>
            <w:rPr>
              <w:b/>
              <w:bCs/>
              <w:noProof/>
            </w:rPr>
            <w:fldChar w:fldCharType="end"/>
          </w:r>
        </w:p>
      </w:sdtContent>
    </w:sdt>
    <w:p w14:paraId="5DA9192B" w14:textId="1E958B78" w:rsidR="003164E5" w:rsidRDefault="00340B1D" w:rsidP="00340B1D">
      <w:pPr>
        <w:pStyle w:val="Heading1"/>
      </w:pPr>
      <w:bookmarkStart w:id="0" w:name="_Toc172564874"/>
      <w:r>
        <w:t>Figure list</w:t>
      </w:r>
      <w:bookmarkEnd w:id="0"/>
    </w:p>
    <w:p w14:paraId="673EB821" w14:textId="1CB09F85" w:rsidR="00340B1D" w:rsidRDefault="00B54B1D" w:rsidP="00B54B1D">
      <w:pPr>
        <w:pStyle w:val="ListParagraph"/>
        <w:numPr>
          <w:ilvl w:val="0"/>
          <w:numId w:val="8"/>
        </w:numPr>
      </w:pPr>
      <w:r>
        <w:t>SA1 Swansea Waterfront</w:t>
      </w:r>
    </w:p>
    <w:p w14:paraId="466F343F" w14:textId="044916B6" w:rsidR="00674425" w:rsidRDefault="00674425" w:rsidP="00B54B1D">
      <w:pPr>
        <w:pStyle w:val="ListParagraph"/>
        <w:numPr>
          <w:ilvl w:val="0"/>
          <w:numId w:val="8"/>
        </w:numPr>
      </w:pPr>
      <w:r>
        <w:t xml:space="preserve">Victorians Prince of </w:t>
      </w:r>
      <w:r w:rsidR="008706A5">
        <w:t>Wales</w:t>
      </w:r>
      <w:r>
        <w:t xml:space="preserve"> Dock in Progress</w:t>
      </w:r>
      <w:r w:rsidR="008706A5">
        <w:t xml:space="preserve"> (1880)</w:t>
      </w:r>
    </w:p>
    <w:p w14:paraId="0A7A20E5" w14:textId="4C7B9B35" w:rsidR="00674425" w:rsidRDefault="00DC1444" w:rsidP="00B54B1D">
      <w:pPr>
        <w:pStyle w:val="ListParagraph"/>
        <w:numPr>
          <w:ilvl w:val="0"/>
          <w:numId w:val="8"/>
        </w:numPr>
      </w:pPr>
      <w:r>
        <w:t>Ordinance</w:t>
      </w:r>
      <w:r w:rsidR="00674425">
        <w:t xml:space="preserve"> </w:t>
      </w:r>
      <w:r>
        <w:t xml:space="preserve">Survey Plan 21/6792 NW (1949) </w:t>
      </w:r>
    </w:p>
    <w:p w14:paraId="7B52DB5A" w14:textId="519F8329" w:rsidR="00DC1444" w:rsidRDefault="00F37DC4" w:rsidP="00B54B1D">
      <w:pPr>
        <w:pStyle w:val="ListParagraph"/>
        <w:numPr>
          <w:ilvl w:val="0"/>
          <w:numId w:val="8"/>
        </w:numPr>
      </w:pPr>
      <w:r>
        <w:t>Swansea Docks (1969)</w:t>
      </w:r>
    </w:p>
    <w:p w14:paraId="5961E2D9" w14:textId="039EBEF7" w:rsidR="00F37DC4" w:rsidRPr="00340B1D" w:rsidRDefault="00203785" w:rsidP="00B54B1D">
      <w:pPr>
        <w:pStyle w:val="ListParagraph"/>
        <w:numPr>
          <w:ilvl w:val="0"/>
          <w:numId w:val="8"/>
        </w:numPr>
      </w:pPr>
      <w:r>
        <w:t xml:space="preserve">British </w:t>
      </w:r>
      <w:r w:rsidR="00F94B29">
        <w:t>G</w:t>
      </w:r>
      <w:r>
        <w:t xml:space="preserve">eological </w:t>
      </w:r>
      <w:r w:rsidR="00F94B29">
        <w:t>S</w:t>
      </w:r>
      <w:r>
        <w:t>urvey Borehole record map (Swansea Dock)</w:t>
      </w:r>
    </w:p>
    <w:p w14:paraId="0930A55D" w14:textId="77777777" w:rsidR="001231DD" w:rsidRDefault="001231DD" w:rsidP="00B14587">
      <w:pPr>
        <w:jc w:val="both"/>
        <w:rPr>
          <w:b/>
          <w:bCs/>
          <w:u w:val="single"/>
        </w:rPr>
      </w:pPr>
    </w:p>
    <w:p w14:paraId="0E874B27" w14:textId="77777777" w:rsidR="001231DD" w:rsidRDefault="001231DD" w:rsidP="00B14587">
      <w:pPr>
        <w:jc w:val="both"/>
        <w:rPr>
          <w:b/>
          <w:bCs/>
          <w:u w:val="single"/>
        </w:rPr>
      </w:pPr>
    </w:p>
    <w:p w14:paraId="16A2EE0A" w14:textId="77777777" w:rsidR="001231DD" w:rsidRDefault="001231DD" w:rsidP="00B14587">
      <w:pPr>
        <w:jc w:val="both"/>
        <w:rPr>
          <w:b/>
          <w:bCs/>
          <w:u w:val="single"/>
        </w:rPr>
      </w:pPr>
    </w:p>
    <w:p w14:paraId="538CECD4" w14:textId="77777777" w:rsidR="001231DD" w:rsidRDefault="001231DD" w:rsidP="00B14587">
      <w:pPr>
        <w:jc w:val="both"/>
        <w:rPr>
          <w:b/>
          <w:bCs/>
          <w:u w:val="single"/>
        </w:rPr>
      </w:pPr>
    </w:p>
    <w:p w14:paraId="2D9D9044" w14:textId="77777777" w:rsidR="001231DD" w:rsidRDefault="001231DD" w:rsidP="00B14587">
      <w:pPr>
        <w:jc w:val="both"/>
        <w:rPr>
          <w:b/>
          <w:bCs/>
          <w:u w:val="single"/>
        </w:rPr>
      </w:pPr>
    </w:p>
    <w:p w14:paraId="48C6AFB7" w14:textId="77777777" w:rsidR="001231DD" w:rsidRDefault="001231DD" w:rsidP="00B14587">
      <w:pPr>
        <w:jc w:val="both"/>
        <w:rPr>
          <w:b/>
          <w:bCs/>
          <w:u w:val="single"/>
        </w:rPr>
      </w:pPr>
    </w:p>
    <w:p w14:paraId="1BEC4EF5" w14:textId="77777777" w:rsidR="001231DD" w:rsidRDefault="001231DD" w:rsidP="00B14587">
      <w:pPr>
        <w:jc w:val="both"/>
        <w:rPr>
          <w:b/>
          <w:bCs/>
          <w:u w:val="single"/>
        </w:rPr>
      </w:pPr>
    </w:p>
    <w:p w14:paraId="529424F6" w14:textId="77777777" w:rsidR="001231DD" w:rsidRDefault="001231DD" w:rsidP="00B14587">
      <w:pPr>
        <w:jc w:val="both"/>
        <w:rPr>
          <w:b/>
          <w:bCs/>
          <w:u w:val="single"/>
        </w:rPr>
      </w:pPr>
    </w:p>
    <w:p w14:paraId="644536FB" w14:textId="77777777" w:rsidR="001231DD" w:rsidRDefault="001231DD" w:rsidP="00B14587">
      <w:pPr>
        <w:jc w:val="both"/>
        <w:rPr>
          <w:b/>
          <w:bCs/>
          <w:u w:val="single"/>
        </w:rPr>
      </w:pPr>
    </w:p>
    <w:p w14:paraId="099B9A4E" w14:textId="67CC1CA4" w:rsidR="001231DD" w:rsidRDefault="001231DD" w:rsidP="00B14587">
      <w:pPr>
        <w:jc w:val="both"/>
        <w:rPr>
          <w:b/>
          <w:bCs/>
          <w:u w:val="single"/>
        </w:rPr>
      </w:pPr>
    </w:p>
    <w:p w14:paraId="4849AF4B" w14:textId="77777777" w:rsidR="001231DD" w:rsidRDefault="001231DD" w:rsidP="00B14587">
      <w:pPr>
        <w:jc w:val="both"/>
        <w:rPr>
          <w:b/>
          <w:bCs/>
          <w:u w:val="single"/>
        </w:rPr>
      </w:pPr>
    </w:p>
    <w:p w14:paraId="6585937B" w14:textId="77777777" w:rsidR="001231DD" w:rsidRDefault="001231DD" w:rsidP="00B14587">
      <w:pPr>
        <w:jc w:val="both"/>
        <w:rPr>
          <w:b/>
          <w:bCs/>
          <w:u w:val="single"/>
        </w:rPr>
      </w:pPr>
    </w:p>
    <w:p w14:paraId="7C9772A1" w14:textId="77777777" w:rsidR="001231DD" w:rsidRDefault="001231DD" w:rsidP="0033632B">
      <w:pPr>
        <w:jc w:val="both"/>
        <w:rPr>
          <w:b/>
          <w:bCs/>
          <w:u w:val="single"/>
        </w:rPr>
      </w:pPr>
    </w:p>
    <w:p w14:paraId="5271B62D" w14:textId="77777777" w:rsidR="001231DD" w:rsidRDefault="001231DD" w:rsidP="0033632B">
      <w:pPr>
        <w:jc w:val="both"/>
        <w:rPr>
          <w:b/>
          <w:bCs/>
          <w:u w:val="single"/>
        </w:rPr>
      </w:pPr>
    </w:p>
    <w:p w14:paraId="1E3B89E5" w14:textId="77777777" w:rsidR="001231DD" w:rsidRDefault="001231DD" w:rsidP="0033632B">
      <w:pPr>
        <w:jc w:val="both"/>
        <w:rPr>
          <w:b/>
          <w:bCs/>
          <w:u w:val="single"/>
        </w:rPr>
      </w:pPr>
    </w:p>
    <w:p w14:paraId="6DECE2A2" w14:textId="77777777" w:rsidR="001231DD" w:rsidRDefault="001231DD" w:rsidP="0033632B">
      <w:pPr>
        <w:jc w:val="both"/>
        <w:rPr>
          <w:b/>
          <w:bCs/>
          <w:u w:val="single"/>
        </w:rPr>
      </w:pPr>
    </w:p>
    <w:p w14:paraId="769FA634" w14:textId="77777777" w:rsidR="001231DD" w:rsidRDefault="001231DD" w:rsidP="0033632B">
      <w:pPr>
        <w:jc w:val="both"/>
        <w:rPr>
          <w:b/>
          <w:bCs/>
          <w:u w:val="single"/>
        </w:rPr>
      </w:pPr>
    </w:p>
    <w:p w14:paraId="732FC3FC" w14:textId="77777777" w:rsidR="001231DD" w:rsidRDefault="001231DD" w:rsidP="0033632B">
      <w:pPr>
        <w:jc w:val="both"/>
        <w:rPr>
          <w:b/>
          <w:bCs/>
          <w:u w:val="single"/>
        </w:rPr>
      </w:pPr>
    </w:p>
    <w:p w14:paraId="19008D59" w14:textId="77777777" w:rsidR="001231DD" w:rsidRDefault="001231DD" w:rsidP="0033632B">
      <w:pPr>
        <w:jc w:val="both"/>
        <w:rPr>
          <w:b/>
          <w:bCs/>
          <w:u w:val="single"/>
        </w:rPr>
      </w:pPr>
    </w:p>
    <w:p w14:paraId="68CEC0FB" w14:textId="77777777" w:rsidR="001231DD" w:rsidRDefault="001231DD" w:rsidP="0033632B">
      <w:pPr>
        <w:jc w:val="both"/>
        <w:rPr>
          <w:b/>
          <w:bCs/>
          <w:u w:val="single"/>
        </w:rPr>
      </w:pPr>
    </w:p>
    <w:p w14:paraId="03A784EF" w14:textId="77777777" w:rsidR="001231DD" w:rsidRDefault="001231DD" w:rsidP="0033632B">
      <w:pPr>
        <w:jc w:val="both"/>
        <w:rPr>
          <w:b/>
          <w:bCs/>
          <w:u w:val="single"/>
        </w:rPr>
      </w:pPr>
    </w:p>
    <w:p w14:paraId="7ED57CD1" w14:textId="77777777" w:rsidR="001231DD" w:rsidRDefault="001231DD" w:rsidP="0033632B">
      <w:pPr>
        <w:jc w:val="both"/>
        <w:rPr>
          <w:b/>
          <w:bCs/>
          <w:u w:val="single"/>
        </w:rPr>
      </w:pPr>
    </w:p>
    <w:p w14:paraId="14177DDE" w14:textId="77777777" w:rsidR="001231DD" w:rsidRDefault="001231DD" w:rsidP="0033632B">
      <w:pPr>
        <w:jc w:val="both"/>
        <w:rPr>
          <w:b/>
          <w:bCs/>
          <w:u w:val="single"/>
        </w:rPr>
      </w:pPr>
    </w:p>
    <w:p w14:paraId="006E4CF0" w14:textId="77777777" w:rsidR="001231DD" w:rsidRDefault="001231DD" w:rsidP="0033632B">
      <w:pPr>
        <w:jc w:val="both"/>
        <w:rPr>
          <w:b/>
          <w:bCs/>
          <w:u w:val="single"/>
        </w:rPr>
      </w:pPr>
    </w:p>
    <w:p w14:paraId="470ED641" w14:textId="5B22CD0C" w:rsidR="00693093" w:rsidRPr="00693093" w:rsidRDefault="00B14587" w:rsidP="0033632B">
      <w:pPr>
        <w:pStyle w:val="Heading1"/>
        <w:numPr>
          <w:ilvl w:val="0"/>
          <w:numId w:val="5"/>
        </w:numPr>
        <w:jc w:val="both"/>
      </w:pPr>
      <w:bookmarkStart w:id="1" w:name="_Toc172564875"/>
      <w:r>
        <w:t>Site Investigation</w:t>
      </w:r>
      <w:bookmarkEnd w:id="1"/>
    </w:p>
    <w:p w14:paraId="5AED650D" w14:textId="403DEA3E" w:rsidR="00B14587" w:rsidRDefault="00B14587" w:rsidP="0033632B">
      <w:pPr>
        <w:pStyle w:val="Heading1"/>
        <w:numPr>
          <w:ilvl w:val="0"/>
          <w:numId w:val="6"/>
        </w:numPr>
        <w:jc w:val="both"/>
      </w:pPr>
      <w:bookmarkStart w:id="2" w:name="_Toc172564876"/>
      <w:r>
        <w:t>Site Details</w:t>
      </w:r>
      <w:bookmarkEnd w:id="2"/>
    </w:p>
    <w:p w14:paraId="604A807B" w14:textId="77777777" w:rsidR="00B14587" w:rsidRDefault="00B14587" w:rsidP="0033632B">
      <w:pPr>
        <w:pStyle w:val="ListParagraph"/>
        <w:jc w:val="both"/>
      </w:pPr>
    </w:p>
    <w:p w14:paraId="280A6753" w14:textId="702EF3A9" w:rsidR="00B14587" w:rsidRDefault="00B14587" w:rsidP="0033632B">
      <w:pPr>
        <w:jc w:val="both"/>
      </w:pPr>
      <w:r>
        <w:t xml:space="preserve">The site of the proposed development of a three-storey University classroom and lecture hall structure (‘the Site’) </w:t>
      </w:r>
      <w:r w:rsidR="007861B3">
        <w:t>lies</w:t>
      </w:r>
      <w:r>
        <w:t xml:space="preserve"> on the south side of the disused Prince of Wales Dock </w:t>
      </w:r>
      <w:r w:rsidR="007861B3">
        <w:t xml:space="preserve">near </w:t>
      </w:r>
      <w:r>
        <w:t>to the mouth of the River Tawe in Swansea, on ground cleared for redevelopment.</w:t>
      </w:r>
      <w:r>
        <w:rPr>
          <w:rStyle w:val="FootnoteReference"/>
        </w:rPr>
        <w:footnoteReference w:id="2"/>
      </w:r>
      <w:r>
        <w:t xml:space="preserve">  The Site is within the SA1 Swansea Waterfront brownfield development area in the northern part of Swansea Docks.  It is designated as plot E9.  It is </w:t>
      </w:r>
      <w:r w:rsidR="007861B3">
        <w:t>near</w:t>
      </w:r>
      <w:r>
        <w:t xml:space="preserve"> to plots E8, E7, and E6 which will eventually complete the ring of redevelopment around the Prince of Wales Dock.</w:t>
      </w:r>
    </w:p>
    <w:p w14:paraId="770E275D" w14:textId="77777777" w:rsidR="006D016E" w:rsidRDefault="006D016E" w:rsidP="0033632B">
      <w:pPr>
        <w:jc w:val="both"/>
      </w:pPr>
    </w:p>
    <w:p w14:paraId="77D627D8" w14:textId="77777777" w:rsidR="006D016E" w:rsidRDefault="006D016E" w:rsidP="0033632B">
      <w:pPr>
        <w:pStyle w:val="ListParagraph"/>
        <w:jc w:val="both"/>
        <w:rPr>
          <w:noProof/>
          <w:bdr w:val="single" w:sz="18" w:space="0" w:color="auto"/>
        </w:rPr>
      </w:pPr>
    </w:p>
    <w:p w14:paraId="0B86E1F9" w14:textId="5E477EBE" w:rsidR="00906A6B" w:rsidRDefault="00906A6B" w:rsidP="0033632B">
      <w:pPr>
        <w:pStyle w:val="ListParagraph"/>
        <w:jc w:val="both"/>
      </w:pPr>
      <w:r w:rsidRPr="00D1640F">
        <w:rPr>
          <w:noProof/>
          <w:bdr w:val="single" w:sz="18" w:space="0" w:color="auto"/>
        </w:rPr>
        <w:drawing>
          <wp:inline distT="0" distB="0" distL="0" distR="0" wp14:anchorId="3DF1DA71" wp14:editId="14275872">
            <wp:extent cx="5173980" cy="3505200"/>
            <wp:effectExtent l="0" t="0" r="762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990" t="8408" r="5725" b="3679"/>
                    <a:stretch/>
                  </pic:blipFill>
                  <pic:spPr bwMode="auto">
                    <a:xfrm>
                      <a:off x="0" y="0"/>
                      <a:ext cx="5174720" cy="3505701"/>
                    </a:xfrm>
                    <a:prstGeom prst="rect">
                      <a:avLst/>
                    </a:prstGeom>
                    <a:noFill/>
                    <a:ln>
                      <a:noFill/>
                    </a:ln>
                    <a:extLst>
                      <a:ext uri="{53640926-AAD7-44D8-BBD7-CCE9431645EC}">
                        <a14:shadowObscured xmlns:a14="http://schemas.microsoft.com/office/drawing/2010/main"/>
                      </a:ext>
                    </a:extLst>
                  </pic:spPr>
                </pic:pic>
              </a:graphicData>
            </a:graphic>
          </wp:inline>
        </w:drawing>
      </w:r>
      <w:r w:rsidR="006D016E">
        <w:t>Fig.1</w:t>
      </w:r>
    </w:p>
    <w:p w14:paraId="322A90A7" w14:textId="77777777" w:rsidR="00B14587" w:rsidRDefault="00B14587" w:rsidP="0033632B">
      <w:pPr>
        <w:pStyle w:val="ListParagraph"/>
        <w:jc w:val="both"/>
      </w:pPr>
    </w:p>
    <w:p w14:paraId="25FC24AC" w14:textId="77777777" w:rsidR="00B14587" w:rsidRDefault="00B14587" w:rsidP="0033632B">
      <w:pPr>
        <w:jc w:val="both"/>
      </w:pPr>
      <w:r>
        <w:t xml:space="preserve">The Site is flanked to the west by a disused swing bridge over a channel connecting the Dock with the larger King’s Dock to the south.  Planning permission was granted in May 2024 for the bridge’s removal and the filling in of the channel, to enable the connection of King’s Road on the west side to a proposed Marina Road on the east, to facilitate the </w:t>
      </w:r>
      <w:r>
        <w:lastRenderedPageBreak/>
        <w:t>redevelopment of the dockyard area which began some five decades ago.</w:t>
      </w:r>
      <w:r>
        <w:rPr>
          <w:rStyle w:val="FootnoteReference"/>
        </w:rPr>
        <w:footnoteReference w:id="3"/>
      </w:r>
      <w:r>
        <w:t xml:space="preserve">  A drawing forming part of the planning application depicts the road continuing east along the edge of the Dock, separated by a pedestrian walkway, and for a 170-space parking lot to be established immediately to the right of the filled-in channel, in Lot F, for which permission was granted in March 2018.</w:t>
      </w:r>
      <w:r>
        <w:rPr>
          <w:rStyle w:val="FootnoteReference"/>
        </w:rPr>
        <w:footnoteReference w:id="4"/>
      </w:r>
      <w:r>
        <w:t xml:space="preserve">  Further west along the south side of the Dock is a three to six-storey block of 80 flats of recent construction.</w:t>
      </w:r>
      <w:r>
        <w:rPr>
          <w:rStyle w:val="FootnoteReference"/>
        </w:rPr>
        <w:footnoteReference w:id="5"/>
      </w:r>
      <w:r>
        <w:t xml:space="preserve">  </w:t>
      </w:r>
    </w:p>
    <w:p w14:paraId="55179155" w14:textId="77777777" w:rsidR="00B14587" w:rsidRDefault="00B14587" w:rsidP="0033632B">
      <w:pPr>
        <w:pStyle w:val="ListParagraph"/>
        <w:jc w:val="both"/>
      </w:pPr>
    </w:p>
    <w:p w14:paraId="042F4239" w14:textId="61821798" w:rsidR="00B14587" w:rsidRDefault="00B14587" w:rsidP="0033632B">
      <w:pPr>
        <w:jc w:val="both"/>
      </w:pPr>
      <w:r>
        <w:t xml:space="preserve">The Site is located immediately to the east of the parking lot.  There is planning permission for a mixed use development of </w:t>
      </w:r>
      <w:r w:rsidR="00E32443">
        <w:t>near</w:t>
      </w:r>
      <w:r>
        <w:t xml:space="preserve"> plots further to the east, E7 and E8, which is currently the subject of a revised application contemplating the creation of 108 residential units </w:t>
      </w:r>
      <w:r w:rsidR="00CA612B">
        <w:t>near</w:t>
      </w:r>
      <w:r>
        <w:t xml:space="preserve"> to the old terminus of the Tennant Canal.</w:t>
      </w:r>
      <w:r>
        <w:rPr>
          <w:rStyle w:val="FootnoteReference"/>
        </w:rPr>
        <w:footnoteReference w:id="6"/>
      </w:r>
      <w:r>
        <w:t xml:space="preserve">  Continuing further to the east and south is the Associated British Ports dockyard lands, totalling 521 acres, handling over 520,000 tonnes of cargo per year, capable of handling vessels of up to 30,000 dwt and offering berths and facilities for most types of cargo.</w:t>
      </w:r>
    </w:p>
    <w:p w14:paraId="240C3E1B" w14:textId="77777777" w:rsidR="00B14587" w:rsidRDefault="00B14587" w:rsidP="0033632B">
      <w:pPr>
        <w:pStyle w:val="ListParagraph"/>
        <w:jc w:val="both"/>
      </w:pPr>
    </w:p>
    <w:p w14:paraId="04B74A89" w14:textId="77777777" w:rsidR="00B14587" w:rsidRPr="00A35417" w:rsidRDefault="00B14587" w:rsidP="0033632B">
      <w:pPr>
        <w:jc w:val="both"/>
        <w:rPr>
          <w:b/>
          <w:bCs/>
        </w:rPr>
      </w:pPr>
      <w:r>
        <w:t>A site visit carried out for the purpose of this report provided little further information.  The Site is fenced off and is generally covered in gravel and self-seeded vegetation.  No structures were visible.</w:t>
      </w:r>
    </w:p>
    <w:p w14:paraId="06B30A24" w14:textId="77777777" w:rsidR="00B14587" w:rsidRDefault="00B14587" w:rsidP="0033632B">
      <w:pPr>
        <w:pStyle w:val="ListParagraph"/>
        <w:jc w:val="both"/>
      </w:pPr>
    </w:p>
    <w:p w14:paraId="1D98CC8A" w14:textId="57BEE0E6" w:rsidR="00B14587" w:rsidRDefault="00B14587" w:rsidP="0033632B">
      <w:pPr>
        <w:pStyle w:val="Heading1"/>
        <w:numPr>
          <w:ilvl w:val="0"/>
          <w:numId w:val="7"/>
        </w:numPr>
        <w:jc w:val="both"/>
      </w:pPr>
      <w:bookmarkStart w:id="3" w:name="_Toc172564877"/>
      <w:r>
        <w:t>Historical Appraisal</w:t>
      </w:r>
      <w:bookmarkEnd w:id="3"/>
    </w:p>
    <w:p w14:paraId="09EB8C39" w14:textId="77777777" w:rsidR="00B14587" w:rsidRDefault="00B14587" w:rsidP="0033632B">
      <w:pPr>
        <w:pStyle w:val="ListParagraph"/>
        <w:jc w:val="both"/>
      </w:pPr>
    </w:p>
    <w:p w14:paraId="2C6F2220" w14:textId="588EB7FF" w:rsidR="00B14587" w:rsidRDefault="00B14587" w:rsidP="0033632B">
      <w:pPr>
        <w:jc w:val="both"/>
      </w:pPr>
      <w:r>
        <w:t>The Prince of Wales Dock</w:t>
      </w:r>
      <w:r w:rsidR="317A0CAF">
        <w:t>,</w:t>
      </w:r>
      <w:r>
        <w:t xml:space="preserve"> opened in 1881 and extended in 1898, encloses a 28-acre body of water.  Figure 2 shows how the Prince of Wales Dock was </w:t>
      </w:r>
      <w:r w:rsidR="00B465F1">
        <w:t>superimposed by</w:t>
      </w:r>
      <w:r>
        <w:t xml:space="preserve"> its Victorian builders on the mud, gravel and sand of Fabian’s Bay (by then sheltered further south by piers on either side of the River Tawe) and, at its eastern end, close to the terminus dock of the Tennant Canal from Swansea to Neath.  </w:t>
      </w:r>
    </w:p>
    <w:p w14:paraId="5C9DA72F" w14:textId="486785F5" w:rsidR="00B14587" w:rsidRPr="00210D6F" w:rsidRDefault="00B14587" w:rsidP="0033632B">
      <w:pPr>
        <w:jc w:val="both"/>
        <w:rPr>
          <w:b/>
          <w:bCs/>
        </w:rPr>
      </w:pPr>
    </w:p>
    <w:p w14:paraId="1E47E1D0" w14:textId="77777777" w:rsidR="00163B02" w:rsidRDefault="00163B02" w:rsidP="0033632B">
      <w:pPr>
        <w:jc w:val="both"/>
      </w:pPr>
      <w:r>
        <w:t xml:space="preserve">The new Dock added to the existing Swansea port facilities comprising the South Dock, located on the other side of the river (the present Marina), and the old North Dock (now filled in to become the Sainsburys and Parc Tawe) located on a bend in the original course of the river, which, to a design by Thomas Telford, placed locks at either end to create a </w:t>
      </w:r>
      <w:r>
        <w:lastRenderedPageBreak/>
        <w:t>so-called ‘floating dock’, in combination with shifting the main channel of the river, via a ‘New Cut’, to where it flows today.</w:t>
      </w:r>
      <w:r>
        <w:rPr>
          <w:rStyle w:val="FootnoteReference"/>
        </w:rPr>
        <w:footnoteReference w:id="7"/>
      </w:r>
      <w:r>
        <w:t xml:space="preserve">  </w:t>
      </w:r>
    </w:p>
    <w:p w14:paraId="4CB0F52B" w14:textId="77777777" w:rsidR="00210D6F" w:rsidRDefault="00210D6F" w:rsidP="0033632B">
      <w:pPr>
        <w:jc w:val="both"/>
        <w:rPr>
          <w:noProof/>
        </w:rPr>
      </w:pPr>
    </w:p>
    <w:p w14:paraId="04B60729" w14:textId="19F45015" w:rsidR="0099329C" w:rsidRDefault="0099329C" w:rsidP="0033632B">
      <w:pPr>
        <w:jc w:val="both"/>
      </w:pPr>
      <w:r>
        <w:rPr>
          <w:noProof/>
        </w:rPr>
        <w:drawing>
          <wp:inline distT="0" distB="0" distL="0" distR="0" wp14:anchorId="78C3316E" wp14:editId="2D14C55A">
            <wp:extent cx="4431030" cy="5624796"/>
            <wp:effectExtent l="0" t="6033" r="1588" b="1587"/>
            <wp:docPr id="32161575" name="Picture 6"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61575" name="Picture 6" descr="A map of a city&#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65" t="6481" r="4979" b="3689"/>
                    <a:stretch/>
                  </pic:blipFill>
                  <pic:spPr bwMode="auto">
                    <a:xfrm rot="16200000">
                      <a:off x="0" y="0"/>
                      <a:ext cx="4431148" cy="5624946"/>
                    </a:xfrm>
                    <a:prstGeom prst="rect">
                      <a:avLst/>
                    </a:prstGeom>
                    <a:noFill/>
                    <a:ln>
                      <a:noFill/>
                    </a:ln>
                    <a:extLst>
                      <a:ext uri="{53640926-AAD7-44D8-BBD7-CCE9431645EC}">
                        <a14:shadowObscured xmlns:a14="http://schemas.microsoft.com/office/drawing/2010/main"/>
                      </a:ext>
                    </a:extLst>
                  </pic:spPr>
                </pic:pic>
              </a:graphicData>
            </a:graphic>
          </wp:inline>
        </w:drawing>
      </w:r>
    </w:p>
    <w:p w14:paraId="75421A78" w14:textId="550AB271" w:rsidR="00210D6F" w:rsidRDefault="00210D6F" w:rsidP="0033632B">
      <w:pPr>
        <w:jc w:val="both"/>
      </w:pPr>
      <w:r>
        <w:t>Fig.2</w:t>
      </w:r>
    </w:p>
    <w:p w14:paraId="4CBB6A99" w14:textId="77777777" w:rsidR="00B14587" w:rsidRDefault="00B14587" w:rsidP="0033632B">
      <w:pPr>
        <w:jc w:val="both"/>
      </w:pPr>
    </w:p>
    <w:p w14:paraId="4CF55735" w14:textId="77777777" w:rsidR="00B14587" w:rsidRDefault="00B14587" w:rsidP="0033632B">
      <w:pPr>
        <w:jc w:val="both"/>
      </w:pPr>
      <w:r>
        <w:t>The construction of this port infrastructure reflected Swansea’s navigational advantages over Cardiff and Newport, with vessels coming up the Bristol Channel able to ‘save a tide’.</w:t>
      </w:r>
      <w:r>
        <w:rPr>
          <w:rStyle w:val="FootnoteReference"/>
        </w:rPr>
        <w:footnoteReference w:id="8"/>
      </w:r>
      <w:r>
        <w:t xml:space="preserve">  Swansea was booming: in the three decades before completion of the Dock, the population of Swansea had increased from 30,000 to 100,000.</w:t>
      </w:r>
      <w:r>
        <w:rPr>
          <w:rStyle w:val="FootnoteReference"/>
        </w:rPr>
        <w:footnoteReference w:id="9"/>
      </w:r>
      <w:r>
        <w:t xml:space="preserve">  At the same time, dredging of a 7000 foot channel out into Swansea Bay, likened at the time to the scale of the undertaking of the Suez Canal, facilitated the passage of vessels of large tonnage.</w:t>
      </w:r>
      <w:r>
        <w:rPr>
          <w:rStyle w:val="FootnoteReference"/>
        </w:rPr>
        <w:footnoteReference w:id="10"/>
      </w:r>
    </w:p>
    <w:p w14:paraId="7B1F6E1B" w14:textId="77777777" w:rsidR="00B14587" w:rsidRDefault="00B14587" w:rsidP="0033632B">
      <w:pPr>
        <w:pStyle w:val="ListParagraph"/>
        <w:jc w:val="both"/>
      </w:pPr>
    </w:p>
    <w:p w14:paraId="6B31B017" w14:textId="7D40F55D" w:rsidR="00B14587" w:rsidRDefault="00B14587" w:rsidP="0033632B">
      <w:pPr>
        <w:jc w:val="both"/>
      </w:pPr>
      <w:r>
        <w:lastRenderedPageBreak/>
        <w:t>As of the 1920s, the Site was occupied by rail tracks and sidings and moveable hydraulic cranes, track-side vehicular activities and associated goods and materials storage, especially coal for the Electric Light and Power Station immediately to the west of the Site and the Cambrian Fuel Company warehouse immediately to the east, as well as grain for the massive ‘sky-scraping’ Grain Storage No. 1 Shed to the south.  As can be seen from Figures 2 and 3, the tracks and sidings along the south of the Prince of Wales Dock were led across a swing bridge a short distance to the west of the Site, which spanned a narrow channel connecting the Prince of Wales Dock with the larger King’s Dock and Queen’s Dock to the south, completed in 1909 and 1920 respectively to accommodate vessels of modern, larger tonnage with deeper drafts.</w:t>
      </w:r>
      <w:r>
        <w:rPr>
          <w:rStyle w:val="FootnoteReference"/>
        </w:rPr>
        <w:footnoteReference w:id="11"/>
      </w:r>
      <w:r>
        <w:t xml:space="preserve">  This channel enabled navigation from the Prince of Wales Dock basin, through a lock forming part of the King’s Dock works, to the Entrance Channel to the River Tawe and onward to the Bristol Channel.  The rail tracks, once over the swing bridge, continued west toward the river, then north along and up the new course of the river, to join the main line taking goods and materials to and from the rest of Wales and Britain.  The whole area was a vital part of the United Kingdom’s port infrastructure and in the port’s heyday, a hive of commercial and transportation activity.</w:t>
      </w:r>
      <w:r>
        <w:rPr>
          <w:rStyle w:val="FootnoteReference"/>
        </w:rPr>
        <w:footnoteReference w:id="12"/>
      </w:r>
      <w:r>
        <w:t xml:space="preserve">   The movement of coal and grain vied for space with the shipment of tinplate, iron, steel, chemicals, oil and timber, and the activity of the dock fish market and smaller industries such as tin-stamping and creosoting.</w:t>
      </w:r>
      <w:r>
        <w:rPr>
          <w:rStyle w:val="FootnoteReference"/>
        </w:rPr>
        <w:footnoteReference w:id="13"/>
      </w:r>
    </w:p>
    <w:p w14:paraId="3227D0F2" w14:textId="77777777" w:rsidR="00BC6C56" w:rsidRDefault="00BC6C56" w:rsidP="0033632B">
      <w:pPr>
        <w:jc w:val="both"/>
      </w:pPr>
    </w:p>
    <w:p w14:paraId="3F48B280" w14:textId="77777777" w:rsidR="00BC6C56" w:rsidRDefault="00BC6C56" w:rsidP="0033632B">
      <w:pPr>
        <w:jc w:val="both"/>
        <w:rPr>
          <w:noProof/>
        </w:rPr>
      </w:pPr>
    </w:p>
    <w:p w14:paraId="32183F04" w14:textId="03A3D5AB" w:rsidR="008D7395" w:rsidRDefault="008D7395" w:rsidP="0033632B">
      <w:pPr>
        <w:jc w:val="both"/>
      </w:pPr>
      <w:r>
        <w:rPr>
          <w:noProof/>
        </w:rPr>
        <w:drawing>
          <wp:inline distT="0" distB="0" distL="0" distR="0" wp14:anchorId="582DF2DA" wp14:editId="179232CA">
            <wp:extent cx="3849309" cy="5849620"/>
            <wp:effectExtent l="0" t="9842" r="8572" b="8573"/>
            <wp:docPr id="165094582" name="Picture 7" descr="A paper with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94582" name="Picture 7" descr="A paper with a map&#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12258"/>
                    <a:stretch/>
                  </pic:blipFill>
                  <pic:spPr bwMode="auto">
                    <a:xfrm rot="16200000">
                      <a:off x="0" y="0"/>
                      <a:ext cx="3852764" cy="5854871"/>
                    </a:xfrm>
                    <a:prstGeom prst="rect">
                      <a:avLst/>
                    </a:prstGeom>
                    <a:noFill/>
                    <a:ln>
                      <a:noFill/>
                    </a:ln>
                    <a:extLst>
                      <a:ext uri="{53640926-AAD7-44D8-BBD7-CCE9431645EC}">
                        <a14:shadowObscured xmlns:a14="http://schemas.microsoft.com/office/drawing/2010/main"/>
                      </a:ext>
                    </a:extLst>
                  </pic:spPr>
                </pic:pic>
              </a:graphicData>
            </a:graphic>
          </wp:inline>
        </w:drawing>
      </w:r>
      <w:r w:rsidR="00382679">
        <w:t>Fig.3</w:t>
      </w:r>
    </w:p>
    <w:p w14:paraId="5E7485E2" w14:textId="77777777" w:rsidR="00382679" w:rsidRDefault="00382679" w:rsidP="0033632B">
      <w:pPr>
        <w:jc w:val="both"/>
      </w:pPr>
    </w:p>
    <w:p w14:paraId="6089AA00" w14:textId="77777777" w:rsidR="003A130E" w:rsidRDefault="003A130E" w:rsidP="0033632B">
      <w:pPr>
        <w:jc w:val="both"/>
      </w:pPr>
    </w:p>
    <w:p w14:paraId="1C726F99" w14:textId="6D3001EB" w:rsidR="003A130E" w:rsidRDefault="003A130E" w:rsidP="0033632B">
      <w:pPr>
        <w:jc w:val="both"/>
      </w:pPr>
      <w:r w:rsidRPr="00073E9E">
        <w:rPr>
          <w:rFonts w:ascii="Arial" w:hAnsi="Arial" w:cs="Arial"/>
          <w:noProof/>
        </w:rPr>
        <w:drawing>
          <wp:inline distT="0" distB="0" distL="0" distR="0" wp14:anchorId="65C67D32" wp14:editId="241B8508">
            <wp:extent cx="5731510" cy="3937733"/>
            <wp:effectExtent l="0" t="0" r="2540" b="5715"/>
            <wp:docPr id="65507696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076966" name="Picture 1" descr="A map of a city&#10;&#10;Description automatically generated"/>
                    <pic:cNvPicPr/>
                  </pic:nvPicPr>
                  <pic:blipFill>
                    <a:blip r:embed="rId13"/>
                    <a:stretch>
                      <a:fillRect/>
                    </a:stretch>
                  </pic:blipFill>
                  <pic:spPr>
                    <a:xfrm>
                      <a:off x="0" y="0"/>
                      <a:ext cx="5731510" cy="3937733"/>
                    </a:xfrm>
                    <a:prstGeom prst="rect">
                      <a:avLst/>
                    </a:prstGeom>
                  </pic:spPr>
                </pic:pic>
              </a:graphicData>
            </a:graphic>
          </wp:inline>
        </w:drawing>
      </w:r>
    </w:p>
    <w:p w14:paraId="6900CF44" w14:textId="28A28F38" w:rsidR="003A130E" w:rsidRDefault="00BD557C" w:rsidP="0033632B">
      <w:pPr>
        <w:jc w:val="both"/>
      </w:pPr>
      <w:r>
        <w:t>Fig.4</w:t>
      </w:r>
    </w:p>
    <w:p w14:paraId="32C205F1" w14:textId="77777777" w:rsidR="00BD557C" w:rsidRDefault="00BD557C" w:rsidP="0033632B">
      <w:pPr>
        <w:jc w:val="both"/>
      </w:pPr>
    </w:p>
    <w:p w14:paraId="6C3D5FB5" w14:textId="1C4BA129" w:rsidR="00B14587" w:rsidRDefault="00B14587" w:rsidP="0033632B">
      <w:pPr>
        <w:jc w:val="both"/>
      </w:pPr>
      <w:r>
        <w:t>Apart from the wartime period in which Swansea was of vital national importance in receiving shipment of war materiel (and thus attracted the attention of German bombers), the pattern of activity in the Swansea port was general downward, reflecting the wider pattern of de-industrialisation, although the decline up to 1970 was far less than experienced in Cardiff, Newport and Barry;</w:t>
      </w:r>
      <w:r>
        <w:rPr>
          <w:rStyle w:val="FootnoteReference"/>
        </w:rPr>
        <w:footnoteReference w:id="14"/>
      </w:r>
      <w:r>
        <w:t xml:space="preserve"> harbours capable to taking the huge ore, oil and container shipping of the modern era went elsewhere.</w:t>
      </w:r>
      <w:r>
        <w:rPr>
          <w:rStyle w:val="FootnoteReference"/>
        </w:rPr>
        <w:footnoteReference w:id="15"/>
      </w:r>
      <w:r>
        <w:t xml:space="preserve">  By 1968 the bulk of traffic flows at Swansea port were petroleum from the nearby </w:t>
      </w:r>
      <w:r w:rsidR="00161F1F">
        <w:t>LLandarcy</w:t>
      </w:r>
      <w:r>
        <w:t xml:space="preserve"> refinery, to which the Queen’s Dock was largely devoted, but the refinery closed in 1998.</w:t>
      </w:r>
      <w:r>
        <w:rPr>
          <w:rStyle w:val="FootnoteReference"/>
        </w:rPr>
        <w:footnoteReference w:id="16"/>
      </w:r>
    </w:p>
    <w:p w14:paraId="098D9E9D" w14:textId="77777777" w:rsidR="00B14587" w:rsidRDefault="00B14587" w:rsidP="0033632B">
      <w:pPr>
        <w:pStyle w:val="ListParagraph"/>
        <w:jc w:val="both"/>
      </w:pPr>
    </w:p>
    <w:p w14:paraId="190AAA41" w14:textId="77777777" w:rsidR="00B14587" w:rsidRDefault="00B14587" w:rsidP="0033632B">
      <w:pPr>
        <w:jc w:val="both"/>
      </w:pPr>
      <w:r>
        <w:t>By 1930 the North Dock was closed for shipping and filled in in 1969, and the South Dock ceased commercial operation in 1972, being subsequently converted into a leisure marina.</w:t>
      </w:r>
      <w:r>
        <w:rPr>
          <w:rStyle w:val="FootnoteReference"/>
        </w:rPr>
        <w:footnoteReference w:id="17"/>
      </w:r>
      <w:r>
        <w:t xml:space="preserve">  Removal of coal hoists lining the north side of the Prince of Wales Dock in the 1960s marked the beginning of the opportunity for the release of land for development, although the South Dock area was more promising as a starting point.  The creation of a maritime industrial development area, as was successfully done in places like Antwerp, was constrained by the lack of adequate acreage compared to other sites.</w:t>
      </w:r>
      <w:r>
        <w:rPr>
          <w:rStyle w:val="FootnoteReference"/>
        </w:rPr>
        <w:footnoteReference w:id="18"/>
      </w:r>
    </w:p>
    <w:p w14:paraId="282C1084" w14:textId="5A657761" w:rsidR="00B14587" w:rsidRDefault="00B14587" w:rsidP="0033632B">
      <w:pPr>
        <w:jc w:val="both"/>
      </w:pPr>
      <w:r>
        <w:lastRenderedPageBreak/>
        <w:t>An Ordinance Survey plan from 1949 provides good information as to the activity at the Site at the time of nationalisation of the port after the war.</w:t>
      </w:r>
      <w:r>
        <w:rPr>
          <w:rStyle w:val="FootnoteReference"/>
        </w:rPr>
        <w:footnoteReference w:id="19"/>
      </w:r>
      <w:r>
        <w:t xml:space="preserve">  To the west, </w:t>
      </w:r>
      <w:r w:rsidR="00CA612B">
        <w:t>near</w:t>
      </w:r>
      <w:r>
        <w:t xml:space="preserve"> to the swing bridge, there was the Western Electricity Generating Station, built in 1908 to power locks, which was substantially demolished in the 1950s.  A canteen building and the Chapel of the Convoys (known as ‘The Flying Angel’) were approximately within the footprint of the proposed University lecture hall building.  Both were of lightweight construction and low level. The latter had only recently been relocated there, in 1947, to replace the chapel serving the same purpose elsewhere, destroyed by enemy action in 1941.  </w:t>
      </w:r>
      <w:r w:rsidR="00161F1F">
        <w:t>Both</w:t>
      </w:r>
      <w:r>
        <w:t xml:space="preserve"> structures have been removed, the latter in 2010.</w:t>
      </w:r>
    </w:p>
    <w:p w14:paraId="3D827085" w14:textId="77777777" w:rsidR="00B14587" w:rsidRDefault="00B14587" w:rsidP="0033632B">
      <w:pPr>
        <w:jc w:val="both"/>
      </w:pPr>
    </w:p>
    <w:p w14:paraId="50236C9E" w14:textId="40C604FF" w:rsidR="00B14587" w:rsidRDefault="00B14587" w:rsidP="0033632B">
      <w:pPr>
        <w:jc w:val="both"/>
      </w:pPr>
      <w:r>
        <w:t>Although Swansea sustained serious damage from enemy bombing during the second world war, the dock area, the principal target, mostly escaped damage.</w:t>
      </w:r>
      <w:r>
        <w:rPr>
          <w:rStyle w:val="FootnoteReference"/>
        </w:rPr>
        <w:footnoteReference w:id="20"/>
      </w:r>
      <w:r>
        <w:t xml:space="preserve"> However the presence of unexploded ordinance cannot be entirely discounted, although none of the handful of instances in Swansea of their discovery in the past two decades have been in or in the vicinity of the port, and most discussions of the risk are by commercial organisations seeking engagement to carry out a risk assessment.</w:t>
      </w:r>
      <w:r>
        <w:rPr>
          <w:rStyle w:val="FootnoteReference"/>
        </w:rPr>
        <w:footnoteReference w:id="21"/>
      </w:r>
      <w:r>
        <w:t xml:space="preserve"> That said, there is a record of two high explosive bombs landing on King’s Road </w:t>
      </w:r>
      <w:r w:rsidR="00CA612B">
        <w:t>near</w:t>
      </w:r>
      <w:r>
        <w:t xml:space="preserve"> to where Trinity St Davids campus now is, about 150 m from the Site, on 7 January 1941.</w:t>
      </w:r>
      <w:r>
        <w:rPr>
          <w:rStyle w:val="FootnoteReference"/>
        </w:rPr>
        <w:footnoteReference w:id="22"/>
      </w:r>
      <w:r>
        <w:t xml:space="preserve">  The site may pass the threshold for an assessment in accordance with CIRIA C681 unless one has already been carried out for an </w:t>
      </w:r>
      <w:r w:rsidR="00CA612B">
        <w:t>near</w:t>
      </w:r>
      <w:r>
        <w:t xml:space="preserve"> site.</w:t>
      </w:r>
    </w:p>
    <w:p w14:paraId="7A0ABC1E" w14:textId="77777777" w:rsidR="00B14587" w:rsidRDefault="00B14587" w:rsidP="0033632B">
      <w:pPr>
        <w:pStyle w:val="ListParagraph"/>
        <w:jc w:val="both"/>
      </w:pPr>
    </w:p>
    <w:p w14:paraId="08DFB91F" w14:textId="1AA09AB5" w:rsidR="00B14587" w:rsidRDefault="00B14587" w:rsidP="0033632B">
      <w:pPr>
        <w:pStyle w:val="Heading1"/>
        <w:numPr>
          <w:ilvl w:val="0"/>
          <w:numId w:val="7"/>
        </w:numPr>
        <w:jc w:val="both"/>
      </w:pPr>
      <w:bookmarkStart w:id="4" w:name="_Toc172564878"/>
      <w:r>
        <w:t>Geological Appraisal</w:t>
      </w:r>
      <w:bookmarkEnd w:id="4"/>
    </w:p>
    <w:p w14:paraId="09CD953C" w14:textId="77777777" w:rsidR="00B14587" w:rsidRDefault="00B14587" w:rsidP="0033632B">
      <w:pPr>
        <w:jc w:val="both"/>
      </w:pPr>
    </w:p>
    <w:p w14:paraId="3A2031E6" w14:textId="03F879C5" w:rsidR="00B14587" w:rsidRDefault="00B14587" w:rsidP="0033632B">
      <w:pPr>
        <w:jc w:val="both"/>
      </w:pPr>
      <w:r>
        <w:t>The soils of the lower Swansea valley through to the mouth of the River Tawe were formed from stony glacial drift originally derived from Devonian and Carboniferous strata of the South Wales coalfield basin.  The influence of subsequent erosion of the valley sides produced imperfectly and poorly drained sandy clay loams.</w:t>
      </w:r>
      <w:r>
        <w:rPr>
          <w:rStyle w:val="FootnoteReference"/>
        </w:rPr>
        <w:footnoteReference w:id="23"/>
      </w:r>
      <w:r>
        <w:t xml:space="preserve">  Geologists described the valley as </w:t>
      </w:r>
      <w:r w:rsidR="00161F1F">
        <w:t>glaciated and</w:t>
      </w:r>
      <w:r>
        <w:t xml:space="preserve"> filled with glacial debris deposited by the retreating glaciers.  The actual bedrock is some 600 feet below the present seabed.</w:t>
      </w:r>
      <w:r>
        <w:rPr>
          <w:rStyle w:val="FootnoteReference"/>
        </w:rPr>
        <w:footnoteReference w:id="24"/>
      </w:r>
      <w:r>
        <w:t xml:space="preserve">  The coastline itself, including the Swansea Dock area, is describe as drift-covered, a mixture of clay and boulders dumped by the retreating glaciers.</w:t>
      </w:r>
      <w:r>
        <w:rPr>
          <w:rStyle w:val="FootnoteReference"/>
        </w:rPr>
        <w:footnoteReference w:id="25"/>
      </w:r>
      <w:r>
        <w:t xml:space="preserve">  However the Prince of Wales Dock area comprises fill placed by Victorian </w:t>
      </w:r>
      <w:r w:rsidR="00161F1F">
        <w:t>contractors,</w:t>
      </w:r>
      <w:r>
        <w:t xml:space="preserve"> and we should expect that borehole information would reflect that.</w:t>
      </w:r>
    </w:p>
    <w:p w14:paraId="0C29AD3A" w14:textId="110DB623" w:rsidR="00B14587" w:rsidRDefault="00B14587" w:rsidP="0033632B">
      <w:pPr>
        <w:jc w:val="both"/>
      </w:pPr>
      <w:r>
        <w:lastRenderedPageBreak/>
        <w:t xml:space="preserve">As is apparent from Figure </w:t>
      </w:r>
      <w:r w:rsidR="00D0599F">
        <w:t>5</w:t>
      </w:r>
      <w:r>
        <w:t xml:space="preserve"> below, there are numerous borehole records available from the British Geological Survey in the vicinity of the Dock, including two apparently immediately north of the Site along the edge of the Dock.</w:t>
      </w:r>
    </w:p>
    <w:p w14:paraId="68E8EAFC" w14:textId="77777777" w:rsidR="00D0599F" w:rsidRDefault="00D0599F" w:rsidP="0033632B">
      <w:pPr>
        <w:jc w:val="both"/>
      </w:pPr>
    </w:p>
    <w:p w14:paraId="6EEEEB44" w14:textId="07391120" w:rsidR="00D0599F" w:rsidRDefault="00D0599F" w:rsidP="0033632B">
      <w:pPr>
        <w:jc w:val="both"/>
      </w:pPr>
      <w:r w:rsidRPr="00D0599F">
        <w:drawing>
          <wp:inline distT="0" distB="0" distL="0" distR="0" wp14:anchorId="3352AD73" wp14:editId="10EE7A28">
            <wp:extent cx="5731510" cy="3412490"/>
            <wp:effectExtent l="0" t="0" r="2540" b="0"/>
            <wp:docPr id="89786292"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6292" name="Picture 1" descr="A map of a city&#10;&#10;Description automatically generated"/>
                    <pic:cNvPicPr/>
                  </pic:nvPicPr>
                  <pic:blipFill>
                    <a:blip r:embed="rId14"/>
                    <a:stretch>
                      <a:fillRect/>
                    </a:stretch>
                  </pic:blipFill>
                  <pic:spPr>
                    <a:xfrm>
                      <a:off x="0" y="0"/>
                      <a:ext cx="5731510" cy="3412490"/>
                    </a:xfrm>
                    <a:prstGeom prst="rect">
                      <a:avLst/>
                    </a:prstGeom>
                  </pic:spPr>
                </pic:pic>
              </a:graphicData>
            </a:graphic>
          </wp:inline>
        </w:drawing>
      </w:r>
    </w:p>
    <w:p w14:paraId="35E73275" w14:textId="2AFD4570" w:rsidR="00B14587" w:rsidRDefault="00D0599F" w:rsidP="0033632B">
      <w:pPr>
        <w:jc w:val="both"/>
      </w:pPr>
      <w:r>
        <w:t>Fig.5</w:t>
      </w:r>
    </w:p>
    <w:p w14:paraId="1BBE2DEE" w14:textId="77777777" w:rsidR="00D0599F" w:rsidRDefault="00D0599F" w:rsidP="0033632B">
      <w:pPr>
        <w:jc w:val="both"/>
      </w:pPr>
    </w:p>
    <w:p w14:paraId="018788AD" w14:textId="0F92E8CE" w:rsidR="00B14587" w:rsidRDefault="00B14587" w:rsidP="0033632B">
      <w:pPr>
        <w:jc w:val="both"/>
      </w:pPr>
      <w:r>
        <w:t xml:space="preserve">Although Figure </w:t>
      </w:r>
      <w:r w:rsidR="00D0599F">
        <w:t>5</w:t>
      </w:r>
      <w:r>
        <w:t xml:space="preserve"> depicts boreholes locate around the Dock perimeter, dating from 1880 (ie in connection with the building of the Dock), it is not entirely clear which of the 14 borehole logs relate to which location, which undermines their usefulness.  In most cases, scans of all records are attached to all locations.  Two are indicated to have been drilled directly north of the Site.  The first, SS69SE296, recorded as no.5, indicates, if that is meant to refer to borehole no.5, that there was encountered successive layers of clay, peat, blue clay, and clay and sand with stones to a depth of 27 ft.  The other, SS69SE295, recorded as no.4, about </w:t>
      </w:r>
      <w:r w:rsidR="00076156">
        <w:t>2</w:t>
      </w:r>
      <w:r>
        <w:t xml:space="preserve">0 metres to the east, encountered ‘tipped ashes from works’, peat, sand and sandy clay to a depth of 20 ft.  As presumably these boreholes would have been drilling into Fabian Bay ground as it existed before the works were carried out, one must allow for the many metres of fill subsequently added on top.  </w:t>
      </w:r>
    </w:p>
    <w:p w14:paraId="479303FA" w14:textId="77777777" w:rsidR="00B14587" w:rsidRDefault="00B14587" w:rsidP="0033632B">
      <w:pPr>
        <w:pStyle w:val="ListParagraph"/>
        <w:jc w:val="both"/>
      </w:pPr>
    </w:p>
    <w:p w14:paraId="6E0C7153" w14:textId="77777777" w:rsidR="00B14587" w:rsidRDefault="00B14587" w:rsidP="0033632B">
      <w:pPr>
        <w:jc w:val="both"/>
      </w:pPr>
      <w:r>
        <w:t xml:space="preserve">There are no records of modern boreholes in the British Geological Survey that are not confidential, but site investigations were carried out in connection with the construction of the Tawe River Barrage several hundred metres to the west, and ‘Alcan Access’ works beyond the east end of the Dock.   </w:t>
      </w:r>
    </w:p>
    <w:p w14:paraId="6E646AD8" w14:textId="77777777" w:rsidR="00B14587" w:rsidRDefault="00B14587" w:rsidP="0033632B">
      <w:pPr>
        <w:pStyle w:val="ListParagraph"/>
        <w:jc w:val="both"/>
      </w:pPr>
    </w:p>
    <w:p w14:paraId="1D63DDAD" w14:textId="77777777" w:rsidR="00B14587" w:rsidRDefault="00B14587" w:rsidP="0033632B">
      <w:pPr>
        <w:jc w:val="both"/>
      </w:pPr>
      <w:r>
        <w:t>To the north of the Dock perhaps 100 m away from the Site there are various 1993 trial pits to a depth of about 3.5 m which show fill comprising sand, gravel, clay and cobbles.</w:t>
      </w:r>
      <w:r>
        <w:rPr>
          <w:rStyle w:val="FootnoteReference"/>
        </w:rPr>
        <w:footnoteReference w:id="26"/>
      </w:r>
      <w:r>
        <w:t xml:space="preserve">  These shallow depths were sufficient for the housing to be built there. Perhaps of interest although several hundred metres to the east are boreholes drilled in 1921 in preparation </w:t>
      </w:r>
      <w:r>
        <w:lastRenderedPageBreak/>
        <w:t>for the construction of the power station.</w:t>
      </w:r>
      <w:r>
        <w:rPr>
          <w:rStyle w:val="FootnoteReference"/>
        </w:rPr>
        <w:footnoteReference w:id="27"/>
      </w:r>
      <w:r>
        <w:t xml:space="preserve">  They seem to indicate 13.5 ft of made ground, below which lay 10.5 ft of coarse dirty sea sand and shells (‘old beach’), and further below, so far as I can judge from the handwriting, various qualities of clay down to a depth of 126 ft.  Finally, a borehole or well was dug in 1900 for an engine shed in the vicinity of Fabian Way showing layers of drift ie sand, gravel, and clay to a depth of 121 ft before rock was encountered.  </w:t>
      </w:r>
    </w:p>
    <w:p w14:paraId="1B3BFD68" w14:textId="77777777" w:rsidR="00B14587" w:rsidRDefault="00B14587" w:rsidP="0033632B">
      <w:pPr>
        <w:pStyle w:val="ListParagraph"/>
        <w:jc w:val="both"/>
      </w:pPr>
    </w:p>
    <w:p w14:paraId="6775442A" w14:textId="7D1E0018" w:rsidR="00B14587" w:rsidRDefault="00B14587" w:rsidP="0033632B">
      <w:pPr>
        <w:jc w:val="both"/>
      </w:pPr>
      <w:r>
        <w:t>All of this is generally consistent with the summary set out in the geo-environmental study in respect of the planning application to remove the swing bridge,</w:t>
      </w:r>
      <w:r>
        <w:rPr>
          <w:rStyle w:val="FootnoteReference"/>
        </w:rPr>
        <w:footnoteReference w:id="28"/>
      </w:r>
      <w:r>
        <w:t xml:space="preserve"> that the Site is likely underlaid by made ground, superficial deposits of blown sands, marine beach deposits and raised storm beach deposits (clayey silts, sandy graves, sandy clays, sandy sits, sands and gravels), and solid geology of mudstones, sandstones, and siltstones of the South Wales Middle Coal Measures, with low groundwater vulnerability.  The report also sets out the results of modern site investigations from 2005-6 (not (yet) provided to the British Geological Survey) either side of the swing bridge channel including one to a depth of 20 m consistent with the pattern of results – layers of clay, gravel, cobbles and sand down to a mudstone from 12 m below ground</w:t>
      </w:r>
      <w:r w:rsidR="004705C5">
        <w:rPr>
          <w:rStyle w:val="FootnoteReference"/>
        </w:rPr>
        <w:footnoteReference w:id="29"/>
      </w:r>
      <w:r>
        <w:t>.  The foundations for the contemplated E9 academic building need to be designed accordingly.</w:t>
      </w:r>
    </w:p>
    <w:p w14:paraId="7B606C5C" w14:textId="239C6C70" w:rsidR="1FD242A6" w:rsidRDefault="1FD242A6" w:rsidP="0033632B">
      <w:pPr>
        <w:jc w:val="both"/>
      </w:pPr>
    </w:p>
    <w:p w14:paraId="4200F785" w14:textId="21F16F90" w:rsidR="1FD242A6" w:rsidRPr="004626DE" w:rsidRDefault="3E079440" w:rsidP="0033632B">
      <w:pPr>
        <w:jc w:val="both"/>
      </w:pPr>
      <w:r w:rsidRPr="004626DE">
        <w:t>I have also accessed a site investigation for the UWTSD Innovation Matrix building currently under construction on the south side of King’s Road about 200 m west of the Site.  The consultant’s conclusions align with my own.  That site is ‘underlain by made ground which in turn is underlain by Blown Sand and Beach Deposits over the South Wales Middle Coal Measures….generally compris[ing] dense silty sandy GRAVEL…which was interpreted as Marine Deposits…No significant soil contamination</w:t>
      </w:r>
      <w:r w:rsidR="002E00A3">
        <w:t>’</w:t>
      </w:r>
      <w:r w:rsidRPr="004626DE">
        <w:t>.</w:t>
      </w:r>
      <w:r w:rsidR="00376CC1">
        <w:rPr>
          <w:rStyle w:val="FootnoteReference"/>
        </w:rPr>
        <w:footnoteReference w:id="30"/>
      </w:r>
    </w:p>
    <w:p w14:paraId="18C4E0BE" w14:textId="77777777" w:rsidR="00B14587" w:rsidRDefault="00B14587" w:rsidP="0033632B">
      <w:pPr>
        <w:pStyle w:val="ListParagraph"/>
        <w:jc w:val="both"/>
      </w:pPr>
    </w:p>
    <w:p w14:paraId="53EE9890" w14:textId="1F38EEEE" w:rsidR="00B14587" w:rsidRDefault="00B14587" w:rsidP="0033632B">
      <w:pPr>
        <w:pStyle w:val="Heading1"/>
        <w:numPr>
          <w:ilvl w:val="0"/>
          <w:numId w:val="7"/>
        </w:numPr>
        <w:jc w:val="both"/>
      </w:pPr>
      <w:bookmarkStart w:id="5" w:name="_Toc172564879"/>
      <w:r>
        <w:t>Environmental Appraisal</w:t>
      </w:r>
      <w:bookmarkEnd w:id="5"/>
    </w:p>
    <w:p w14:paraId="035FA75B" w14:textId="77777777" w:rsidR="00B14587" w:rsidRDefault="00B14587" w:rsidP="0033632B">
      <w:pPr>
        <w:pStyle w:val="ListParagraph"/>
        <w:jc w:val="both"/>
      </w:pPr>
    </w:p>
    <w:p w14:paraId="5448F257" w14:textId="202F1182" w:rsidR="00D0599F" w:rsidRDefault="00B14587" w:rsidP="0033632B">
      <w:pPr>
        <w:jc w:val="both"/>
      </w:pPr>
      <w:r>
        <w:t>There are potential pollutant linkages from the composition of the Victorian ‘made ground’ around the Dock which comprises the first layer of the Site, presumably extending down to the levels from which the 1880 borehole surveys were carried out.  The former use of the Site for transportation of commodities like coal and oil may have left residues that can impact on humans and wildlife.  However, studies carried out in respect of nearby sites, during and after construction, have concluded that these risks can be regarded as low.</w:t>
      </w:r>
      <w:r>
        <w:rPr>
          <w:rStyle w:val="FootnoteReference"/>
        </w:rPr>
        <w:footnoteReference w:id="31"/>
      </w:r>
      <w:r>
        <w:t xml:space="preserve">  Noise and dust generated by the construction of the proposed academic building would not present significant issues not resolvable by modern construction and site management methods.</w:t>
      </w:r>
    </w:p>
    <w:p w14:paraId="1BC3F59C" w14:textId="1CDFA849" w:rsidR="00B14587" w:rsidRDefault="00B14587" w:rsidP="0033632B">
      <w:pPr>
        <w:pStyle w:val="Heading1"/>
        <w:numPr>
          <w:ilvl w:val="0"/>
          <w:numId w:val="7"/>
        </w:numPr>
        <w:jc w:val="both"/>
      </w:pPr>
      <w:bookmarkStart w:id="6" w:name="_Toc172564880"/>
      <w:r>
        <w:lastRenderedPageBreak/>
        <w:t>Archaeology Appraisal</w:t>
      </w:r>
      <w:bookmarkEnd w:id="6"/>
    </w:p>
    <w:p w14:paraId="47B21B71" w14:textId="77777777" w:rsidR="00B14587" w:rsidRDefault="00B14587" w:rsidP="00327A26">
      <w:pPr>
        <w:jc w:val="both"/>
      </w:pPr>
    </w:p>
    <w:p w14:paraId="4EB8F486" w14:textId="3391B622" w:rsidR="00B14587" w:rsidRDefault="00B14587" w:rsidP="00327A26">
      <w:pPr>
        <w:jc w:val="both"/>
      </w:pPr>
      <w:r>
        <w:t xml:space="preserve">I cannot see that archaeological issues are raised by the proposed development on site E9.  Nothing of this sort has been raised in </w:t>
      </w:r>
      <w:r w:rsidR="00CA612B">
        <w:t>near</w:t>
      </w:r>
      <w:r>
        <w:t xml:space="preserve"> planning applications.</w:t>
      </w:r>
    </w:p>
    <w:p w14:paraId="2889A660" w14:textId="6E7E689F" w:rsidR="00B14587" w:rsidRDefault="00B14587" w:rsidP="0033632B">
      <w:pPr>
        <w:pStyle w:val="Heading1"/>
        <w:numPr>
          <w:ilvl w:val="0"/>
          <w:numId w:val="7"/>
        </w:numPr>
        <w:jc w:val="both"/>
      </w:pPr>
      <w:bookmarkStart w:id="7" w:name="_Toc172564881"/>
      <w:r>
        <w:t>Conceptual Ground Model</w:t>
      </w:r>
      <w:bookmarkEnd w:id="7"/>
    </w:p>
    <w:p w14:paraId="43C087B8" w14:textId="77777777" w:rsidR="00B14587" w:rsidRDefault="00B14587" w:rsidP="0033632B">
      <w:pPr>
        <w:pStyle w:val="ListParagraph"/>
        <w:jc w:val="both"/>
      </w:pPr>
    </w:p>
    <w:p w14:paraId="4C236553" w14:textId="3B894136" w:rsidR="00B14587" w:rsidRDefault="00B14587" w:rsidP="0033632B">
      <w:pPr>
        <w:jc w:val="both"/>
      </w:pPr>
      <w:r>
        <w:t xml:space="preserve">The Site has ground conditions broadly similar to those at every other site at the Dock already developed.  In all likelihood the way forward for foundations </w:t>
      </w:r>
      <w:r w:rsidR="00496E24">
        <w:t xml:space="preserve">will </w:t>
      </w:r>
      <w:r w:rsidR="00FD7334">
        <w:t>be as</w:t>
      </w:r>
      <w:r>
        <w:t xml:space="preserve"> pursued for the </w:t>
      </w:r>
      <w:r w:rsidR="00CA612B">
        <w:t>near</w:t>
      </w:r>
      <w:r>
        <w:t xml:space="preserve"> buildings – removing, cleaning an</w:t>
      </w:r>
      <w:r w:rsidR="6CBF8342">
        <w:t>d</w:t>
      </w:r>
      <w:r>
        <w:t xml:space="preserve"> replacing the top 2 m of made ground and installing concrete piles to support</w:t>
      </w:r>
      <w:r w:rsidR="00FD7334">
        <w:t xml:space="preserve"> a</w:t>
      </w:r>
      <w:r>
        <w:t xml:space="preserve"> concrete base at low level and a steel frame above.</w:t>
      </w:r>
    </w:p>
    <w:p w14:paraId="04F305EF" w14:textId="77777777" w:rsidR="00B14587" w:rsidRDefault="00B14587" w:rsidP="0033632B">
      <w:pPr>
        <w:jc w:val="both"/>
      </w:pPr>
    </w:p>
    <w:p w14:paraId="7A37610F" w14:textId="184C48A0" w:rsidR="00B14587" w:rsidRDefault="00B14587" w:rsidP="0033632B">
      <w:pPr>
        <w:pStyle w:val="Heading1"/>
        <w:numPr>
          <w:ilvl w:val="0"/>
          <w:numId w:val="7"/>
        </w:numPr>
        <w:jc w:val="both"/>
      </w:pPr>
      <w:bookmarkStart w:id="8" w:name="_Toc172564882"/>
      <w:r>
        <w:t>Site Investigation</w:t>
      </w:r>
      <w:bookmarkEnd w:id="8"/>
    </w:p>
    <w:p w14:paraId="39938857" w14:textId="77777777" w:rsidR="00B14587" w:rsidRDefault="00B14587" w:rsidP="0033632B">
      <w:pPr>
        <w:pStyle w:val="ListParagraph"/>
        <w:jc w:val="both"/>
      </w:pPr>
    </w:p>
    <w:p w14:paraId="61EBA6F4" w14:textId="258BE98F" w:rsidR="2F73B37D" w:rsidRDefault="2C714C48" w:rsidP="0033632B">
      <w:pPr>
        <w:jc w:val="both"/>
      </w:pPr>
      <w:r w:rsidRPr="00B333B2">
        <w:t xml:space="preserve">I would note that in relation to the Innovation Matrix development currently under way, the engineers, by taking comfort </w:t>
      </w:r>
      <w:r w:rsidR="00327A26">
        <w:t>from</w:t>
      </w:r>
      <w:r w:rsidRPr="00B333B2">
        <w:t xml:space="preserve"> the more comprehensive site investigation for the library building</w:t>
      </w:r>
      <w:r w:rsidR="00D10276">
        <w:t xml:space="preserve"> (which I was unable to access)</w:t>
      </w:r>
      <w:r w:rsidRPr="00B333B2">
        <w:t>, were content to recommend merely five trial pits to a depth of 2.3 mbgl and six ‘window sample’ boreholes down to a maximum depth of 5m bgl</w:t>
      </w:r>
      <w:r w:rsidR="00C444AF">
        <w:t>.</w:t>
      </w:r>
      <w:r w:rsidR="002E22D9">
        <w:rPr>
          <w:rStyle w:val="FootnoteReference"/>
        </w:rPr>
        <w:footnoteReference w:id="32"/>
      </w:r>
    </w:p>
    <w:p w14:paraId="2A764108" w14:textId="00954171" w:rsidR="00B14587" w:rsidRPr="00B333B2" w:rsidRDefault="00B14587" w:rsidP="0033632B">
      <w:pPr>
        <w:jc w:val="both"/>
      </w:pPr>
    </w:p>
    <w:p w14:paraId="6BE2503D" w14:textId="2755F218" w:rsidR="00B14587" w:rsidRDefault="2C714C48" w:rsidP="0033632B">
      <w:pPr>
        <w:jc w:val="both"/>
      </w:pPr>
      <w:r w:rsidRPr="00B333B2">
        <w:t>As the UWTSD library is considerably further way from the Site, I would recommend that i</w:t>
      </w:r>
      <w:r w:rsidR="00B14587">
        <w:t>t would be prudent to commission several new boreholes to a depth of approximately 20 metres to confirm that the ground conditions at the Site are continuous with the rest of the Dock area.</w:t>
      </w:r>
    </w:p>
    <w:p w14:paraId="642D1DCF" w14:textId="77777777" w:rsidR="00B14587" w:rsidRDefault="00B14587" w:rsidP="0033632B">
      <w:pPr>
        <w:jc w:val="both"/>
      </w:pPr>
    </w:p>
    <w:p w14:paraId="31DD6C89" w14:textId="22002C41" w:rsidR="00B14587" w:rsidRDefault="00B14587" w:rsidP="0033632B">
      <w:pPr>
        <w:pStyle w:val="Heading1"/>
        <w:numPr>
          <w:ilvl w:val="0"/>
          <w:numId w:val="5"/>
        </w:numPr>
        <w:jc w:val="both"/>
      </w:pPr>
      <w:bookmarkStart w:id="9" w:name="_Toc172564883"/>
      <w:r>
        <w:t>Foundation Design</w:t>
      </w:r>
      <w:bookmarkEnd w:id="9"/>
    </w:p>
    <w:p w14:paraId="43D97AE2" w14:textId="77777777" w:rsidR="00D10276" w:rsidRDefault="00D10276" w:rsidP="0033632B">
      <w:pPr>
        <w:jc w:val="both"/>
      </w:pPr>
    </w:p>
    <w:p w14:paraId="515DE5B0" w14:textId="273553B8" w:rsidR="00AD5923" w:rsidRPr="00801D6E" w:rsidRDefault="00AD5923" w:rsidP="0033632B">
      <w:pPr>
        <w:jc w:val="both"/>
      </w:pPr>
      <w:r w:rsidRPr="00801D6E">
        <w:t xml:space="preserve">Foundation and structural engineering design is aided by and dependent upon an understanding of the materials at the Site on which the design will be built, their compressibility and other properties bearing on their load-bearing capacity.  For example, igneous, limestone and metamorphic rocks in massive form have a presumed bearing value of 10,000 kN/m2 or more, fine-grained mudstone 5,000, whereas for dense sand and gravels, for a 1 m foundation width, the corresponding figure is 300-600 and loose sands and gravels 50-150.  Clays have bearing values in the </w:t>
      </w:r>
      <w:r w:rsidR="00DA4F26" w:rsidRPr="00801D6E">
        <w:t>same</w:t>
      </w:r>
      <w:r w:rsidRPr="00801D6E">
        <w:t xml:space="preserve"> rang</w:t>
      </w:r>
      <w:r w:rsidR="00DA4F26" w:rsidRPr="00801D6E">
        <w:t>e as sand and gr</w:t>
      </w:r>
      <w:r w:rsidR="4E394F13" w:rsidRPr="00801D6E">
        <w:t>a</w:t>
      </w:r>
      <w:r w:rsidR="00DA4F26" w:rsidRPr="00801D6E">
        <w:t>vel</w:t>
      </w:r>
      <w:r w:rsidR="23CB30AA" w:rsidRPr="00801D6E">
        <w:t>.</w:t>
      </w:r>
      <w:r w:rsidR="00D07F2A">
        <w:rPr>
          <w:rStyle w:val="FootnoteReference"/>
        </w:rPr>
        <w:footnoteReference w:id="33"/>
      </w:r>
      <w:r w:rsidRPr="00801D6E">
        <w:t>  The choice between strip, pad and piled foundations, and if piled, what type, is largely dictated by this.</w:t>
      </w:r>
    </w:p>
    <w:p w14:paraId="1A416C81" w14:textId="1AE2F618" w:rsidR="00AD5923" w:rsidRPr="00801D6E" w:rsidRDefault="00AD5923" w:rsidP="0033632B">
      <w:pPr>
        <w:jc w:val="both"/>
      </w:pPr>
    </w:p>
    <w:p w14:paraId="5AEC42FD" w14:textId="77777777" w:rsidR="00AD5923" w:rsidRPr="00801D6E" w:rsidRDefault="00AD5923" w:rsidP="0033632B">
      <w:pPr>
        <w:jc w:val="both"/>
      </w:pPr>
      <w:r w:rsidRPr="00801D6E">
        <w:lastRenderedPageBreak/>
        <w:t>A successful foundation design is one that is carried to a minimum depth and width without exceeding the allowable bearing pressure of any soil layer beneath it, have settlement consistent with the supported structure and its function, and having regard to the ability of the available contractors to construct it.</w:t>
      </w:r>
    </w:p>
    <w:p w14:paraId="08AABCF1" w14:textId="4F933B4F" w:rsidR="12895DA8" w:rsidRDefault="12895DA8" w:rsidP="0033632B">
      <w:pPr>
        <w:jc w:val="both"/>
      </w:pPr>
    </w:p>
    <w:p w14:paraId="0D443E23" w14:textId="5A28806D" w:rsidR="41948EE5" w:rsidRDefault="41948EE5" w:rsidP="0033632B">
      <w:pPr>
        <w:jc w:val="both"/>
        <w:rPr>
          <w:rStyle w:val="Hyperlink"/>
          <w:rFonts w:ascii="Calibri" w:eastAsia="Calibri" w:hAnsi="Calibri" w:cs="Calibri"/>
          <w:szCs w:val="24"/>
          <w:vertAlign w:val="superscript"/>
        </w:rPr>
      </w:pPr>
      <w:r w:rsidRPr="003F22C9">
        <w:t>On the back of the site investigation, for the Innovation Matrix, a foundation of piles was the obvious solution, ‘likely to extend into the underlying dense Marine Deposits encountered from around 10mbgl….and a suspended floor slab.’</w:t>
      </w:r>
      <w:r w:rsidR="008D3B6D">
        <w:rPr>
          <w:rStyle w:val="FootnoteReference"/>
          <w:rFonts w:ascii="Calibri" w:eastAsia="Calibri" w:hAnsi="Calibri" w:cs="Calibri"/>
          <w:szCs w:val="24"/>
        </w:rPr>
        <w:footnoteReference w:id="34"/>
      </w:r>
      <w:r w:rsidRPr="49CC2455">
        <w:rPr>
          <w:rFonts w:ascii="Calibri" w:eastAsia="Calibri" w:hAnsi="Calibri" w:cs="Calibri"/>
          <w:szCs w:val="24"/>
        </w:rPr>
        <w:t xml:space="preserve">  </w:t>
      </w:r>
      <w:r w:rsidRPr="003F22C9">
        <w:t xml:space="preserve">The report noted the results of the ground investigation for the UWTSD library building, with </w:t>
      </w:r>
      <w:r w:rsidR="00CB4ED0" w:rsidRPr="003F22C9">
        <w:t>M</w:t>
      </w:r>
      <w:r w:rsidRPr="003F22C9">
        <w:t xml:space="preserve">ade </w:t>
      </w:r>
      <w:r w:rsidR="00CB4ED0" w:rsidRPr="003F22C9">
        <w:t>G</w:t>
      </w:r>
      <w:r w:rsidRPr="003F22C9">
        <w:t>round to 8 mbgl, beach/tidal flat deposits to approximately 20 mbgl and South Wales Middle Coal Deposits below that.</w:t>
      </w:r>
      <w:r w:rsidR="008D3B6D">
        <w:rPr>
          <w:rStyle w:val="FootnoteReference"/>
          <w:rFonts w:ascii="Calibri" w:eastAsia="Calibri" w:hAnsi="Calibri" w:cs="Calibri"/>
          <w:szCs w:val="24"/>
        </w:rPr>
        <w:footnoteReference w:id="35"/>
      </w:r>
      <w:r w:rsidRPr="49CC2455">
        <w:rPr>
          <w:rFonts w:ascii="Calibri" w:eastAsia="Calibri" w:hAnsi="Calibri" w:cs="Calibri"/>
          <w:szCs w:val="24"/>
        </w:rPr>
        <w:t xml:space="preserve">  </w:t>
      </w:r>
      <w:r w:rsidRPr="003F22C9">
        <w:t xml:space="preserve">For the library, the foundations solution was ‘Driven steel piles </w:t>
      </w:r>
      <w:r w:rsidR="00CB4ED0" w:rsidRPr="003F22C9">
        <w:t xml:space="preserve">… </w:t>
      </w:r>
      <w:r w:rsidRPr="003F22C9">
        <w:t>for a foundation solution with a ground bearing floor slab providing made ground excavated and replaced down to 0.5m</w:t>
      </w:r>
      <w:r w:rsidRPr="49CC2455">
        <w:rPr>
          <w:rFonts w:ascii="Calibri" w:eastAsia="Calibri" w:hAnsi="Calibri" w:cs="Calibri"/>
          <w:szCs w:val="24"/>
        </w:rPr>
        <w:t>.’</w:t>
      </w:r>
      <w:r w:rsidR="008D3B6D">
        <w:rPr>
          <w:rStyle w:val="FootnoteReference"/>
          <w:rFonts w:ascii="Calibri" w:eastAsia="Calibri" w:hAnsi="Calibri" w:cs="Calibri"/>
          <w:szCs w:val="24"/>
        </w:rPr>
        <w:footnoteReference w:id="36"/>
      </w:r>
    </w:p>
    <w:p w14:paraId="4D660DE9" w14:textId="6DC7E108" w:rsidR="2786ED76" w:rsidRPr="003F22C9" w:rsidRDefault="2786ED76" w:rsidP="0033632B">
      <w:pPr>
        <w:jc w:val="both"/>
      </w:pPr>
    </w:p>
    <w:p w14:paraId="03AAEB3A" w14:textId="795D3499" w:rsidR="5ECF6502" w:rsidRPr="00C61FF7" w:rsidRDefault="4F08C9B3" w:rsidP="0033632B">
      <w:pPr>
        <w:jc w:val="both"/>
        <w:rPr>
          <w:rFonts w:ascii="Calibri" w:eastAsia="Calibri" w:hAnsi="Calibri" w:cs="Calibri"/>
          <w:szCs w:val="24"/>
        </w:rPr>
      </w:pPr>
      <w:r w:rsidRPr="003F22C9">
        <w:t>I have some concerns about the noise generated by driving piles in an environment where there is residential and teaching accommodation, but evidently from the decisions taken in relation</w:t>
      </w:r>
      <w:r w:rsidR="40AB6944" w:rsidRPr="003F22C9">
        <w:t xml:space="preserve"> to the Innovation Matrix these are not to be considered decisive.  It is however clear that in view of the non-cohesive nature of the ground at the site, friction piles of one sort or a</w:t>
      </w:r>
      <w:r w:rsidR="7223446D" w:rsidRPr="003F22C9">
        <w:t>nother are called for</w:t>
      </w:r>
      <w:r w:rsidR="00CB4ED0">
        <w:rPr>
          <w:rFonts w:ascii="Calibri" w:eastAsia="Calibri" w:hAnsi="Calibri" w:cs="Calibri"/>
          <w:szCs w:val="24"/>
        </w:rPr>
        <w:t>.</w:t>
      </w:r>
      <w:r w:rsidR="002D669B">
        <w:rPr>
          <w:rStyle w:val="FootnoteReference"/>
          <w:rFonts w:ascii="Calibri" w:eastAsia="Calibri" w:hAnsi="Calibri" w:cs="Calibri"/>
          <w:szCs w:val="24"/>
        </w:rPr>
        <w:footnoteReference w:id="37"/>
      </w:r>
    </w:p>
    <w:p w14:paraId="2CD1E3B0" w14:textId="4E9DB626" w:rsidR="0FFD2682" w:rsidRPr="003F22C9" w:rsidRDefault="0FFD2682" w:rsidP="0033632B">
      <w:pPr>
        <w:jc w:val="both"/>
      </w:pPr>
    </w:p>
    <w:p w14:paraId="713FDCE0" w14:textId="4BCB9E64" w:rsidR="49CC2455" w:rsidRDefault="007E2E61" w:rsidP="49CC2455">
      <w:pPr>
        <w:jc w:val="both"/>
      </w:pPr>
      <w:r>
        <w:t>To produce a satisfactory foundation design fo</w:t>
      </w:r>
      <w:r w:rsidR="005C6046">
        <w:t xml:space="preserve">r the proposed lecture building would involve </w:t>
      </w:r>
      <w:r w:rsidR="00B40380">
        <w:t xml:space="preserve">expertise and calculations beyond the scope of this course.  </w:t>
      </w:r>
      <w:r w:rsidR="002E5B89">
        <w:t xml:space="preserve">I have only been asked to advise on a foundation type.  The attached </w:t>
      </w:r>
      <w:r w:rsidR="004F4858" w:rsidRPr="003F22C9">
        <w:t>foundation design</w:t>
      </w:r>
      <w:r w:rsidR="002E5B89">
        <w:t xml:space="preserve"> is presented for only indicative purposes</w:t>
      </w:r>
      <w:r w:rsidR="00297977">
        <w:t xml:space="preserve">.  It is clear that due to the non-cohesive nature of the ground at the Site, and </w:t>
      </w:r>
      <w:r w:rsidR="009A3CCB">
        <w:t>the likely weight of the steel-frame structure above, piles are the only option, and that a piling system and array falling within the ‘friction’ category of pile</w:t>
      </w:r>
      <w:r w:rsidR="00BF58B4">
        <w:t xml:space="preserve"> is required.  The specifics of the pile caps and the ground slab supported by the piles is beyond the scope of the assignment.</w:t>
      </w:r>
    </w:p>
    <w:p w14:paraId="2ADCCBC7" w14:textId="77777777" w:rsidR="00763F82" w:rsidRDefault="00763F82" w:rsidP="49CC2455">
      <w:pPr>
        <w:jc w:val="both"/>
      </w:pPr>
    </w:p>
    <w:p w14:paraId="6BD39A5A" w14:textId="77777777" w:rsidR="00763F82" w:rsidRDefault="00763F82" w:rsidP="49CC2455">
      <w:pPr>
        <w:jc w:val="both"/>
      </w:pPr>
    </w:p>
    <w:p w14:paraId="267FE82C" w14:textId="19EE8002" w:rsidR="00763F82" w:rsidRDefault="00763F82" w:rsidP="49CC2455">
      <w:pPr>
        <w:jc w:val="both"/>
        <w:rPr>
          <w:b/>
          <w:bCs/>
        </w:rPr>
      </w:pPr>
      <w:r>
        <w:rPr>
          <w:b/>
          <w:bCs/>
        </w:rPr>
        <w:t>Tom McGaw</w:t>
      </w:r>
    </w:p>
    <w:p w14:paraId="4DCC79D9" w14:textId="71984EF6" w:rsidR="00763F82" w:rsidRPr="00763F82" w:rsidRDefault="00763F82" w:rsidP="49CC2455">
      <w:pPr>
        <w:jc w:val="both"/>
        <w:rPr>
          <w:b/>
          <w:bCs/>
        </w:rPr>
      </w:pPr>
      <w:r>
        <w:rPr>
          <w:b/>
          <w:bCs/>
        </w:rPr>
        <w:t>July 2024</w:t>
      </w:r>
    </w:p>
    <w:p w14:paraId="7358F183" w14:textId="77777777" w:rsidR="004F4858" w:rsidRPr="003F22C9" w:rsidRDefault="004F4858" w:rsidP="49CC2455">
      <w:pPr>
        <w:jc w:val="both"/>
      </w:pPr>
    </w:p>
    <w:p w14:paraId="7FF6442D" w14:textId="0C4F1787" w:rsidR="49CC2455" w:rsidRDefault="00E40D7D" w:rsidP="49CC2455">
      <w:pPr>
        <w:jc w:val="both"/>
      </w:pPr>
      <w:r w:rsidRPr="00E40D7D">
        <w:lastRenderedPageBreak/>
        <w:drawing>
          <wp:inline distT="0" distB="0" distL="0" distR="0" wp14:anchorId="514645C6" wp14:editId="73C5C8C3">
            <wp:extent cx="4648603" cy="6073666"/>
            <wp:effectExtent l="0" t="0" r="0" b="3810"/>
            <wp:docPr id="445216791" name="Picture 1" descr="A drawing of a square with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216791" name="Picture 1" descr="A drawing of a square with squares&#10;&#10;Description automatically generated with medium confidence"/>
                    <pic:cNvPicPr/>
                  </pic:nvPicPr>
                  <pic:blipFill>
                    <a:blip r:embed="rId15"/>
                    <a:stretch>
                      <a:fillRect/>
                    </a:stretch>
                  </pic:blipFill>
                  <pic:spPr>
                    <a:xfrm>
                      <a:off x="0" y="0"/>
                      <a:ext cx="4648603" cy="6073666"/>
                    </a:xfrm>
                    <a:prstGeom prst="rect">
                      <a:avLst/>
                    </a:prstGeom>
                  </pic:spPr>
                </pic:pic>
              </a:graphicData>
            </a:graphic>
          </wp:inline>
        </w:drawing>
      </w:r>
    </w:p>
    <w:p w14:paraId="3DD1D1AD" w14:textId="77777777" w:rsidR="0033632B" w:rsidRDefault="0033632B" w:rsidP="00801D6E">
      <w:pPr>
        <w:jc w:val="both"/>
      </w:pPr>
    </w:p>
    <w:p w14:paraId="1871E6B5" w14:textId="77777777" w:rsidR="0033632B" w:rsidRDefault="0033632B" w:rsidP="00801D6E">
      <w:pPr>
        <w:jc w:val="both"/>
      </w:pPr>
    </w:p>
    <w:p w14:paraId="481D17F0" w14:textId="77777777" w:rsidR="0033632B" w:rsidRDefault="0033632B" w:rsidP="00801D6E">
      <w:pPr>
        <w:jc w:val="both"/>
      </w:pPr>
    </w:p>
    <w:p w14:paraId="7A8E1223" w14:textId="77777777" w:rsidR="0033632B" w:rsidRDefault="0033632B" w:rsidP="00801D6E">
      <w:pPr>
        <w:jc w:val="both"/>
      </w:pPr>
    </w:p>
    <w:p w14:paraId="34D2D19B" w14:textId="1F2C1E2B" w:rsidR="00AD5923" w:rsidRPr="00801D6E" w:rsidRDefault="00AD5923" w:rsidP="00801D6E">
      <w:pPr>
        <w:jc w:val="both"/>
      </w:pPr>
      <w:r w:rsidRPr="00801D6E">
        <w:t> </w:t>
      </w:r>
    </w:p>
    <w:p w14:paraId="1699918C" w14:textId="77777777" w:rsidR="00B14587" w:rsidRDefault="00B14587" w:rsidP="00787ACF">
      <w:pPr>
        <w:jc w:val="both"/>
      </w:pPr>
    </w:p>
    <w:p w14:paraId="1C71702B" w14:textId="77777777" w:rsidR="00B14587" w:rsidRDefault="00B14587" w:rsidP="00787ACF">
      <w:pPr>
        <w:jc w:val="both"/>
      </w:pPr>
    </w:p>
    <w:p w14:paraId="46E8DFF6" w14:textId="77777777" w:rsidR="00B14587" w:rsidRDefault="00B14587" w:rsidP="001D09D5">
      <w:pPr>
        <w:jc w:val="both"/>
      </w:pPr>
    </w:p>
    <w:p w14:paraId="6EE4BF00" w14:textId="77777777" w:rsidR="00B14587" w:rsidRDefault="00B14587" w:rsidP="001D09D5">
      <w:pPr>
        <w:jc w:val="both"/>
      </w:pPr>
    </w:p>
    <w:p w14:paraId="01438FF9" w14:textId="77777777" w:rsidR="00B52339" w:rsidRDefault="00B52339" w:rsidP="001D09D5">
      <w:pPr>
        <w:jc w:val="both"/>
      </w:pPr>
    </w:p>
    <w:p w14:paraId="227602E3" w14:textId="77777777" w:rsidR="00B52339" w:rsidRDefault="00B52339" w:rsidP="001D09D5">
      <w:pPr>
        <w:jc w:val="both"/>
      </w:pPr>
    </w:p>
    <w:p w14:paraId="5F4AF14E" w14:textId="77777777" w:rsidR="00B52339" w:rsidRDefault="00B52339" w:rsidP="001D09D5">
      <w:pPr>
        <w:jc w:val="both"/>
      </w:pPr>
    </w:p>
    <w:p w14:paraId="5C1EC54F" w14:textId="77777777" w:rsidR="008D3B6D" w:rsidRDefault="008D3B6D" w:rsidP="001D09D5">
      <w:pPr>
        <w:jc w:val="both"/>
      </w:pPr>
    </w:p>
    <w:p w14:paraId="261202F1" w14:textId="77777777" w:rsidR="008D3B6D" w:rsidRDefault="008D3B6D" w:rsidP="001D09D5">
      <w:pPr>
        <w:jc w:val="both"/>
      </w:pPr>
    </w:p>
    <w:p w14:paraId="45E88D7C" w14:textId="77777777" w:rsidR="008D3B6D" w:rsidRDefault="008D3B6D" w:rsidP="001D09D5">
      <w:pPr>
        <w:jc w:val="both"/>
      </w:pPr>
    </w:p>
    <w:p w14:paraId="5A4F1093" w14:textId="77777777" w:rsidR="00122CD6" w:rsidRDefault="00122CD6" w:rsidP="001D09D5">
      <w:pPr>
        <w:jc w:val="both"/>
      </w:pPr>
    </w:p>
    <w:p w14:paraId="5AEEAA7D" w14:textId="77777777" w:rsidR="00122CD6" w:rsidRDefault="00122CD6" w:rsidP="001D09D5">
      <w:pPr>
        <w:jc w:val="both"/>
      </w:pPr>
    </w:p>
    <w:p w14:paraId="161035C2" w14:textId="77777777" w:rsidR="00122CD6" w:rsidRDefault="00122CD6" w:rsidP="001D09D5">
      <w:pPr>
        <w:jc w:val="both"/>
      </w:pPr>
    </w:p>
    <w:p w14:paraId="725F39C4" w14:textId="4D1DBEFB" w:rsidR="001A45B6" w:rsidRPr="00FA56A1" w:rsidRDefault="00B14587" w:rsidP="00FA56A1">
      <w:pPr>
        <w:pStyle w:val="Heading1"/>
        <w:jc w:val="both"/>
      </w:pPr>
      <w:bookmarkStart w:id="10" w:name="_Toc172564884"/>
      <w:r>
        <w:t>Reference list</w:t>
      </w:r>
      <w:bookmarkEnd w:id="10"/>
    </w:p>
    <w:p w14:paraId="1F283445" w14:textId="35DFB0C8" w:rsidR="00302560" w:rsidRPr="00FA56A1" w:rsidRDefault="00302560" w:rsidP="00302560">
      <w:pPr>
        <w:pStyle w:val="FootnoteText"/>
        <w:jc w:val="both"/>
        <w:rPr>
          <w:sz w:val="22"/>
          <w:szCs w:val="22"/>
        </w:rPr>
      </w:pPr>
      <w:r w:rsidRPr="00FA56A1">
        <w:rPr>
          <w:sz w:val="22"/>
          <w:szCs w:val="22"/>
        </w:rPr>
        <w:t xml:space="preserve">Anonymous. </w:t>
      </w:r>
      <w:r w:rsidRPr="00FA56A1">
        <w:rPr>
          <w:i/>
          <w:iCs/>
          <w:sz w:val="22"/>
          <w:szCs w:val="22"/>
        </w:rPr>
        <w:t>‘A Stroll along the prom – Swansea Bay’</w:t>
      </w:r>
      <w:r w:rsidRPr="00FA56A1">
        <w:rPr>
          <w:sz w:val="22"/>
          <w:szCs w:val="22"/>
        </w:rPr>
        <w:t xml:space="preserve">. Accessed at: </w:t>
      </w:r>
      <w:hyperlink r:id="rId16" w:history="1">
        <w:r w:rsidRPr="00FA56A1">
          <w:rPr>
            <w:rStyle w:val="Hyperlink"/>
            <w:sz w:val="22"/>
            <w:szCs w:val="22"/>
          </w:rPr>
          <w:t>https://www.geolsoc.org.uk/GowerTour1</w:t>
        </w:r>
      </w:hyperlink>
      <w:r w:rsidRPr="00FA56A1">
        <w:rPr>
          <w:sz w:val="22"/>
          <w:szCs w:val="22"/>
        </w:rPr>
        <w:t xml:space="preserve"> .</w:t>
      </w:r>
    </w:p>
    <w:p w14:paraId="515B205D" w14:textId="77777777" w:rsidR="00302560" w:rsidRDefault="00302560" w:rsidP="00302560">
      <w:pPr>
        <w:pStyle w:val="FootnoteText"/>
        <w:jc w:val="both"/>
        <w:rPr>
          <w:rFonts w:cstheme="minorHAnsi"/>
          <w:color w:val="000000"/>
          <w:sz w:val="22"/>
          <w:szCs w:val="22"/>
          <w:shd w:val="clear" w:color="auto" w:fill="FFFFFF"/>
        </w:rPr>
      </w:pPr>
    </w:p>
    <w:p w14:paraId="19D80EB8" w14:textId="10B972A7" w:rsidR="00D36414" w:rsidRDefault="00D36414" w:rsidP="00302560">
      <w:pPr>
        <w:pStyle w:val="FootnoteText"/>
        <w:jc w:val="both"/>
        <w:rPr>
          <w:i/>
          <w:iCs/>
          <w:sz w:val="22"/>
          <w:szCs w:val="22"/>
        </w:rPr>
      </w:pPr>
      <w:r w:rsidRPr="00FA56A1">
        <w:rPr>
          <w:sz w:val="22"/>
          <w:szCs w:val="22"/>
        </w:rPr>
        <w:t>Alban</w:t>
      </w:r>
      <w:r>
        <w:rPr>
          <w:sz w:val="22"/>
          <w:szCs w:val="22"/>
        </w:rPr>
        <w:t xml:space="preserve"> JR</w:t>
      </w:r>
      <w:r w:rsidRPr="00FA56A1">
        <w:rPr>
          <w:sz w:val="22"/>
          <w:szCs w:val="22"/>
        </w:rPr>
        <w:t xml:space="preserve">. (1994) pp.7, pp.38. </w:t>
      </w:r>
      <w:r w:rsidRPr="00FA56A1">
        <w:rPr>
          <w:i/>
          <w:iCs/>
          <w:sz w:val="22"/>
          <w:szCs w:val="22"/>
        </w:rPr>
        <w:t>The ‘Three Nights’ Blitz’.  Select Contemporary Reports Relating to Swansea’s Air Raids of February 1941</w:t>
      </w:r>
      <w:r>
        <w:rPr>
          <w:i/>
          <w:iCs/>
          <w:sz w:val="22"/>
          <w:szCs w:val="22"/>
        </w:rPr>
        <w:t>.</w:t>
      </w:r>
    </w:p>
    <w:p w14:paraId="1F628E5A" w14:textId="77777777" w:rsidR="00011894" w:rsidRPr="00FA56A1" w:rsidRDefault="00011894" w:rsidP="00011894">
      <w:pPr>
        <w:pStyle w:val="FootnoteText"/>
        <w:jc w:val="both"/>
        <w:rPr>
          <w:sz w:val="22"/>
          <w:szCs w:val="22"/>
        </w:rPr>
      </w:pPr>
    </w:p>
    <w:p w14:paraId="22FBCA85" w14:textId="77777777" w:rsidR="00011894" w:rsidRPr="00FA56A1" w:rsidRDefault="00011894" w:rsidP="00011894">
      <w:pPr>
        <w:pStyle w:val="FootnoteText"/>
        <w:jc w:val="both"/>
        <w:rPr>
          <w:rFonts w:cstheme="minorHAnsi"/>
          <w:color w:val="000000"/>
          <w:sz w:val="22"/>
          <w:szCs w:val="22"/>
          <w:shd w:val="clear" w:color="auto" w:fill="FFFFFF"/>
        </w:rPr>
      </w:pPr>
      <w:r w:rsidRPr="00FA56A1">
        <w:rPr>
          <w:rFonts w:cstheme="minorHAnsi"/>
          <w:color w:val="000000"/>
          <w:sz w:val="22"/>
          <w:szCs w:val="22"/>
          <w:shd w:val="clear" w:color="auto" w:fill="FFFFFF"/>
        </w:rPr>
        <w:t>Barclay</w:t>
      </w:r>
      <w:r>
        <w:rPr>
          <w:rFonts w:cstheme="minorHAnsi"/>
          <w:color w:val="000000"/>
          <w:sz w:val="22"/>
          <w:szCs w:val="22"/>
          <w:shd w:val="clear" w:color="auto" w:fill="FFFFFF"/>
        </w:rPr>
        <w:t xml:space="preserve"> WJ</w:t>
      </w:r>
      <w:r w:rsidRPr="00FA56A1">
        <w:rPr>
          <w:rFonts w:cstheme="minorHAnsi"/>
          <w:color w:val="000000"/>
          <w:sz w:val="22"/>
          <w:szCs w:val="22"/>
          <w:shd w:val="clear" w:color="auto" w:fill="FFFFFF"/>
        </w:rPr>
        <w:t>. (2011). pp.6 et seq. ‘</w:t>
      </w:r>
      <w:r w:rsidRPr="00FA56A1">
        <w:rPr>
          <w:rFonts w:cstheme="minorHAnsi"/>
          <w:i/>
          <w:iCs/>
          <w:color w:val="000000"/>
          <w:sz w:val="22"/>
          <w:szCs w:val="22"/>
          <w:shd w:val="clear" w:color="auto" w:fill="FFFFFF"/>
        </w:rPr>
        <w:t>Geology of the Swansea district — a brief explanation of the geological map’</w:t>
      </w:r>
      <w:r w:rsidRPr="00FA56A1">
        <w:rPr>
          <w:rFonts w:cstheme="minorHAnsi"/>
          <w:color w:val="000000"/>
          <w:sz w:val="22"/>
          <w:szCs w:val="22"/>
          <w:shd w:val="clear" w:color="auto" w:fill="FFFFFF"/>
        </w:rPr>
        <w:t>. Sheet Explanation of the British Geological Survey. 1:50 000 Sheet 247 Swansea (England and Wales).</w:t>
      </w:r>
    </w:p>
    <w:p w14:paraId="29ABD6AD" w14:textId="77777777" w:rsidR="00D36414" w:rsidRPr="00FA56A1" w:rsidRDefault="00D36414" w:rsidP="00302560">
      <w:pPr>
        <w:pStyle w:val="FootnoteText"/>
        <w:jc w:val="both"/>
        <w:rPr>
          <w:rFonts w:cstheme="minorHAnsi"/>
          <w:color w:val="000000"/>
          <w:sz w:val="22"/>
          <w:szCs w:val="22"/>
          <w:shd w:val="clear" w:color="auto" w:fill="FFFFFF"/>
        </w:rPr>
      </w:pPr>
    </w:p>
    <w:p w14:paraId="05E7B7E0" w14:textId="5D1F91C6" w:rsidR="00302560" w:rsidRPr="00FA56A1" w:rsidRDefault="00302560" w:rsidP="00302560">
      <w:pPr>
        <w:pStyle w:val="FootnoteText"/>
        <w:jc w:val="both"/>
        <w:rPr>
          <w:sz w:val="22"/>
          <w:szCs w:val="22"/>
        </w:rPr>
      </w:pPr>
      <w:r w:rsidRPr="00FA56A1">
        <w:rPr>
          <w:rFonts w:cstheme="minorHAnsi"/>
          <w:color w:val="000000"/>
          <w:sz w:val="22"/>
          <w:szCs w:val="22"/>
          <w:shd w:val="clear" w:color="auto" w:fill="FFFFFF"/>
        </w:rPr>
        <w:t>CN Waters et al. ‘</w:t>
      </w:r>
      <w:r w:rsidRPr="00FA56A1">
        <w:rPr>
          <w:rFonts w:cstheme="minorHAnsi"/>
          <w:i/>
          <w:iCs/>
          <w:color w:val="000000"/>
          <w:sz w:val="22"/>
          <w:szCs w:val="22"/>
          <w:shd w:val="clear" w:color="auto" w:fill="FFFFFF"/>
        </w:rPr>
        <w:t>Urban Geology of Swansea and Port Talbot</w:t>
      </w:r>
      <w:r w:rsidRPr="00FA56A1">
        <w:rPr>
          <w:rFonts w:cstheme="minorHAnsi"/>
          <w:color w:val="000000"/>
          <w:sz w:val="22"/>
          <w:szCs w:val="22"/>
          <w:shd w:val="clear" w:color="auto" w:fill="FFFFFF"/>
        </w:rPr>
        <w:t xml:space="preserve">’, Accessed at: </w:t>
      </w:r>
      <w:hyperlink r:id="rId17" w:history="1">
        <w:r w:rsidRPr="00FA56A1">
          <w:rPr>
            <w:rStyle w:val="Hyperlink"/>
            <w:rFonts w:cstheme="minorHAnsi"/>
            <w:sz w:val="22"/>
            <w:szCs w:val="22"/>
            <w:shd w:val="clear" w:color="auto" w:fill="FFFFFF"/>
          </w:rPr>
          <w:t>https://nora.nerc.ac.uk/id/eprint/504837/1/Swansea%20NORA%20entry.pdf</w:t>
        </w:r>
      </w:hyperlink>
    </w:p>
    <w:p w14:paraId="433184A1" w14:textId="77777777" w:rsidR="00302560" w:rsidRPr="00FA56A1" w:rsidRDefault="00302560" w:rsidP="001D09D5">
      <w:pPr>
        <w:jc w:val="both"/>
        <w:rPr>
          <w:rFonts w:ascii="Arial" w:hAnsi="Arial" w:cs="Arial"/>
          <w:sz w:val="22"/>
          <w:szCs w:val="22"/>
        </w:rPr>
      </w:pPr>
    </w:p>
    <w:p w14:paraId="043521E9" w14:textId="003A7151" w:rsidR="00302560" w:rsidRPr="00FA56A1" w:rsidRDefault="00302560" w:rsidP="00302560">
      <w:pPr>
        <w:pStyle w:val="FootnoteText"/>
        <w:jc w:val="both"/>
        <w:rPr>
          <w:sz w:val="22"/>
          <w:szCs w:val="22"/>
        </w:rPr>
      </w:pPr>
      <w:r w:rsidRPr="00FA56A1">
        <w:rPr>
          <w:sz w:val="22"/>
          <w:szCs w:val="22"/>
        </w:rPr>
        <w:t>Earth Science Partnership.  ‘</w:t>
      </w:r>
      <w:r w:rsidRPr="00FA56A1">
        <w:rPr>
          <w:i/>
          <w:iCs/>
          <w:sz w:val="22"/>
          <w:szCs w:val="22"/>
        </w:rPr>
        <w:t>UXO and Development Risk</w:t>
      </w:r>
      <w:r w:rsidRPr="00FA56A1">
        <w:rPr>
          <w:sz w:val="22"/>
          <w:szCs w:val="22"/>
        </w:rPr>
        <w:t xml:space="preserve">’. Accessed at: </w:t>
      </w:r>
      <w:hyperlink r:id="rId18" w:history="1">
        <w:r w:rsidRPr="00FA56A1">
          <w:rPr>
            <w:rStyle w:val="Hyperlink"/>
            <w:sz w:val="22"/>
            <w:szCs w:val="22"/>
          </w:rPr>
          <w:t>https://www.earthsciencepartnership.co.uk/projects/uxo-and-development-risk/</w:t>
        </w:r>
      </w:hyperlink>
      <w:r w:rsidRPr="00FA56A1">
        <w:rPr>
          <w:sz w:val="22"/>
          <w:szCs w:val="22"/>
        </w:rPr>
        <w:t xml:space="preserve">. </w:t>
      </w:r>
    </w:p>
    <w:p w14:paraId="122A901F" w14:textId="77777777" w:rsidR="00302560" w:rsidRDefault="00302560" w:rsidP="001D09D5">
      <w:pPr>
        <w:jc w:val="both"/>
        <w:rPr>
          <w:rFonts w:ascii="Arial" w:hAnsi="Arial" w:cs="Arial"/>
          <w:sz w:val="22"/>
          <w:szCs w:val="22"/>
        </w:rPr>
      </w:pPr>
    </w:p>
    <w:p w14:paraId="77FEE9DC" w14:textId="77777777" w:rsidR="00240536" w:rsidRPr="00FA56A1" w:rsidRDefault="00240536" w:rsidP="00240536">
      <w:pPr>
        <w:pStyle w:val="FootnoteText"/>
        <w:jc w:val="both"/>
        <w:rPr>
          <w:sz w:val="22"/>
          <w:szCs w:val="22"/>
        </w:rPr>
      </w:pPr>
      <w:r w:rsidRPr="00FA56A1">
        <w:rPr>
          <w:sz w:val="22"/>
          <w:szCs w:val="22"/>
        </w:rPr>
        <w:t>Francheteau</w:t>
      </w:r>
      <w:r>
        <w:rPr>
          <w:sz w:val="22"/>
          <w:szCs w:val="22"/>
        </w:rPr>
        <w:t xml:space="preserve"> SE</w:t>
      </w:r>
      <w:r w:rsidRPr="00FA56A1">
        <w:rPr>
          <w:sz w:val="22"/>
          <w:szCs w:val="22"/>
        </w:rPr>
        <w:t xml:space="preserve">. (MA thesis 1994) pp.127. </w:t>
      </w:r>
      <w:r w:rsidRPr="00FA56A1">
        <w:rPr>
          <w:i/>
          <w:iCs/>
          <w:sz w:val="22"/>
          <w:szCs w:val="22"/>
        </w:rPr>
        <w:t>History of the Industrial Hinterland and Port of Swansea from 1700 to 1925.</w:t>
      </w:r>
    </w:p>
    <w:p w14:paraId="4E3F9333" w14:textId="77777777" w:rsidR="00240536" w:rsidRPr="00FA56A1" w:rsidRDefault="00240536" w:rsidP="001D09D5">
      <w:pPr>
        <w:jc w:val="both"/>
        <w:rPr>
          <w:rFonts w:ascii="Arial" w:hAnsi="Arial" w:cs="Arial"/>
          <w:sz w:val="22"/>
          <w:szCs w:val="22"/>
        </w:rPr>
      </w:pPr>
    </w:p>
    <w:p w14:paraId="70A53F75" w14:textId="36668F3F" w:rsidR="00302560" w:rsidRPr="00FA56A1" w:rsidRDefault="00302560" w:rsidP="00302560">
      <w:pPr>
        <w:pStyle w:val="FootnoteText"/>
        <w:jc w:val="both"/>
        <w:rPr>
          <w:i/>
          <w:iCs/>
          <w:sz w:val="22"/>
          <w:szCs w:val="22"/>
        </w:rPr>
      </w:pPr>
      <w:r w:rsidRPr="00FA56A1">
        <w:rPr>
          <w:sz w:val="22"/>
          <w:szCs w:val="22"/>
        </w:rPr>
        <w:t xml:space="preserve">Hallett </w:t>
      </w:r>
      <w:r w:rsidR="001E4A6B">
        <w:rPr>
          <w:sz w:val="22"/>
          <w:szCs w:val="22"/>
        </w:rPr>
        <w:t xml:space="preserve">G </w:t>
      </w:r>
      <w:r w:rsidRPr="00FA56A1">
        <w:rPr>
          <w:sz w:val="22"/>
          <w:szCs w:val="22"/>
        </w:rPr>
        <w:t>and Randall</w:t>
      </w:r>
      <w:r w:rsidR="001E4A6B">
        <w:rPr>
          <w:sz w:val="22"/>
          <w:szCs w:val="22"/>
        </w:rPr>
        <w:t xml:space="preserve"> P</w:t>
      </w:r>
      <w:r w:rsidRPr="00FA56A1">
        <w:rPr>
          <w:sz w:val="22"/>
          <w:szCs w:val="22"/>
        </w:rPr>
        <w:t xml:space="preserve">. (1970). pp.43. </w:t>
      </w:r>
      <w:r w:rsidRPr="00FA56A1">
        <w:rPr>
          <w:i/>
          <w:iCs/>
          <w:sz w:val="22"/>
          <w:szCs w:val="22"/>
        </w:rPr>
        <w:t>Maritime Industry and Port Development in South Wales.</w:t>
      </w:r>
    </w:p>
    <w:p w14:paraId="33AE150A" w14:textId="77777777" w:rsidR="00011894" w:rsidRDefault="00011894" w:rsidP="00011894">
      <w:pPr>
        <w:jc w:val="both"/>
        <w:rPr>
          <w:sz w:val="22"/>
          <w:szCs w:val="22"/>
        </w:rPr>
      </w:pPr>
    </w:p>
    <w:p w14:paraId="1A0E2DD0" w14:textId="00861A5D" w:rsidR="00011894" w:rsidRPr="00FA56A1" w:rsidRDefault="00011894" w:rsidP="00011894">
      <w:pPr>
        <w:jc w:val="both"/>
        <w:rPr>
          <w:sz w:val="22"/>
          <w:szCs w:val="22"/>
        </w:rPr>
      </w:pPr>
      <w:r w:rsidRPr="00FA56A1">
        <w:rPr>
          <w:sz w:val="22"/>
          <w:szCs w:val="22"/>
        </w:rPr>
        <w:t>Jones</w:t>
      </w:r>
      <w:r>
        <w:rPr>
          <w:sz w:val="22"/>
          <w:szCs w:val="22"/>
        </w:rPr>
        <w:t xml:space="preserve"> WH</w:t>
      </w:r>
      <w:r w:rsidRPr="00FA56A1">
        <w:rPr>
          <w:sz w:val="22"/>
          <w:szCs w:val="22"/>
        </w:rPr>
        <w:t xml:space="preserve">. (Carmarthen 1922). </w:t>
      </w:r>
      <w:r w:rsidRPr="00FA56A1">
        <w:rPr>
          <w:i/>
          <w:iCs/>
          <w:sz w:val="22"/>
          <w:szCs w:val="22"/>
        </w:rPr>
        <w:t xml:space="preserve">History of the Port of </w:t>
      </w:r>
      <w:r w:rsidRPr="00FA56A1">
        <w:rPr>
          <w:sz w:val="22"/>
          <w:szCs w:val="22"/>
        </w:rPr>
        <w:t>Swansea.</w:t>
      </w:r>
    </w:p>
    <w:p w14:paraId="0AB9D7C6" w14:textId="77777777" w:rsidR="000610DA" w:rsidRPr="00FA56A1" w:rsidRDefault="000610DA" w:rsidP="001D09D5">
      <w:pPr>
        <w:jc w:val="both"/>
        <w:rPr>
          <w:rFonts w:ascii="Arial" w:hAnsi="Arial" w:cs="Arial"/>
          <w:sz w:val="22"/>
          <w:szCs w:val="22"/>
        </w:rPr>
      </w:pPr>
    </w:p>
    <w:p w14:paraId="279E17D9" w14:textId="3BC2BA5D" w:rsidR="00C043B9" w:rsidRPr="00FA56A1" w:rsidRDefault="00C043B9" w:rsidP="001D09D5">
      <w:pPr>
        <w:jc w:val="both"/>
        <w:rPr>
          <w:sz w:val="22"/>
          <w:szCs w:val="22"/>
        </w:rPr>
      </w:pPr>
      <w:r w:rsidRPr="00FA56A1">
        <w:rPr>
          <w:sz w:val="22"/>
          <w:szCs w:val="22"/>
        </w:rPr>
        <w:t xml:space="preserve">Museum Wales. </w:t>
      </w:r>
      <w:r w:rsidRPr="00FA56A1">
        <w:rPr>
          <w:i/>
          <w:iCs/>
          <w:sz w:val="22"/>
          <w:szCs w:val="22"/>
        </w:rPr>
        <w:t>Amgueddfa Cymru - National Museum Wales Preparing for the Global Citizenship Mini Challenge.</w:t>
      </w:r>
      <w:r w:rsidRPr="00FA56A1">
        <w:rPr>
          <w:sz w:val="22"/>
          <w:szCs w:val="22"/>
        </w:rPr>
        <w:t xml:space="preserve"> Accessed at: </w:t>
      </w:r>
      <w:hyperlink r:id="rId19" w:history="1">
        <w:r w:rsidRPr="00FA56A1">
          <w:rPr>
            <w:rStyle w:val="Hyperlink"/>
            <w:sz w:val="22"/>
            <w:szCs w:val="22"/>
          </w:rPr>
          <w:t>https://museum.wales/media/38762/Swansea-source.pdf</w:t>
        </w:r>
      </w:hyperlink>
      <w:r w:rsidRPr="00FA56A1">
        <w:rPr>
          <w:sz w:val="22"/>
          <w:szCs w:val="22"/>
        </w:rPr>
        <w:t xml:space="preserve">  (p</w:t>
      </w:r>
      <w:r w:rsidR="00ED58DD">
        <w:rPr>
          <w:sz w:val="22"/>
          <w:szCs w:val="22"/>
        </w:rPr>
        <w:t>p.</w:t>
      </w:r>
      <w:r w:rsidRPr="00FA56A1">
        <w:rPr>
          <w:sz w:val="22"/>
          <w:szCs w:val="22"/>
        </w:rPr>
        <w:t xml:space="preserve"> 3</w:t>
      </w:r>
      <w:r w:rsidR="00ED58DD">
        <w:rPr>
          <w:sz w:val="22"/>
          <w:szCs w:val="22"/>
        </w:rPr>
        <w:t>,</w:t>
      </w:r>
      <w:r w:rsidRPr="00FA56A1">
        <w:rPr>
          <w:sz w:val="22"/>
          <w:szCs w:val="22"/>
        </w:rPr>
        <w:t xml:space="preserve"> 4)</w:t>
      </w:r>
      <w:r w:rsidR="00ED58DD">
        <w:rPr>
          <w:sz w:val="22"/>
          <w:szCs w:val="22"/>
        </w:rPr>
        <w:t>.</w:t>
      </w:r>
    </w:p>
    <w:p w14:paraId="279CD8DC" w14:textId="77777777" w:rsidR="00FA56A1" w:rsidRPr="00FA56A1" w:rsidRDefault="00FA56A1" w:rsidP="00FA56A1">
      <w:pPr>
        <w:pStyle w:val="FootnoteText"/>
        <w:jc w:val="both"/>
        <w:rPr>
          <w:sz w:val="22"/>
          <w:szCs w:val="22"/>
        </w:rPr>
      </w:pPr>
    </w:p>
    <w:p w14:paraId="47384318" w14:textId="77777777" w:rsidR="00FA56A1" w:rsidRDefault="00FA56A1" w:rsidP="00FA56A1">
      <w:pPr>
        <w:pStyle w:val="FootnoteText"/>
        <w:jc w:val="both"/>
        <w:rPr>
          <w:i/>
          <w:iCs/>
          <w:sz w:val="22"/>
          <w:szCs w:val="22"/>
        </w:rPr>
      </w:pPr>
      <w:r w:rsidRPr="00FA56A1">
        <w:rPr>
          <w:sz w:val="22"/>
          <w:szCs w:val="22"/>
        </w:rPr>
        <w:t xml:space="preserve">RDF Bromley and G Humphreys edd. (1979) pp.23-24. </w:t>
      </w:r>
      <w:r w:rsidRPr="00FA56A1">
        <w:rPr>
          <w:i/>
          <w:iCs/>
          <w:sz w:val="22"/>
          <w:szCs w:val="22"/>
        </w:rPr>
        <w:t>Dealing with Dereliction.  The Redevelopment of the Lower Swansea Valley.</w:t>
      </w:r>
    </w:p>
    <w:p w14:paraId="767FB4D4" w14:textId="77777777" w:rsidR="00990CDB" w:rsidRDefault="00990CDB" w:rsidP="00FA56A1">
      <w:pPr>
        <w:pStyle w:val="FootnoteText"/>
        <w:jc w:val="both"/>
        <w:rPr>
          <w:i/>
          <w:iCs/>
          <w:sz w:val="22"/>
          <w:szCs w:val="22"/>
        </w:rPr>
      </w:pPr>
    </w:p>
    <w:p w14:paraId="3A582234" w14:textId="3CFE1FEA" w:rsidR="00990CDB" w:rsidRPr="00FA56A1" w:rsidRDefault="00990CDB" w:rsidP="00990CDB">
      <w:pPr>
        <w:jc w:val="both"/>
        <w:rPr>
          <w:i/>
          <w:iCs/>
          <w:sz w:val="22"/>
          <w:szCs w:val="22"/>
        </w:rPr>
      </w:pPr>
      <w:r w:rsidRPr="00FA56A1">
        <w:rPr>
          <w:sz w:val="22"/>
          <w:szCs w:val="22"/>
        </w:rPr>
        <w:t>Rees</w:t>
      </w:r>
      <w:r>
        <w:rPr>
          <w:sz w:val="22"/>
          <w:szCs w:val="22"/>
        </w:rPr>
        <w:t xml:space="preserve"> </w:t>
      </w:r>
      <w:r w:rsidRPr="00FA56A1">
        <w:rPr>
          <w:sz w:val="22"/>
          <w:szCs w:val="22"/>
        </w:rPr>
        <w:t xml:space="preserve">DM. (1975) pp.211. </w:t>
      </w:r>
      <w:r w:rsidRPr="00FA56A1">
        <w:rPr>
          <w:i/>
          <w:iCs/>
          <w:sz w:val="22"/>
          <w:szCs w:val="22"/>
        </w:rPr>
        <w:t>The Industrial Archaeology of Wales.</w:t>
      </w:r>
    </w:p>
    <w:p w14:paraId="4558565A" w14:textId="77777777" w:rsidR="00894BCC" w:rsidRDefault="00894BCC" w:rsidP="001D09D5">
      <w:pPr>
        <w:jc w:val="both"/>
        <w:rPr>
          <w:rFonts w:ascii="Arial" w:hAnsi="Arial" w:cs="Arial"/>
          <w:sz w:val="22"/>
          <w:szCs w:val="22"/>
        </w:rPr>
      </w:pPr>
    </w:p>
    <w:p w14:paraId="113D8B37" w14:textId="1C784C93" w:rsidR="004623C3" w:rsidRDefault="004623C3" w:rsidP="00AB771C">
      <w:pPr>
        <w:rPr>
          <w:rFonts w:ascii="Arial" w:hAnsi="Arial" w:cs="Arial"/>
          <w:sz w:val="22"/>
          <w:szCs w:val="22"/>
        </w:rPr>
      </w:pPr>
      <w:r>
        <w:rPr>
          <w:rFonts w:ascii="Arial" w:hAnsi="Arial" w:cs="Arial"/>
          <w:sz w:val="22"/>
          <w:szCs w:val="22"/>
        </w:rPr>
        <w:t>Swansea Council</w:t>
      </w:r>
      <w:r w:rsidR="00372592">
        <w:rPr>
          <w:rFonts w:ascii="Arial" w:hAnsi="Arial" w:cs="Arial"/>
          <w:sz w:val="22"/>
          <w:szCs w:val="22"/>
        </w:rPr>
        <w:t xml:space="preserve"> Planning Department.</w:t>
      </w:r>
    </w:p>
    <w:p w14:paraId="414CF15C" w14:textId="77777777" w:rsidR="00372592" w:rsidRDefault="00372592" w:rsidP="001D09D5">
      <w:pPr>
        <w:jc w:val="both"/>
        <w:rPr>
          <w:rFonts w:ascii="Arial" w:hAnsi="Arial" w:cs="Arial"/>
          <w:sz w:val="22"/>
          <w:szCs w:val="22"/>
        </w:rPr>
      </w:pPr>
    </w:p>
    <w:p w14:paraId="779CA60C" w14:textId="73ECEC3C" w:rsidR="005A3AE8" w:rsidRDefault="005A3AE8" w:rsidP="001726EF">
      <w:pPr>
        <w:ind w:firstLine="720"/>
        <w:jc w:val="both"/>
        <w:rPr>
          <w:rFonts w:ascii="Arial" w:hAnsi="Arial" w:cs="Arial"/>
          <w:sz w:val="22"/>
          <w:szCs w:val="22"/>
        </w:rPr>
      </w:pPr>
      <w:r>
        <w:rPr>
          <w:rFonts w:ascii="Arial" w:hAnsi="Arial" w:cs="Arial"/>
          <w:sz w:val="22"/>
          <w:szCs w:val="22"/>
        </w:rPr>
        <w:t>Planning decision</w:t>
      </w:r>
      <w:r w:rsidR="005B0AB4">
        <w:rPr>
          <w:rFonts w:ascii="Arial" w:hAnsi="Arial" w:cs="Arial"/>
          <w:sz w:val="22"/>
          <w:szCs w:val="22"/>
        </w:rPr>
        <w:t xml:space="preserve"> 2007/0151</w:t>
      </w:r>
    </w:p>
    <w:p w14:paraId="1EA924C8" w14:textId="032AACC7" w:rsidR="00102BCE" w:rsidRDefault="00102BCE" w:rsidP="001726EF">
      <w:pPr>
        <w:ind w:firstLine="720"/>
        <w:jc w:val="both"/>
        <w:rPr>
          <w:rFonts w:ascii="Arial" w:hAnsi="Arial" w:cs="Arial"/>
          <w:sz w:val="22"/>
          <w:szCs w:val="22"/>
        </w:rPr>
      </w:pPr>
      <w:r>
        <w:rPr>
          <w:rFonts w:ascii="Arial" w:hAnsi="Arial" w:cs="Arial"/>
          <w:sz w:val="22"/>
          <w:szCs w:val="22"/>
        </w:rPr>
        <w:t>Planning decision</w:t>
      </w:r>
      <w:r w:rsidR="001C6CF2">
        <w:rPr>
          <w:rFonts w:ascii="Arial" w:hAnsi="Arial" w:cs="Arial"/>
          <w:sz w:val="22"/>
          <w:szCs w:val="22"/>
        </w:rPr>
        <w:t xml:space="preserve"> 2007/2848</w:t>
      </w:r>
    </w:p>
    <w:p w14:paraId="3A57CE42" w14:textId="4A13E09C" w:rsidR="003617AE" w:rsidRDefault="003617AE" w:rsidP="001726EF">
      <w:pPr>
        <w:ind w:firstLine="720"/>
        <w:jc w:val="both"/>
        <w:rPr>
          <w:rFonts w:ascii="Arial" w:hAnsi="Arial" w:cs="Arial"/>
          <w:sz w:val="22"/>
          <w:szCs w:val="22"/>
        </w:rPr>
      </w:pPr>
      <w:r>
        <w:rPr>
          <w:rFonts w:ascii="Arial" w:hAnsi="Arial" w:cs="Arial"/>
          <w:sz w:val="22"/>
          <w:szCs w:val="22"/>
        </w:rPr>
        <w:t>Planning decision ref 2013/1543</w:t>
      </w:r>
    </w:p>
    <w:p w14:paraId="38CE8605" w14:textId="2C963C5E" w:rsidR="005B0AB4" w:rsidRDefault="005B0AB4" w:rsidP="001726EF">
      <w:pPr>
        <w:ind w:firstLine="720"/>
        <w:jc w:val="both"/>
        <w:rPr>
          <w:rFonts w:ascii="Arial" w:hAnsi="Arial" w:cs="Arial"/>
          <w:sz w:val="22"/>
          <w:szCs w:val="22"/>
        </w:rPr>
      </w:pPr>
      <w:r>
        <w:rPr>
          <w:rFonts w:ascii="Arial" w:hAnsi="Arial" w:cs="Arial"/>
          <w:sz w:val="22"/>
          <w:szCs w:val="22"/>
        </w:rPr>
        <w:t>Planning decision</w:t>
      </w:r>
      <w:r w:rsidR="00102BCE">
        <w:rPr>
          <w:rFonts w:ascii="Arial" w:hAnsi="Arial" w:cs="Arial"/>
          <w:sz w:val="22"/>
          <w:szCs w:val="22"/>
        </w:rPr>
        <w:t xml:space="preserve"> 2018/2481/FUL</w:t>
      </w:r>
    </w:p>
    <w:p w14:paraId="2B02C74E" w14:textId="04CD110D" w:rsidR="00D87471" w:rsidRDefault="00D87471" w:rsidP="001726EF">
      <w:pPr>
        <w:ind w:firstLine="720"/>
        <w:jc w:val="both"/>
        <w:rPr>
          <w:rFonts w:ascii="Arial" w:hAnsi="Arial" w:cs="Arial"/>
          <w:sz w:val="22"/>
          <w:szCs w:val="22"/>
        </w:rPr>
      </w:pPr>
      <w:r>
        <w:rPr>
          <w:rFonts w:ascii="Arial" w:hAnsi="Arial" w:cs="Arial"/>
          <w:sz w:val="22"/>
          <w:szCs w:val="22"/>
        </w:rPr>
        <w:t>Planning application</w:t>
      </w:r>
      <w:r w:rsidR="005A3AE8">
        <w:rPr>
          <w:rFonts w:ascii="Arial" w:hAnsi="Arial" w:cs="Arial"/>
          <w:sz w:val="22"/>
          <w:szCs w:val="22"/>
        </w:rPr>
        <w:t xml:space="preserve"> 2017/2682/RES</w:t>
      </w:r>
    </w:p>
    <w:p w14:paraId="17E3B642" w14:textId="6C1FA31A" w:rsidR="001C6CF2" w:rsidRDefault="001C6CF2" w:rsidP="0006350A">
      <w:pPr>
        <w:ind w:left="720"/>
        <w:jc w:val="both"/>
        <w:rPr>
          <w:rFonts w:ascii="Arial" w:hAnsi="Arial" w:cs="Arial"/>
          <w:sz w:val="22"/>
          <w:szCs w:val="22"/>
        </w:rPr>
      </w:pPr>
      <w:r>
        <w:rPr>
          <w:rFonts w:ascii="Arial" w:hAnsi="Arial" w:cs="Arial"/>
          <w:sz w:val="22"/>
          <w:szCs w:val="22"/>
        </w:rPr>
        <w:t>Planning application 2022/1134/ES</w:t>
      </w:r>
      <w:r w:rsidR="0006350A">
        <w:rPr>
          <w:rFonts w:ascii="Arial" w:hAnsi="Arial" w:cs="Arial"/>
          <w:sz w:val="22"/>
          <w:szCs w:val="22"/>
        </w:rPr>
        <w:t>, to vary outline permission 2015/1584, varying permission 2008/0996, varying 2002/1000</w:t>
      </w:r>
    </w:p>
    <w:p w14:paraId="2E48A049" w14:textId="3D211CBA" w:rsidR="003617AE" w:rsidRDefault="001726EF" w:rsidP="001726EF">
      <w:pPr>
        <w:ind w:firstLine="720"/>
        <w:jc w:val="both"/>
        <w:rPr>
          <w:rFonts w:ascii="Arial" w:hAnsi="Arial" w:cs="Arial"/>
          <w:sz w:val="22"/>
          <w:szCs w:val="22"/>
        </w:rPr>
      </w:pPr>
      <w:r>
        <w:rPr>
          <w:rFonts w:ascii="Arial" w:hAnsi="Arial" w:cs="Arial"/>
          <w:sz w:val="22"/>
          <w:szCs w:val="22"/>
        </w:rPr>
        <w:t>Planning decision ref no 2023/1964/</w:t>
      </w:r>
      <w:r w:rsidR="003617AE">
        <w:rPr>
          <w:rFonts w:ascii="Arial" w:hAnsi="Arial" w:cs="Arial"/>
          <w:sz w:val="22"/>
          <w:szCs w:val="22"/>
        </w:rPr>
        <w:t>FUL</w:t>
      </w:r>
    </w:p>
    <w:p w14:paraId="0AAF4D23" w14:textId="04E0BF8C" w:rsidR="00AB771C" w:rsidRDefault="00AB771C" w:rsidP="001726EF">
      <w:pPr>
        <w:ind w:firstLine="720"/>
        <w:jc w:val="both"/>
        <w:rPr>
          <w:rFonts w:ascii="Arial" w:hAnsi="Arial" w:cs="Arial"/>
          <w:sz w:val="22"/>
          <w:szCs w:val="22"/>
        </w:rPr>
      </w:pPr>
    </w:p>
    <w:p w14:paraId="4A88A94C" w14:textId="77777777" w:rsidR="00372592" w:rsidRPr="00FA56A1" w:rsidRDefault="00372592" w:rsidP="001D09D5">
      <w:pPr>
        <w:jc w:val="both"/>
        <w:rPr>
          <w:rFonts w:ascii="Arial" w:hAnsi="Arial" w:cs="Arial"/>
          <w:sz w:val="22"/>
          <w:szCs w:val="22"/>
        </w:rPr>
      </w:pPr>
    </w:p>
    <w:p w14:paraId="04077594" w14:textId="77777777" w:rsidR="000610DA" w:rsidRPr="00FA56A1" w:rsidRDefault="000610DA" w:rsidP="000610DA">
      <w:pPr>
        <w:jc w:val="both"/>
        <w:rPr>
          <w:rFonts w:ascii="Arial" w:hAnsi="Arial" w:cs="Arial"/>
          <w:sz w:val="22"/>
          <w:szCs w:val="22"/>
        </w:rPr>
      </w:pPr>
      <w:r w:rsidRPr="00FA56A1">
        <w:rPr>
          <w:rFonts w:ascii="Arial" w:hAnsi="Arial" w:cs="Arial"/>
          <w:sz w:val="22"/>
          <w:szCs w:val="22"/>
        </w:rPr>
        <w:lastRenderedPageBreak/>
        <w:t xml:space="preserve">Swansea docks. </w:t>
      </w:r>
      <w:r w:rsidRPr="00FA56A1">
        <w:rPr>
          <w:rFonts w:ascii="Arial" w:hAnsi="Arial" w:cs="Arial"/>
          <w:i/>
          <w:iCs/>
          <w:sz w:val="22"/>
          <w:szCs w:val="22"/>
        </w:rPr>
        <w:t>Retired Section Swansea Docks</w:t>
      </w:r>
      <w:r w:rsidRPr="00FA56A1">
        <w:rPr>
          <w:rFonts w:ascii="Arial" w:hAnsi="Arial" w:cs="Arial"/>
          <w:sz w:val="22"/>
          <w:szCs w:val="22"/>
        </w:rPr>
        <w:t xml:space="preserve"> Available at: </w:t>
      </w:r>
      <w:hyperlink r:id="rId20" w:history="1">
        <w:r w:rsidRPr="00FA56A1">
          <w:rPr>
            <w:rStyle w:val="Hyperlink"/>
            <w:rFonts w:ascii="Arial" w:hAnsi="Arial" w:cs="Arial"/>
            <w:sz w:val="22"/>
            <w:szCs w:val="22"/>
          </w:rPr>
          <w:t>http://www.swanseadocks.co.uk/oldsite/Maps.htm</w:t>
        </w:r>
      </w:hyperlink>
      <w:r w:rsidRPr="00FA56A1">
        <w:rPr>
          <w:rFonts w:ascii="Arial" w:hAnsi="Arial" w:cs="Arial"/>
          <w:sz w:val="22"/>
          <w:szCs w:val="22"/>
        </w:rPr>
        <w:t xml:space="preserve"> . (Accessed: 5 January 2024) </w:t>
      </w:r>
    </w:p>
    <w:p w14:paraId="713CC447" w14:textId="77777777" w:rsidR="000610DA" w:rsidRDefault="000610DA" w:rsidP="001D09D5">
      <w:pPr>
        <w:jc w:val="both"/>
        <w:rPr>
          <w:rFonts w:ascii="Arial" w:hAnsi="Arial" w:cs="Arial"/>
          <w:sz w:val="22"/>
          <w:szCs w:val="22"/>
        </w:rPr>
      </w:pPr>
    </w:p>
    <w:p w14:paraId="5BED53BC" w14:textId="77777777" w:rsidR="00240536" w:rsidRPr="00FA56A1" w:rsidRDefault="00240536" w:rsidP="00240536">
      <w:pPr>
        <w:pStyle w:val="FootnoteText"/>
        <w:jc w:val="both"/>
        <w:rPr>
          <w:i/>
          <w:iCs/>
          <w:sz w:val="22"/>
          <w:szCs w:val="22"/>
        </w:rPr>
      </w:pPr>
      <w:r w:rsidRPr="00FA56A1">
        <w:rPr>
          <w:sz w:val="22"/>
          <w:szCs w:val="22"/>
        </w:rPr>
        <w:t>Stewart</w:t>
      </w:r>
      <w:r>
        <w:rPr>
          <w:sz w:val="22"/>
          <w:szCs w:val="22"/>
        </w:rPr>
        <w:t xml:space="preserve"> J</w:t>
      </w:r>
      <w:r w:rsidRPr="00FA56A1">
        <w:rPr>
          <w:sz w:val="22"/>
          <w:szCs w:val="22"/>
        </w:rPr>
        <w:t xml:space="preserve">. (2022) pp.69. </w:t>
      </w:r>
      <w:r w:rsidRPr="00FA56A1">
        <w:rPr>
          <w:i/>
          <w:iCs/>
          <w:sz w:val="22"/>
          <w:szCs w:val="22"/>
        </w:rPr>
        <w:t>From Fabian’s Bay to Fabian Way.  The Development of Kilvey, St Thomas, Danygraig, and Port Tennant in Victorian Swansea.</w:t>
      </w:r>
    </w:p>
    <w:p w14:paraId="44C4E2BF" w14:textId="77777777" w:rsidR="000610DA" w:rsidRPr="00FA56A1" w:rsidRDefault="000610DA" w:rsidP="001D09D5">
      <w:pPr>
        <w:jc w:val="both"/>
        <w:rPr>
          <w:rFonts w:ascii="Arial" w:hAnsi="Arial" w:cs="Arial"/>
          <w:sz w:val="22"/>
          <w:szCs w:val="22"/>
        </w:rPr>
      </w:pPr>
    </w:p>
    <w:p w14:paraId="6C6CCCAB" w14:textId="758FBE78" w:rsidR="00DD3BFD" w:rsidRPr="00FA56A1" w:rsidRDefault="00DD3BFD" w:rsidP="00DD3BFD">
      <w:pPr>
        <w:pStyle w:val="FootnoteText"/>
        <w:jc w:val="both"/>
        <w:rPr>
          <w:sz w:val="22"/>
          <w:szCs w:val="22"/>
        </w:rPr>
      </w:pPr>
      <w:r w:rsidRPr="00FA56A1">
        <w:rPr>
          <w:sz w:val="22"/>
          <w:szCs w:val="22"/>
        </w:rPr>
        <w:t>Swansea.gov.uk. Accessed at:</w:t>
      </w:r>
      <w:r w:rsidR="007C2D65">
        <w:rPr>
          <w:sz w:val="22"/>
          <w:szCs w:val="22"/>
        </w:rPr>
        <w:t xml:space="preserve"> </w:t>
      </w:r>
      <w:hyperlink r:id="rId21" w:history="1">
        <w:r w:rsidR="00ED58DD" w:rsidRPr="00B72A36">
          <w:rPr>
            <w:rStyle w:val="Hyperlink"/>
            <w:sz w:val="22"/>
            <w:szCs w:val="22"/>
          </w:rPr>
          <w:t>https://swansea.gov.uk/media/6864/Tir-John---PRA-Appendix-E---Zetica-UXO-Risk-Map/pdf/Tir_John_-_PRA_Appendix_E_-_Zetica_UXO_Risk_Map.pdf?m=1647898346013</w:t>
        </w:r>
      </w:hyperlink>
      <w:r w:rsidRPr="00FA56A1">
        <w:rPr>
          <w:sz w:val="22"/>
          <w:szCs w:val="22"/>
        </w:rPr>
        <w:t xml:space="preserve">. </w:t>
      </w:r>
    </w:p>
    <w:p w14:paraId="484EBC07" w14:textId="77777777" w:rsidR="000610DA" w:rsidRPr="00FA56A1" w:rsidRDefault="000610DA" w:rsidP="001D09D5">
      <w:pPr>
        <w:jc w:val="both"/>
        <w:rPr>
          <w:rFonts w:ascii="Arial" w:hAnsi="Arial" w:cs="Arial"/>
          <w:sz w:val="22"/>
          <w:szCs w:val="22"/>
        </w:rPr>
      </w:pPr>
    </w:p>
    <w:p w14:paraId="0AF705EE" w14:textId="46812D9D" w:rsidR="00DD3BFD" w:rsidRPr="00FA56A1" w:rsidRDefault="00DD3BFD" w:rsidP="00DD3BFD">
      <w:pPr>
        <w:jc w:val="both"/>
        <w:rPr>
          <w:sz w:val="22"/>
          <w:szCs w:val="22"/>
        </w:rPr>
      </w:pPr>
      <w:r w:rsidRPr="00FA56A1">
        <w:rPr>
          <w:sz w:val="22"/>
          <w:szCs w:val="22"/>
        </w:rPr>
        <w:t xml:space="preserve">The meister. </w:t>
      </w:r>
      <w:r w:rsidRPr="00FA56A1">
        <w:rPr>
          <w:rFonts w:cstheme="minorBidi"/>
          <w:i/>
          <w:iCs/>
          <w:sz w:val="22"/>
          <w:szCs w:val="22"/>
        </w:rPr>
        <w:t>History of the Coals of Swansea &amp; Cornish tin &amp; Copper</w:t>
      </w:r>
      <w:r w:rsidRPr="00FA56A1">
        <w:rPr>
          <w:sz w:val="22"/>
          <w:szCs w:val="22"/>
        </w:rPr>
        <w:t xml:space="preserve">. Available at: </w:t>
      </w:r>
      <w:hyperlink r:id="rId22" w:anchor=":~:text=Initially%2C%20it%20was%20copper%20that,for%20expertise%20and%20skilled%20labour" w:history="1">
        <w:r w:rsidRPr="00FA56A1">
          <w:rPr>
            <w:rStyle w:val="Hyperlink"/>
            <w:sz w:val="22"/>
            <w:szCs w:val="22"/>
          </w:rPr>
          <w:t>https://www.themeister.co.uk/hindley/swansea.htm#:~:text=Initially%2C%20it%20was%20copper%20that,for%20expertise%20and%20skilled%20labour</w:t>
        </w:r>
      </w:hyperlink>
      <w:r w:rsidRPr="00FA56A1">
        <w:rPr>
          <w:sz w:val="22"/>
          <w:szCs w:val="22"/>
        </w:rPr>
        <w:t>. (Accessed: 15 July 2024)</w:t>
      </w:r>
    </w:p>
    <w:p w14:paraId="0409CB27" w14:textId="77777777" w:rsidR="00DD3BFD" w:rsidRPr="00FA56A1" w:rsidRDefault="00DD3BFD" w:rsidP="001D09D5">
      <w:pPr>
        <w:jc w:val="both"/>
        <w:rPr>
          <w:rFonts w:ascii="Arial" w:hAnsi="Arial" w:cs="Arial"/>
          <w:sz w:val="22"/>
          <w:szCs w:val="22"/>
        </w:rPr>
      </w:pPr>
    </w:p>
    <w:p w14:paraId="62074578" w14:textId="77777777" w:rsidR="00DD3BFD" w:rsidRPr="00FA56A1" w:rsidRDefault="00DD3BFD" w:rsidP="001D09D5">
      <w:pPr>
        <w:jc w:val="both"/>
        <w:rPr>
          <w:rFonts w:ascii="Arial" w:hAnsi="Arial" w:cs="Arial"/>
          <w:sz w:val="22"/>
          <w:szCs w:val="22"/>
        </w:rPr>
      </w:pPr>
    </w:p>
    <w:p w14:paraId="2198E5D5" w14:textId="77777777" w:rsidR="002E733E" w:rsidRPr="00FA56A1" w:rsidRDefault="002E733E" w:rsidP="001D09D5">
      <w:pPr>
        <w:jc w:val="both"/>
        <w:rPr>
          <w:sz w:val="22"/>
          <w:szCs w:val="22"/>
        </w:rPr>
      </w:pPr>
    </w:p>
    <w:sectPr w:rsidR="002E733E" w:rsidRPr="00FA56A1" w:rsidSect="0032634A">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4EDCDD" w14:textId="77777777" w:rsidR="005A0FDC" w:rsidRDefault="005A0FDC" w:rsidP="00B14587">
      <w:r>
        <w:separator/>
      </w:r>
    </w:p>
  </w:endnote>
  <w:endnote w:type="continuationSeparator" w:id="0">
    <w:p w14:paraId="38663243" w14:textId="77777777" w:rsidR="005A0FDC" w:rsidRDefault="005A0FDC" w:rsidP="00B14587">
      <w:r>
        <w:continuationSeparator/>
      </w:r>
    </w:p>
  </w:endnote>
  <w:endnote w:type="continuationNotice" w:id="1">
    <w:p w14:paraId="5FF0FD10" w14:textId="77777777" w:rsidR="005A0FDC" w:rsidRDefault="005A0F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2805476"/>
      <w:docPartObj>
        <w:docPartGallery w:val="Page Numbers (Bottom of Page)"/>
        <w:docPartUnique/>
      </w:docPartObj>
    </w:sdtPr>
    <w:sdtEndPr>
      <w:rPr>
        <w:noProof/>
      </w:rPr>
    </w:sdtEndPr>
    <w:sdtContent>
      <w:p w14:paraId="1F2DD048" w14:textId="6F13F6E1" w:rsidR="003D0680" w:rsidRDefault="003D06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69BDCF" w14:textId="77777777" w:rsidR="003D0680" w:rsidRDefault="003D06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B93AAD" w14:textId="77777777" w:rsidR="005A0FDC" w:rsidRDefault="005A0FDC" w:rsidP="00B14587">
      <w:r>
        <w:separator/>
      </w:r>
    </w:p>
  </w:footnote>
  <w:footnote w:type="continuationSeparator" w:id="0">
    <w:p w14:paraId="22DFCECD" w14:textId="77777777" w:rsidR="005A0FDC" w:rsidRDefault="005A0FDC" w:rsidP="00B14587">
      <w:r>
        <w:continuationSeparator/>
      </w:r>
    </w:p>
  </w:footnote>
  <w:footnote w:type="continuationNotice" w:id="1">
    <w:p w14:paraId="3D4B5A8F" w14:textId="77777777" w:rsidR="005A0FDC" w:rsidRDefault="005A0FDC"/>
  </w:footnote>
  <w:footnote w:id="2">
    <w:p w14:paraId="7AE7135A" w14:textId="77777777" w:rsidR="00B14587" w:rsidRDefault="00B14587" w:rsidP="00B14587">
      <w:pPr>
        <w:pStyle w:val="FootnoteText"/>
        <w:jc w:val="both"/>
      </w:pPr>
      <w:r>
        <w:rPr>
          <w:rStyle w:val="FootnoteReference"/>
        </w:rPr>
        <w:footnoteRef/>
      </w:r>
      <w:r>
        <w:t xml:space="preserve"> See Fig.1.  Planning permission was granted in 2008, and renewed in October 2013, to change the permitted use of the Dock from operational dock to commercial marina, to commence within five years and subject to completion of a new channel feature: Swansea planning decision ref 2013/1543.</w:t>
      </w:r>
    </w:p>
  </w:footnote>
  <w:footnote w:id="3">
    <w:p w14:paraId="0DDE525E" w14:textId="77777777" w:rsidR="00B14587" w:rsidRDefault="00B14587" w:rsidP="00F8388C">
      <w:pPr>
        <w:pStyle w:val="FootnoteText"/>
        <w:jc w:val="both"/>
      </w:pPr>
      <w:r>
        <w:rPr>
          <w:rStyle w:val="FootnoteReference"/>
        </w:rPr>
        <w:footnoteRef/>
      </w:r>
      <w:r>
        <w:t xml:space="preserve"> Swansea planning decision ref no 2023/1964/FUL.  The only site survey information in the application relates to the depth of the channel.  In the area immediately to the east of the channel a ‘shaft – UTS chamber’ is depicted in drawing 8-1SL but the nature and purpose of this feature is unclear.  See also planning </w:t>
      </w:r>
      <w:r>
        <w:rPr>
          <w:rFonts w:cstheme="minorHAnsi"/>
        </w:rPr>
        <w:t xml:space="preserve">application </w:t>
      </w:r>
      <w:r>
        <w:rPr>
          <w:rFonts w:cstheme="minorHAnsi"/>
          <w:color w:val="000000"/>
          <w:shd w:val="clear" w:color="auto" w:fill="FFFFFF"/>
        </w:rPr>
        <w:t xml:space="preserve">2017/2682/RES (granted December 2017) detailing the section of the road continuing east from the channel, adjacent to the parking lot.  Permission had been granted in December 2014 for a pedestrian/cyclist footbridge over the channel but presumably is not being pursued, in preference for filling the channel in: Swansea planning application 2007/0151.  </w:t>
      </w:r>
    </w:p>
  </w:footnote>
  <w:footnote w:id="4">
    <w:p w14:paraId="250A9E91" w14:textId="77777777" w:rsidR="00B14587" w:rsidRDefault="00B14587" w:rsidP="00F8388C">
      <w:pPr>
        <w:pStyle w:val="FootnoteText"/>
        <w:jc w:val="both"/>
      </w:pPr>
      <w:r>
        <w:rPr>
          <w:rStyle w:val="FootnoteReference"/>
        </w:rPr>
        <w:footnoteRef/>
      </w:r>
      <w:r>
        <w:t xml:space="preserve"> Planning granted in March 2018 (2017/2481/FUL), to begin not later than five years from decision (ie March 2013) but not to be operated until the pedestrian link and vehicle crossing is provided and in use.  </w:t>
      </w:r>
    </w:p>
  </w:footnote>
  <w:footnote w:id="5">
    <w:p w14:paraId="2371DFEB" w14:textId="77777777" w:rsidR="00B14587" w:rsidRDefault="00B14587" w:rsidP="00F8388C">
      <w:pPr>
        <w:pStyle w:val="FootnoteText"/>
        <w:jc w:val="both"/>
      </w:pPr>
      <w:r>
        <w:rPr>
          <w:rStyle w:val="FootnoteReference"/>
        </w:rPr>
        <w:footnoteRef/>
      </w:r>
      <w:r>
        <w:t xml:space="preserve"> Plot D1B.  Swansea planning permission 2007/2848 granted January 2008.  Drawings forming part of the application are not available on line, which might have provided useful information about site investigation and foundation design.</w:t>
      </w:r>
    </w:p>
  </w:footnote>
  <w:footnote w:id="6">
    <w:p w14:paraId="62A7F989" w14:textId="77777777" w:rsidR="00B14587" w:rsidRDefault="00B14587" w:rsidP="00F8388C">
      <w:pPr>
        <w:pStyle w:val="FootnoteText"/>
        <w:jc w:val="both"/>
      </w:pPr>
      <w:r>
        <w:rPr>
          <w:rStyle w:val="FootnoteReference"/>
        </w:rPr>
        <w:footnoteRef/>
      </w:r>
      <w:r>
        <w:t xml:space="preserve"> Swansea planning application 2022/1134/ES, to vary outline permission 2015/1584 (May 2016) which varied permission 2008/0996, which varied permission 2002/1000.</w:t>
      </w:r>
    </w:p>
  </w:footnote>
  <w:footnote w:id="7">
    <w:p w14:paraId="46AE98F7" w14:textId="77777777" w:rsidR="00163B02" w:rsidRDefault="00163B02" w:rsidP="00163B02">
      <w:pPr>
        <w:pStyle w:val="FootnoteText"/>
        <w:jc w:val="both"/>
      </w:pPr>
      <w:r>
        <w:rPr>
          <w:rStyle w:val="FootnoteReference"/>
        </w:rPr>
        <w:footnoteRef/>
      </w:r>
      <w:r>
        <w:t xml:space="preserve"> WH Jones </w:t>
      </w:r>
      <w:r>
        <w:rPr>
          <w:i/>
          <w:iCs/>
        </w:rPr>
        <w:t xml:space="preserve">History of the Port of </w:t>
      </w:r>
      <w:r>
        <w:t>Swansea (Carmarthen 1922) (hereinafter Jones (2022)) Map XII.  Until the New Dock and New Cut development, the ‘Harbour of Swansea’ was merely the tide-dependent navigable length of the river, along which unlocked docking and dry-docking facilities were built, but with protection at the mouth of the river afforded by the construction in the late 18</w:t>
      </w:r>
      <w:r>
        <w:rPr>
          <w:vertAlign w:val="superscript"/>
        </w:rPr>
        <w:t>th</w:t>
      </w:r>
      <w:r>
        <w:t xml:space="preserve"> and early 19</w:t>
      </w:r>
      <w:r>
        <w:rPr>
          <w:vertAlign w:val="superscript"/>
        </w:rPr>
        <w:t>th</w:t>
      </w:r>
      <w:r>
        <w:t xml:space="preserve"> century of the West Pier and East Pier shielding Fabian Bay, once the opposition of the Duke of Beaufort’s local Agent, Gabriel Powell, known as ‘The King of Swansea’, was overcome (the Duke owned the coast of Fabian’s Bay) and the 1791 Swansea Harbour Act was enacted: Jones (1922) pp.81-103, 128-38; J Stewart </w:t>
      </w:r>
      <w:r>
        <w:rPr>
          <w:i/>
          <w:iCs/>
        </w:rPr>
        <w:t xml:space="preserve">From Fabian’s Bay to Fabian Way.  The Development of Kilvey, St Thomas, Danygraig, and Port Tennant in Victorian Swansea </w:t>
      </w:r>
      <w:r>
        <w:t>(2022)</w:t>
      </w:r>
      <w:r>
        <w:rPr>
          <w:i/>
          <w:iCs/>
        </w:rPr>
        <w:t xml:space="preserve"> </w:t>
      </w:r>
      <w:r>
        <w:t>69.</w:t>
      </w:r>
    </w:p>
  </w:footnote>
  <w:footnote w:id="8">
    <w:p w14:paraId="2B170833" w14:textId="77777777" w:rsidR="00B14587" w:rsidRDefault="00B14587" w:rsidP="00B14587">
      <w:pPr>
        <w:pStyle w:val="FootnoteText"/>
        <w:jc w:val="both"/>
      </w:pPr>
      <w:r>
        <w:rPr>
          <w:rStyle w:val="FootnoteReference"/>
        </w:rPr>
        <w:footnoteRef/>
      </w:r>
      <w:r>
        <w:t xml:space="preserve"> Jones (1922) 213.</w:t>
      </w:r>
    </w:p>
  </w:footnote>
  <w:footnote w:id="9">
    <w:p w14:paraId="2DA24879" w14:textId="77777777" w:rsidR="00B14587" w:rsidRDefault="00B14587" w:rsidP="00B14587">
      <w:pPr>
        <w:pStyle w:val="FootnoteText"/>
        <w:jc w:val="both"/>
      </w:pPr>
      <w:r>
        <w:rPr>
          <w:rStyle w:val="FootnoteReference"/>
        </w:rPr>
        <w:footnoteRef/>
      </w:r>
      <w:r>
        <w:t xml:space="preserve"> Jones (1922) 215.</w:t>
      </w:r>
    </w:p>
  </w:footnote>
  <w:footnote w:id="10">
    <w:p w14:paraId="45C3096C" w14:textId="77777777" w:rsidR="00B14587" w:rsidRDefault="00B14587" w:rsidP="00B14587">
      <w:pPr>
        <w:pStyle w:val="FootnoteText"/>
        <w:jc w:val="both"/>
      </w:pPr>
      <w:r>
        <w:rPr>
          <w:rStyle w:val="FootnoteReference"/>
        </w:rPr>
        <w:footnoteRef/>
      </w:r>
      <w:r>
        <w:t xml:space="preserve"> Jones (1922) 217.</w:t>
      </w:r>
    </w:p>
  </w:footnote>
  <w:footnote w:id="11">
    <w:p w14:paraId="664D484D" w14:textId="77777777" w:rsidR="00B14587" w:rsidRDefault="00B14587" w:rsidP="00B14587">
      <w:pPr>
        <w:pStyle w:val="FootnoteText"/>
        <w:jc w:val="both"/>
      </w:pPr>
      <w:r>
        <w:rPr>
          <w:rStyle w:val="FootnoteReference"/>
        </w:rPr>
        <w:footnoteRef/>
      </w:r>
      <w:r>
        <w:t xml:space="preserve"> SE Francheteau </w:t>
      </w:r>
      <w:r>
        <w:rPr>
          <w:i/>
          <w:iCs/>
        </w:rPr>
        <w:t xml:space="preserve">History of the Industrial Hinterland and Port of Swansea from 1700 to 1925 </w:t>
      </w:r>
      <w:r>
        <w:t>(MA thesis 1994) p.127.</w:t>
      </w:r>
    </w:p>
  </w:footnote>
  <w:footnote w:id="12">
    <w:p w14:paraId="3DDBAA88" w14:textId="77777777" w:rsidR="00B14587" w:rsidRDefault="00B14587" w:rsidP="00B14587">
      <w:pPr>
        <w:pStyle w:val="FootnoteText"/>
        <w:jc w:val="both"/>
      </w:pPr>
      <w:r>
        <w:rPr>
          <w:rStyle w:val="FootnoteReference"/>
        </w:rPr>
        <w:footnoteRef/>
      </w:r>
      <w:r>
        <w:t xml:space="preserve"> Jones (1922) Map XIII, pp.208-33.  </w:t>
      </w:r>
    </w:p>
  </w:footnote>
  <w:footnote w:id="13">
    <w:p w14:paraId="2F2A0736" w14:textId="77777777" w:rsidR="00B14587" w:rsidRDefault="00B14587" w:rsidP="00B14587">
      <w:pPr>
        <w:pStyle w:val="FootnoteText"/>
        <w:jc w:val="both"/>
      </w:pPr>
      <w:r>
        <w:rPr>
          <w:rStyle w:val="FootnoteReference"/>
        </w:rPr>
        <w:footnoteRef/>
      </w:r>
      <w:r>
        <w:t xml:space="preserve"> Jones (1922) pp.226-27, 324-29.</w:t>
      </w:r>
    </w:p>
  </w:footnote>
  <w:footnote w:id="14">
    <w:p w14:paraId="7A637A5B" w14:textId="77777777" w:rsidR="00B14587" w:rsidRDefault="00B14587" w:rsidP="00B14587">
      <w:pPr>
        <w:pStyle w:val="FootnoteText"/>
        <w:jc w:val="both"/>
      </w:pPr>
      <w:r>
        <w:rPr>
          <w:rStyle w:val="FootnoteReference"/>
        </w:rPr>
        <w:footnoteRef/>
      </w:r>
      <w:r>
        <w:t xml:space="preserve"> G Hallett and P Randall </w:t>
      </w:r>
      <w:r>
        <w:rPr>
          <w:i/>
          <w:iCs/>
        </w:rPr>
        <w:t xml:space="preserve">Maritime Industry and Port Development in South Wales </w:t>
      </w:r>
      <w:r>
        <w:t>(1970) (hereinafter Hallett and Randall (1970)) p.43.</w:t>
      </w:r>
    </w:p>
  </w:footnote>
  <w:footnote w:id="15">
    <w:p w14:paraId="5559E9CC" w14:textId="77777777" w:rsidR="00B14587" w:rsidRDefault="00B14587" w:rsidP="00B14587">
      <w:pPr>
        <w:pStyle w:val="FootnoteText"/>
        <w:jc w:val="both"/>
      </w:pPr>
      <w:r>
        <w:rPr>
          <w:rStyle w:val="FootnoteReference"/>
        </w:rPr>
        <w:footnoteRef/>
      </w:r>
      <w:r>
        <w:t xml:space="preserve"> Hallett and Randall (1970) p.106.</w:t>
      </w:r>
    </w:p>
  </w:footnote>
  <w:footnote w:id="16">
    <w:p w14:paraId="756B10F2" w14:textId="77777777" w:rsidR="00B14587" w:rsidRDefault="00B14587" w:rsidP="00B14587">
      <w:pPr>
        <w:pStyle w:val="FootnoteText"/>
        <w:jc w:val="both"/>
      </w:pPr>
      <w:r>
        <w:rPr>
          <w:rStyle w:val="FootnoteReference"/>
        </w:rPr>
        <w:footnoteRef/>
      </w:r>
      <w:r>
        <w:t xml:space="preserve"> Hallett and Randall (1970) pp.68-69.</w:t>
      </w:r>
    </w:p>
  </w:footnote>
  <w:footnote w:id="17">
    <w:p w14:paraId="27760BF3" w14:textId="77777777" w:rsidR="00B14587" w:rsidRDefault="00B14587" w:rsidP="00B14587">
      <w:pPr>
        <w:pStyle w:val="FootnoteText"/>
        <w:jc w:val="both"/>
      </w:pPr>
      <w:r>
        <w:rPr>
          <w:rStyle w:val="FootnoteReference"/>
        </w:rPr>
        <w:footnoteRef/>
      </w:r>
      <w:r>
        <w:t xml:space="preserve"> DM Rees </w:t>
      </w:r>
      <w:r>
        <w:rPr>
          <w:i/>
          <w:iCs/>
        </w:rPr>
        <w:t xml:space="preserve">The Industrial Archaeology of Wales </w:t>
      </w:r>
      <w:r>
        <w:t>(1975) p.211.</w:t>
      </w:r>
    </w:p>
  </w:footnote>
  <w:footnote w:id="18">
    <w:p w14:paraId="76B542D0" w14:textId="77777777" w:rsidR="00B14587" w:rsidRDefault="00B14587" w:rsidP="00B14587">
      <w:pPr>
        <w:pStyle w:val="FootnoteText"/>
        <w:jc w:val="both"/>
      </w:pPr>
      <w:r>
        <w:rPr>
          <w:rStyle w:val="FootnoteReference"/>
        </w:rPr>
        <w:footnoteRef/>
      </w:r>
      <w:r>
        <w:t xml:space="preserve"> Hallett and Randall (1970) pp.72-73.</w:t>
      </w:r>
    </w:p>
  </w:footnote>
  <w:footnote w:id="19">
    <w:p w14:paraId="22D12817" w14:textId="77777777" w:rsidR="00B14587" w:rsidRDefault="00B14587" w:rsidP="000A4962">
      <w:pPr>
        <w:pStyle w:val="FootnoteText"/>
        <w:jc w:val="both"/>
      </w:pPr>
      <w:r>
        <w:rPr>
          <w:rStyle w:val="FootnoteReference"/>
        </w:rPr>
        <w:footnoteRef/>
      </w:r>
      <w:r>
        <w:t xml:space="preserve"> OS Plan 21/6792 NW, accessed at Swansea Archives.</w:t>
      </w:r>
    </w:p>
  </w:footnote>
  <w:footnote w:id="20">
    <w:p w14:paraId="4CFBBE04" w14:textId="77777777" w:rsidR="00B14587" w:rsidRDefault="00B14587" w:rsidP="000A4962">
      <w:pPr>
        <w:pStyle w:val="FootnoteText"/>
        <w:jc w:val="both"/>
      </w:pPr>
      <w:r>
        <w:rPr>
          <w:rStyle w:val="FootnoteReference"/>
        </w:rPr>
        <w:footnoteRef/>
      </w:r>
      <w:r>
        <w:t xml:space="preserve"> JR Alban </w:t>
      </w:r>
      <w:r>
        <w:rPr>
          <w:i/>
          <w:iCs/>
        </w:rPr>
        <w:t xml:space="preserve">The ‘Three Nights’ Blitz’.  Select Contemporary Reports Relating to Swansea’s Air Raids of February 1941 </w:t>
      </w:r>
      <w:r>
        <w:t>(1994) pp.7, 38.</w:t>
      </w:r>
    </w:p>
  </w:footnote>
  <w:footnote w:id="21">
    <w:p w14:paraId="70B57A1D" w14:textId="77777777" w:rsidR="00B14587" w:rsidRDefault="00B14587" w:rsidP="000A4962">
      <w:pPr>
        <w:pStyle w:val="FootnoteText"/>
        <w:jc w:val="both"/>
      </w:pPr>
      <w:r>
        <w:rPr>
          <w:rStyle w:val="FootnoteReference"/>
        </w:rPr>
        <w:footnoteRef/>
      </w:r>
      <w:r>
        <w:t xml:space="preserve"> See eg https://swansea.gov.uk/media/6864/Tir-John---PRA-Appendix-E---Zetica-UXO-Risk-Map/pdf/Tir_John_-_PRA_Appendix_E_-_Zetica_UXO_Risk_Map.pdf?m=1647898346013.</w:t>
      </w:r>
    </w:p>
  </w:footnote>
  <w:footnote w:id="22">
    <w:p w14:paraId="7D1AA27E" w14:textId="77777777" w:rsidR="00B14587" w:rsidRDefault="00B14587" w:rsidP="000A4962">
      <w:pPr>
        <w:pStyle w:val="FootnoteText"/>
        <w:jc w:val="both"/>
      </w:pPr>
      <w:r>
        <w:rPr>
          <w:rStyle w:val="FootnoteReference"/>
        </w:rPr>
        <w:footnoteRef/>
      </w:r>
      <w:r>
        <w:t xml:space="preserve"> https://www.earthsciencepartnership.co.uk/projects/uxo-and-development-risk/.</w:t>
      </w:r>
    </w:p>
  </w:footnote>
  <w:footnote w:id="23">
    <w:p w14:paraId="01D8B4A3" w14:textId="77777777" w:rsidR="00B14587" w:rsidRDefault="00B14587" w:rsidP="000A4962">
      <w:pPr>
        <w:pStyle w:val="FootnoteText"/>
        <w:jc w:val="both"/>
      </w:pPr>
      <w:r>
        <w:rPr>
          <w:rStyle w:val="FootnoteReference"/>
        </w:rPr>
        <w:footnoteRef/>
      </w:r>
      <w:r>
        <w:t xml:space="preserve"> RDF Bromley and G Humphreys edd </w:t>
      </w:r>
      <w:r>
        <w:rPr>
          <w:i/>
          <w:iCs/>
        </w:rPr>
        <w:t xml:space="preserve">Dealing with Dereliction.  The Redevelopment of the Lower Swansea Valley </w:t>
      </w:r>
      <w:r>
        <w:t>(1979) pp.23-24.</w:t>
      </w:r>
    </w:p>
  </w:footnote>
  <w:footnote w:id="24">
    <w:p w14:paraId="7196843D" w14:textId="77777777" w:rsidR="00B14587" w:rsidRDefault="00B14587" w:rsidP="000A4962">
      <w:pPr>
        <w:pStyle w:val="FootnoteText"/>
        <w:jc w:val="both"/>
      </w:pPr>
      <w:r>
        <w:rPr>
          <w:rStyle w:val="FootnoteReference"/>
        </w:rPr>
        <w:footnoteRef/>
      </w:r>
      <w:r>
        <w:t xml:space="preserve"> https://www.geolsoc.org.uk/GowerTour1.</w:t>
      </w:r>
    </w:p>
  </w:footnote>
  <w:footnote w:id="25">
    <w:p w14:paraId="365C0CC0" w14:textId="77777777" w:rsidR="00B14587" w:rsidRDefault="00B14587" w:rsidP="000A4962">
      <w:pPr>
        <w:pStyle w:val="FootnoteText"/>
        <w:jc w:val="both"/>
      </w:pPr>
      <w:r>
        <w:rPr>
          <w:rStyle w:val="FootnoteReference"/>
        </w:rPr>
        <w:footnoteRef/>
      </w:r>
      <w:r>
        <w:t xml:space="preserve"> </w:t>
      </w:r>
      <w:r>
        <w:rPr>
          <w:rFonts w:cstheme="minorHAnsi"/>
          <w:color w:val="000000"/>
          <w:szCs w:val="20"/>
          <w:shd w:val="clear" w:color="auto" w:fill="FFFFFF"/>
        </w:rPr>
        <w:t xml:space="preserve">Barclay, W J. 2011. Geology of the Swansea district — a brief explanation of the geological map. Sheet Explanation of the British Geological Survey. 1:50 000 Sheet 247 Swansea (England and Wales); CN Waters et al ‘Urban Geology of Swansea and Port Talbot’, accessed at </w:t>
      </w:r>
      <w:hyperlink r:id="rId1" w:history="1">
        <w:r>
          <w:rPr>
            <w:rStyle w:val="Hyperlink"/>
            <w:rFonts w:cstheme="minorHAnsi"/>
            <w:szCs w:val="20"/>
            <w:shd w:val="clear" w:color="auto" w:fill="FFFFFF"/>
          </w:rPr>
          <w:t>https://nora.nerc.ac.uk/id/eprint/504837/1/Swansea%20NORA%20entry.pdf</w:t>
        </w:r>
      </w:hyperlink>
      <w:r>
        <w:rPr>
          <w:rFonts w:cstheme="minorHAnsi"/>
          <w:color w:val="000000"/>
          <w:szCs w:val="20"/>
          <w:shd w:val="clear" w:color="auto" w:fill="FFFFFF"/>
        </w:rPr>
        <w:t xml:space="preserve"> p.6 et seq.</w:t>
      </w:r>
    </w:p>
  </w:footnote>
  <w:footnote w:id="26">
    <w:p w14:paraId="04620496" w14:textId="77777777" w:rsidR="00B14587" w:rsidRDefault="00B14587" w:rsidP="00B14587">
      <w:pPr>
        <w:pStyle w:val="FootnoteText"/>
      </w:pPr>
      <w:r>
        <w:rPr>
          <w:rStyle w:val="FootnoteReference"/>
        </w:rPr>
        <w:footnoteRef/>
      </w:r>
      <w:r>
        <w:t xml:space="preserve"> See eg SS69SE523.</w:t>
      </w:r>
    </w:p>
  </w:footnote>
  <w:footnote w:id="27">
    <w:p w14:paraId="3F569202" w14:textId="77777777" w:rsidR="00B14587" w:rsidRDefault="00B14587" w:rsidP="000A4962">
      <w:pPr>
        <w:pStyle w:val="FootnoteText"/>
        <w:jc w:val="both"/>
      </w:pPr>
      <w:r>
        <w:rPr>
          <w:rStyle w:val="FootnoteReference"/>
        </w:rPr>
        <w:footnoteRef/>
      </w:r>
      <w:r>
        <w:t xml:space="preserve"> https://api.bgs.ac.uk/sobi-scans/v1/borehole/scans/items/370090.</w:t>
      </w:r>
    </w:p>
  </w:footnote>
  <w:footnote w:id="28">
    <w:p w14:paraId="772C344F" w14:textId="77777777" w:rsidR="00B14587" w:rsidRDefault="00B14587" w:rsidP="000A4962">
      <w:pPr>
        <w:pStyle w:val="FootnoteText"/>
        <w:jc w:val="both"/>
      </w:pPr>
      <w:r>
        <w:rPr>
          <w:rStyle w:val="FootnoteReference"/>
        </w:rPr>
        <w:footnoteRef/>
      </w:r>
      <w:r>
        <w:t xml:space="preserve"> Swansea planning application 2023/1964/FUL: Geo-environmental study and controlled waters assessment A081259-8 dated Sept 2023.</w:t>
      </w:r>
    </w:p>
  </w:footnote>
  <w:footnote w:id="29">
    <w:p w14:paraId="02F68837" w14:textId="33094BAD" w:rsidR="004705C5" w:rsidRDefault="004705C5">
      <w:pPr>
        <w:pStyle w:val="FootnoteText"/>
      </w:pPr>
      <w:r>
        <w:rPr>
          <w:rStyle w:val="FootnoteReference"/>
        </w:rPr>
        <w:footnoteRef/>
      </w:r>
      <w:r>
        <w:t xml:space="preserve"> Geo-</w:t>
      </w:r>
      <w:r w:rsidR="00376CC1">
        <w:t>environmental study and controlled waters assessment A081259-8 dated Sept 2023 p. 14.</w:t>
      </w:r>
    </w:p>
  </w:footnote>
  <w:footnote w:id="30">
    <w:p w14:paraId="1E6B75AE" w14:textId="22CEBB01" w:rsidR="00376CC1" w:rsidRDefault="00376CC1" w:rsidP="00327A26">
      <w:pPr>
        <w:pStyle w:val="FootnoteText"/>
        <w:jc w:val="both"/>
      </w:pPr>
      <w:r>
        <w:rPr>
          <w:rStyle w:val="FootnoteReference"/>
        </w:rPr>
        <w:footnoteRef/>
      </w:r>
      <w:r>
        <w:t xml:space="preserve"> </w:t>
      </w:r>
      <w:r w:rsidR="00327A26">
        <w:t>Swansea planning application 2023/1964/FUL: Geo-environmental study and controlled waters assessment A081259-8 dated Sept 2023.</w:t>
      </w:r>
    </w:p>
  </w:footnote>
  <w:footnote w:id="31">
    <w:p w14:paraId="22516A42" w14:textId="77777777" w:rsidR="00B14587" w:rsidRDefault="00B14587" w:rsidP="000A4962">
      <w:pPr>
        <w:pStyle w:val="FootnoteText"/>
        <w:jc w:val="both"/>
      </w:pPr>
      <w:r>
        <w:rPr>
          <w:rStyle w:val="FootnoteReference"/>
        </w:rPr>
        <w:footnoteRef/>
      </w:r>
      <w:r>
        <w:t xml:space="preserve"> Swansea planning application 2023/1964/FUL: Geo-environmental study and controlled waters assessment A081259-8 dated Sept 2023.</w:t>
      </w:r>
    </w:p>
  </w:footnote>
  <w:footnote w:id="32">
    <w:p w14:paraId="33A061DD" w14:textId="28172722" w:rsidR="002E22D9" w:rsidRDefault="002E22D9">
      <w:pPr>
        <w:pStyle w:val="FootnoteText"/>
      </w:pPr>
      <w:r>
        <w:rPr>
          <w:rStyle w:val="FootnoteReference"/>
        </w:rPr>
        <w:footnoteRef/>
      </w:r>
      <w:r>
        <w:t xml:space="preserve">  J</w:t>
      </w:r>
      <w:r w:rsidR="00295D32">
        <w:t>ubb (2020) p. 19.</w:t>
      </w:r>
    </w:p>
  </w:footnote>
  <w:footnote w:id="33">
    <w:p w14:paraId="40851898" w14:textId="3DA9E084" w:rsidR="00D07F2A" w:rsidRPr="00295D32" w:rsidRDefault="00D07F2A" w:rsidP="006576ED">
      <w:pPr>
        <w:jc w:val="both"/>
        <w:rPr>
          <w:rFonts w:ascii="Calibri" w:hAnsi="Calibri" w:cs="Calibri"/>
          <w:color w:val="424242"/>
          <w:sz w:val="20"/>
          <w:szCs w:val="20"/>
        </w:rPr>
      </w:pPr>
      <w:r w:rsidRPr="006576ED">
        <w:rPr>
          <w:sz w:val="20"/>
          <w:szCs w:val="20"/>
          <w:vertAlign w:val="superscript"/>
        </w:rPr>
        <w:footnoteRef/>
      </w:r>
      <w:r w:rsidRPr="006576ED">
        <w:rPr>
          <w:sz w:val="20"/>
          <w:szCs w:val="20"/>
        </w:rPr>
        <w:t xml:space="preserve"> </w:t>
      </w:r>
      <w:r w:rsidR="00B52339" w:rsidRPr="006576ED">
        <w:rPr>
          <w:sz w:val="20"/>
          <w:szCs w:val="20"/>
        </w:rPr>
        <w:t>A Hodgkinson Foundation Design (1986) pp.10-13</w:t>
      </w:r>
      <w:r w:rsidR="23649064" w:rsidRPr="006576ED">
        <w:rPr>
          <w:sz w:val="20"/>
          <w:szCs w:val="20"/>
        </w:rPr>
        <w:t xml:space="preserve">; </w:t>
      </w:r>
      <w:r w:rsidR="0437F1B8" w:rsidRPr="006576ED">
        <w:rPr>
          <w:sz w:val="20"/>
          <w:szCs w:val="20"/>
        </w:rPr>
        <w:t xml:space="preserve">M Riley </w:t>
      </w:r>
      <w:r w:rsidR="201B4180" w:rsidRPr="006576ED">
        <w:rPr>
          <w:sz w:val="20"/>
          <w:szCs w:val="20"/>
        </w:rPr>
        <w:t xml:space="preserve">and A </w:t>
      </w:r>
      <w:r w:rsidR="3BADE120" w:rsidRPr="006576ED">
        <w:rPr>
          <w:sz w:val="20"/>
          <w:szCs w:val="20"/>
        </w:rPr>
        <w:t xml:space="preserve">Cotgrave </w:t>
      </w:r>
      <w:r w:rsidR="361F2AB1" w:rsidRPr="006576ED">
        <w:rPr>
          <w:sz w:val="20"/>
          <w:szCs w:val="20"/>
        </w:rPr>
        <w:t xml:space="preserve">Construction </w:t>
      </w:r>
      <w:r w:rsidR="6B94C840" w:rsidRPr="006576ED">
        <w:rPr>
          <w:sz w:val="20"/>
          <w:szCs w:val="20"/>
        </w:rPr>
        <w:t xml:space="preserve">Technology </w:t>
      </w:r>
      <w:r w:rsidR="19EA1B04" w:rsidRPr="006576ED">
        <w:rPr>
          <w:sz w:val="20"/>
          <w:szCs w:val="20"/>
        </w:rPr>
        <w:t xml:space="preserve">2: </w:t>
      </w:r>
      <w:r w:rsidR="6DD1B69C" w:rsidRPr="006576ED">
        <w:rPr>
          <w:sz w:val="20"/>
          <w:szCs w:val="20"/>
        </w:rPr>
        <w:t xml:space="preserve">Industrial &amp; </w:t>
      </w:r>
      <w:r w:rsidR="18D81BA2" w:rsidRPr="006576ED">
        <w:rPr>
          <w:sz w:val="20"/>
          <w:szCs w:val="20"/>
        </w:rPr>
        <w:t xml:space="preserve">Commercial </w:t>
      </w:r>
      <w:r w:rsidR="477A3746" w:rsidRPr="006576ED">
        <w:rPr>
          <w:sz w:val="20"/>
          <w:szCs w:val="20"/>
        </w:rPr>
        <w:t xml:space="preserve">Building </w:t>
      </w:r>
      <w:r w:rsidR="0B115368" w:rsidRPr="006576ED">
        <w:rPr>
          <w:sz w:val="20"/>
          <w:szCs w:val="20"/>
        </w:rPr>
        <w:t xml:space="preserve">3rd ed </w:t>
      </w:r>
      <w:r w:rsidR="179D9A25" w:rsidRPr="006576ED">
        <w:rPr>
          <w:sz w:val="20"/>
          <w:szCs w:val="20"/>
        </w:rPr>
        <w:t xml:space="preserve">(2014) </w:t>
      </w:r>
      <w:r w:rsidR="06616C4A" w:rsidRPr="006576ED">
        <w:rPr>
          <w:sz w:val="20"/>
          <w:szCs w:val="20"/>
        </w:rPr>
        <w:t>p.94</w:t>
      </w:r>
      <w:r w:rsidR="19EA1B04" w:rsidRPr="006576ED">
        <w:rPr>
          <w:sz w:val="20"/>
          <w:szCs w:val="20"/>
        </w:rPr>
        <w:t>.</w:t>
      </w:r>
    </w:p>
  </w:footnote>
  <w:footnote w:id="34">
    <w:p w14:paraId="155A8C5D" w14:textId="777883CF" w:rsidR="008D3B6D" w:rsidRDefault="008D3B6D">
      <w:pPr>
        <w:pStyle w:val="FootnoteText"/>
      </w:pPr>
      <w:r>
        <w:rPr>
          <w:rStyle w:val="FootnoteReference"/>
        </w:rPr>
        <w:footnoteRef/>
      </w:r>
      <w:r>
        <w:t xml:space="preserve"> Jubb (2020) p.6.</w:t>
      </w:r>
    </w:p>
  </w:footnote>
  <w:footnote w:id="35">
    <w:p w14:paraId="0F58EA5C" w14:textId="337EC643" w:rsidR="008D3B6D" w:rsidRDefault="008D3B6D">
      <w:pPr>
        <w:pStyle w:val="FootnoteText"/>
      </w:pPr>
      <w:r>
        <w:rPr>
          <w:rStyle w:val="FootnoteReference"/>
        </w:rPr>
        <w:footnoteRef/>
      </w:r>
      <w:r>
        <w:t xml:space="preserve"> </w:t>
      </w:r>
      <w:r>
        <w:t>Jubb (2020) p.</w:t>
      </w:r>
      <w:r>
        <w:t>11.</w:t>
      </w:r>
    </w:p>
  </w:footnote>
  <w:footnote w:id="36">
    <w:p w14:paraId="3E273E7F" w14:textId="03CF0E4D" w:rsidR="008D3B6D" w:rsidRDefault="008D3B6D">
      <w:pPr>
        <w:pStyle w:val="FootnoteText"/>
      </w:pPr>
      <w:r>
        <w:rPr>
          <w:rStyle w:val="FootnoteReference"/>
        </w:rPr>
        <w:footnoteRef/>
      </w:r>
      <w:r>
        <w:t xml:space="preserve"> </w:t>
      </w:r>
      <w:r>
        <w:t>Jubb (2020) p.</w:t>
      </w:r>
      <w:r w:rsidR="00E61B49">
        <w:t>11.</w:t>
      </w:r>
    </w:p>
  </w:footnote>
  <w:footnote w:id="37">
    <w:p w14:paraId="44B0BB91" w14:textId="51828726" w:rsidR="002D669B" w:rsidRDefault="002D669B">
      <w:pPr>
        <w:pStyle w:val="FootnoteText"/>
      </w:pPr>
      <w:r w:rsidRPr="006576ED">
        <w:rPr>
          <w:vertAlign w:val="superscript"/>
        </w:rPr>
        <w:footnoteRef/>
      </w:r>
      <w:r w:rsidR="006576ED">
        <w:t xml:space="preserve"> </w:t>
      </w:r>
      <w:r w:rsidRPr="006576ED">
        <w:t>M Riley and A Cotgrave Construction Technology 2: Industrial &amp; Commercial Building 3rd ed (2014)</w:t>
      </w:r>
      <w:r>
        <w:t xml:space="preserve"> pp.115-16</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60F0F"/>
    <w:multiLevelType w:val="hybridMultilevel"/>
    <w:tmpl w:val="4962C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80799C"/>
    <w:multiLevelType w:val="hybridMultilevel"/>
    <w:tmpl w:val="90E2A75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0E671D"/>
    <w:multiLevelType w:val="hybridMultilevel"/>
    <w:tmpl w:val="36F4B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AE0796"/>
    <w:multiLevelType w:val="hybridMultilevel"/>
    <w:tmpl w:val="56D820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A061963"/>
    <w:multiLevelType w:val="hybridMultilevel"/>
    <w:tmpl w:val="4394EA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476E5B"/>
    <w:multiLevelType w:val="hybridMultilevel"/>
    <w:tmpl w:val="155001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CE74494"/>
    <w:multiLevelType w:val="hybridMultilevel"/>
    <w:tmpl w:val="8270A5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69B6418A"/>
    <w:multiLevelType w:val="hybridMultilevel"/>
    <w:tmpl w:val="E72E7916"/>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847676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13960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22115256">
    <w:abstractNumId w:val="4"/>
  </w:num>
  <w:num w:numId="4" w16cid:durableId="1522012514">
    <w:abstractNumId w:val="2"/>
  </w:num>
  <w:num w:numId="5" w16cid:durableId="653025831">
    <w:abstractNumId w:val="1"/>
  </w:num>
  <w:num w:numId="6" w16cid:durableId="1441610505">
    <w:abstractNumId w:val="5"/>
  </w:num>
  <w:num w:numId="7" w16cid:durableId="75636181">
    <w:abstractNumId w:val="3"/>
  </w:num>
  <w:num w:numId="8" w16cid:durableId="908224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A68"/>
    <w:rsid w:val="000000FC"/>
    <w:rsid w:val="000042D5"/>
    <w:rsid w:val="00011039"/>
    <w:rsid w:val="00011894"/>
    <w:rsid w:val="000347D0"/>
    <w:rsid w:val="00035E8E"/>
    <w:rsid w:val="000363E8"/>
    <w:rsid w:val="00040141"/>
    <w:rsid w:val="00041F3D"/>
    <w:rsid w:val="00055698"/>
    <w:rsid w:val="0005576D"/>
    <w:rsid w:val="0005623E"/>
    <w:rsid w:val="000610DA"/>
    <w:rsid w:val="0006189C"/>
    <w:rsid w:val="0006350A"/>
    <w:rsid w:val="00070633"/>
    <w:rsid w:val="00071DFD"/>
    <w:rsid w:val="0007228A"/>
    <w:rsid w:val="00076156"/>
    <w:rsid w:val="000826FC"/>
    <w:rsid w:val="00092C36"/>
    <w:rsid w:val="00094867"/>
    <w:rsid w:val="00097227"/>
    <w:rsid w:val="000A4962"/>
    <w:rsid w:val="000B0355"/>
    <w:rsid w:val="000B1713"/>
    <w:rsid w:val="000B54F6"/>
    <w:rsid w:val="000B6644"/>
    <w:rsid w:val="000C0DE7"/>
    <w:rsid w:val="000C63AC"/>
    <w:rsid w:val="000E42D6"/>
    <w:rsid w:val="000F0AFC"/>
    <w:rsid w:val="000F228D"/>
    <w:rsid w:val="000F2DB3"/>
    <w:rsid w:val="000F5F7C"/>
    <w:rsid w:val="00102BCE"/>
    <w:rsid w:val="001034B6"/>
    <w:rsid w:val="00122CD6"/>
    <w:rsid w:val="001231DD"/>
    <w:rsid w:val="001309D4"/>
    <w:rsid w:val="001312F2"/>
    <w:rsid w:val="0013137A"/>
    <w:rsid w:val="001334CB"/>
    <w:rsid w:val="00134177"/>
    <w:rsid w:val="00141523"/>
    <w:rsid w:val="001501D7"/>
    <w:rsid w:val="00161F1F"/>
    <w:rsid w:val="00163B02"/>
    <w:rsid w:val="0017161A"/>
    <w:rsid w:val="001726EF"/>
    <w:rsid w:val="0019363C"/>
    <w:rsid w:val="0019654D"/>
    <w:rsid w:val="001A0127"/>
    <w:rsid w:val="001A45B6"/>
    <w:rsid w:val="001C6CF2"/>
    <w:rsid w:val="001D09D5"/>
    <w:rsid w:val="001D1035"/>
    <w:rsid w:val="001D6E4A"/>
    <w:rsid w:val="001E1560"/>
    <w:rsid w:val="001E4A6B"/>
    <w:rsid w:val="00203785"/>
    <w:rsid w:val="00204F81"/>
    <w:rsid w:val="00210D6F"/>
    <w:rsid w:val="002211E9"/>
    <w:rsid w:val="002231E2"/>
    <w:rsid w:val="00234A68"/>
    <w:rsid w:val="00240536"/>
    <w:rsid w:val="0026442A"/>
    <w:rsid w:val="00264604"/>
    <w:rsid w:val="002675DC"/>
    <w:rsid w:val="00267B01"/>
    <w:rsid w:val="002706C9"/>
    <w:rsid w:val="00273EBF"/>
    <w:rsid w:val="0027421A"/>
    <w:rsid w:val="002745FE"/>
    <w:rsid w:val="00280266"/>
    <w:rsid w:val="0028287C"/>
    <w:rsid w:val="00295D32"/>
    <w:rsid w:val="00297977"/>
    <w:rsid w:val="002C28F8"/>
    <w:rsid w:val="002D2819"/>
    <w:rsid w:val="002D669B"/>
    <w:rsid w:val="002E00A3"/>
    <w:rsid w:val="002E22D9"/>
    <w:rsid w:val="002E5B89"/>
    <w:rsid w:val="002E733E"/>
    <w:rsid w:val="002F7301"/>
    <w:rsid w:val="00302560"/>
    <w:rsid w:val="00312E6B"/>
    <w:rsid w:val="003164E5"/>
    <w:rsid w:val="00317B34"/>
    <w:rsid w:val="00323686"/>
    <w:rsid w:val="0032634A"/>
    <w:rsid w:val="00327A26"/>
    <w:rsid w:val="0033632B"/>
    <w:rsid w:val="00340B1D"/>
    <w:rsid w:val="00342136"/>
    <w:rsid w:val="00343C67"/>
    <w:rsid w:val="0036124B"/>
    <w:rsid w:val="003617AE"/>
    <w:rsid w:val="00372592"/>
    <w:rsid w:val="00376CC1"/>
    <w:rsid w:val="00381E71"/>
    <w:rsid w:val="00382679"/>
    <w:rsid w:val="0038703B"/>
    <w:rsid w:val="003871CE"/>
    <w:rsid w:val="00390234"/>
    <w:rsid w:val="0039338B"/>
    <w:rsid w:val="003A130E"/>
    <w:rsid w:val="003A3856"/>
    <w:rsid w:val="003B18E8"/>
    <w:rsid w:val="003C35B8"/>
    <w:rsid w:val="003D0680"/>
    <w:rsid w:val="003F22C9"/>
    <w:rsid w:val="004042EB"/>
    <w:rsid w:val="00405648"/>
    <w:rsid w:val="00416CA1"/>
    <w:rsid w:val="00421543"/>
    <w:rsid w:val="004243BF"/>
    <w:rsid w:val="00425AD3"/>
    <w:rsid w:val="00437027"/>
    <w:rsid w:val="0044219A"/>
    <w:rsid w:val="00443F27"/>
    <w:rsid w:val="004623C3"/>
    <w:rsid w:val="004626DE"/>
    <w:rsid w:val="00465D60"/>
    <w:rsid w:val="004705C5"/>
    <w:rsid w:val="004708E9"/>
    <w:rsid w:val="00482EBC"/>
    <w:rsid w:val="00490FF3"/>
    <w:rsid w:val="004923A1"/>
    <w:rsid w:val="00496E24"/>
    <w:rsid w:val="004973E9"/>
    <w:rsid w:val="004B34B4"/>
    <w:rsid w:val="004B3650"/>
    <w:rsid w:val="004B5EF6"/>
    <w:rsid w:val="004F000F"/>
    <w:rsid w:val="004F4858"/>
    <w:rsid w:val="0050620B"/>
    <w:rsid w:val="00507CC1"/>
    <w:rsid w:val="005103C6"/>
    <w:rsid w:val="005147AC"/>
    <w:rsid w:val="00523C6B"/>
    <w:rsid w:val="005306D3"/>
    <w:rsid w:val="00540F69"/>
    <w:rsid w:val="00541584"/>
    <w:rsid w:val="0055007D"/>
    <w:rsid w:val="00553FAA"/>
    <w:rsid w:val="00555C2C"/>
    <w:rsid w:val="005813F9"/>
    <w:rsid w:val="0058252D"/>
    <w:rsid w:val="0058336A"/>
    <w:rsid w:val="00585B35"/>
    <w:rsid w:val="00594337"/>
    <w:rsid w:val="005A0FDC"/>
    <w:rsid w:val="005A3AE8"/>
    <w:rsid w:val="005B0AB4"/>
    <w:rsid w:val="005B1D21"/>
    <w:rsid w:val="005C0142"/>
    <w:rsid w:val="005C6046"/>
    <w:rsid w:val="005F1B98"/>
    <w:rsid w:val="005F25B0"/>
    <w:rsid w:val="006217DE"/>
    <w:rsid w:val="00625738"/>
    <w:rsid w:val="006314E8"/>
    <w:rsid w:val="0064073A"/>
    <w:rsid w:val="00655E9A"/>
    <w:rsid w:val="006576ED"/>
    <w:rsid w:val="00662EAE"/>
    <w:rsid w:val="00666338"/>
    <w:rsid w:val="00674425"/>
    <w:rsid w:val="00681E60"/>
    <w:rsid w:val="00685CDC"/>
    <w:rsid w:val="00693093"/>
    <w:rsid w:val="0069357E"/>
    <w:rsid w:val="006A2FD8"/>
    <w:rsid w:val="006A4BE3"/>
    <w:rsid w:val="006B21D4"/>
    <w:rsid w:val="006B2CD0"/>
    <w:rsid w:val="006B5CA9"/>
    <w:rsid w:val="006B66AF"/>
    <w:rsid w:val="006B6A18"/>
    <w:rsid w:val="006C200E"/>
    <w:rsid w:val="006D016E"/>
    <w:rsid w:val="006D64E6"/>
    <w:rsid w:val="006E2526"/>
    <w:rsid w:val="006E5D9D"/>
    <w:rsid w:val="006F3C19"/>
    <w:rsid w:val="00703979"/>
    <w:rsid w:val="00711AE3"/>
    <w:rsid w:val="0072085F"/>
    <w:rsid w:val="00740CE6"/>
    <w:rsid w:val="00741970"/>
    <w:rsid w:val="00742E28"/>
    <w:rsid w:val="00746DB3"/>
    <w:rsid w:val="00753153"/>
    <w:rsid w:val="007533A6"/>
    <w:rsid w:val="00760073"/>
    <w:rsid w:val="00761C21"/>
    <w:rsid w:val="00763F82"/>
    <w:rsid w:val="0077456F"/>
    <w:rsid w:val="007861B3"/>
    <w:rsid w:val="00786BFA"/>
    <w:rsid w:val="007876C8"/>
    <w:rsid w:val="00787ACF"/>
    <w:rsid w:val="007A244D"/>
    <w:rsid w:val="007C1F3E"/>
    <w:rsid w:val="007C2D65"/>
    <w:rsid w:val="007C30F0"/>
    <w:rsid w:val="007C3883"/>
    <w:rsid w:val="007C53DC"/>
    <w:rsid w:val="007D3772"/>
    <w:rsid w:val="007D49D5"/>
    <w:rsid w:val="007D6410"/>
    <w:rsid w:val="007E2E61"/>
    <w:rsid w:val="00801D6E"/>
    <w:rsid w:val="00802340"/>
    <w:rsid w:val="00802346"/>
    <w:rsid w:val="00806E55"/>
    <w:rsid w:val="00817D2A"/>
    <w:rsid w:val="00827949"/>
    <w:rsid w:val="00832F22"/>
    <w:rsid w:val="008610CC"/>
    <w:rsid w:val="00862571"/>
    <w:rsid w:val="008706A5"/>
    <w:rsid w:val="00871522"/>
    <w:rsid w:val="00883C9D"/>
    <w:rsid w:val="00892070"/>
    <w:rsid w:val="00894BCC"/>
    <w:rsid w:val="008B105D"/>
    <w:rsid w:val="008B14DB"/>
    <w:rsid w:val="008C27A6"/>
    <w:rsid w:val="008D14B8"/>
    <w:rsid w:val="008D3B6D"/>
    <w:rsid w:val="008D41BB"/>
    <w:rsid w:val="008D7395"/>
    <w:rsid w:val="008E54B9"/>
    <w:rsid w:val="008E59DA"/>
    <w:rsid w:val="008F6F02"/>
    <w:rsid w:val="00906A6B"/>
    <w:rsid w:val="00914010"/>
    <w:rsid w:val="00921D3B"/>
    <w:rsid w:val="00924D63"/>
    <w:rsid w:val="00950551"/>
    <w:rsid w:val="0095274F"/>
    <w:rsid w:val="009557A0"/>
    <w:rsid w:val="00961B2D"/>
    <w:rsid w:val="0096663B"/>
    <w:rsid w:val="009711A2"/>
    <w:rsid w:val="00972F15"/>
    <w:rsid w:val="00990CDB"/>
    <w:rsid w:val="0099141E"/>
    <w:rsid w:val="0099329C"/>
    <w:rsid w:val="009A0B9E"/>
    <w:rsid w:val="009A0BF1"/>
    <w:rsid w:val="009A3CCB"/>
    <w:rsid w:val="009A690C"/>
    <w:rsid w:val="009B3770"/>
    <w:rsid w:val="009B4B54"/>
    <w:rsid w:val="009C0A18"/>
    <w:rsid w:val="009C1AEC"/>
    <w:rsid w:val="009D109C"/>
    <w:rsid w:val="009D1F33"/>
    <w:rsid w:val="009E3F21"/>
    <w:rsid w:val="009F0D0C"/>
    <w:rsid w:val="009F1ECD"/>
    <w:rsid w:val="009F43ED"/>
    <w:rsid w:val="009F516F"/>
    <w:rsid w:val="009F7544"/>
    <w:rsid w:val="00A0548F"/>
    <w:rsid w:val="00A05CA1"/>
    <w:rsid w:val="00A06710"/>
    <w:rsid w:val="00A10E1B"/>
    <w:rsid w:val="00A151D1"/>
    <w:rsid w:val="00A2416E"/>
    <w:rsid w:val="00A3237A"/>
    <w:rsid w:val="00A35417"/>
    <w:rsid w:val="00A40431"/>
    <w:rsid w:val="00A542ED"/>
    <w:rsid w:val="00A6268B"/>
    <w:rsid w:val="00A65028"/>
    <w:rsid w:val="00A66C80"/>
    <w:rsid w:val="00A861F4"/>
    <w:rsid w:val="00A90D12"/>
    <w:rsid w:val="00AA0E15"/>
    <w:rsid w:val="00AA4D68"/>
    <w:rsid w:val="00AB0866"/>
    <w:rsid w:val="00AB771C"/>
    <w:rsid w:val="00AC1875"/>
    <w:rsid w:val="00AC263A"/>
    <w:rsid w:val="00AD1536"/>
    <w:rsid w:val="00AD1D74"/>
    <w:rsid w:val="00AD5923"/>
    <w:rsid w:val="00AF1962"/>
    <w:rsid w:val="00AF5727"/>
    <w:rsid w:val="00AF59FB"/>
    <w:rsid w:val="00AF5E08"/>
    <w:rsid w:val="00B07EA0"/>
    <w:rsid w:val="00B121BD"/>
    <w:rsid w:val="00B12457"/>
    <w:rsid w:val="00B14587"/>
    <w:rsid w:val="00B333B2"/>
    <w:rsid w:val="00B40380"/>
    <w:rsid w:val="00B446B0"/>
    <w:rsid w:val="00B465F1"/>
    <w:rsid w:val="00B47AF3"/>
    <w:rsid w:val="00B52339"/>
    <w:rsid w:val="00B53F2E"/>
    <w:rsid w:val="00B54B1D"/>
    <w:rsid w:val="00B639D3"/>
    <w:rsid w:val="00B7510C"/>
    <w:rsid w:val="00B77BA4"/>
    <w:rsid w:val="00B80422"/>
    <w:rsid w:val="00B8177F"/>
    <w:rsid w:val="00B83DE2"/>
    <w:rsid w:val="00B843D8"/>
    <w:rsid w:val="00B85B0D"/>
    <w:rsid w:val="00B87696"/>
    <w:rsid w:val="00B948A9"/>
    <w:rsid w:val="00BC6C56"/>
    <w:rsid w:val="00BD33A9"/>
    <w:rsid w:val="00BD557C"/>
    <w:rsid w:val="00BE4805"/>
    <w:rsid w:val="00BE5249"/>
    <w:rsid w:val="00BF58B4"/>
    <w:rsid w:val="00C043B9"/>
    <w:rsid w:val="00C1655E"/>
    <w:rsid w:val="00C25DDC"/>
    <w:rsid w:val="00C318B1"/>
    <w:rsid w:val="00C36F71"/>
    <w:rsid w:val="00C41524"/>
    <w:rsid w:val="00C444AF"/>
    <w:rsid w:val="00C51561"/>
    <w:rsid w:val="00C53FD9"/>
    <w:rsid w:val="00C5431F"/>
    <w:rsid w:val="00C5604E"/>
    <w:rsid w:val="00C5788D"/>
    <w:rsid w:val="00C61FF7"/>
    <w:rsid w:val="00C668A9"/>
    <w:rsid w:val="00C67318"/>
    <w:rsid w:val="00C8174A"/>
    <w:rsid w:val="00C81DD4"/>
    <w:rsid w:val="00C832FE"/>
    <w:rsid w:val="00C8415E"/>
    <w:rsid w:val="00C87467"/>
    <w:rsid w:val="00C87A0B"/>
    <w:rsid w:val="00C9071A"/>
    <w:rsid w:val="00C949D8"/>
    <w:rsid w:val="00C978FA"/>
    <w:rsid w:val="00CA322E"/>
    <w:rsid w:val="00CA612B"/>
    <w:rsid w:val="00CA79F8"/>
    <w:rsid w:val="00CB4ED0"/>
    <w:rsid w:val="00CB6DC1"/>
    <w:rsid w:val="00CB7524"/>
    <w:rsid w:val="00CD1AF7"/>
    <w:rsid w:val="00CD2864"/>
    <w:rsid w:val="00CE0F9B"/>
    <w:rsid w:val="00D0035E"/>
    <w:rsid w:val="00D05413"/>
    <w:rsid w:val="00D0599F"/>
    <w:rsid w:val="00D07F2A"/>
    <w:rsid w:val="00D10276"/>
    <w:rsid w:val="00D17721"/>
    <w:rsid w:val="00D330DF"/>
    <w:rsid w:val="00D36414"/>
    <w:rsid w:val="00D46C7D"/>
    <w:rsid w:val="00D51F85"/>
    <w:rsid w:val="00D5236F"/>
    <w:rsid w:val="00D5768E"/>
    <w:rsid w:val="00D60F42"/>
    <w:rsid w:val="00D61E4B"/>
    <w:rsid w:val="00D621CA"/>
    <w:rsid w:val="00D7116D"/>
    <w:rsid w:val="00D73FD4"/>
    <w:rsid w:val="00D827F5"/>
    <w:rsid w:val="00D87471"/>
    <w:rsid w:val="00D95C05"/>
    <w:rsid w:val="00DA3A7C"/>
    <w:rsid w:val="00DA4F26"/>
    <w:rsid w:val="00DA5FE1"/>
    <w:rsid w:val="00DB36EC"/>
    <w:rsid w:val="00DB3E2F"/>
    <w:rsid w:val="00DC1444"/>
    <w:rsid w:val="00DD3BFD"/>
    <w:rsid w:val="00DD4AE9"/>
    <w:rsid w:val="00DD715B"/>
    <w:rsid w:val="00DE14DC"/>
    <w:rsid w:val="00DE2183"/>
    <w:rsid w:val="00DF6CD4"/>
    <w:rsid w:val="00E15267"/>
    <w:rsid w:val="00E2055F"/>
    <w:rsid w:val="00E26A62"/>
    <w:rsid w:val="00E27099"/>
    <w:rsid w:val="00E32443"/>
    <w:rsid w:val="00E32C1F"/>
    <w:rsid w:val="00E40D7D"/>
    <w:rsid w:val="00E420DB"/>
    <w:rsid w:val="00E42357"/>
    <w:rsid w:val="00E50525"/>
    <w:rsid w:val="00E50D3C"/>
    <w:rsid w:val="00E510D9"/>
    <w:rsid w:val="00E61B49"/>
    <w:rsid w:val="00E6579C"/>
    <w:rsid w:val="00E8381A"/>
    <w:rsid w:val="00E9757F"/>
    <w:rsid w:val="00EA2D10"/>
    <w:rsid w:val="00EB3867"/>
    <w:rsid w:val="00EB5B42"/>
    <w:rsid w:val="00EB66F7"/>
    <w:rsid w:val="00ED58DD"/>
    <w:rsid w:val="00ED7399"/>
    <w:rsid w:val="00F000AA"/>
    <w:rsid w:val="00F102C0"/>
    <w:rsid w:val="00F27CB0"/>
    <w:rsid w:val="00F33A1D"/>
    <w:rsid w:val="00F3400F"/>
    <w:rsid w:val="00F37DC4"/>
    <w:rsid w:val="00F60F67"/>
    <w:rsid w:val="00F65D98"/>
    <w:rsid w:val="00F8388C"/>
    <w:rsid w:val="00F90B2A"/>
    <w:rsid w:val="00F94B29"/>
    <w:rsid w:val="00FA540F"/>
    <w:rsid w:val="00FA56A1"/>
    <w:rsid w:val="00FA69A4"/>
    <w:rsid w:val="00FA6BDD"/>
    <w:rsid w:val="00FA761E"/>
    <w:rsid w:val="00FD7334"/>
    <w:rsid w:val="00FE32CC"/>
    <w:rsid w:val="00FF110C"/>
    <w:rsid w:val="00FF327E"/>
    <w:rsid w:val="0437F1B8"/>
    <w:rsid w:val="06616C4A"/>
    <w:rsid w:val="06F4AB42"/>
    <w:rsid w:val="079F0D4B"/>
    <w:rsid w:val="079F62CE"/>
    <w:rsid w:val="08FD7AC5"/>
    <w:rsid w:val="0B115368"/>
    <w:rsid w:val="0FFD2682"/>
    <w:rsid w:val="11AA052A"/>
    <w:rsid w:val="11D94364"/>
    <w:rsid w:val="121B6805"/>
    <w:rsid w:val="125045F8"/>
    <w:rsid w:val="12895DA8"/>
    <w:rsid w:val="1334E654"/>
    <w:rsid w:val="1454B86A"/>
    <w:rsid w:val="15B3B0C5"/>
    <w:rsid w:val="15FAA4D9"/>
    <w:rsid w:val="179D9A25"/>
    <w:rsid w:val="18570893"/>
    <w:rsid w:val="18D81BA2"/>
    <w:rsid w:val="18EBFCE9"/>
    <w:rsid w:val="19EA1B04"/>
    <w:rsid w:val="1B11CC55"/>
    <w:rsid w:val="1E7DA3F1"/>
    <w:rsid w:val="1F9A59EB"/>
    <w:rsid w:val="1FD242A6"/>
    <w:rsid w:val="201B4180"/>
    <w:rsid w:val="21E2402B"/>
    <w:rsid w:val="231EC202"/>
    <w:rsid w:val="23649064"/>
    <w:rsid w:val="23CB30AA"/>
    <w:rsid w:val="24093DBB"/>
    <w:rsid w:val="246F6791"/>
    <w:rsid w:val="25C59925"/>
    <w:rsid w:val="2606F4D1"/>
    <w:rsid w:val="2766548E"/>
    <w:rsid w:val="2786ED76"/>
    <w:rsid w:val="297509F5"/>
    <w:rsid w:val="2B0A6B4F"/>
    <w:rsid w:val="2BC4BD7D"/>
    <w:rsid w:val="2C714C48"/>
    <w:rsid w:val="2D884814"/>
    <w:rsid w:val="2F73B37D"/>
    <w:rsid w:val="3137F1A8"/>
    <w:rsid w:val="317A0CAF"/>
    <w:rsid w:val="31DC4E59"/>
    <w:rsid w:val="3511097A"/>
    <w:rsid w:val="351AFEFA"/>
    <w:rsid w:val="361F2AB1"/>
    <w:rsid w:val="376DA5AB"/>
    <w:rsid w:val="3BADE120"/>
    <w:rsid w:val="3E079440"/>
    <w:rsid w:val="3F92F783"/>
    <w:rsid w:val="40AB6944"/>
    <w:rsid w:val="41948EE5"/>
    <w:rsid w:val="44F4BCD5"/>
    <w:rsid w:val="454DF328"/>
    <w:rsid w:val="467CF69A"/>
    <w:rsid w:val="477A3746"/>
    <w:rsid w:val="47A468A0"/>
    <w:rsid w:val="491849F0"/>
    <w:rsid w:val="49CC2455"/>
    <w:rsid w:val="4B71CA43"/>
    <w:rsid w:val="4C03C6FC"/>
    <w:rsid w:val="4CA70D77"/>
    <w:rsid w:val="4E394F13"/>
    <w:rsid w:val="4F08C9B3"/>
    <w:rsid w:val="4F4415C6"/>
    <w:rsid w:val="51249EB3"/>
    <w:rsid w:val="513F2E79"/>
    <w:rsid w:val="549850FF"/>
    <w:rsid w:val="54B40376"/>
    <w:rsid w:val="58A5343E"/>
    <w:rsid w:val="5AFFF689"/>
    <w:rsid w:val="5B96113D"/>
    <w:rsid w:val="5C53CCB9"/>
    <w:rsid w:val="5ECF6502"/>
    <w:rsid w:val="5F8428AE"/>
    <w:rsid w:val="6032E558"/>
    <w:rsid w:val="617A5784"/>
    <w:rsid w:val="631E361D"/>
    <w:rsid w:val="6B94C840"/>
    <w:rsid w:val="6CBF8342"/>
    <w:rsid w:val="6DD1B69C"/>
    <w:rsid w:val="6DD6CFAF"/>
    <w:rsid w:val="7223446D"/>
    <w:rsid w:val="76391D5C"/>
    <w:rsid w:val="76BF63DE"/>
    <w:rsid w:val="7B0BDAA6"/>
    <w:rsid w:val="7D910276"/>
    <w:rsid w:val="7DC3D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DFA5E"/>
  <w15:chartTrackingRefBased/>
  <w15:docId w15:val="{B4E3EB50-F26A-4885-8E68-821EFAF66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587"/>
    <w:pPr>
      <w:spacing w:after="0" w:line="240" w:lineRule="auto"/>
    </w:pPr>
    <w:rPr>
      <w:rFonts w:cs="Vrinda"/>
      <w:szCs w:val="30"/>
      <w:lang w:bidi="bn-IN"/>
    </w:rPr>
  </w:style>
  <w:style w:type="paragraph" w:styleId="Heading1">
    <w:name w:val="heading 1"/>
    <w:basedOn w:val="Normal"/>
    <w:next w:val="Normal"/>
    <w:link w:val="Heading1Char"/>
    <w:uiPriority w:val="9"/>
    <w:qFormat/>
    <w:rsid w:val="00234A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4A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4A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4A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4A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4A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4A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4A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4A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4A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4A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4A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4A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4A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4A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4A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4A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4A68"/>
    <w:rPr>
      <w:rFonts w:eastAsiaTheme="majorEastAsia" w:cstheme="majorBidi"/>
      <w:color w:val="272727" w:themeColor="text1" w:themeTint="D8"/>
    </w:rPr>
  </w:style>
  <w:style w:type="paragraph" w:styleId="Title">
    <w:name w:val="Title"/>
    <w:basedOn w:val="Normal"/>
    <w:next w:val="Normal"/>
    <w:link w:val="TitleChar"/>
    <w:uiPriority w:val="10"/>
    <w:qFormat/>
    <w:rsid w:val="00234A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4A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4A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4A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4A68"/>
    <w:pPr>
      <w:spacing w:before="160"/>
      <w:jc w:val="center"/>
    </w:pPr>
    <w:rPr>
      <w:i/>
      <w:iCs/>
      <w:color w:val="404040" w:themeColor="text1" w:themeTint="BF"/>
    </w:rPr>
  </w:style>
  <w:style w:type="character" w:customStyle="1" w:styleId="QuoteChar">
    <w:name w:val="Quote Char"/>
    <w:basedOn w:val="DefaultParagraphFont"/>
    <w:link w:val="Quote"/>
    <w:uiPriority w:val="29"/>
    <w:rsid w:val="00234A68"/>
    <w:rPr>
      <w:i/>
      <w:iCs/>
      <w:color w:val="404040" w:themeColor="text1" w:themeTint="BF"/>
    </w:rPr>
  </w:style>
  <w:style w:type="paragraph" w:styleId="ListParagraph">
    <w:name w:val="List Paragraph"/>
    <w:basedOn w:val="Normal"/>
    <w:uiPriority w:val="34"/>
    <w:qFormat/>
    <w:rsid w:val="00234A68"/>
    <w:pPr>
      <w:ind w:left="720"/>
      <w:contextualSpacing/>
    </w:pPr>
  </w:style>
  <w:style w:type="character" w:styleId="IntenseEmphasis">
    <w:name w:val="Intense Emphasis"/>
    <w:basedOn w:val="DefaultParagraphFont"/>
    <w:uiPriority w:val="21"/>
    <w:qFormat/>
    <w:rsid w:val="00234A68"/>
    <w:rPr>
      <w:i/>
      <w:iCs/>
      <w:color w:val="0F4761" w:themeColor="accent1" w:themeShade="BF"/>
    </w:rPr>
  </w:style>
  <w:style w:type="paragraph" w:styleId="IntenseQuote">
    <w:name w:val="Intense Quote"/>
    <w:basedOn w:val="Normal"/>
    <w:next w:val="Normal"/>
    <w:link w:val="IntenseQuoteChar"/>
    <w:uiPriority w:val="30"/>
    <w:qFormat/>
    <w:rsid w:val="00234A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4A68"/>
    <w:rPr>
      <w:i/>
      <w:iCs/>
      <w:color w:val="0F4761" w:themeColor="accent1" w:themeShade="BF"/>
    </w:rPr>
  </w:style>
  <w:style w:type="character" w:styleId="IntenseReference">
    <w:name w:val="Intense Reference"/>
    <w:basedOn w:val="DefaultParagraphFont"/>
    <w:uiPriority w:val="32"/>
    <w:qFormat/>
    <w:rsid w:val="00234A68"/>
    <w:rPr>
      <w:b/>
      <w:bCs/>
      <w:smallCaps/>
      <w:color w:val="0F4761" w:themeColor="accent1" w:themeShade="BF"/>
      <w:spacing w:val="5"/>
    </w:rPr>
  </w:style>
  <w:style w:type="character" w:styleId="Hyperlink">
    <w:name w:val="Hyperlink"/>
    <w:basedOn w:val="DefaultParagraphFont"/>
    <w:uiPriority w:val="99"/>
    <w:unhideWhenUsed/>
    <w:rsid w:val="00B14587"/>
    <w:rPr>
      <w:color w:val="467886" w:themeColor="hyperlink"/>
      <w:u w:val="single"/>
    </w:rPr>
  </w:style>
  <w:style w:type="paragraph" w:styleId="FootnoteText">
    <w:name w:val="footnote text"/>
    <w:basedOn w:val="Normal"/>
    <w:link w:val="FootnoteTextChar"/>
    <w:uiPriority w:val="99"/>
    <w:semiHidden/>
    <w:unhideWhenUsed/>
    <w:rsid w:val="00B14587"/>
    <w:rPr>
      <w:sz w:val="20"/>
      <w:szCs w:val="25"/>
    </w:rPr>
  </w:style>
  <w:style w:type="character" w:customStyle="1" w:styleId="FootnoteTextChar">
    <w:name w:val="Footnote Text Char"/>
    <w:basedOn w:val="DefaultParagraphFont"/>
    <w:link w:val="FootnoteText"/>
    <w:uiPriority w:val="99"/>
    <w:semiHidden/>
    <w:rsid w:val="00B14587"/>
    <w:rPr>
      <w:rFonts w:cs="Vrinda"/>
      <w:sz w:val="20"/>
      <w:szCs w:val="25"/>
      <w:lang w:bidi="bn-IN"/>
    </w:rPr>
  </w:style>
  <w:style w:type="character" w:styleId="FootnoteReference">
    <w:name w:val="footnote reference"/>
    <w:basedOn w:val="DefaultParagraphFont"/>
    <w:uiPriority w:val="99"/>
    <w:semiHidden/>
    <w:unhideWhenUsed/>
    <w:rsid w:val="00B14587"/>
    <w:rPr>
      <w:vertAlign w:val="superscript"/>
    </w:rPr>
  </w:style>
  <w:style w:type="paragraph" w:styleId="NoSpacing">
    <w:name w:val="No Spacing"/>
    <w:link w:val="NoSpacingChar"/>
    <w:uiPriority w:val="1"/>
    <w:qFormat/>
    <w:rsid w:val="0032634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2634A"/>
    <w:rPr>
      <w:rFonts w:eastAsiaTheme="minorEastAsia"/>
      <w:kern w:val="0"/>
      <w:sz w:val="22"/>
      <w:szCs w:val="22"/>
      <w:lang w:val="en-US"/>
      <w14:ligatures w14:val="none"/>
    </w:rPr>
  </w:style>
  <w:style w:type="paragraph" w:styleId="Header">
    <w:name w:val="header"/>
    <w:basedOn w:val="Normal"/>
    <w:link w:val="HeaderChar"/>
    <w:uiPriority w:val="99"/>
    <w:unhideWhenUsed/>
    <w:rsid w:val="003D0680"/>
    <w:pPr>
      <w:tabs>
        <w:tab w:val="center" w:pos="4513"/>
        <w:tab w:val="right" w:pos="9026"/>
      </w:tabs>
    </w:pPr>
  </w:style>
  <w:style w:type="character" w:customStyle="1" w:styleId="HeaderChar">
    <w:name w:val="Header Char"/>
    <w:basedOn w:val="DefaultParagraphFont"/>
    <w:link w:val="Header"/>
    <w:uiPriority w:val="99"/>
    <w:rsid w:val="003D0680"/>
    <w:rPr>
      <w:rFonts w:cs="Vrinda"/>
      <w:szCs w:val="30"/>
      <w:lang w:bidi="bn-IN"/>
    </w:rPr>
  </w:style>
  <w:style w:type="paragraph" w:styleId="Footer">
    <w:name w:val="footer"/>
    <w:basedOn w:val="Normal"/>
    <w:link w:val="FooterChar"/>
    <w:uiPriority w:val="99"/>
    <w:unhideWhenUsed/>
    <w:rsid w:val="003D0680"/>
    <w:pPr>
      <w:tabs>
        <w:tab w:val="center" w:pos="4513"/>
        <w:tab w:val="right" w:pos="9026"/>
      </w:tabs>
    </w:pPr>
  </w:style>
  <w:style w:type="character" w:customStyle="1" w:styleId="FooterChar">
    <w:name w:val="Footer Char"/>
    <w:basedOn w:val="DefaultParagraphFont"/>
    <w:link w:val="Footer"/>
    <w:uiPriority w:val="99"/>
    <w:rsid w:val="003D0680"/>
    <w:rPr>
      <w:rFonts w:cs="Vrinda"/>
      <w:szCs w:val="30"/>
      <w:lang w:bidi="bn-IN"/>
    </w:rPr>
  </w:style>
  <w:style w:type="paragraph" w:styleId="TOCHeading">
    <w:name w:val="TOC Heading"/>
    <w:basedOn w:val="Heading1"/>
    <w:next w:val="Normal"/>
    <w:uiPriority w:val="39"/>
    <w:unhideWhenUsed/>
    <w:qFormat/>
    <w:rsid w:val="009F0D0C"/>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9F0D0C"/>
    <w:pPr>
      <w:spacing w:after="100"/>
    </w:pPr>
  </w:style>
  <w:style w:type="character" w:styleId="UnresolvedMention">
    <w:name w:val="Unresolved Mention"/>
    <w:basedOn w:val="DefaultParagraphFont"/>
    <w:uiPriority w:val="99"/>
    <w:semiHidden/>
    <w:unhideWhenUsed/>
    <w:rsid w:val="00D7116D"/>
    <w:rPr>
      <w:color w:val="605E5C"/>
      <w:shd w:val="clear" w:color="auto" w:fill="E1DFDD"/>
    </w:rPr>
  </w:style>
  <w:style w:type="paragraph" w:styleId="NormalWeb">
    <w:name w:val="Normal (Web)"/>
    <w:basedOn w:val="Normal"/>
    <w:uiPriority w:val="99"/>
    <w:unhideWhenUsed/>
    <w:rsid w:val="00AD5923"/>
    <w:pPr>
      <w:spacing w:before="100" w:beforeAutospacing="1" w:after="100" w:afterAutospacing="1"/>
    </w:pPr>
    <w:rPr>
      <w:rFonts w:ascii="Times New Roman" w:eastAsia="Times New Roman" w:hAnsi="Times New Roman" w:cs="Times New Roman"/>
      <w:kern w:val="0"/>
      <w:szCs w:val="24"/>
      <w:lang w:eastAsia="en-GB" w:bidi="ar-SA"/>
      <w14:ligatures w14:val="none"/>
    </w:rPr>
  </w:style>
  <w:style w:type="character" w:customStyle="1" w:styleId="flwlv">
    <w:name w:val="flwlv"/>
    <w:basedOn w:val="DefaultParagraphFont"/>
    <w:rsid w:val="00B52339"/>
  </w:style>
  <w:style w:type="character" w:customStyle="1" w:styleId="ms-button-label">
    <w:name w:val="ms-button-label"/>
    <w:basedOn w:val="DefaultParagraphFont"/>
    <w:rsid w:val="00B52339"/>
  </w:style>
  <w:style w:type="character" w:customStyle="1" w:styleId="fui-avatarinitials">
    <w:name w:val="fui-avatar__initials"/>
    <w:basedOn w:val="DefaultParagraphFont"/>
    <w:rsid w:val="00B52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6068822">
      <w:bodyDiv w:val="1"/>
      <w:marLeft w:val="0"/>
      <w:marRight w:val="0"/>
      <w:marTop w:val="0"/>
      <w:marBottom w:val="0"/>
      <w:divBdr>
        <w:top w:val="none" w:sz="0" w:space="0" w:color="auto"/>
        <w:left w:val="none" w:sz="0" w:space="0" w:color="auto"/>
        <w:bottom w:val="none" w:sz="0" w:space="0" w:color="auto"/>
        <w:right w:val="none" w:sz="0" w:space="0" w:color="auto"/>
      </w:divBdr>
      <w:divsChild>
        <w:div w:id="1960791708">
          <w:marLeft w:val="0"/>
          <w:marRight w:val="0"/>
          <w:marTop w:val="0"/>
          <w:marBottom w:val="0"/>
          <w:divBdr>
            <w:top w:val="none" w:sz="0" w:space="0" w:color="auto"/>
            <w:left w:val="none" w:sz="0" w:space="0" w:color="auto"/>
            <w:bottom w:val="none" w:sz="0" w:space="0" w:color="auto"/>
            <w:right w:val="none" w:sz="0" w:space="0" w:color="auto"/>
          </w:divBdr>
          <w:divsChild>
            <w:div w:id="259801886">
              <w:marLeft w:val="0"/>
              <w:marRight w:val="0"/>
              <w:marTop w:val="0"/>
              <w:marBottom w:val="0"/>
              <w:divBdr>
                <w:top w:val="none" w:sz="0" w:space="0" w:color="auto"/>
                <w:left w:val="none" w:sz="0" w:space="0" w:color="auto"/>
                <w:bottom w:val="none" w:sz="0" w:space="0" w:color="auto"/>
                <w:right w:val="none" w:sz="0" w:space="0" w:color="auto"/>
              </w:divBdr>
              <w:divsChild>
                <w:div w:id="693924062">
                  <w:marLeft w:val="0"/>
                  <w:marRight w:val="0"/>
                  <w:marTop w:val="0"/>
                  <w:marBottom w:val="0"/>
                  <w:divBdr>
                    <w:top w:val="none" w:sz="0" w:space="0" w:color="auto"/>
                    <w:left w:val="none" w:sz="0" w:space="0" w:color="auto"/>
                    <w:bottom w:val="none" w:sz="0" w:space="0" w:color="auto"/>
                    <w:right w:val="none" w:sz="0" w:space="0" w:color="auto"/>
                  </w:divBdr>
                  <w:divsChild>
                    <w:div w:id="1516649227">
                      <w:marLeft w:val="0"/>
                      <w:marRight w:val="0"/>
                      <w:marTop w:val="0"/>
                      <w:marBottom w:val="0"/>
                      <w:divBdr>
                        <w:top w:val="none" w:sz="0" w:space="0" w:color="auto"/>
                        <w:left w:val="none" w:sz="0" w:space="0" w:color="auto"/>
                        <w:bottom w:val="none" w:sz="0" w:space="0" w:color="auto"/>
                        <w:right w:val="none" w:sz="0" w:space="0" w:color="auto"/>
                      </w:divBdr>
                      <w:divsChild>
                        <w:div w:id="780338202">
                          <w:marLeft w:val="0"/>
                          <w:marRight w:val="0"/>
                          <w:marTop w:val="0"/>
                          <w:marBottom w:val="0"/>
                          <w:divBdr>
                            <w:top w:val="none" w:sz="0" w:space="0" w:color="auto"/>
                            <w:left w:val="none" w:sz="0" w:space="0" w:color="auto"/>
                            <w:bottom w:val="none" w:sz="0" w:space="0" w:color="auto"/>
                            <w:right w:val="none" w:sz="0" w:space="0" w:color="auto"/>
                          </w:divBdr>
                          <w:divsChild>
                            <w:div w:id="227346303">
                              <w:marLeft w:val="0"/>
                              <w:marRight w:val="0"/>
                              <w:marTop w:val="0"/>
                              <w:marBottom w:val="0"/>
                              <w:divBdr>
                                <w:top w:val="none" w:sz="0" w:space="0" w:color="auto"/>
                                <w:left w:val="none" w:sz="0" w:space="0" w:color="auto"/>
                                <w:bottom w:val="none" w:sz="0" w:space="0" w:color="auto"/>
                                <w:right w:val="none" w:sz="0" w:space="0" w:color="auto"/>
                              </w:divBdr>
                              <w:divsChild>
                                <w:div w:id="2106804456">
                                  <w:marLeft w:val="0"/>
                                  <w:marRight w:val="0"/>
                                  <w:marTop w:val="0"/>
                                  <w:marBottom w:val="0"/>
                                  <w:divBdr>
                                    <w:top w:val="none" w:sz="0" w:space="0" w:color="auto"/>
                                    <w:left w:val="none" w:sz="0" w:space="0" w:color="auto"/>
                                    <w:bottom w:val="none" w:sz="0" w:space="0" w:color="auto"/>
                                    <w:right w:val="none" w:sz="0" w:space="0" w:color="auto"/>
                                  </w:divBdr>
                                  <w:divsChild>
                                    <w:div w:id="1736197318">
                                      <w:marLeft w:val="0"/>
                                      <w:marRight w:val="0"/>
                                      <w:marTop w:val="0"/>
                                      <w:marBottom w:val="0"/>
                                      <w:divBdr>
                                        <w:top w:val="none" w:sz="0" w:space="0" w:color="auto"/>
                                        <w:left w:val="none" w:sz="0" w:space="0" w:color="auto"/>
                                        <w:bottom w:val="none" w:sz="0" w:space="0" w:color="auto"/>
                                        <w:right w:val="none" w:sz="0" w:space="0" w:color="auto"/>
                                      </w:divBdr>
                                      <w:divsChild>
                                        <w:div w:id="1705398784">
                                          <w:marLeft w:val="105"/>
                                          <w:marRight w:val="0"/>
                                          <w:marTop w:val="0"/>
                                          <w:marBottom w:val="0"/>
                                          <w:divBdr>
                                            <w:top w:val="none" w:sz="0" w:space="0" w:color="auto"/>
                                            <w:left w:val="none" w:sz="0" w:space="0" w:color="auto"/>
                                            <w:bottom w:val="none" w:sz="0" w:space="0" w:color="auto"/>
                                            <w:right w:val="none" w:sz="0" w:space="0" w:color="auto"/>
                                          </w:divBdr>
                                          <w:divsChild>
                                            <w:div w:id="925918024">
                                              <w:marLeft w:val="0"/>
                                              <w:marRight w:val="0"/>
                                              <w:marTop w:val="0"/>
                                              <w:marBottom w:val="0"/>
                                              <w:divBdr>
                                                <w:top w:val="none" w:sz="0" w:space="0" w:color="auto"/>
                                                <w:left w:val="none" w:sz="0" w:space="0" w:color="auto"/>
                                                <w:bottom w:val="none" w:sz="0" w:space="0" w:color="auto"/>
                                                <w:right w:val="none" w:sz="0" w:space="0" w:color="auto"/>
                                              </w:divBdr>
                                              <w:divsChild>
                                                <w:div w:id="1382091715">
                                                  <w:marLeft w:val="0"/>
                                                  <w:marRight w:val="0"/>
                                                  <w:marTop w:val="0"/>
                                                  <w:marBottom w:val="0"/>
                                                  <w:divBdr>
                                                    <w:top w:val="none" w:sz="0" w:space="0" w:color="auto"/>
                                                    <w:left w:val="none" w:sz="0" w:space="0" w:color="auto"/>
                                                    <w:bottom w:val="none" w:sz="0" w:space="0" w:color="auto"/>
                                                    <w:right w:val="none" w:sz="0" w:space="0" w:color="auto"/>
                                                  </w:divBdr>
                                                  <w:divsChild>
                                                    <w:div w:id="344483686">
                                                      <w:marLeft w:val="0"/>
                                                      <w:marRight w:val="0"/>
                                                      <w:marTop w:val="0"/>
                                                      <w:marBottom w:val="0"/>
                                                      <w:divBdr>
                                                        <w:top w:val="none" w:sz="0" w:space="0" w:color="auto"/>
                                                        <w:left w:val="none" w:sz="0" w:space="0" w:color="auto"/>
                                                        <w:bottom w:val="none" w:sz="0" w:space="0" w:color="auto"/>
                                                        <w:right w:val="none" w:sz="0" w:space="0" w:color="auto"/>
                                                      </w:divBdr>
                                                      <w:divsChild>
                                                        <w:div w:id="418720508">
                                                          <w:marLeft w:val="0"/>
                                                          <w:marRight w:val="0"/>
                                                          <w:marTop w:val="0"/>
                                                          <w:marBottom w:val="0"/>
                                                          <w:divBdr>
                                                            <w:top w:val="none" w:sz="0" w:space="0" w:color="auto"/>
                                                            <w:left w:val="none" w:sz="0" w:space="0" w:color="auto"/>
                                                            <w:bottom w:val="none" w:sz="0" w:space="0" w:color="auto"/>
                                                            <w:right w:val="none" w:sz="0" w:space="0" w:color="auto"/>
                                                          </w:divBdr>
                                                          <w:divsChild>
                                                            <w:div w:id="1123115629">
                                                              <w:marLeft w:val="0"/>
                                                              <w:marRight w:val="0"/>
                                                              <w:marTop w:val="0"/>
                                                              <w:marBottom w:val="0"/>
                                                              <w:divBdr>
                                                                <w:top w:val="none" w:sz="0" w:space="0" w:color="auto"/>
                                                                <w:left w:val="none" w:sz="0" w:space="0" w:color="auto"/>
                                                                <w:bottom w:val="none" w:sz="0" w:space="0" w:color="auto"/>
                                                                <w:right w:val="none" w:sz="0" w:space="0" w:color="auto"/>
                                                              </w:divBdr>
                                                              <w:divsChild>
                                                                <w:div w:id="1708291335">
                                                                  <w:marLeft w:val="0"/>
                                                                  <w:marRight w:val="0"/>
                                                                  <w:marTop w:val="0"/>
                                                                  <w:marBottom w:val="0"/>
                                                                  <w:divBdr>
                                                                    <w:top w:val="none" w:sz="0" w:space="0" w:color="auto"/>
                                                                    <w:left w:val="none" w:sz="0" w:space="0" w:color="auto"/>
                                                                    <w:bottom w:val="none" w:sz="0" w:space="0" w:color="auto"/>
                                                                    <w:right w:val="none" w:sz="0" w:space="0" w:color="auto"/>
                                                                  </w:divBdr>
                                                                  <w:divsChild>
                                                                    <w:div w:id="1984579091">
                                                                      <w:marLeft w:val="0"/>
                                                                      <w:marRight w:val="0"/>
                                                                      <w:marTop w:val="0"/>
                                                                      <w:marBottom w:val="0"/>
                                                                      <w:divBdr>
                                                                        <w:top w:val="none" w:sz="0" w:space="0" w:color="auto"/>
                                                                        <w:left w:val="none" w:sz="0" w:space="0" w:color="auto"/>
                                                                        <w:bottom w:val="none" w:sz="0" w:space="0" w:color="auto"/>
                                                                        <w:right w:val="none" w:sz="0" w:space="0" w:color="auto"/>
                                                                      </w:divBdr>
                                                                      <w:divsChild>
                                                                        <w:div w:id="1870215335">
                                                                          <w:marLeft w:val="0"/>
                                                                          <w:marRight w:val="0"/>
                                                                          <w:marTop w:val="0"/>
                                                                          <w:marBottom w:val="0"/>
                                                                          <w:divBdr>
                                                                            <w:top w:val="none" w:sz="0" w:space="0" w:color="auto"/>
                                                                            <w:left w:val="none" w:sz="0" w:space="0" w:color="auto"/>
                                                                            <w:bottom w:val="none" w:sz="0" w:space="0" w:color="auto"/>
                                                                            <w:right w:val="none" w:sz="0" w:space="0" w:color="auto"/>
                                                                          </w:divBdr>
                                                                          <w:divsChild>
                                                                            <w:div w:id="1192690968">
                                                                              <w:marLeft w:val="120"/>
                                                                              <w:marRight w:val="0"/>
                                                                              <w:marTop w:val="0"/>
                                                                              <w:marBottom w:val="0"/>
                                                                              <w:divBdr>
                                                                                <w:top w:val="none" w:sz="0" w:space="0" w:color="auto"/>
                                                                                <w:left w:val="none" w:sz="0" w:space="0" w:color="auto"/>
                                                                                <w:bottom w:val="none" w:sz="0" w:space="0" w:color="auto"/>
                                                                                <w:right w:val="none" w:sz="0" w:space="0" w:color="auto"/>
                                                                              </w:divBdr>
                                                                              <w:divsChild>
                                                                                <w:div w:id="1653213283">
                                                                                  <w:marLeft w:val="0"/>
                                                                                  <w:marRight w:val="0"/>
                                                                                  <w:marTop w:val="0"/>
                                                                                  <w:marBottom w:val="120"/>
                                                                                  <w:divBdr>
                                                                                    <w:top w:val="none" w:sz="0" w:space="0" w:color="auto"/>
                                                                                    <w:left w:val="none" w:sz="0" w:space="0" w:color="auto"/>
                                                                                    <w:bottom w:val="none" w:sz="0" w:space="0" w:color="auto"/>
                                                                                    <w:right w:val="none" w:sz="0" w:space="0" w:color="auto"/>
                                                                                  </w:divBdr>
                                                                                  <w:divsChild>
                                                                                    <w:div w:id="498814367">
                                                                                      <w:marLeft w:val="0"/>
                                                                                      <w:marRight w:val="0"/>
                                                                                      <w:marTop w:val="0"/>
                                                                                      <w:marBottom w:val="0"/>
                                                                                      <w:divBdr>
                                                                                        <w:top w:val="none" w:sz="0" w:space="0" w:color="auto"/>
                                                                                        <w:left w:val="none" w:sz="0" w:space="0" w:color="auto"/>
                                                                                        <w:bottom w:val="none" w:sz="0" w:space="0" w:color="auto"/>
                                                                                        <w:right w:val="none" w:sz="0" w:space="0" w:color="auto"/>
                                                                                      </w:divBdr>
                                                                                      <w:divsChild>
                                                                                        <w:div w:id="1995523878">
                                                                                          <w:marLeft w:val="0"/>
                                                                                          <w:marRight w:val="0"/>
                                                                                          <w:marTop w:val="0"/>
                                                                                          <w:marBottom w:val="0"/>
                                                                                          <w:divBdr>
                                                                                            <w:top w:val="none" w:sz="0" w:space="0" w:color="auto"/>
                                                                                            <w:left w:val="none" w:sz="0" w:space="0" w:color="auto"/>
                                                                                            <w:bottom w:val="none" w:sz="0" w:space="0" w:color="auto"/>
                                                                                            <w:right w:val="none" w:sz="0" w:space="0" w:color="auto"/>
                                                                                          </w:divBdr>
                                                                                          <w:divsChild>
                                                                                            <w:div w:id="1412967166">
                                                                                              <w:marLeft w:val="0"/>
                                                                                              <w:marRight w:val="0"/>
                                                                                              <w:marTop w:val="0"/>
                                                                                              <w:marBottom w:val="0"/>
                                                                                              <w:divBdr>
                                                                                                <w:top w:val="none" w:sz="0" w:space="0" w:color="auto"/>
                                                                                                <w:left w:val="none" w:sz="0" w:space="0" w:color="auto"/>
                                                                                                <w:bottom w:val="none" w:sz="0" w:space="0" w:color="auto"/>
                                                                                                <w:right w:val="none" w:sz="0" w:space="0" w:color="auto"/>
                                                                                              </w:divBdr>
                                                                                              <w:divsChild>
                                                                                                <w:div w:id="1718971375">
                                                                                                  <w:marLeft w:val="0"/>
                                                                                                  <w:marRight w:val="0"/>
                                                                                                  <w:marTop w:val="0"/>
                                                                                                  <w:marBottom w:val="0"/>
                                                                                                  <w:divBdr>
                                                                                                    <w:top w:val="none" w:sz="0" w:space="0" w:color="auto"/>
                                                                                                    <w:left w:val="none" w:sz="0" w:space="0" w:color="auto"/>
                                                                                                    <w:bottom w:val="none" w:sz="0" w:space="0" w:color="auto"/>
                                                                                                    <w:right w:val="none" w:sz="0" w:space="0" w:color="auto"/>
                                                                                                  </w:divBdr>
                                                                                                  <w:divsChild>
                                                                                                    <w:div w:id="1212613381">
                                                                                                      <w:marLeft w:val="0"/>
                                                                                                      <w:marRight w:val="0"/>
                                                                                                      <w:marTop w:val="0"/>
                                                                                                      <w:marBottom w:val="0"/>
                                                                                                      <w:divBdr>
                                                                                                        <w:top w:val="none" w:sz="0" w:space="0" w:color="auto"/>
                                                                                                        <w:left w:val="none" w:sz="0" w:space="0" w:color="auto"/>
                                                                                                        <w:bottom w:val="none" w:sz="0" w:space="0" w:color="auto"/>
                                                                                                        <w:right w:val="none" w:sz="0" w:space="0" w:color="auto"/>
                                                                                                      </w:divBdr>
                                                                                                      <w:divsChild>
                                                                                                        <w:div w:id="1454905117">
                                                                                                          <w:marLeft w:val="0"/>
                                                                                                          <w:marRight w:val="0"/>
                                                                                                          <w:marTop w:val="0"/>
                                                                                                          <w:marBottom w:val="0"/>
                                                                                                          <w:divBdr>
                                                                                                            <w:top w:val="none" w:sz="0" w:space="0" w:color="auto"/>
                                                                                                            <w:left w:val="none" w:sz="0" w:space="0" w:color="auto"/>
                                                                                                            <w:bottom w:val="none" w:sz="0" w:space="0" w:color="auto"/>
                                                                                                            <w:right w:val="none" w:sz="0" w:space="0" w:color="auto"/>
                                                                                                          </w:divBdr>
                                                                                                          <w:divsChild>
                                                                                                            <w:div w:id="1085346289">
                                                                                                              <w:marLeft w:val="0"/>
                                                                                                              <w:marRight w:val="0"/>
                                                                                                              <w:marTop w:val="0"/>
                                                                                                              <w:marBottom w:val="0"/>
                                                                                                              <w:divBdr>
                                                                                                                <w:top w:val="none" w:sz="0" w:space="0" w:color="auto"/>
                                                                                                                <w:left w:val="none" w:sz="0" w:space="0" w:color="auto"/>
                                                                                                                <w:bottom w:val="none" w:sz="0" w:space="0" w:color="auto"/>
                                                                                                                <w:right w:val="none" w:sz="0" w:space="0" w:color="auto"/>
                                                                                                              </w:divBdr>
                                                                                                              <w:divsChild>
                                                                                                                <w:div w:id="136142883">
                                                                                                                  <w:marLeft w:val="30"/>
                                                                                                                  <w:marRight w:val="30"/>
                                                                                                                  <w:marTop w:val="30"/>
                                                                                                                  <w:marBottom w:val="120"/>
                                                                                                                  <w:divBdr>
                                                                                                                    <w:top w:val="none" w:sz="0" w:space="0" w:color="auto"/>
                                                                                                                    <w:left w:val="none" w:sz="0" w:space="0" w:color="auto"/>
                                                                                                                    <w:bottom w:val="none" w:sz="0" w:space="0" w:color="auto"/>
                                                                                                                    <w:right w:val="none" w:sz="0" w:space="0" w:color="auto"/>
                                                                                                                  </w:divBdr>
                                                                                                                  <w:divsChild>
                                                                                                                    <w:div w:id="1637299003">
                                                                                                                      <w:marLeft w:val="0"/>
                                                                                                                      <w:marRight w:val="0"/>
                                                                                                                      <w:marTop w:val="0"/>
                                                                                                                      <w:marBottom w:val="0"/>
                                                                                                                      <w:divBdr>
                                                                                                                        <w:top w:val="none" w:sz="0" w:space="0" w:color="auto"/>
                                                                                                                        <w:left w:val="none" w:sz="0" w:space="0" w:color="auto"/>
                                                                                                                        <w:bottom w:val="none" w:sz="0" w:space="0" w:color="auto"/>
                                                                                                                        <w:right w:val="none" w:sz="0" w:space="0" w:color="auto"/>
                                                                                                                      </w:divBdr>
                                                                                                                      <w:divsChild>
                                                                                                                        <w:div w:id="1263875756">
                                                                                                                          <w:marLeft w:val="0"/>
                                                                                                                          <w:marRight w:val="0"/>
                                                                                                                          <w:marTop w:val="0"/>
                                                                                                                          <w:marBottom w:val="0"/>
                                                                                                                          <w:divBdr>
                                                                                                                            <w:top w:val="none" w:sz="0" w:space="0" w:color="auto"/>
                                                                                                                            <w:left w:val="none" w:sz="0" w:space="0" w:color="auto"/>
                                                                                                                            <w:bottom w:val="none" w:sz="0" w:space="0" w:color="auto"/>
                                                                                                                            <w:right w:val="none" w:sz="0" w:space="0" w:color="auto"/>
                                                                                                                          </w:divBdr>
                                                                                                                          <w:divsChild>
                                                                                                                            <w:div w:id="1719864706">
                                                                                                                              <w:marLeft w:val="0"/>
                                                                                                                              <w:marRight w:val="0"/>
                                                                                                                              <w:marTop w:val="0"/>
                                                                                                                              <w:marBottom w:val="0"/>
                                                                                                                              <w:divBdr>
                                                                                                                                <w:top w:val="none" w:sz="0" w:space="0" w:color="auto"/>
                                                                                                                                <w:left w:val="none" w:sz="0" w:space="0" w:color="auto"/>
                                                                                                                                <w:bottom w:val="none" w:sz="0" w:space="0" w:color="auto"/>
                                                                                                                                <w:right w:val="none" w:sz="0" w:space="0" w:color="auto"/>
                                                                                                                              </w:divBdr>
                                                                                                                              <w:divsChild>
                                                                                                                                <w:div w:id="1570384234">
                                                                                                                                  <w:marLeft w:val="30"/>
                                                                                                                                  <w:marRight w:val="30"/>
                                                                                                                                  <w:marTop w:val="0"/>
                                                                                                                                  <w:marBottom w:val="120"/>
                                                                                                                                  <w:divBdr>
                                                                                                                                    <w:top w:val="none" w:sz="0" w:space="0" w:color="auto"/>
                                                                                                                                    <w:left w:val="none" w:sz="0" w:space="0" w:color="auto"/>
                                                                                                                                    <w:bottom w:val="none" w:sz="0" w:space="0" w:color="auto"/>
                                                                                                                                    <w:right w:val="none" w:sz="0" w:space="0" w:color="auto"/>
                                                                                                                                  </w:divBdr>
                                                                                                                                  <w:divsChild>
                                                                                                                                    <w:div w:id="167523611">
                                                                                                                                      <w:marLeft w:val="0"/>
                                                                                                                                      <w:marRight w:val="0"/>
                                                                                                                                      <w:marTop w:val="0"/>
                                                                                                                                      <w:marBottom w:val="0"/>
                                                                                                                                      <w:divBdr>
                                                                                                                                        <w:top w:val="none" w:sz="0" w:space="0" w:color="auto"/>
                                                                                                                                        <w:left w:val="none" w:sz="0" w:space="0" w:color="auto"/>
                                                                                                                                        <w:bottom w:val="none" w:sz="0" w:space="0" w:color="auto"/>
                                                                                                                                        <w:right w:val="none" w:sz="0" w:space="0" w:color="auto"/>
                                                                                                                                      </w:divBdr>
                                                                                                                                      <w:divsChild>
                                                                                                                                        <w:div w:id="839346544">
                                                                                                                                          <w:marLeft w:val="660"/>
                                                                                                                                          <w:marRight w:val="0"/>
                                                                                                                                          <w:marTop w:val="0"/>
                                                                                                                                          <w:marBottom w:val="0"/>
                                                                                                                                          <w:divBdr>
                                                                                                                                            <w:top w:val="none" w:sz="0" w:space="0" w:color="auto"/>
                                                                                                                                            <w:left w:val="none" w:sz="0" w:space="0" w:color="auto"/>
                                                                                                                                            <w:bottom w:val="none" w:sz="0" w:space="0" w:color="auto"/>
                                                                                                                                            <w:right w:val="none" w:sz="0" w:space="0" w:color="auto"/>
                                                                                                                                          </w:divBdr>
                                                                                                                                          <w:divsChild>
                                                                                                                                            <w:div w:id="1288587297">
                                                                                                                                              <w:marLeft w:val="0"/>
                                                                                                                                              <w:marRight w:val="0"/>
                                                                                                                                              <w:marTop w:val="0"/>
                                                                                                                                              <w:marBottom w:val="0"/>
                                                                                                                                              <w:divBdr>
                                                                                                                                                <w:top w:val="none" w:sz="0" w:space="0" w:color="auto"/>
                                                                                                                                                <w:left w:val="none" w:sz="0" w:space="0" w:color="auto"/>
                                                                                                                                                <w:bottom w:val="none" w:sz="0" w:space="0" w:color="auto"/>
                                                                                                                                                <w:right w:val="none" w:sz="0" w:space="0" w:color="auto"/>
                                                                                                                                              </w:divBdr>
                                                                                                                                              <w:divsChild>
                                                                                                                                                <w:div w:id="2075396492">
                                                                                                                                                  <w:marLeft w:val="0"/>
                                                                                                                                                  <w:marRight w:val="0"/>
                                                                                                                                                  <w:marTop w:val="0"/>
                                                                                                                                                  <w:marBottom w:val="0"/>
                                                                                                                                                  <w:divBdr>
                                                                                                                                                    <w:top w:val="none" w:sz="0" w:space="0" w:color="auto"/>
                                                                                                                                                    <w:left w:val="none" w:sz="0" w:space="0" w:color="auto"/>
                                                                                                                                                    <w:bottom w:val="none" w:sz="0" w:space="0" w:color="auto"/>
                                                                                                                                                    <w:right w:val="none" w:sz="0" w:space="0" w:color="auto"/>
                                                                                                                                                  </w:divBdr>
                                                                                                                                                  <w:divsChild>
                                                                                                                                                    <w:div w:id="783379230">
                                                                                                                                                      <w:marLeft w:val="0"/>
                                                                                                                                                      <w:marRight w:val="0"/>
                                                                                                                                                      <w:marTop w:val="0"/>
                                                                                                                                                      <w:marBottom w:val="0"/>
                                                                                                                                                      <w:divBdr>
                                                                                                                                                        <w:top w:val="none" w:sz="0" w:space="0" w:color="auto"/>
                                                                                                                                                        <w:left w:val="none" w:sz="0" w:space="0" w:color="auto"/>
                                                                                                                                                        <w:bottom w:val="none" w:sz="0" w:space="0" w:color="auto"/>
                                                                                                                                                        <w:right w:val="none" w:sz="0" w:space="0" w:color="auto"/>
                                                                                                                                                      </w:divBdr>
                                                                                                                                                      <w:divsChild>
                                                                                                                                                        <w:div w:id="724914009">
                                                                                                                                                          <w:marLeft w:val="0"/>
                                                                                                                                                          <w:marRight w:val="0"/>
                                                                                                                                                          <w:marTop w:val="0"/>
                                                                                                                                                          <w:marBottom w:val="0"/>
                                                                                                                                                          <w:divBdr>
                                                                                                                                                            <w:top w:val="none" w:sz="0" w:space="0" w:color="auto"/>
                                                                                                                                                            <w:left w:val="none" w:sz="0" w:space="0" w:color="auto"/>
                                                                                                                                                            <w:bottom w:val="none" w:sz="0" w:space="0" w:color="auto"/>
                                                                                                                                                            <w:right w:val="none" w:sz="0" w:space="0" w:color="auto"/>
                                                                                                                                                          </w:divBdr>
                                                                                                                                                          <w:divsChild>
                                                                                                                                                            <w:div w:id="1052657226">
                                                                                                                                                              <w:marLeft w:val="0"/>
                                                                                                                                                              <w:marRight w:val="0"/>
                                                                                                                                                              <w:marTop w:val="0"/>
                                                                                                                                                              <w:marBottom w:val="0"/>
                                                                                                                                                              <w:divBdr>
                                                                                                                                                                <w:top w:val="none" w:sz="0" w:space="0" w:color="auto"/>
                                                                                                                                                                <w:left w:val="none" w:sz="0" w:space="0" w:color="auto"/>
                                                                                                                                                                <w:bottom w:val="none" w:sz="0" w:space="0" w:color="auto"/>
                                                                                                                                                                <w:right w:val="none" w:sz="0" w:space="0" w:color="auto"/>
                                                                                                                                                              </w:divBdr>
                                                                                                                                                              <w:divsChild>
                                                                                                                                                                <w:div w:id="792484765">
                                                                                                                                                                  <w:marLeft w:val="0"/>
                                                                                                                                                                  <w:marRight w:val="0"/>
                                                                                                                                                                  <w:marTop w:val="0"/>
                                                                                                                                                                  <w:marBottom w:val="0"/>
                                                                                                                                                                  <w:divBdr>
                                                                                                                                                                    <w:top w:val="none" w:sz="0" w:space="0" w:color="auto"/>
                                                                                                                                                                    <w:left w:val="none" w:sz="0" w:space="0" w:color="auto"/>
                                                                                                                                                                    <w:bottom w:val="none" w:sz="0" w:space="0" w:color="auto"/>
                                                                                                                                                                    <w:right w:val="none" w:sz="0" w:space="0" w:color="auto"/>
                                                                                                                                                                  </w:divBdr>
                                                                                                                                                                  <w:divsChild>
                                                                                                                                                                    <w:div w:id="1502086199">
                                                                                                                                                                      <w:marLeft w:val="0"/>
                                                                                                                                                                      <w:marRight w:val="0"/>
                                                                                                                                                                      <w:marTop w:val="0"/>
                                                                                                                                                                      <w:marBottom w:val="0"/>
                                                                                                                                                                      <w:divBdr>
                                                                                                                                                                        <w:top w:val="none" w:sz="0" w:space="0" w:color="auto"/>
                                                                                                                                                                        <w:left w:val="none" w:sz="0" w:space="0" w:color="auto"/>
                                                                                                                                                                        <w:bottom w:val="none" w:sz="0" w:space="0" w:color="auto"/>
                                                                                                                                                                        <w:right w:val="none" w:sz="0" w:space="0" w:color="auto"/>
                                                                                                                                                                      </w:divBdr>
                                                                                                                                                                      <w:divsChild>
                                                                                                                                                                        <w:div w:id="16017151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2717723">
                                                                                                                                                                              <w:marLeft w:val="0"/>
                                                                                                                                                                              <w:marRight w:val="0"/>
                                                                                                                                                                              <w:marTop w:val="0"/>
                                                                                                                                                                              <w:marBottom w:val="0"/>
                                                                                                                                                                              <w:divBdr>
                                                                                                                                                                                <w:top w:val="none" w:sz="0" w:space="0" w:color="auto"/>
                                                                                                                                                                                <w:left w:val="none" w:sz="0" w:space="0" w:color="auto"/>
                                                                                                                                                                                <w:bottom w:val="none" w:sz="0" w:space="0" w:color="auto"/>
                                                                                                                                                                                <w:right w:val="none" w:sz="0" w:space="0" w:color="auto"/>
                                                                                                                                                                              </w:divBdr>
                                                                                                                                                                              <w:divsChild>
                                                                                                                                                                                <w:div w:id="2818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76138740">
                                                                                                                          <w:marLeft w:val="0"/>
                                                                                                                          <w:marRight w:val="0"/>
                                                                                                                          <w:marTop w:val="0"/>
                                                                                                                          <w:marBottom w:val="0"/>
                                                                                                                          <w:divBdr>
                                                                                                                            <w:top w:val="none" w:sz="0" w:space="0" w:color="auto"/>
                                                                                                                            <w:left w:val="none" w:sz="0" w:space="0" w:color="auto"/>
                                                                                                                            <w:bottom w:val="none" w:sz="0" w:space="0" w:color="auto"/>
                                                                                                                            <w:right w:val="none" w:sz="0" w:space="0" w:color="auto"/>
                                                                                                                          </w:divBdr>
                                                                                                                          <w:divsChild>
                                                                                                                            <w:div w:id="152572262">
                                                                                                                              <w:marLeft w:val="0"/>
                                                                                                                              <w:marRight w:val="0"/>
                                                                                                                              <w:marTop w:val="0"/>
                                                                                                                              <w:marBottom w:val="0"/>
                                                                                                                              <w:divBdr>
                                                                                                                                <w:top w:val="none" w:sz="0" w:space="0" w:color="auto"/>
                                                                                                                                <w:left w:val="none" w:sz="0" w:space="0" w:color="auto"/>
                                                                                                                                <w:bottom w:val="none" w:sz="0" w:space="0" w:color="auto"/>
                                                                                                                                <w:right w:val="none" w:sz="0" w:space="0" w:color="auto"/>
                                                                                                                              </w:divBdr>
                                                                                                                              <w:divsChild>
                                                                                                                                <w:div w:id="183904389">
                                                                                                                                  <w:marLeft w:val="30"/>
                                                                                                                                  <w:marRight w:val="30"/>
                                                                                                                                  <w:marTop w:val="30"/>
                                                                                                                                  <w:marBottom w:val="120"/>
                                                                                                                                  <w:divBdr>
                                                                                                                                    <w:top w:val="none" w:sz="0" w:space="0" w:color="auto"/>
                                                                                                                                    <w:left w:val="none" w:sz="0" w:space="0" w:color="auto"/>
                                                                                                                                    <w:bottom w:val="none" w:sz="0" w:space="0" w:color="auto"/>
                                                                                                                                    <w:right w:val="none" w:sz="0" w:space="0" w:color="auto"/>
                                                                                                                                  </w:divBdr>
                                                                                                                                  <w:divsChild>
                                                                                                                                    <w:div w:id="809594918">
                                                                                                                                      <w:marLeft w:val="0"/>
                                                                                                                                      <w:marRight w:val="0"/>
                                                                                                                                      <w:marTop w:val="0"/>
                                                                                                                                      <w:marBottom w:val="0"/>
                                                                                                                                      <w:divBdr>
                                                                                                                                        <w:top w:val="none" w:sz="0" w:space="0" w:color="auto"/>
                                                                                                                                        <w:left w:val="none" w:sz="0" w:space="0" w:color="auto"/>
                                                                                                                                        <w:bottom w:val="none" w:sz="0" w:space="0" w:color="auto"/>
                                                                                                                                        <w:right w:val="none" w:sz="0" w:space="0" w:color="auto"/>
                                                                                                                                      </w:divBdr>
                                                                                                                                      <w:divsChild>
                                                                                                                                        <w:div w:id="11452012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8334172">
      <w:bodyDiv w:val="1"/>
      <w:marLeft w:val="0"/>
      <w:marRight w:val="0"/>
      <w:marTop w:val="0"/>
      <w:marBottom w:val="0"/>
      <w:divBdr>
        <w:top w:val="none" w:sz="0" w:space="0" w:color="auto"/>
        <w:left w:val="none" w:sz="0" w:space="0" w:color="auto"/>
        <w:bottom w:val="none" w:sz="0" w:space="0" w:color="auto"/>
        <w:right w:val="none" w:sz="0" w:space="0" w:color="auto"/>
      </w:divBdr>
    </w:div>
    <w:div w:id="2094624571">
      <w:bodyDiv w:val="1"/>
      <w:marLeft w:val="0"/>
      <w:marRight w:val="0"/>
      <w:marTop w:val="0"/>
      <w:marBottom w:val="0"/>
      <w:divBdr>
        <w:top w:val="none" w:sz="0" w:space="0" w:color="auto"/>
        <w:left w:val="none" w:sz="0" w:space="0" w:color="auto"/>
        <w:bottom w:val="none" w:sz="0" w:space="0" w:color="auto"/>
        <w:right w:val="none" w:sz="0" w:space="0" w:color="auto"/>
      </w:divBdr>
      <w:divsChild>
        <w:div w:id="17759050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92852862">
              <w:marLeft w:val="0"/>
              <w:marRight w:val="0"/>
              <w:marTop w:val="0"/>
              <w:marBottom w:val="0"/>
              <w:divBdr>
                <w:top w:val="none" w:sz="0" w:space="0" w:color="auto"/>
                <w:left w:val="none" w:sz="0" w:space="0" w:color="auto"/>
                <w:bottom w:val="none" w:sz="0" w:space="0" w:color="auto"/>
                <w:right w:val="none" w:sz="0" w:space="0" w:color="auto"/>
              </w:divBdr>
              <w:divsChild>
                <w:div w:id="31052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earthsciencepartnership.co.uk/projects/uxo-and-development-risk/" TargetMode="External"/><Relationship Id="rId3" Type="http://schemas.openxmlformats.org/officeDocument/2006/relationships/styles" Target="styles.xml"/><Relationship Id="rId21" Type="http://schemas.openxmlformats.org/officeDocument/2006/relationships/hyperlink" Target="https://swansea.gov.uk/media/6864/Tir-John---PRA-Appendix-E---Zetica-UXO-Risk-Map/pdf/Tir_John_-_PRA_Appendix_E_-_Zetica_UXO_Risk_Map.pdf?m=1647898346013"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nora.nerc.ac.uk/id/eprint/504837/1/Swansea%20NORA%20entry.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eolsoc.org.uk/GowerTour1" TargetMode="External"/><Relationship Id="rId20" Type="http://schemas.openxmlformats.org/officeDocument/2006/relationships/hyperlink" Target="http://www.swanseadocks.co.uk/oldsite/Maps.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museum.wales/media/38762/Swansea-source.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themeister.co.uk/hindley/swansea.ht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nora.nerc.ac.uk/id/eprint/504837/1/Swansea%20NORA%20ent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4BE625-F155-48D1-AA7E-4FCB6A36B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1637</TotalTime>
  <Pages>15</Pages>
  <Words>3273</Words>
  <Characters>18662</Characters>
  <Application>Microsoft Office Word</Application>
  <DocSecurity>0</DocSecurity>
  <Lines>155</Lines>
  <Paragraphs>43</Paragraphs>
  <ScaleCrop>false</ScaleCrop>
  <Company>ACBA (4001)</Company>
  <LinksUpToDate>false</LinksUpToDate>
  <CharactersWithSpaces>21892</CharactersWithSpaces>
  <SharedDoc>false</SharedDoc>
  <HLinks>
    <vt:vector size="84" baseType="variant">
      <vt:variant>
        <vt:i4>5570574</vt:i4>
      </vt:variant>
      <vt:variant>
        <vt:i4>69</vt:i4>
      </vt:variant>
      <vt:variant>
        <vt:i4>0</vt:i4>
      </vt:variant>
      <vt:variant>
        <vt:i4>5</vt:i4>
      </vt:variant>
      <vt:variant>
        <vt:lpwstr>https://www.themeister.co.uk/hindley/swansea.htm</vt:lpwstr>
      </vt:variant>
      <vt:variant>
        <vt:lpwstr>:~:text=Initially%2C%20it%20was%20copper%20that,for%20expertise%20and%20skilled%20labour</vt:lpwstr>
      </vt:variant>
      <vt:variant>
        <vt:i4>7667829</vt:i4>
      </vt:variant>
      <vt:variant>
        <vt:i4>66</vt:i4>
      </vt:variant>
      <vt:variant>
        <vt:i4>0</vt:i4>
      </vt:variant>
      <vt:variant>
        <vt:i4>5</vt:i4>
      </vt:variant>
      <vt:variant>
        <vt:lpwstr>https://museum.wales/media/38762/Swansea-source.pdf</vt:lpwstr>
      </vt:variant>
      <vt:variant>
        <vt:lpwstr/>
      </vt:variant>
      <vt:variant>
        <vt:i4>6750270</vt:i4>
      </vt:variant>
      <vt:variant>
        <vt:i4>63</vt:i4>
      </vt:variant>
      <vt:variant>
        <vt:i4>0</vt:i4>
      </vt:variant>
      <vt:variant>
        <vt:i4>5</vt:i4>
      </vt:variant>
      <vt:variant>
        <vt:lpwstr>http://www.swanseadocks.co.uk/oldsite/Maps.htm</vt:lpwstr>
      </vt:variant>
      <vt:variant>
        <vt:lpwstr/>
      </vt:variant>
      <vt:variant>
        <vt:i4>1966141</vt:i4>
      </vt:variant>
      <vt:variant>
        <vt:i4>56</vt:i4>
      </vt:variant>
      <vt:variant>
        <vt:i4>0</vt:i4>
      </vt:variant>
      <vt:variant>
        <vt:i4>5</vt:i4>
      </vt:variant>
      <vt:variant>
        <vt:lpwstr/>
      </vt:variant>
      <vt:variant>
        <vt:lpwstr>_Toc172469838</vt:lpwstr>
      </vt:variant>
      <vt:variant>
        <vt:i4>1966141</vt:i4>
      </vt:variant>
      <vt:variant>
        <vt:i4>50</vt:i4>
      </vt:variant>
      <vt:variant>
        <vt:i4>0</vt:i4>
      </vt:variant>
      <vt:variant>
        <vt:i4>5</vt:i4>
      </vt:variant>
      <vt:variant>
        <vt:lpwstr/>
      </vt:variant>
      <vt:variant>
        <vt:lpwstr>_Toc172469837</vt:lpwstr>
      </vt:variant>
      <vt:variant>
        <vt:i4>1966141</vt:i4>
      </vt:variant>
      <vt:variant>
        <vt:i4>44</vt:i4>
      </vt:variant>
      <vt:variant>
        <vt:i4>0</vt:i4>
      </vt:variant>
      <vt:variant>
        <vt:i4>5</vt:i4>
      </vt:variant>
      <vt:variant>
        <vt:lpwstr/>
      </vt:variant>
      <vt:variant>
        <vt:lpwstr>_Toc172469836</vt:lpwstr>
      </vt:variant>
      <vt:variant>
        <vt:i4>1966141</vt:i4>
      </vt:variant>
      <vt:variant>
        <vt:i4>38</vt:i4>
      </vt:variant>
      <vt:variant>
        <vt:i4>0</vt:i4>
      </vt:variant>
      <vt:variant>
        <vt:i4>5</vt:i4>
      </vt:variant>
      <vt:variant>
        <vt:lpwstr/>
      </vt:variant>
      <vt:variant>
        <vt:lpwstr>_Toc172469835</vt:lpwstr>
      </vt:variant>
      <vt:variant>
        <vt:i4>1966141</vt:i4>
      </vt:variant>
      <vt:variant>
        <vt:i4>32</vt:i4>
      </vt:variant>
      <vt:variant>
        <vt:i4>0</vt:i4>
      </vt:variant>
      <vt:variant>
        <vt:i4>5</vt:i4>
      </vt:variant>
      <vt:variant>
        <vt:lpwstr/>
      </vt:variant>
      <vt:variant>
        <vt:lpwstr>_Toc172469834</vt:lpwstr>
      </vt:variant>
      <vt:variant>
        <vt:i4>1966141</vt:i4>
      </vt:variant>
      <vt:variant>
        <vt:i4>26</vt:i4>
      </vt:variant>
      <vt:variant>
        <vt:i4>0</vt:i4>
      </vt:variant>
      <vt:variant>
        <vt:i4>5</vt:i4>
      </vt:variant>
      <vt:variant>
        <vt:lpwstr/>
      </vt:variant>
      <vt:variant>
        <vt:lpwstr>_Toc172469833</vt:lpwstr>
      </vt:variant>
      <vt:variant>
        <vt:i4>1966141</vt:i4>
      </vt:variant>
      <vt:variant>
        <vt:i4>20</vt:i4>
      </vt:variant>
      <vt:variant>
        <vt:i4>0</vt:i4>
      </vt:variant>
      <vt:variant>
        <vt:i4>5</vt:i4>
      </vt:variant>
      <vt:variant>
        <vt:lpwstr/>
      </vt:variant>
      <vt:variant>
        <vt:lpwstr>_Toc172469832</vt:lpwstr>
      </vt:variant>
      <vt:variant>
        <vt:i4>1966141</vt:i4>
      </vt:variant>
      <vt:variant>
        <vt:i4>14</vt:i4>
      </vt:variant>
      <vt:variant>
        <vt:i4>0</vt:i4>
      </vt:variant>
      <vt:variant>
        <vt:i4>5</vt:i4>
      </vt:variant>
      <vt:variant>
        <vt:lpwstr/>
      </vt:variant>
      <vt:variant>
        <vt:lpwstr>_Toc172469831</vt:lpwstr>
      </vt:variant>
      <vt:variant>
        <vt:i4>1966141</vt:i4>
      </vt:variant>
      <vt:variant>
        <vt:i4>8</vt:i4>
      </vt:variant>
      <vt:variant>
        <vt:i4>0</vt:i4>
      </vt:variant>
      <vt:variant>
        <vt:i4>5</vt:i4>
      </vt:variant>
      <vt:variant>
        <vt:lpwstr/>
      </vt:variant>
      <vt:variant>
        <vt:lpwstr>_Toc172469830</vt:lpwstr>
      </vt:variant>
      <vt:variant>
        <vt:i4>2031677</vt:i4>
      </vt:variant>
      <vt:variant>
        <vt:i4>2</vt:i4>
      </vt:variant>
      <vt:variant>
        <vt:i4>0</vt:i4>
      </vt:variant>
      <vt:variant>
        <vt:i4>5</vt:i4>
      </vt:variant>
      <vt:variant>
        <vt:lpwstr/>
      </vt:variant>
      <vt:variant>
        <vt:lpwstr>_Toc172469829</vt:lpwstr>
      </vt:variant>
      <vt:variant>
        <vt:i4>4325379</vt:i4>
      </vt:variant>
      <vt:variant>
        <vt:i4>0</vt:i4>
      </vt:variant>
      <vt:variant>
        <vt:i4>0</vt:i4>
      </vt:variant>
      <vt:variant>
        <vt:i4>5</vt:i4>
      </vt:variant>
      <vt:variant>
        <vt:lpwstr>https://nora.nerc.ac.uk/id/eprint/504837/1/Swansea NORA entry.pdf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Investigation 
case study</dc:title>
  <dc:subject>Fundamentals Assignment 1</dc:subject>
  <dc:creator>Tom McGaw (2305689)</dc:creator>
  <cp:keywords/>
  <dc:description/>
  <cp:lastModifiedBy>Tom McGaw (2305689)</cp:lastModifiedBy>
  <cp:revision>258</cp:revision>
  <cp:lastPrinted>2024-07-22T19:05:00Z</cp:lastPrinted>
  <dcterms:created xsi:type="dcterms:W3CDTF">2024-07-21T14:50:00Z</dcterms:created>
  <dcterms:modified xsi:type="dcterms:W3CDTF">2024-07-22T19:17:00Z</dcterms:modified>
</cp:coreProperties>
</file>