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AD8BFC" w14:textId="49132D35" w:rsidR="00A30A12" w:rsidRDefault="008C6D8D" w:rsidP="00E36434">
      <w:pPr>
        <w:spacing w:before="240"/>
        <w:jc w:val="center"/>
        <w:rPr>
          <w:b/>
          <w:bCs/>
        </w:rPr>
      </w:pPr>
      <w:r>
        <w:rPr>
          <w:b/>
          <w:bCs/>
        </w:rPr>
        <w:t>`</w:t>
      </w:r>
    </w:p>
    <w:p w14:paraId="2B3F7F78" w14:textId="77777777" w:rsidR="00A30A12" w:rsidRDefault="00A30A12" w:rsidP="00E36434">
      <w:pPr>
        <w:spacing w:before="240"/>
        <w:jc w:val="center"/>
        <w:rPr>
          <w:b/>
          <w:bCs/>
        </w:rPr>
      </w:pPr>
    </w:p>
    <w:p w14:paraId="7FF4EF11" w14:textId="50676FF9" w:rsidR="00A30A12" w:rsidRDefault="00A30A12" w:rsidP="00E36434">
      <w:pPr>
        <w:spacing w:before="240"/>
        <w:jc w:val="center"/>
        <w:rPr>
          <w:b/>
          <w:bCs/>
        </w:rPr>
      </w:pPr>
      <w:r>
        <w:rPr>
          <w:noProof/>
        </w:rPr>
        <w:drawing>
          <wp:inline distT="0" distB="0" distL="0" distR="0" wp14:anchorId="3DFEE1A8" wp14:editId="7623BCD3">
            <wp:extent cx="4417620" cy="1840675"/>
            <wp:effectExtent l="0" t="0" r="2540" b="7620"/>
            <wp:docPr id="591872788" name="Picture 2"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32904" cy="1847044"/>
                    </a:xfrm>
                    <a:prstGeom prst="rect">
                      <a:avLst/>
                    </a:prstGeom>
                    <a:noFill/>
                    <a:ln>
                      <a:noFill/>
                    </a:ln>
                  </pic:spPr>
                </pic:pic>
              </a:graphicData>
            </a:graphic>
          </wp:inline>
        </w:drawing>
      </w:r>
    </w:p>
    <w:p w14:paraId="4A24A7C4" w14:textId="77777777" w:rsidR="00A30A12" w:rsidRDefault="00A30A12" w:rsidP="00E36434">
      <w:pPr>
        <w:spacing w:before="240"/>
        <w:jc w:val="center"/>
        <w:rPr>
          <w:b/>
          <w:bCs/>
        </w:rPr>
      </w:pPr>
    </w:p>
    <w:p w14:paraId="717B931D" w14:textId="77777777" w:rsidR="00A30A12" w:rsidRDefault="00A30A12" w:rsidP="00E36434">
      <w:pPr>
        <w:jc w:val="center"/>
        <w:rPr>
          <w:b/>
          <w:bCs/>
        </w:rPr>
      </w:pPr>
    </w:p>
    <w:p w14:paraId="65FBEF2D" w14:textId="77777777" w:rsidR="00B70731" w:rsidRDefault="00B70731" w:rsidP="00E36434">
      <w:pPr>
        <w:spacing w:before="240" w:line="360" w:lineRule="auto"/>
        <w:jc w:val="center"/>
        <w:rPr>
          <w:rFonts w:ascii="Times New Roman" w:hAnsi="Times New Roman" w:cs="Times New Roman"/>
          <w:b/>
          <w:bCs/>
          <w:sz w:val="36"/>
          <w:szCs w:val="36"/>
        </w:rPr>
      </w:pPr>
      <w:r w:rsidRPr="00B70731">
        <w:rPr>
          <w:rFonts w:ascii="Times New Roman" w:hAnsi="Times New Roman" w:cs="Times New Roman"/>
          <w:b/>
          <w:bCs/>
          <w:sz w:val="36"/>
          <w:szCs w:val="36"/>
        </w:rPr>
        <w:t>Dip Kirankumar Patel</w:t>
      </w:r>
    </w:p>
    <w:p w14:paraId="5970FDF0" w14:textId="383044C9" w:rsidR="00A30A12" w:rsidRDefault="00A30A12" w:rsidP="00E36434">
      <w:pPr>
        <w:spacing w:before="240"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Student ID: </w:t>
      </w:r>
      <w:r w:rsidR="00B70731" w:rsidRPr="00B70731">
        <w:rPr>
          <w:rFonts w:ascii="Times New Roman" w:hAnsi="Times New Roman" w:cs="Times New Roman"/>
          <w:b/>
          <w:bCs/>
          <w:sz w:val="32"/>
          <w:szCs w:val="32"/>
        </w:rPr>
        <w:t>2530744</w:t>
      </w:r>
    </w:p>
    <w:p w14:paraId="05197296" w14:textId="5131BBA2" w:rsidR="00A30A12" w:rsidRPr="00A30A12" w:rsidRDefault="00A30A12" w:rsidP="00E36434">
      <w:pPr>
        <w:spacing w:before="240" w:line="360" w:lineRule="auto"/>
        <w:jc w:val="center"/>
        <w:rPr>
          <w:rFonts w:ascii="Times New Roman" w:hAnsi="Times New Roman" w:cs="Times New Roman"/>
          <w:sz w:val="32"/>
          <w:szCs w:val="32"/>
        </w:rPr>
      </w:pPr>
      <w:r w:rsidRPr="00A30A12">
        <w:rPr>
          <w:rFonts w:ascii="Times New Roman" w:hAnsi="Times New Roman" w:cs="Times New Roman"/>
          <w:sz w:val="32"/>
          <w:szCs w:val="32"/>
        </w:rPr>
        <w:t>Course: MSc Cyber Security and Digital Forensic</w:t>
      </w:r>
    </w:p>
    <w:p w14:paraId="48592717" w14:textId="77777777" w:rsidR="00A30A12" w:rsidRPr="00C20424" w:rsidRDefault="00A30A12" w:rsidP="00E36434">
      <w:pPr>
        <w:spacing w:before="240" w:line="360" w:lineRule="auto"/>
        <w:jc w:val="center"/>
        <w:rPr>
          <w:rFonts w:ascii="Times New Roman" w:hAnsi="Times New Roman" w:cs="Times New Roman"/>
          <w:b/>
          <w:bCs/>
          <w:sz w:val="36"/>
          <w:szCs w:val="36"/>
        </w:rPr>
      </w:pPr>
      <w:r>
        <w:rPr>
          <w:rFonts w:ascii="Times New Roman" w:hAnsi="Times New Roman" w:cs="Times New Roman"/>
          <w:b/>
          <w:bCs/>
          <w:sz w:val="36"/>
          <w:szCs w:val="36"/>
        </w:rPr>
        <w:t>Data Security, Governance and Compliance</w:t>
      </w:r>
    </w:p>
    <w:p w14:paraId="1F3D8A3B" w14:textId="77777777" w:rsidR="00A30A12" w:rsidRPr="00047558" w:rsidRDefault="00A30A12" w:rsidP="00E36434">
      <w:pPr>
        <w:spacing w:before="240" w:line="360" w:lineRule="auto"/>
        <w:jc w:val="center"/>
        <w:rPr>
          <w:rFonts w:ascii="Times New Roman" w:hAnsi="Times New Roman" w:cs="Times New Roman"/>
          <w:b/>
          <w:bCs/>
          <w:sz w:val="32"/>
          <w:szCs w:val="32"/>
        </w:rPr>
      </w:pPr>
      <w:r>
        <w:rPr>
          <w:rFonts w:ascii="Times New Roman" w:hAnsi="Times New Roman" w:cs="Times New Roman"/>
          <w:b/>
          <w:bCs/>
          <w:sz w:val="32"/>
          <w:szCs w:val="32"/>
        </w:rPr>
        <w:t>Module code: ACCA7028</w:t>
      </w:r>
    </w:p>
    <w:p w14:paraId="16ECA9FD" w14:textId="77777777" w:rsidR="00A30A12" w:rsidRPr="00A30A12" w:rsidRDefault="00A30A12" w:rsidP="00E36434">
      <w:pPr>
        <w:spacing w:before="240" w:line="360" w:lineRule="auto"/>
        <w:jc w:val="center"/>
        <w:rPr>
          <w:rFonts w:ascii="Times New Roman" w:hAnsi="Times New Roman" w:cs="Times New Roman"/>
          <w:sz w:val="32"/>
          <w:szCs w:val="32"/>
        </w:rPr>
      </w:pPr>
      <w:r w:rsidRPr="00A30A12">
        <w:rPr>
          <w:rFonts w:ascii="Times New Roman" w:hAnsi="Times New Roman" w:cs="Times New Roman"/>
          <w:sz w:val="32"/>
          <w:szCs w:val="32"/>
        </w:rPr>
        <w:t>Academic Year 2026 – 2027</w:t>
      </w:r>
    </w:p>
    <w:p w14:paraId="10421D5D" w14:textId="77777777" w:rsidR="00A30A12" w:rsidRPr="00A30A12" w:rsidRDefault="00A30A12" w:rsidP="00E36434">
      <w:pPr>
        <w:spacing w:before="240" w:line="360" w:lineRule="auto"/>
        <w:jc w:val="center"/>
        <w:rPr>
          <w:rFonts w:ascii="Times New Roman" w:hAnsi="Times New Roman" w:cs="Times New Roman"/>
          <w:sz w:val="32"/>
          <w:szCs w:val="32"/>
        </w:rPr>
      </w:pPr>
      <w:r>
        <w:rPr>
          <w:rFonts w:ascii="Times New Roman" w:hAnsi="Times New Roman" w:cs="Times New Roman"/>
          <w:b/>
          <w:bCs/>
          <w:sz w:val="32"/>
          <w:szCs w:val="32"/>
        </w:rPr>
        <w:t xml:space="preserve">Submission date </w:t>
      </w:r>
      <w:r w:rsidRPr="00A30A12">
        <w:rPr>
          <w:rFonts w:ascii="Times New Roman" w:hAnsi="Times New Roman" w:cs="Times New Roman"/>
          <w:sz w:val="32"/>
          <w:szCs w:val="32"/>
        </w:rPr>
        <w:t>- 29th April 2026</w:t>
      </w:r>
    </w:p>
    <w:p w14:paraId="3A6ED11D" w14:textId="77777777" w:rsidR="00A30A12" w:rsidRDefault="00A30A12" w:rsidP="00E36434">
      <w:pPr>
        <w:jc w:val="both"/>
        <w:rPr>
          <w:b/>
          <w:bCs/>
        </w:rPr>
      </w:pPr>
    </w:p>
    <w:p w14:paraId="5C1AD4AC" w14:textId="77777777" w:rsidR="00A30A12" w:rsidRDefault="00A30A12" w:rsidP="00E36434">
      <w:pPr>
        <w:jc w:val="both"/>
        <w:rPr>
          <w:b/>
          <w:bCs/>
        </w:rPr>
      </w:pPr>
      <w:r>
        <w:rPr>
          <w:b/>
          <w:bCs/>
        </w:rPr>
        <w:br w:type="page"/>
      </w:r>
    </w:p>
    <w:p w14:paraId="0739910C" w14:textId="24804255" w:rsidR="00E36434" w:rsidRPr="00E222A3" w:rsidRDefault="00E36434" w:rsidP="00E222A3">
      <w:pPr>
        <w:pStyle w:val="Heading1"/>
        <w:jc w:val="center"/>
        <w:rPr>
          <w:b/>
          <w:bCs/>
          <w:color w:val="auto"/>
        </w:rPr>
      </w:pPr>
      <w:r w:rsidRPr="00E222A3">
        <w:rPr>
          <w:b/>
          <w:bCs/>
          <w:color w:val="auto"/>
        </w:rPr>
        <w:lastRenderedPageBreak/>
        <w:t>Index</w:t>
      </w:r>
    </w:p>
    <w:tbl>
      <w:tblPr>
        <w:tblW w:w="9639" w:type="dxa"/>
        <w:tblCellSpacing w:w="15" w:type="dxa"/>
        <w:tblCellMar>
          <w:top w:w="15" w:type="dxa"/>
          <w:left w:w="15" w:type="dxa"/>
          <w:bottom w:w="15" w:type="dxa"/>
          <w:right w:w="15" w:type="dxa"/>
        </w:tblCellMar>
        <w:tblLook w:val="04A0" w:firstRow="1" w:lastRow="0" w:firstColumn="1" w:lastColumn="0" w:noHBand="0" w:noVBand="1"/>
      </w:tblPr>
      <w:tblGrid>
        <w:gridCol w:w="723"/>
        <w:gridCol w:w="7782"/>
        <w:gridCol w:w="1134"/>
      </w:tblGrid>
      <w:tr w:rsidR="001606D6" w:rsidRPr="001606D6" w14:paraId="329CF92B" w14:textId="77777777" w:rsidTr="001606D6">
        <w:trPr>
          <w:tblHeader/>
          <w:tblCellSpacing w:w="15" w:type="dxa"/>
        </w:trPr>
        <w:tc>
          <w:tcPr>
            <w:tcW w:w="0" w:type="auto"/>
            <w:vAlign w:val="center"/>
            <w:hideMark/>
          </w:tcPr>
          <w:p w14:paraId="15838506" w14:textId="77777777" w:rsidR="001606D6" w:rsidRPr="001606D6" w:rsidRDefault="001606D6" w:rsidP="001606D6">
            <w:pPr>
              <w:rPr>
                <w:b/>
                <w:bCs/>
              </w:rPr>
            </w:pPr>
            <w:r w:rsidRPr="001606D6">
              <w:rPr>
                <w:b/>
                <w:bCs/>
              </w:rPr>
              <w:t>Sr. No.</w:t>
            </w:r>
          </w:p>
        </w:tc>
        <w:tc>
          <w:tcPr>
            <w:tcW w:w="7752" w:type="dxa"/>
            <w:vAlign w:val="center"/>
            <w:hideMark/>
          </w:tcPr>
          <w:p w14:paraId="719305DA" w14:textId="77777777" w:rsidR="001606D6" w:rsidRPr="001606D6" w:rsidRDefault="001606D6" w:rsidP="001606D6">
            <w:pPr>
              <w:jc w:val="center"/>
              <w:rPr>
                <w:b/>
                <w:bCs/>
              </w:rPr>
            </w:pPr>
            <w:r w:rsidRPr="001606D6">
              <w:rPr>
                <w:b/>
                <w:bCs/>
              </w:rPr>
              <w:t>Title</w:t>
            </w:r>
          </w:p>
        </w:tc>
        <w:tc>
          <w:tcPr>
            <w:tcW w:w="1089" w:type="dxa"/>
            <w:vAlign w:val="center"/>
            <w:hideMark/>
          </w:tcPr>
          <w:p w14:paraId="305471C2" w14:textId="77777777" w:rsidR="001606D6" w:rsidRPr="001606D6" w:rsidRDefault="001606D6" w:rsidP="00E95ABE">
            <w:pPr>
              <w:jc w:val="center"/>
              <w:rPr>
                <w:b/>
                <w:bCs/>
              </w:rPr>
            </w:pPr>
            <w:r w:rsidRPr="001606D6">
              <w:rPr>
                <w:b/>
                <w:bCs/>
              </w:rPr>
              <w:t>Page No.</w:t>
            </w:r>
          </w:p>
        </w:tc>
      </w:tr>
      <w:tr w:rsidR="001606D6" w:rsidRPr="001606D6" w14:paraId="7829C216" w14:textId="77777777" w:rsidTr="001606D6">
        <w:trPr>
          <w:tblCellSpacing w:w="15" w:type="dxa"/>
        </w:trPr>
        <w:tc>
          <w:tcPr>
            <w:tcW w:w="0" w:type="auto"/>
            <w:vAlign w:val="center"/>
            <w:hideMark/>
          </w:tcPr>
          <w:p w14:paraId="4B0FAA5B" w14:textId="2ABAB4C3" w:rsidR="001606D6" w:rsidRPr="001606D6" w:rsidRDefault="001606D6" w:rsidP="001606D6">
            <w:pPr>
              <w:rPr>
                <w:b/>
                <w:bCs/>
              </w:rPr>
            </w:pPr>
          </w:p>
        </w:tc>
        <w:tc>
          <w:tcPr>
            <w:tcW w:w="7752" w:type="dxa"/>
            <w:vAlign w:val="center"/>
            <w:hideMark/>
          </w:tcPr>
          <w:p w14:paraId="330746B1" w14:textId="77777777" w:rsidR="001606D6" w:rsidRPr="001606D6" w:rsidRDefault="001606D6" w:rsidP="001606D6">
            <w:pPr>
              <w:rPr>
                <w:b/>
                <w:bCs/>
              </w:rPr>
            </w:pPr>
            <w:r w:rsidRPr="001606D6">
              <w:rPr>
                <w:b/>
                <w:bCs/>
              </w:rPr>
              <w:t>Index</w:t>
            </w:r>
          </w:p>
        </w:tc>
        <w:tc>
          <w:tcPr>
            <w:tcW w:w="1089" w:type="dxa"/>
            <w:vAlign w:val="center"/>
            <w:hideMark/>
          </w:tcPr>
          <w:p w14:paraId="392FC1C7" w14:textId="67C24A4A" w:rsidR="001606D6" w:rsidRPr="001606D6" w:rsidRDefault="00E95ABE" w:rsidP="00E95ABE">
            <w:pPr>
              <w:jc w:val="center"/>
              <w:rPr>
                <w:b/>
                <w:bCs/>
              </w:rPr>
            </w:pPr>
            <w:r>
              <w:rPr>
                <w:b/>
                <w:bCs/>
              </w:rPr>
              <w:t>3</w:t>
            </w:r>
          </w:p>
        </w:tc>
      </w:tr>
      <w:tr w:rsidR="001606D6" w:rsidRPr="001606D6" w14:paraId="0091FCA5" w14:textId="77777777" w:rsidTr="001606D6">
        <w:trPr>
          <w:tblCellSpacing w:w="15" w:type="dxa"/>
        </w:trPr>
        <w:tc>
          <w:tcPr>
            <w:tcW w:w="0" w:type="auto"/>
            <w:vAlign w:val="center"/>
            <w:hideMark/>
          </w:tcPr>
          <w:p w14:paraId="7507BB2D" w14:textId="2F1A9B0B" w:rsidR="001606D6" w:rsidRPr="001606D6" w:rsidRDefault="001606D6" w:rsidP="001606D6">
            <w:pPr>
              <w:jc w:val="center"/>
              <w:rPr>
                <w:b/>
                <w:bCs/>
              </w:rPr>
            </w:pPr>
          </w:p>
        </w:tc>
        <w:tc>
          <w:tcPr>
            <w:tcW w:w="7752" w:type="dxa"/>
            <w:vAlign w:val="center"/>
            <w:hideMark/>
          </w:tcPr>
          <w:p w14:paraId="44A4B0D9" w14:textId="77777777" w:rsidR="001606D6" w:rsidRPr="001606D6" w:rsidRDefault="001606D6" w:rsidP="001606D6">
            <w:pPr>
              <w:rPr>
                <w:b/>
                <w:bCs/>
              </w:rPr>
            </w:pPr>
            <w:r w:rsidRPr="001606D6">
              <w:rPr>
                <w:b/>
                <w:bCs/>
              </w:rPr>
              <w:t>Abstract</w:t>
            </w:r>
          </w:p>
        </w:tc>
        <w:tc>
          <w:tcPr>
            <w:tcW w:w="1089" w:type="dxa"/>
            <w:vAlign w:val="center"/>
            <w:hideMark/>
          </w:tcPr>
          <w:p w14:paraId="7D214647" w14:textId="4E82D791" w:rsidR="001606D6" w:rsidRPr="001606D6" w:rsidRDefault="00E95ABE" w:rsidP="00E95ABE">
            <w:pPr>
              <w:jc w:val="center"/>
              <w:rPr>
                <w:b/>
                <w:bCs/>
              </w:rPr>
            </w:pPr>
            <w:r>
              <w:rPr>
                <w:b/>
                <w:bCs/>
              </w:rPr>
              <w:t>3</w:t>
            </w:r>
          </w:p>
        </w:tc>
      </w:tr>
      <w:tr w:rsidR="001606D6" w:rsidRPr="001606D6" w14:paraId="2B762135" w14:textId="77777777" w:rsidTr="001606D6">
        <w:trPr>
          <w:tblCellSpacing w:w="15" w:type="dxa"/>
        </w:trPr>
        <w:tc>
          <w:tcPr>
            <w:tcW w:w="0" w:type="auto"/>
            <w:vAlign w:val="center"/>
            <w:hideMark/>
          </w:tcPr>
          <w:p w14:paraId="7B95FA50" w14:textId="6526FEF2" w:rsidR="001606D6" w:rsidRPr="001606D6" w:rsidRDefault="001606D6" w:rsidP="001606D6">
            <w:pPr>
              <w:jc w:val="center"/>
              <w:rPr>
                <w:b/>
                <w:bCs/>
              </w:rPr>
            </w:pPr>
            <w:r>
              <w:rPr>
                <w:b/>
                <w:bCs/>
              </w:rPr>
              <w:t>1</w:t>
            </w:r>
          </w:p>
        </w:tc>
        <w:tc>
          <w:tcPr>
            <w:tcW w:w="7752" w:type="dxa"/>
            <w:vAlign w:val="center"/>
            <w:hideMark/>
          </w:tcPr>
          <w:p w14:paraId="43B0CDFE" w14:textId="1B974F43" w:rsidR="001606D6" w:rsidRPr="001606D6" w:rsidRDefault="001606D6" w:rsidP="001606D6">
            <w:pPr>
              <w:rPr>
                <w:b/>
                <w:bCs/>
              </w:rPr>
            </w:pPr>
            <w:r w:rsidRPr="001606D6">
              <w:rPr>
                <w:b/>
                <w:bCs/>
              </w:rPr>
              <w:t>Introduction</w:t>
            </w:r>
          </w:p>
        </w:tc>
        <w:tc>
          <w:tcPr>
            <w:tcW w:w="1089" w:type="dxa"/>
            <w:vAlign w:val="center"/>
            <w:hideMark/>
          </w:tcPr>
          <w:p w14:paraId="70DB631C" w14:textId="400CC1E4" w:rsidR="001606D6" w:rsidRPr="001606D6" w:rsidRDefault="00E95ABE" w:rsidP="00E95ABE">
            <w:pPr>
              <w:jc w:val="center"/>
              <w:rPr>
                <w:b/>
                <w:bCs/>
              </w:rPr>
            </w:pPr>
            <w:r>
              <w:rPr>
                <w:b/>
                <w:bCs/>
              </w:rPr>
              <w:t>4</w:t>
            </w:r>
          </w:p>
        </w:tc>
      </w:tr>
      <w:tr w:rsidR="001606D6" w:rsidRPr="001606D6" w14:paraId="36946313" w14:textId="77777777" w:rsidTr="001606D6">
        <w:trPr>
          <w:tblCellSpacing w:w="15" w:type="dxa"/>
        </w:trPr>
        <w:tc>
          <w:tcPr>
            <w:tcW w:w="0" w:type="auto"/>
            <w:vAlign w:val="center"/>
            <w:hideMark/>
          </w:tcPr>
          <w:p w14:paraId="6DE4C7CA" w14:textId="7F2A80FF" w:rsidR="001606D6" w:rsidRPr="001606D6" w:rsidRDefault="001606D6" w:rsidP="001606D6">
            <w:pPr>
              <w:jc w:val="center"/>
              <w:rPr>
                <w:b/>
                <w:bCs/>
              </w:rPr>
            </w:pPr>
            <w:r>
              <w:rPr>
                <w:b/>
                <w:bCs/>
              </w:rPr>
              <w:t>2</w:t>
            </w:r>
          </w:p>
        </w:tc>
        <w:tc>
          <w:tcPr>
            <w:tcW w:w="7752" w:type="dxa"/>
            <w:vAlign w:val="center"/>
            <w:hideMark/>
          </w:tcPr>
          <w:p w14:paraId="7CD192E8" w14:textId="16C87204" w:rsidR="001606D6" w:rsidRPr="001606D6" w:rsidRDefault="001606D6" w:rsidP="001606D6">
            <w:pPr>
              <w:rPr>
                <w:b/>
                <w:bCs/>
              </w:rPr>
            </w:pPr>
            <w:r w:rsidRPr="001606D6">
              <w:rPr>
                <w:b/>
                <w:bCs/>
              </w:rPr>
              <w:t>Overview of Security Frameworks and Models</w:t>
            </w:r>
          </w:p>
        </w:tc>
        <w:tc>
          <w:tcPr>
            <w:tcW w:w="1089" w:type="dxa"/>
            <w:vAlign w:val="center"/>
            <w:hideMark/>
          </w:tcPr>
          <w:p w14:paraId="0EFDB84F" w14:textId="29BDCA02" w:rsidR="001606D6" w:rsidRPr="001606D6" w:rsidRDefault="00E95ABE" w:rsidP="00E95ABE">
            <w:pPr>
              <w:jc w:val="center"/>
              <w:rPr>
                <w:b/>
                <w:bCs/>
              </w:rPr>
            </w:pPr>
            <w:r>
              <w:rPr>
                <w:b/>
                <w:bCs/>
              </w:rPr>
              <w:t>5</w:t>
            </w:r>
          </w:p>
        </w:tc>
      </w:tr>
      <w:tr w:rsidR="001606D6" w:rsidRPr="001606D6" w14:paraId="46A588BC" w14:textId="77777777" w:rsidTr="001606D6">
        <w:trPr>
          <w:tblCellSpacing w:w="15" w:type="dxa"/>
        </w:trPr>
        <w:tc>
          <w:tcPr>
            <w:tcW w:w="0" w:type="auto"/>
            <w:vAlign w:val="center"/>
            <w:hideMark/>
          </w:tcPr>
          <w:p w14:paraId="75A9A877" w14:textId="7CB5DB25" w:rsidR="001606D6" w:rsidRPr="001606D6" w:rsidRDefault="001606D6" w:rsidP="001606D6">
            <w:pPr>
              <w:jc w:val="center"/>
            </w:pPr>
            <w:r w:rsidRPr="001606D6">
              <w:t>2.1</w:t>
            </w:r>
          </w:p>
        </w:tc>
        <w:tc>
          <w:tcPr>
            <w:tcW w:w="7752" w:type="dxa"/>
            <w:vAlign w:val="center"/>
            <w:hideMark/>
          </w:tcPr>
          <w:p w14:paraId="08B0D1E6" w14:textId="24099E82" w:rsidR="001606D6" w:rsidRPr="001606D6" w:rsidRDefault="001606D6" w:rsidP="001606D6">
            <w:r w:rsidRPr="001606D6">
              <w:t>ITIL Framework</w:t>
            </w:r>
          </w:p>
        </w:tc>
        <w:tc>
          <w:tcPr>
            <w:tcW w:w="1089" w:type="dxa"/>
            <w:vAlign w:val="center"/>
            <w:hideMark/>
          </w:tcPr>
          <w:p w14:paraId="027110FE" w14:textId="7CC71370" w:rsidR="001606D6" w:rsidRPr="001606D6" w:rsidRDefault="00E95ABE" w:rsidP="00E95ABE">
            <w:pPr>
              <w:jc w:val="center"/>
              <w:rPr>
                <w:b/>
                <w:bCs/>
              </w:rPr>
            </w:pPr>
            <w:r>
              <w:rPr>
                <w:b/>
                <w:bCs/>
              </w:rPr>
              <w:t>5</w:t>
            </w:r>
          </w:p>
        </w:tc>
      </w:tr>
      <w:tr w:rsidR="001606D6" w:rsidRPr="001606D6" w14:paraId="34097FA4" w14:textId="77777777" w:rsidTr="001606D6">
        <w:trPr>
          <w:tblCellSpacing w:w="15" w:type="dxa"/>
        </w:trPr>
        <w:tc>
          <w:tcPr>
            <w:tcW w:w="0" w:type="auto"/>
            <w:vAlign w:val="center"/>
            <w:hideMark/>
          </w:tcPr>
          <w:p w14:paraId="577B716F" w14:textId="646E56F5" w:rsidR="001606D6" w:rsidRPr="001606D6" w:rsidRDefault="001606D6" w:rsidP="001606D6">
            <w:pPr>
              <w:jc w:val="center"/>
            </w:pPr>
            <w:r w:rsidRPr="001606D6">
              <w:t>2.2</w:t>
            </w:r>
          </w:p>
        </w:tc>
        <w:tc>
          <w:tcPr>
            <w:tcW w:w="7752" w:type="dxa"/>
            <w:vAlign w:val="center"/>
            <w:hideMark/>
          </w:tcPr>
          <w:p w14:paraId="35BB97B3" w14:textId="24430584" w:rsidR="001606D6" w:rsidRPr="001606D6" w:rsidRDefault="001606D6" w:rsidP="001606D6">
            <w:r w:rsidRPr="001606D6">
              <w:t>ISO 27000 Series</w:t>
            </w:r>
          </w:p>
        </w:tc>
        <w:tc>
          <w:tcPr>
            <w:tcW w:w="1089" w:type="dxa"/>
            <w:vAlign w:val="center"/>
            <w:hideMark/>
          </w:tcPr>
          <w:p w14:paraId="78B788D6" w14:textId="00643FCD" w:rsidR="001606D6" w:rsidRPr="001606D6" w:rsidRDefault="00E95ABE" w:rsidP="00E95ABE">
            <w:pPr>
              <w:jc w:val="center"/>
              <w:rPr>
                <w:b/>
                <w:bCs/>
              </w:rPr>
            </w:pPr>
            <w:r>
              <w:rPr>
                <w:b/>
                <w:bCs/>
              </w:rPr>
              <w:t>5</w:t>
            </w:r>
          </w:p>
        </w:tc>
      </w:tr>
      <w:tr w:rsidR="001606D6" w:rsidRPr="001606D6" w14:paraId="4E733B41" w14:textId="77777777" w:rsidTr="001606D6">
        <w:trPr>
          <w:tblCellSpacing w:w="15" w:type="dxa"/>
        </w:trPr>
        <w:tc>
          <w:tcPr>
            <w:tcW w:w="0" w:type="auto"/>
            <w:vAlign w:val="center"/>
            <w:hideMark/>
          </w:tcPr>
          <w:p w14:paraId="6B7280D4" w14:textId="5491F772" w:rsidR="001606D6" w:rsidRPr="001606D6" w:rsidRDefault="001606D6" w:rsidP="001606D6">
            <w:pPr>
              <w:jc w:val="center"/>
            </w:pPr>
            <w:r w:rsidRPr="001606D6">
              <w:t>2.3</w:t>
            </w:r>
          </w:p>
        </w:tc>
        <w:tc>
          <w:tcPr>
            <w:tcW w:w="7752" w:type="dxa"/>
            <w:vAlign w:val="center"/>
            <w:hideMark/>
          </w:tcPr>
          <w:p w14:paraId="22C54572" w14:textId="610A29D2" w:rsidR="001606D6" w:rsidRPr="001606D6" w:rsidRDefault="001606D6" w:rsidP="001606D6">
            <w:r w:rsidRPr="001606D6">
              <w:t>Comparison of ITIL and ISO 27000</w:t>
            </w:r>
          </w:p>
        </w:tc>
        <w:tc>
          <w:tcPr>
            <w:tcW w:w="1089" w:type="dxa"/>
            <w:vAlign w:val="center"/>
            <w:hideMark/>
          </w:tcPr>
          <w:p w14:paraId="0505E6C8" w14:textId="3E734D8E" w:rsidR="001606D6" w:rsidRPr="001606D6" w:rsidRDefault="00E95ABE" w:rsidP="00E95ABE">
            <w:pPr>
              <w:jc w:val="center"/>
              <w:rPr>
                <w:b/>
                <w:bCs/>
              </w:rPr>
            </w:pPr>
            <w:r>
              <w:rPr>
                <w:b/>
                <w:bCs/>
              </w:rPr>
              <w:t>7</w:t>
            </w:r>
          </w:p>
        </w:tc>
      </w:tr>
      <w:tr w:rsidR="001606D6" w:rsidRPr="001606D6" w14:paraId="71771110" w14:textId="77777777" w:rsidTr="001606D6">
        <w:trPr>
          <w:tblCellSpacing w:w="15" w:type="dxa"/>
        </w:trPr>
        <w:tc>
          <w:tcPr>
            <w:tcW w:w="0" w:type="auto"/>
            <w:vAlign w:val="center"/>
            <w:hideMark/>
          </w:tcPr>
          <w:p w14:paraId="35B51A16" w14:textId="5D518426" w:rsidR="001606D6" w:rsidRPr="001606D6" w:rsidRDefault="001606D6" w:rsidP="001606D6">
            <w:pPr>
              <w:jc w:val="center"/>
              <w:rPr>
                <w:b/>
                <w:bCs/>
              </w:rPr>
            </w:pPr>
            <w:r>
              <w:rPr>
                <w:b/>
                <w:bCs/>
              </w:rPr>
              <w:t>3</w:t>
            </w:r>
          </w:p>
        </w:tc>
        <w:tc>
          <w:tcPr>
            <w:tcW w:w="7752" w:type="dxa"/>
            <w:vAlign w:val="center"/>
            <w:hideMark/>
          </w:tcPr>
          <w:p w14:paraId="7FB67FED" w14:textId="4B8C07E1" w:rsidR="001606D6" w:rsidRPr="001606D6" w:rsidRDefault="001606D6" w:rsidP="001606D6">
            <w:pPr>
              <w:rPr>
                <w:b/>
                <w:bCs/>
              </w:rPr>
            </w:pPr>
            <w:r w:rsidRPr="001606D6">
              <w:rPr>
                <w:b/>
                <w:bCs/>
              </w:rPr>
              <w:t>Designing a GRC Approach for FinSure Bank</w:t>
            </w:r>
          </w:p>
        </w:tc>
        <w:tc>
          <w:tcPr>
            <w:tcW w:w="1089" w:type="dxa"/>
            <w:vAlign w:val="center"/>
            <w:hideMark/>
          </w:tcPr>
          <w:p w14:paraId="1756A14F" w14:textId="21202C69" w:rsidR="001606D6" w:rsidRPr="001606D6" w:rsidRDefault="00E95ABE" w:rsidP="00E95ABE">
            <w:pPr>
              <w:jc w:val="center"/>
              <w:rPr>
                <w:b/>
                <w:bCs/>
              </w:rPr>
            </w:pPr>
            <w:r>
              <w:rPr>
                <w:b/>
                <w:bCs/>
              </w:rPr>
              <w:t>8</w:t>
            </w:r>
          </w:p>
        </w:tc>
      </w:tr>
      <w:tr w:rsidR="001606D6" w:rsidRPr="001606D6" w14:paraId="220305CC" w14:textId="77777777" w:rsidTr="001606D6">
        <w:trPr>
          <w:tblCellSpacing w:w="15" w:type="dxa"/>
        </w:trPr>
        <w:tc>
          <w:tcPr>
            <w:tcW w:w="0" w:type="auto"/>
            <w:vAlign w:val="center"/>
            <w:hideMark/>
          </w:tcPr>
          <w:p w14:paraId="7FD689F2" w14:textId="2DB334E2" w:rsidR="001606D6" w:rsidRPr="001606D6" w:rsidRDefault="001606D6" w:rsidP="001606D6">
            <w:pPr>
              <w:jc w:val="center"/>
            </w:pPr>
            <w:r w:rsidRPr="001606D6">
              <w:t>3.1</w:t>
            </w:r>
          </w:p>
        </w:tc>
        <w:tc>
          <w:tcPr>
            <w:tcW w:w="7752" w:type="dxa"/>
            <w:vAlign w:val="center"/>
            <w:hideMark/>
          </w:tcPr>
          <w:p w14:paraId="647701EC" w14:textId="3D9FEFF4" w:rsidR="001606D6" w:rsidRPr="001606D6" w:rsidRDefault="001606D6" w:rsidP="001606D6">
            <w:r w:rsidRPr="001606D6">
              <w:t>Governance and Strategic Planning</w:t>
            </w:r>
          </w:p>
        </w:tc>
        <w:tc>
          <w:tcPr>
            <w:tcW w:w="1089" w:type="dxa"/>
            <w:vAlign w:val="center"/>
            <w:hideMark/>
          </w:tcPr>
          <w:p w14:paraId="4491A20F" w14:textId="48CA89B8" w:rsidR="001606D6" w:rsidRPr="001606D6" w:rsidRDefault="00E95ABE" w:rsidP="00E95ABE">
            <w:pPr>
              <w:jc w:val="center"/>
              <w:rPr>
                <w:b/>
                <w:bCs/>
              </w:rPr>
            </w:pPr>
            <w:r>
              <w:rPr>
                <w:b/>
                <w:bCs/>
              </w:rPr>
              <w:t>8</w:t>
            </w:r>
          </w:p>
        </w:tc>
      </w:tr>
      <w:tr w:rsidR="001606D6" w:rsidRPr="001606D6" w14:paraId="780F8040" w14:textId="77777777" w:rsidTr="001606D6">
        <w:trPr>
          <w:tblCellSpacing w:w="15" w:type="dxa"/>
        </w:trPr>
        <w:tc>
          <w:tcPr>
            <w:tcW w:w="0" w:type="auto"/>
            <w:vAlign w:val="center"/>
            <w:hideMark/>
          </w:tcPr>
          <w:p w14:paraId="69022F9C" w14:textId="45334820" w:rsidR="001606D6" w:rsidRPr="001606D6" w:rsidRDefault="001606D6" w:rsidP="001606D6">
            <w:pPr>
              <w:jc w:val="center"/>
            </w:pPr>
            <w:r w:rsidRPr="001606D6">
              <w:t>3.2</w:t>
            </w:r>
          </w:p>
        </w:tc>
        <w:tc>
          <w:tcPr>
            <w:tcW w:w="7752" w:type="dxa"/>
            <w:vAlign w:val="center"/>
            <w:hideMark/>
          </w:tcPr>
          <w:p w14:paraId="13E95EF9" w14:textId="24DD4659" w:rsidR="001606D6" w:rsidRPr="001606D6" w:rsidRDefault="001606D6" w:rsidP="001606D6">
            <w:r w:rsidRPr="001606D6">
              <w:t>Risk Management Strategy</w:t>
            </w:r>
          </w:p>
        </w:tc>
        <w:tc>
          <w:tcPr>
            <w:tcW w:w="1089" w:type="dxa"/>
            <w:vAlign w:val="center"/>
            <w:hideMark/>
          </w:tcPr>
          <w:p w14:paraId="7AED2E20" w14:textId="5F4AC9C3" w:rsidR="001606D6" w:rsidRPr="001606D6" w:rsidRDefault="00E95ABE" w:rsidP="00E95ABE">
            <w:pPr>
              <w:jc w:val="center"/>
              <w:rPr>
                <w:b/>
                <w:bCs/>
              </w:rPr>
            </w:pPr>
            <w:r>
              <w:rPr>
                <w:b/>
                <w:bCs/>
              </w:rPr>
              <w:t>8</w:t>
            </w:r>
          </w:p>
        </w:tc>
      </w:tr>
      <w:tr w:rsidR="001606D6" w:rsidRPr="001606D6" w14:paraId="5066F853" w14:textId="77777777" w:rsidTr="001606D6">
        <w:trPr>
          <w:tblCellSpacing w:w="15" w:type="dxa"/>
        </w:trPr>
        <w:tc>
          <w:tcPr>
            <w:tcW w:w="0" w:type="auto"/>
            <w:vAlign w:val="center"/>
            <w:hideMark/>
          </w:tcPr>
          <w:p w14:paraId="05B8168F" w14:textId="1214F401" w:rsidR="001606D6" w:rsidRPr="001606D6" w:rsidRDefault="001606D6" w:rsidP="001606D6">
            <w:pPr>
              <w:jc w:val="center"/>
            </w:pPr>
            <w:r w:rsidRPr="001606D6">
              <w:t>3.3</w:t>
            </w:r>
          </w:p>
        </w:tc>
        <w:tc>
          <w:tcPr>
            <w:tcW w:w="7752" w:type="dxa"/>
            <w:vAlign w:val="center"/>
            <w:hideMark/>
          </w:tcPr>
          <w:p w14:paraId="02461072" w14:textId="4CBB7C47" w:rsidR="001606D6" w:rsidRPr="001606D6" w:rsidRDefault="001606D6" w:rsidP="001606D6">
            <w:r w:rsidRPr="001606D6">
              <w:t>Security Policies</w:t>
            </w:r>
          </w:p>
        </w:tc>
        <w:tc>
          <w:tcPr>
            <w:tcW w:w="1089" w:type="dxa"/>
            <w:vAlign w:val="center"/>
            <w:hideMark/>
          </w:tcPr>
          <w:p w14:paraId="54F18422" w14:textId="045FBD8B" w:rsidR="001606D6" w:rsidRPr="001606D6" w:rsidRDefault="00E95ABE" w:rsidP="00E95ABE">
            <w:pPr>
              <w:jc w:val="center"/>
              <w:rPr>
                <w:b/>
                <w:bCs/>
              </w:rPr>
            </w:pPr>
            <w:r>
              <w:rPr>
                <w:b/>
                <w:bCs/>
              </w:rPr>
              <w:t>9</w:t>
            </w:r>
          </w:p>
        </w:tc>
      </w:tr>
      <w:tr w:rsidR="001606D6" w:rsidRPr="001606D6" w14:paraId="5A23B93F" w14:textId="77777777" w:rsidTr="001606D6">
        <w:trPr>
          <w:tblCellSpacing w:w="15" w:type="dxa"/>
        </w:trPr>
        <w:tc>
          <w:tcPr>
            <w:tcW w:w="0" w:type="auto"/>
            <w:vAlign w:val="center"/>
            <w:hideMark/>
          </w:tcPr>
          <w:p w14:paraId="19516F2E" w14:textId="39CF42F1" w:rsidR="001606D6" w:rsidRPr="001606D6" w:rsidRDefault="001606D6" w:rsidP="001606D6">
            <w:pPr>
              <w:jc w:val="center"/>
            </w:pPr>
            <w:r w:rsidRPr="001606D6">
              <w:t>3.4</w:t>
            </w:r>
          </w:p>
        </w:tc>
        <w:tc>
          <w:tcPr>
            <w:tcW w:w="7752" w:type="dxa"/>
            <w:vAlign w:val="center"/>
            <w:hideMark/>
          </w:tcPr>
          <w:p w14:paraId="6423082F" w14:textId="2C2F9C77" w:rsidR="001606D6" w:rsidRPr="001606D6" w:rsidRDefault="001606D6" w:rsidP="001606D6">
            <w:r w:rsidRPr="001606D6">
              <w:t>Security Management Model</w:t>
            </w:r>
          </w:p>
        </w:tc>
        <w:tc>
          <w:tcPr>
            <w:tcW w:w="1089" w:type="dxa"/>
            <w:vAlign w:val="center"/>
            <w:hideMark/>
          </w:tcPr>
          <w:p w14:paraId="2EFDD010" w14:textId="0F1EE927" w:rsidR="001606D6" w:rsidRPr="001606D6" w:rsidRDefault="00E95ABE" w:rsidP="00E95ABE">
            <w:pPr>
              <w:jc w:val="center"/>
              <w:rPr>
                <w:b/>
                <w:bCs/>
              </w:rPr>
            </w:pPr>
            <w:r>
              <w:rPr>
                <w:b/>
                <w:bCs/>
              </w:rPr>
              <w:t>9</w:t>
            </w:r>
          </w:p>
        </w:tc>
      </w:tr>
      <w:tr w:rsidR="001606D6" w:rsidRPr="001606D6" w14:paraId="52A17BC8" w14:textId="77777777" w:rsidTr="001606D6">
        <w:trPr>
          <w:tblCellSpacing w:w="15" w:type="dxa"/>
        </w:trPr>
        <w:tc>
          <w:tcPr>
            <w:tcW w:w="0" w:type="auto"/>
            <w:vAlign w:val="center"/>
            <w:hideMark/>
          </w:tcPr>
          <w:p w14:paraId="27869203" w14:textId="4484AD8B" w:rsidR="001606D6" w:rsidRPr="001606D6" w:rsidRDefault="001606D6" w:rsidP="001606D6">
            <w:pPr>
              <w:jc w:val="center"/>
            </w:pPr>
            <w:r w:rsidRPr="001606D6">
              <w:t>3.5</w:t>
            </w:r>
          </w:p>
        </w:tc>
        <w:tc>
          <w:tcPr>
            <w:tcW w:w="7752" w:type="dxa"/>
            <w:vAlign w:val="center"/>
            <w:hideMark/>
          </w:tcPr>
          <w:p w14:paraId="709C34AF" w14:textId="3DD5E5A6" w:rsidR="001606D6" w:rsidRPr="001606D6" w:rsidRDefault="001606D6" w:rsidP="001606D6">
            <w:r w:rsidRPr="001606D6">
              <w:t>Compliance and Legal Considerations</w:t>
            </w:r>
          </w:p>
        </w:tc>
        <w:tc>
          <w:tcPr>
            <w:tcW w:w="1089" w:type="dxa"/>
            <w:vAlign w:val="center"/>
            <w:hideMark/>
          </w:tcPr>
          <w:p w14:paraId="339E153C" w14:textId="4DA1B94D" w:rsidR="001606D6" w:rsidRPr="001606D6" w:rsidRDefault="00E95ABE" w:rsidP="00E95ABE">
            <w:pPr>
              <w:jc w:val="center"/>
              <w:rPr>
                <w:b/>
                <w:bCs/>
              </w:rPr>
            </w:pPr>
            <w:r>
              <w:rPr>
                <w:b/>
                <w:bCs/>
              </w:rPr>
              <w:t>10</w:t>
            </w:r>
          </w:p>
        </w:tc>
      </w:tr>
      <w:tr w:rsidR="001606D6" w:rsidRPr="001606D6" w14:paraId="51F4B645" w14:textId="77777777" w:rsidTr="001606D6">
        <w:trPr>
          <w:tblCellSpacing w:w="15" w:type="dxa"/>
        </w:trPr>
        <w:tc>
          <w:tcPr>
            <w:tcW w:w="0" w:type="auto"/>
            <w:vAlign w:val="center"/>
            <w:hideMark/>
          </w:tcPr>
          <w:p w14:paraId="18169175" w14:textId="47B53053" w:rsidR="001606D6" w:rsidRPr="001606D6" w:rsidRDefault="001606D6" w:rsidP="001606D6">
            <w:pPr>
              <w:jc w:val="center"/>
            </w:pPr>
            <w:r w:rsidRPr="001606D6">
              <w:t>3.6</w:t>
            </w:r>
          </w:p>
        </w:tc>
        <w:tc>
          <w:tcPr>
            <w:tcW w:w="7752" w:type="dxa"/>
            <w:vAlign w:val="center"/>
            <w:hideMark/>
          </w:tcPr>
          <w:p w14:paraId="34D6FB43" w14:textId="63AA7830" w:rsidR="001606D6" w:rsidRPr="001606D6" w:rsidRDefault="001606D6" w:rsidP="001606D6">
            <w:r w:rsidRPr="001606D6">
              <w:t>Protection Mechanisms</w:t>
            </w:r>
          </w:p>
        </w:tc>
        <w:tc>
          <w:tcPr>
            <w:tcW w:w="1089" w:type="dxa"/>
            <w:vAlign w:val="center"/>
            <w:hideMark/>
          </w:tcPr>
          <w:p w14:paraId="3672174D" w14:textId="55EDCC85" w:rsidR="001606D6" w:rsidRPr="001606D6" w:rsidRDefault="00E95ABE" w:rsidP="00E95ABE">
            <w:pPr>
              <w:jc w:val="center"/>
              <w:rPr>
                <w:b/>
                <w:bCs/>
              </w:rPr>
            </w:pPr>
            <w:r>
              <w:rPr>
                <w:b/>
                <w:bCs/>
              </w:rPr>
              <w:t>10</w:t>
            </w:r>
          </w:p>
        </w:tc>
      </w:tr>
      <w:tr w:rsidR="001606D6" w:rsidRPr="001606D6" w14:paraId="5049DE72" w14:textId="77777777" w:rsidTr="001606D6">
        <w:trPr>
          <w:tblCellSpacing w:w="15" w:type="dxa"/>
        </w:trPr>
        <w:tc>
          <w:tcPr>
            <w:tcW w:w="0" w:type="auto"/>
            <w:vAlign w:val="center"/>
            <w:hideMark/>
          </w:tcPr>
          <w:p w14:paraId="340151FB" w14:textId="67568570" w:rsidR="001606D6" w:rsidRPr="001606D6" w:rsidRDefault="001606D6" w:rsidP="001606D6">
            <w:pPr>
              <w:jc w:val="center"/>
            </w:pPr>
            <w:r w:rsidRPr="001606D6">
              <w:t>3.7</w:t>
            </w:r>
          </w:p>
        </w:tc>
        <w:tc>
          <w:tcPr>
            <w:tcW w:w="7752" w:type="dxa"/>
            <w:vAlign w:val="center"/>
            <w:hideMark/>
          </w:tcPr>
          <w:p w14:paraId="31B2C6A7" w14:textId="64474415" w:rsidR="001606D6" w:rsidRPr="001606D6" w:rsidRDefault="001606D6" w:rsidP="001606D6">
            <w:r w:rsidRPr="001606D6">
              <w:t>Contingency Planning</w:t>
            </w:r>
          </w:p>
        </w:tc>
        <w:tc>
          <w:tcPr>
            <w:tcW w:w="1089" w:type="dxa"/>
            <w:vAlign w:val="center"/>
            <w:hideMark/>
          </w:tcPr>
          <w:p w14:paraId="327BBE8C" w14:textId="5233ACA7" w:rsidR="001606D6" w:rsidRPr="001606D6" w:rsidRDefault="00E95ABE" w:rsidP="00E95ABE">
            <w:pPr>
              <w:jc w:val="center"/>
              <w:rPr>
                <w:b/>
                <w:bCs/>
              </w:rPr>
            </w:pPr>
            <w:r>
              <w:rPr>
                <w:b/>
                <w:bCs/>
              </w:rPr>
              <w:t>10</w:t>
            </w:r>
          </w:p>
        </w:tc>
      </w:tr>
      <w:tr w:rsidR="001606D6" w:rsidRPr="001606D6" w14:paraId="26E7F049" w14:textId="77777777" w:rsidTr="001606D6">
        <w:trPr>
          <w:tblCellSpacing w:w="15" w:type="dxa"/>
        </w:trPr>
        <w:tc>
          <w:tcPr>
            <w:tcW w:w="0" w:type="auto"/>
            <w:vAlign w:val="center"/>
            <w:hideMark/>
          </w:tcPr>
          <w:p w14:paraId="3CE7903C" w14:textId="49FA7E05" w:rsidR="001606D6" w:rsidRPr="001606D6" w:rsidRDefault="001606D6" w:rsidP="001606D6">
            <w:pPr>
              <w:jc w:val="center"/>
            </w:pPr>
            <w:r w:rsidRPr="001606D6">
              <w:t>3.8</w:t>
            </w:r>
          </w:p>
        </w:tc>
        <w:tc>
          <w:tcPr>
            <w:tcW w:w="7752" w:type="dxa"/>
            <w:vAlign w:val="center"/>
            <w:hideMark/>
          </w:tcPr>
          <w:p w14:paraId="1A9518F4" w14:textId="460C96F4" w:rsidR="001606D6" w:rsidRPr="001606D6" w:rsidRDefault="001606D6" w:rsidP="001606D6">
            <w:r w:rsidRPr="001606D6">
              <w:t>Service Level Agreements (SLAs)</w:t>
            </w:r>
          </w:p>
        </w:tc>
        <w:tc>
          <w:tcPr>
            <w:tcW w:w="1089" w:type="dxa"/>
            <w:vAlign w:val="center"/>
            <w:hideMark/>
          </w:tcPr>
          <w:p w14:paraId="64EB033C" w14:textId="06E119C8" w:rsidR="001606D6" w:rsidRPr="001606D6" w:rsidRDefault="00E95ABE" w:rsidP="00E95ABE">
            <w:pPr>
              <w:jc w:val="center"/>
              <w:rPr>
                <w:b/>
                <w:bCs/>
              </w:rPr>
            </w:pPr>
            <w:r>
              <w:rPr>
                <w:b/>
                <w:bCs/>
              </w:rPr>
              <w:t>11</w:t>
            </w:r>
          </w:p>
        </w:tc>
      </w:tr>
      <w:tr w:rsidR="001606D6" w:rsidRPr="001606D6" w14:paraId="346438E4" w14:textId="77777777" w:rsidTr="001606D6">
        <w:trPr>
          <w:tblCellSpacing w:w="15" w:type="dxa"/>
        </w:trPr>
        <w:tc>
          <w:tcPr>
            <w:tcW w:w="0" w:type="auto"/>
            <w:vAlign w:val="center"/>
            <w:hideMark/>
          </w:tcPr>
          <w:p w14:paraId="2AF9F20B" w14:textId="3D4FFDAE" w:rsidR="001606D6" w:rsidRPr="001606D6" w:rsidRDefault="001606D6" w:rsidP="001606D6">
            <w:pPr>
              <w:jc w:val="center"/>
              <w:rPr>
                <w:b/>
                <w:bCs/>
              </w:rPr>
            </w:pPr>
            <w:r>
              <w:rPr>
                <w:b/>
                <w:bCs/>
              </w:rPr>
              <w:t>4</w:t>
            </w:r>
          </w:p>
        </w:tc>
        <w:tc>
          <w:tcPr>
            <w:tcW w:w="7752" w:type="dxa"/>
            <w:vAlign w:val="center"/>
            <w:hideMark/>
          </w:tcPr>
          <w:p w14:paraId="51C75B73" w14:textId="40D24A09" w:rsidR="001606D6" w:rsidRPr="001606D6" w:rsidRDefault="001606D6" w:rsidP="001606D6">
            <w:pPr>
              <w:rPr>
                <w:b/>
                <w:bCs/>
              </w:rPr>
            </w:pPr>
            <w:r w:rsidRPr="001606D6">
              <w:rPr>
                <w:b/>
                <w:bCs/>
              </w:rPr>
              <w:t>Critical Discussion: Importance of Evolving Regulations</w:t>
            </w:r>
          </w:p>
        </w:tc>
        <w:tc>
          <w:tcPr>
            <w:tcW w:w="1089" w:type="dxa"/>
            <w:vAlign w:val="center"/>
            <w:hideMark/>
          </w:tcPr>
          <w:p w14:paraId="680C213E" w14:textId="302B19AB" w:rsidR="001606D6" w:rsidRPr="001606D6" w:rsidRDefault="00E95ABE" w:rsidP="00E95ABE">
            <w:pPr>
              <w:jc w:val="center"/>
              <w:rPr>
                <w:b/>
                <w:bCs/>
              </w:rPr>
            </w:pPr>
            <w:r>
              <w:rPr>
                <w:b/>
                <w:bCs/>
              </w:rPr>
              <w:t>12</w:t>
            </w:r>
          </w:p>
        </w:tc>
      </w:tr>
      <w:tr w:rsidR="001606D6" w:rsidRPr="001606D6" w14:paraId="62E8207D" w14:textId="77777777" w:rsidTr="001606D6">
        <w:trPr>
          <w:tblCellSpacing w:w="15" w:type="dxa"/>
        </w:trPr>
        <w:tc>
          <w:tcPr>
            <w:tcW w:w="0" w:type="auto"/>
            <w:vAlign w:val="center"/>
            <w:hideMark/>
          </w:tcPr>
          <w:p w14:paraId="03E755DA" w14:textId="3F06E246" w:rsidR="001606D6" w:rsidRPr="001606D6" w:rsidRDefault="001606D6" w:rsidP="001606D6">
            <w:pPr>
              <w:jc w:val="center"/>
              <w:rPr>
                <w:b/>
                <w:bCs/>
              </w:rPr>
            </w:pPr>
            <w:r>
              <w:rPr>
                <w:b/>
                <w:bCs/>
              </w:rPr>
              <w:t>5</w:t>
            </w:r>
          </w:p>
        </w:tc>
        <w:tc>
          <w:tcPr>
            <w:tcW w:w="7752" w:type="dxa"/>
            <w:vAlign w:val="center"/>
            <w:hideMark/>
          </w:tcPr>
          <w:p w14:paraId="5CD5498F" w14:textId="5F2BB33E" w:rsidR="001606D6" w:rsidRPr="001606D6" w:rsidRDefault="001606D6" w:rsidP="001606D6">
            <w:pPr>
              <w:rPr>
                <w:b/>
                <w:bCs/>
              </w:rPr>
            </w:pPr>
            <w:r w:rsidRPr="001606D6">
              <w:rPr>
                <w:b/>
                <w:bCs/>
              </w:rPr>
              <w:t>Conclusion</w:t>
            </w:r>
          </w:p>
        </w:tc>
        <w:tc>
          <w:tcPr>
            <w:tcW w:w="1089" w:type="dxa"/>
            <w:vAlign w:val="center"/>
            <w:hideMark/>
          </w:tcPr>
          <w:p w14:paraId="7D73EA15" w14:textId="67D09071" w:rsidR="001606D6" w:rsidRPr="001606D6" w:rsidRDefault="00E95ABE" w:rsidP="00E95ABE">
            <w:pPr>
              <w:jc w:val="center"/>
              <w:rPr>
                <w:b/>
                <w:bCs/>
              </w:rPr>
            </w:pPr>
            <w:r>
              <w:rPr>
                <w:b/>
                <w:bCs/>
              </w:rPr>
              <w:t>13</w:t>
            </w:r>
          </w:p>
        </w:tc>
      </w:tr>
      <w:tr w:rsidR="001606D6" w:rsidRPr="001606D6" w14:paraId="1EBD64A3" w14:textId="77777777" w:rsidTr="001606D6">
        <w:trPr>
          <w:tblCellSpacing w:w="15" w:type="dxa"/>
        </w:trPr>
        <w:tc>
          <w:tcPr>
            <w:tcW w:w="0" w:type="auto"/>
            <w:vAlign w:val="center"/>
            <w:hideMark/>
          </w:tcPr>
          <w:p w14:paraId="7E3334CC" w14:textId="1750262A" w:rsidR="001606D6" w:rsidRPr="001606D6" w:rsidRDefault="001606D6" w:rsidP="001606D6">
            <w:pPr>
              <w:rPr>
                <w:b/>
                <w:bCs/>
              </w:rPr>
            </w:pPr>
          </w:p>
        </w:tc>
        <w:tc>
          <w:tcPr>
            <w:tcW w:w="7752" w:type="dxa"/>
            <w:vAlign w:val="center"/>
            <w:hideMark/>
          </w:tcPr>
          <w:p w14:paraId="0D7D6AB4" w14:textId="77777777" w:rsidR="001606D6" w:rsidRPr="001606D6" w:rsidRDefault="001606D6" w:rsidP="001606D6">
            <w:pPr>
              <w:rPr>
                <w:b/>
                <w:bCs/>
              </w:rPr>
            </w:pPr>
            <w:r w:rsidRPr="001606D6">
              <w:rPr>
                <w:b/>
                <w:bCs/>
              </w:rPr>
              <w:t>References</w:t>
            </w:r>
          </w:p>
        </w:tc>
        <w:tc>
          <w:tcPr>
            <w:tcW w:w="1089" w:type="dxa"/>
            <w:vAlign w:val="center"/>
            <w:hideMark/>
          </w:tcPr>
          <w:p w14:paraId="1F7320C8" w14:textId="61DE8A1C" w:rsidR="001606D6" w:rsidRPr="001606D6" w:rsidRDefault="00E95ABE" w:rsidP="00E95ABE">
            <w:pPr>
              <w:jc w:val="center"/>
              <w:rPr>
                <w:b/>
                <w:bCs/>
              </w:rPr>
            </w:pPr>
            <w:r>
              <w:rPr>
                <w:b/>
                <w:bCs/>
              </w:rPr>
              <w:t>14</w:t>
            </w:r>
          </w:p>
        </w:tc>
      </w:tr>
    </w:tbl>
    <w:p w14:paraId="3BD0A572" w14:textId="5B52815C" w:rsidR="00E36434" w:rsidRDefault="00E36434">
      <w:pPr>
        <w:rPr>
          <w:b/>
          <w:bCs/>
        </w:rPr>
      </w:pPr>
      <w:r>
        <w:rPr>
          <w:b/>
          <w:bCs/>
        </w:rPr>
        <w:br w:type="page"/>
      </w:r>
    </w:p>
    <w:p w14:paraId="442CCE73" w14:textId="217FB85E" w:rsidR="00D610FA" w:rsidRPr="001606D6" w:rsidRDefault="00D610FA" w:rsidP="00E222A3">
      <w:pPr>
        <w:pStyle w:val="Heading1"/>
        <w:jc w:val="center"/>
        <w:rPr>
          <w:b/>
          <w:bCs/>
          <w:color w:val="auto"/>
        </w:rPr>
      </w:pPr>
      <w:r w:rsidRPr="001606D6">
        <w:rPr>
          <w:b/>
          <w:bCs/>
          <w:color w:val="auto"/>
        </w:rPr>
        <w:lastRenderedPageBreak/>
        <w:t>Abstract</w:t>
      </w:r>
    </w:p>
    <w:p w14:paraId="586C6132" w14:textId="77777777" w:rsidR="003C15B4" w:rsidRDefault="003C15B4" w:rsidP="00E36434">
      <w:pPr>
        <w:jc w:val="both"/>
      </w:pPr>
      <w:r>
        <w:t>In this report, I will discuss how Governance, Risk, and Compliance (GRC) concepts can be applied to the cybersecurity problems of FinSure Bank (FSB), a digital-first financial institution that strongly depends on cloud computing technology and Bring Your Own Device (BYOD). The paper examines important industry models such as the Information Technology Infrastructure Library and the ISO/IEC 27000 family, as a way of analysing their efficiency in information security, operation processes, and regulatory compliance.</w:t>
      </w:r>
    </w:p>
    <w:p w14:paraId="50D9B034" w14:textId="77777777" w:rsidR="003C15B4" w:rsidRDefault="003C15B4" w:rsidP="00E36434">
      <w:pPr>
        <w:jc w:val="both"/>
      </w:pPr>
      <w:r>
        <w:t>Based on this review, the report suggests a combined GRC solution to the specific case of FSB including the governance frameworks, risk management policies, security policy, the compliance policy and technical protection controls. The model focuses on compliance with the control measures defined by laws like General Data Protection Regulation, and it covers the major threats like the vulnerability of the clouds, insider threats, and data breaches.</w:t>
      </w:r>
    </w:p>
    <w:p w14:paraId="07336005" w14:textId="77777777" w:rsidR="00E222A3" w:rsidRDefault="003C15B4" w:rsidP="00E36434">
      <w:pPr>
        <w:jc w:val="both"/>
      </w:pPr>
      <w:r>
        <w:t xml:space="preserve">Moreover, the report is critical in explaining the significance of constantly changing laws and standards with regard to the new cyber threats and tech developments. It raises the advantages and the pressing issues of ensuring compliance in a changeable atmosphere. Comprehensively, the paper proves that the implementation of </w:t>
      </w:r>
      <w:proofErr w:type="spellStart"/>
      <w:r>
        <w:t>organised</w:t>
      </w:r>
      <w:proofErr w:type="spellEnd"/>
      <w:r>
        <w:t xml:space="preserve"> and adjusting GRC architecture is a critical part of the improved organisational resilience, promotion of data security, and endurance of stakeholders towards contemporary internet-based banking platforms.</w:t>
      </w:r>
    </w:p>
    <w:p w14:paraId="6CC5C86D" w14:textId="522F99FD" w:rsidR="00D610FA" w:rsidRDefault="00D610FA" w:rsidP="00E36434">
      <w:pPr>
        <w:jc w:val="both"/>
      </w:pPr>
      <w:r>
        <w:br/>
      </w:r>
    </w:p>
    <w:p w14:paraId="70F3AF5B" w14:textId="77777777" w:rsidR="00D610FA" w:rsidRDefault="00D610FA" w:rsidP="00E36434">
      <w:pPr>
        <w:jc w:val="both"/>
      </w:pPr>
      <w:r>
        <w:br w:type="page"/>
      </w:r>
    </w:p>
    <w:p w14:paraId="04E1BA05" w14:textId="67867694" w:rsidR="00D610FA" w:rsidRPr="00E414E2" w:rsidRDefault="00D610FA" w:rsidP="00E414E2">
      <w:pPr>
        <w:pStyle w:val="Heading1"/>
        <w:numPr>
          <w:ilvl w:val="0"/>
          <w:numId w:val="17"/>
        </w:numPr>
        <w:jc w:val="center"/>
        <w:rPr>
          <w:b/>
          <w:bCs/>
          <w:color w:val="auto"/>
        </w:rPr>
      </w:pPr>
      <w:r w:rsidRPr="00E414E2">
        <w:rPr>
          <w:b/>
          <w:bCs/>
          <w:color w:val="auto"/>
        </w:rPr>
        <w:lastRenderedPageBreak/>
        <w:t>Introduction</w:t>
      </w:r>
    </w:p>
    <w:p w14:paraId="7C7066EA" w14:textId="2B9485FD" w:rsidR="003C15B4" w:rsidRDefault="003C15B4" w:rsidP="00E36434">
      <w:pPr>
        <w:jc w:val="both"/>
      </w:pPr>
      <w:r>
        <w:t xml:space="preserve">The emerging global financial services landscape has evolved considerably as a result of the rising speed of digital banking, which allows customers to seek services at any time and place with the help of the cloud platforms and mobile applications. The change, however, has brought with it more exposure to computer-based attacks, including data breaches, identity theft and financial fraudulence. The increased dependency on physically interconnected systems and externally based cloud infrastructures has turned the financial institutions to be the most </w:t>
      </w:r>
      <w:proofErr w:type="spellStart"/>
      <w:r>
        <w:t>favoured</w:t>
      </w:r>
      <w:proofErr w:type="spellEnd"/>
      <w:r>
        <w:t xml:space="preserve"> targets of advanced cyber-attacks. This means that organisations can no longer afford to ignore a sound Governance, Risk, and Compliance (GRC) practices to ensure sensitive data security, and keep their customers trusting them [1], [2].</w:t>
      </w:r>
    </w:p>
    <w:p w14:paraId="7F291ADC" w14:textId="41A038E8" w:rsidR="003C15B4" w:rsidRDefault="003C15B4" w:rsidP="00E36434">
      <w:pPr>
        <w:jc w:val="both"/>
      </w:pPr>
      <w:r>
        <w:t>Governance, Risk, and Compliance (GRC) offer an organized pattern of conforming IT security to the goals of IT businesses, handling of risks, and compliance with legal and regulatory mandates. Information technologies Frame works like the Information Technology infrastructural library and the Information Security family, which are a part of the ISO/IEC 27000 are instrumental in assisting organisations to adopt standard procedures in terms of service management and information security. These frameworks help the organisations to form a coherent set of controls, enhance operational efficiency, and ensure that they comply with the international standards [3].</w:t>
      </w:r>
    </w:p>
    <w:p w14:paraId="66F873DD" w14:textId="43001F6C" w:rsidR="003C15B4" w:rsidRDefault="003C15B4" w:rsidP="00E36434">
      <w:pPr>
        <w:jc w:val="both"/>
      </w:pPr>
      <w:r>
        <w:t>The usage of cloud-based infrastructure and the use of BYOD practices bring with them considerable security challenges in the situation of FinSure Bank (FSB), which is a fast-growing digital-first financial institution. Lack of a coherent governance model, formal risk management plan and structured compliance procedures open the organisation to insider threats, data leakage and regulatory noncompliance cases especially against the insider laws like the General Data Protection Regulation [4].</w:t>
      </w:r>
    </w:p>
    <w:p w14:paraId="70D28E7E" w14:textId="6481CE8F" w:rsidR="00D610FA" w:rsidRDefault="003C15B4" w:rsidP="00E36434">
      <w:pPr>
        <w:jc w:val="both"/>
        <w:rPr>
          <w:b/>
          <w:bCs/>
        </w:rPr>
      </w:pPr>
      <w:r>
        <w:t>The purpose of this report is to compare the current security frameworks, such as the ITIL and ISO 27000 and use the concepts of these frameworks to develop a comprehensive GRC framework that suits FSB. Moreover, it critically assesses the significance of the ever-changing regulations and standards in responding to the emergent cybersecurity and the long-term organisational resilience guarantee.</w:t>
      </w:r>
      <w:r w:rsidR="00D610FA">
        <w:rPr>
          <w:b/>
          <w:bCs/>
        </w:rPr>
        <w:br w:type="page"/>
      </w:r>
    </w:p>
    <w:p w14:paraId="1C7B5AF7" w14:textId="11254E7D" w:rsidR="00D610FA" w:rsidRPr="00E414E2" w:rsidRDefault="00D610FA" w:rsidP="00E414E2">
      <w:pPr>
        <w:pStyle w:val="Heading1"/>
        <w:jc w:val="center"/>
        <w:rPr>
          <w:b/>
          <w:bCs/>
          <w:color w:val="auto"/>
        </w:rPr>
      </w:pPr>
      <w:r w:rsidRPr="00E414E2">
        <w:rPr>
          <w:b/>
          <w:bCs/>
          <w:color w:val="auto"/>
        </w:rPr>
        <w:lastRenderedPageBreak/>
        <w:t>2. Overview of Security Frameworks and Models</w:t>
      </w:r>
    </w:p>
    <w:p w14:paraId="7420AAD3" w14:textId="58B1749A" w:rsidR="00D610FA" w:rsidRPr="00E414E2" w:rsidRDefault="00D610FA" w:rsidP="00E414E2">
      <w:pPr>
        <w:pStyle w:val="Heading2"/>
        <w:rPr>
          <w:b/>
          <w:bCs/>
          <w:color w:val="auto"/>
        </w:rPr>
      </w:pPr>
      <w:r w:rsidRPr="00E414E2">
        <w:rPr>
          <w:b/>
          <w:bCs/>
          <w:color w:val="auto"/>
        </w:rPr>
        <w:t xml:space="preserve">2.1 ITIL Framework </w:t>
      </w:r>
    </w:p>
    <w:p w14:paraId="5CB3A81F" w14:textId="62160087" w:rsidR="003C15B4" w:rsidRDefault="003C15B4" w:rsidP="00E36434">
      <w:pPr>
        <w:jc w:val="both"/>
      </w:pPr>
      <w:r w:rsidRPr="003C15B4">
        <w:t xml:space="preserve">Information Technology Infrastructure Library is an ITSM, a popular IT service management framework that gives the best </w:t>
      </w:r>
      <w:r w:rsidR="00E36434" w:rsidRPr="003C15B4">
        <w:t>practices</w:t>
      </w:r>
      <w:r w:rsidRPr="003C15B4">
        <w:t xml:space="preserve"> to align IT services to business requirements. ITIL, which was initially created by the government of the UK, aims at streamlining the process of service delivery, increasing operational efficiency, and addressing IT risks. Though ITIL is not solely a security system, it embraces the necessary security-related processes that are central in all organisations in the present period [5]. The ITIL is </w:t>
      </w:r>
      <w:r w:rsidR="00E36434" w:rsidRPr="003C15B4">
        <w:t>organized</w:t>
      </w:r>
      <w:r w:rsidRPr="003C15B4">
        <w:t xml:space="preserve"> in a lifecycle model comprising of five major phases, which include: Service Strategy, Service Design, Service Transition, Service Operation as well as Continual Service Improvement. Every phase will work towards ensuring the secure and reliable IT services. One example is Service Design, which makes sure that such security features as access management and data protection are implemented in systems initially. Incident and problem management processes form part of Service Operation, which are critical to ensuring the detection and response to cybersecurity incidents [6]. Another strength of the ITIL is the fact that it focuses on change management as well as incident management, which is important in overcoming security risks. Incident management helps organisations to act swiftly on breaches, whereas change management makes sure that updates or changes on systems do not add new vulnerabilities on the system. Additionally, ITIL encourages continuous service enhancement, in that way enabling organisations to align to new threats and enhance their security posture as it advances [7]. ITIL however has weaknesses in information security. It does not give comprehensive technical controls and special security requirements. Rather, it has to be accompanied by specific standards like ISO 27001 related to security. In the case of FinSure Bank (FSB), ITIL is supported by the operational security processes, especially in the cloud service management and incident handling, but it is not able to provide the answer to all the security and compliance needs.</w:t>
      </w:r>
    </w:p>
    <w:p w14:paraId="68872AFD" w14:textId="6EB2CEC7" w:rsidR="00D610FA" w:rsidRPr="00E414E2" w:rsidRDefault="00D610FA" w:rsidP="00E414E2">
      <w:pPr>
        <w:pStyle w:val="Heading2"/>
        <w:rPr>
          <w:b/>
          <w:bCs/>
          <w:color w:val="auto"/>
        </w:rPr>
      </w:pPr>
      <w:r w:rsidRPr="00E414E2">
        <w:rPr>
          <w:b/>
          <w:bCs/>
          <w:color w:val="auto"/>
        </w:rPr>
        <w:t>2.2 ISO 27000 Series</w:t>
      </w:r>
    </w:p>
    <w:p w14:paraId="1D448FB6" w14:textId="77777777" w:rsidR="003C15B4" w:rsidRDefault="003C15B4" w:rsidP="00E36434">
      <w:pPr>
        <w:jc w:val="both"/>
      </w:pPr>
      <w:r w:rsidRPr="003C15B4">
        <w:t xml:space="preserve">The ISO/IEC 27000 family is an internationally acclaimed collection of standards that are meant to control information security. The most significant standard in this family is the ISO/IEC 27001 specifying the needs of creation, applying, sustaining, and constantly enhancing of the Information Security Management System (ISMS). This is augmented by ISO 27002 which gives a list of security controls and best </w:t>
      </w:r>
      <w:proofErr w:type="spellStart"/>
      <w:r w:rsidRPr="003C15B4">
        <w:t>practises</w:t>
      </w:r>
      <w:proofErr w:type="spellEnd"/>
      <w:r w:rsidRPr="003C15B4">
        <w:t xml:space="preserve"> in detail [3]. </w:t>
      </w:r>
    </w:p>
    <w:p w14:paraId="03570522" w14:textId="77777777" w:rsidR="003C15B4" w:rsidRPr="003C15B4" w:rsidRDefault="003C15B4" w:rsidP="00E36434">
      <w:pPr>
        <w:jc w:val="both"/>
      </w:pPr>
      <w:r w:rsidRPr="003C15B4">
        <w:t>The CIA trinity, which is the foundation of the ISO 27000 series, ensures:</w:t>
      </w:r>
    </w:p>
    <w:p w14:paraId="016C770D" w14:textId="77777777" w:rsidR="00224630" w:rsidRDefault="003C15B4" w:rsidP="00E414E2">
      <w:pPr>
        <w:pStyle w:val="ListParagraph"/>
        <w:numPr>
          <w:ilvl w:val="0"/>
          <w:numId w:val="15"/>
        </w:numPr>
        <w:jc w:val="both"/>
      </w:pPr>
      <w:r w:rsidRPr="003C15B4">
        <w:t xml:space="preserve">Confidentiality - keeping the sensitive information out of unauthorised access. </w:t>
      </w:r>
    </w:p>
    <w:p w14:paraId="18DB1E83" w14:textId="77777777" w:rsidR="00224630" w:rsidRDefault="003C15B4" w:rsidP="00E414E2">
      <w:pPr>
        <w:pStyle w:val="ListParagraph"/>
        <w:numPr>
          <w:ilvl w:val="0"/>
          <w:numId w:val="15"/>
        </w:numPr>
        <w:jc w:val="both"/>
      </w:pPr>
      <w:r w:rsidRPr="003C15B4">
        <w:t xml:space="preserve">Integrity- data accuracy and consistency. </w:t>
      </w:r>
    </w:p>
    <w:p w14:paraId="6E2F6640" w14:textId="77777777" w:rsidR="00224630" w:rsidRDefault="003C15B4" w:rsidP="00E414E2">
      <w:pPr>
        <w:pStyle w:val="ListParagraph"/>
        <w:numPr>
          <w:ilvl w:val="0"/>
          <w:numId w:val="15"/>
        </w:numPr>
        <w:jc w:val="both"/>
      </w:pPr>
      <w:r w:rsidRPr="003C15B4">
        <w:lastRenderedPageBreak/>
        <w:t xml:space="preserve">Availability- providing access to information when required. </w:t>
      </w:r>
    </w:p>
    <w:p w14:paraId="742BD7D5" w14:textId="77777777" w:rsidR="00E36434" w:rsidRDefault="003C15B4" w:rsidP="00E36434">
      <w:pPr>
        <w:jc w:val="both"/>
      </w:pPr>
      <w:r w:rsidRPr="003C15B4">
        <w:t xml:space="preserve">One of the key aspects of ISO 27001 is its </w:t>
      </w:r>
      <w:proofErr w:type="gramStart"/>
      <w:r w:rsidRPr="003C15B4">
        <w:t>risk based</w:t>
      </w:r>
      <w:proofErr w:type="gramEnd"/>
      <w:r w:rsidRPr="003C15B4">
        <w:t xml:space="preserve"> approach that stipulates that organisations should identify, evaluate and address risks in a systematic manner. This specifically applies in the case of FinSure Bank since the company is exposed to cloud computing, BYOD, and </w:t>
      </w:r>
      <w:proofErr w:type="gramStart"/>
      <w:r w:rsidRPr="003C15B4">
        <w:t>third party</w:t>
      </w:r>
      <w:proofErr w:type="gramEnd"/>
      <w:r w:rsidRPr="003C15B4">
        <w:t xml:space="preserve"> access risks. The framework is based on the Plan-Do-Cheque-Act (PDCA) cycle and allows measuring and monitoring security controls continuously [8].</w:t>
      </w:r>
      <w:r>
        <w:t xml:space="preserve"> </w:t>
      </w:r>
    </w:p>
    <w:p w14:paraId="17BC2CF5" w14:textId="4241DF99" w:rsidR="00D610FA" w:rsidRDefault="00B64261" w:rsidP="00F2568C">
      <w:pPr>
        <w:spacing w:after="0"/>
        <w:jc w:val="both"/>
      </w:pPr>
      <w:r>
        <w:rPr>
          <w:noProof/>
        </w:rPr>
        <w:drawing>
          <wp:inline distT="0" distB="0" distL="0" distR="0" wp14:anchorId="5873491D" wp14:editId="0C3A548B">
            <wp:extent cx="5943373" cy="3484245"/>
            <wp:effectExtent l="133350" t="114300" r="114935" b="173355"/>
            <wp:docPr id="71146745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
                    <pic:cNvPicPr>
                      <a:picLocks noChangeAspect="1" noChangeArrowheads="1"/>
                    </pic:cNvPicPr>
                  </pic:nvPicPr>
                  <pic:blipFill rotWithShape="1">
                    <a:blip r:embed="rId9">
                      <a:extLst>
                        <a:ext uri="{28A0092B-C50C-407E-A947-70E740481C1C}">
                          <a14:useLocalDpi xmlns:a14="http://schemas.microsoft.com/office/drawing/2010/main" val="0"/>
                        </a:ext>
                      </a:extLst>
                    </a:blip>
                    <a:srcRect t="11733" b="-3646"/>
                    <a:stretch>
                      <a:fillRect/>
                    </a:stretch>
                  </pic:blipFill>
                  <pic:spPr bwMode="auto">
                    <a:xfrm>
                      <a:off x="0" y="0"/>
                      <a:ext cx="5943600" cy="348437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52008316" w14:textId="06EFD463" w:rsidR="00F2568C" w:rsidRPr="00F2568C" w:rsidRDefault="00F2568C" w:rsidP="00F2568C">
      <w:pPr>
        <w:jc w:val="center"/>
        <w:rPr>
          <w:i/>
          <w:iCs/>
        </w:rPr>
      </w:pPr>
      <w:r w:rsidRPr="00F2568C">
        <w:rPr>
          <w:i/>
          <w:iCs/>
        </w:rPr>
        <w:t>Figure 1: ISO 27001 Core Clauses</w:t>
      </w:r>
    </w:p>
    <w:p w14:paraId="62ADDEB1" w14:textId="77777777" w:rsidR="00224630" w:rsidRDefault="00224630" w:rsidP="00E36434">
      <w:pPr>
        <w:jc w:val="both"/>
      </w:pPr>
      <w:r w:rsidRPr="00224630">
        <w:t xml:space="preserve">Among other qualities, ISO 27001 has the following benefits: </w:t>
      </w:r>
    </w:p>
    <w:p w14:paraId="75F36B2C" w14:textId="77777777" w:rsidR="00224630" w:rsidRDefault="00224630" w:rsidP="00E36434">
      <w:pPr>
        <w:jc w:val="both"/>
      </w:pPr>
      <w:r w:rsidRPr="00224630">
        <w:t xml:space="preserve">Formulating official security policies and procedures. Increasing stakeholder trust and confidence. Allowing certification to show maturity in security. In contrast to ITIL, ISO 27001 provides detailed and practical security controls and is therefore very appropriate in organisations that deal with sensitive data like financial institutions. Implementation may however be complicated and resource consuming and it needs organisational commitment and constant audit [9]. </w:t>
      </w:r>
    </w:p>
    <w:p w14:paraId="43A06494" w14:textId="2AF3A71A" w:rsidR="00224630" w:rsidRDefault="00224630" w:rsidP="00E36434">
      <w:pPr>
        <w:jc w:val="both"/>
      </w:pPr>
      <w:r w:rsidRPr="00224630">
        <w:t xml:space="preserve">In the case of FSB, the solution would be to implement ISO 27001 to bring about a </w:t>
      </w:r>
      <w:r w:rsidR="00E36434" w:rsidRPr="00224630">
        <w:t>formalized</w:t>
      </w:r>
      <w:r w:rsidRPr="00224630">
        <w:t xml:space="preserve"> approach to reasonably solve its deficiency of governance, risk management, and compliance mechanisms at the moment. It would also guarantee standardisation of security </w:t>
      </w:r>
      <w:r w:rsidR="00E36434" w:rsidRPr="00224630">
        <w:t>practices</w:t>
      </w:r>
      <w:r w:rsidRPr="00224630">
        <w:t xml:space="preserve"> over its </w:t>
      </w:r>
      <w:r w:rsidR="00E36434" w:rsidRPr="00224630">
        <w:t>cloud-based</w:t>
      </w:r>
      <w:r w:rsidRPr="00224630">
        <w:t xml:space="preserve"> infrastructure and global operations.</w:t>
      </w:r>
    </w:p>
    <w:p w14:paraId="19112F19" w14:textId="77777777" w:rsidR="00E222A3" w:rsidRPr="00E414E2" w:rsidRDefault="00D610FA" w:rsidP="00E414E2">
      <w:pPr>
        <w:pStyle w:val="Heading2"/>
        <w:rPr>
          <w:b/>
          <w:bCs/>
          <w:color w:val="auto"/>
        </w:rPr>
      </w:pPr>
      <w:r w:rsidRPr="00E414E2">
        <w:rPr>
          <w:b/>
          <w:bCs/>
          <w:color w:val="auto"/>
        </w:rPr>
        <w:lastRenderedPageBreak/>
        <w:t>2.3 Comparison of ITIL and ISO 27000</w:t>
      </w:r>
    </w:p>
    <w:p w14:paraId="27CC5FDA" w14:textId="434892AC" w:rsidR="00D610FA" w:rsidRPr="00E222A3" w:rsidRDefault="003C15B4" w:rsidP="00E36434">
      <w:pPr>
        <w:jc w:val="both"/>
        <w:rPr>
          <w:b/>
          <w:bCs/>
        </w:rPr>
      </w:pPr>
      <w:r w:rsidRPr="003C15B4">
        <w:t xml:space="preserve">To conclude, ITIL and ISO 27000 are complemental frameworks. ITIL </w:t>
      </w:r>
      <w:r w:rsidR="00E36434" w:rsidRPr="003C15B4">
        <w:t>optimizes</w:t>
      </w:r>
      <w:r w:rsidRPr="003C15B4">
        <w:t xml:space="preserve"> the delivery of services and operations, and ISO 27001 offers a solid security control and governance approach. In the case of FinSure Bank, a combination of the two frameworks would develop a unified system of dealing with IT services safely with respect to maintaining regulatory control.</w:t>
      </w:r>
      <w:r w:rsidR="00D610FA">
        <w:br w:type="page"/>
      </w:r>
    </w:p>
    <w:p w14:paraId="461B3A05" w14:textId="736FA182" w:rsidR="00D610FA" w:rsidRPr="00E222A3" w:rsidRDefault="00D610FA" w:rsidP="00E222A3">
      <w:pPr>
        <w:pStyle w:val="Heading1"/>
        <w:jc w:val="center"/>
        <w:rPr>
          <w:b/>
          <w:bCs/>
          <w:color w:val="auto"/>
        </w:rPr>
      </w:pPr>
      <w:r w:rsidRPr="00E222A3">
        <w:rPr>
          <w:b/>
          <w:bCs/>
          <w:color w:val="auto"/>
        </w:rPr>
        <w:lastRenderedPageBreak/>
        <w:t>3. Designing a GRC Approach for FinSure Bank</w:t>
      </w:r>
    </w:p>
    <w:p w14:paraId="2CB7017F" w14:textId="77777777" w:rsidR="00224630" w:rsidRDefault="00224630" w:rsidP="00E36434">
      <w:pPr>
        <w:jc w:val="both"/>
      </w:pPr>
      <w:r w:rsidRPr="00224630">
        <w:t>The section is a proposed Governance, Risk, and Compliance (GRC) solution which is specific to FinSure Bank (FSB), and incorporates principles of ISO/IEC 27000 family and Information Technology Infrastructure Library. The model proposed helps to deal with the problem encountered by FSB, such as dependence on the clouds, the use of BYOD, the absence of governance, and failures in regulatory compliance.</w:t>
      </w:r>
    </w:p>
    <w:p w14:paraId="705CAC13" w14:textId="03C139CF" w:rsidR="00D610FA" w:rsidRPr="00E414E2" w:rsidRDefault="00D610FA" w:rsidP="00E414E2">
      <w:pPr>
        <w:pStyle w:val="Heading2"/>
        <w:rPr>
          <w:b/>
          <w:bCs/>
          <w:color w:val="auto"/>
        </w:rPr>
      </w:pPr>
      <w:r w:rsidRPr="00E414E2">
        <w:rPr>
          <w:b/>
          <w:bCs/>
          <w:color w:val="auto"/>
        </w:rPr>
        <w:t xml:space="preserve">3.1 Governance and Strategic Planning </w:t>
      </w:r>
    </w:p>
    <w:p w14:paraId="1796DA4A" w14:textId="77777777" w:rsidR="00F2568C" w:rsidRDefault="00224630" w:rsidP="00E36434">
      <w:pPr>
        <w:jc w:val="both"/>
      </w:pPr>
      <w:r w:rsidRPr="00224630">
        <w:t xml:space="preserve">A secure information system will be built on good governance. FSB needs to implement formal security governance with a Chief Information Security Officer (CISO) and a governance board to make decision and policies and enforce them. Governance will make sure security objectives are consistent with business objectives and regulatory requirements [10]. It should prepare a clear security strategy that includes policies, standards, and procedures that are in line with the international standards including the General Data Protection Regulation. </w:t>
      </w:r>
    </w:p>
    <w:p w14:paraId="2762A260" w14:textId="79F06D1D" w:rsidR="00D610FA" w:rsidRPr="00D610FA" w:rsidRDefault="00224630" w:rsidP="00E36434">
      <w:pPr>
        <w:jc w:val="both"/>
      </w:pPr>
      <w:r w:rsidRPr="00224630">
        <w:t>This involves role and responsibility definitions, accountability structures and reporting systems. Moreover, FSB is supposed to employ a top-down model of governance, in which the leadership can be helpful in supporting the security initiatives. This provides awareness and conformity at the organisational level. Third-party risks also should be dealt with in governance policies in particular because FSB has to use cloud service providers.</w:t>
      </w:r>
    </w:p>
    <w:p w14:paraId="158B3B02" w14:textId="4B347275" w:rsidR="00D610FA" w:rsidRPr="00E414E2" w:rsidRDefault="00D610FA" w:rsidP="00E414E2">
      <w:pPr>
        <w:pStyle w:val="Heading2"/>
        <w:rPr>
          <w:b/>
          <w:bCs/>
          <w:color w:val="auto"/>
        </w:rPr>
      </w:pPr>
      <w:r w:rsidRPr="00E414E2">
        <w:rPr>
          <w:b/>
          <w:bCs/>
          <w:color w:val="auto"/>
        </w:rPr>
        <w:t xml:space="preserve">3.2 Risk Management Strategy </w:t>
      </w:r>
    </w:p>
    <w:p w14:paraId="063498F4" w14:textId="77777777" w:rsidR="00224630" w:rsidRDefault="00224630" w:rsidP="00E36434">
      <w:pPr>
        <w:jc w:val="both"/>
      </w:pPr>
      <w:r w:rsidRPr="00224630">
        <w:t xml:space="preserve">Determining and averting risks to FSB's information assets is mostly dependent on risk management. Adopting an organized risk management framework based on ISO 27001 is necessary to assess risks related to: </w:t>
      </w:r>
    </w:p>
    <w:p w14:paraId="02625852" w14:textId="13EA77DD" w:rsidR="00224630" w:rsidRDefault="00224630" w:rsidP="00E222A3">
      <w:pPr>
        <w:jc w:val="both"/>
      </w:pPr>
      <w:r w:rsidRPr="00224630">
        <w:t>Unauthorized access, malware, and BYOD</w:t>
      </w:r>
      <w:r>
        <w:t xml:space="preserve">. </w:t>
      </w:r>
      <w:r w:rsidRPr="00224630">
        <w:t>Cloud infrastructure (misconfigurations,</w:t>
      </w:r>
      <w:r w:rsidR="00E222A3">
        <w:t xml:space="preserve"> </w:t>
      </w:r>
      <w:r w:rsidRPr="00224630">
        <w:t>data breaches)</w:t>
      </w:r>
      <w:r>
        <w:t>.</w:t>
      </w:r>
      <w:r w:rsidR="00E222A3">
        <w:t xml:space="preserve"> </w:t>
      </w:r>
      <w:r w:rsidRPr="00224630">
        <w:t xml:space="preserve">Insider data misuse and insider privilege abuse third-party malicious attempts (ransomware, phishing). </w:t>
      </w:r>
    </w:p>
    <w:p w14:paraId="45F5134E" w14:textId="5EEE98A2" w:rsidR="00224630" w:rsidRPr="00224630" w:rsidRDefault="00224630" w:rsidP="00E36434">
      <w:pPr>
        <w:jc w:val="both"/>
      </w:pPr>
      <w:r w:rsidRPr="00224630">
        <w:t>A risk assessment matrix can be used to prioritize risks:</w:t>
      </w:r>
    </w:p>
    <w:tbl>
      <w:tblPr>
        <w:tblStyle w:val="GridTable1Light"/>
        <w:tblW w:w="9493" w:type="dxa"/>
        <w:tblLook w:val="04A0" w:firstRow="1" w:lastRow="0" w:firstColumn="1" w:lastColumn="0" w:noHBand="0" w:noVBand="1"/>
      </w:tblPr>
      <w:tblGrid>
        <w:gridCol w:w="2519"/>
        <w:gridCol w:w="1587"/>
        <w:gridCol w:w="1276"/>
        <w:gridCol w:w="1276"/>
        <w:gridCol w:w="2835"/>
      </w:tblGrid>
      <w:tr w:rsidR="00D610FA" w:rsidRPr="00D610FA" w14:paraId="2C7D1CF7" w14:textId="77777777" w:rsidTr="001606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0233C5" w14:textId="77777777" w:rsidR="00D610FA" w:rsidRPr="00D610FA" w:rsidRDefault="00D610FA" w:rsidP="00E36434">
            <w:pPr>
              <w:spacing w:after="160" w:line="278" w:lineRule="auto"/>
              <w:jc w:val="both"/>
            </w:pPr>
            <w:r w:rsidRPr="00D610FA">
              <w:t>Risk</w:t>
            </w:r>
          </w:p>
        </w:tc>
        <w:tc>
          <w:tcPr>
            <w:tcW w:w="1587" w:type="dxa"/>
            <w:hideMark/>
          </w:tcPr>
          <w:p w14:paraId="5E88E50E" w14:textId="77777777" w:rsidR="00D610FA" w:rsidRPr="00D610FA" w:rsidRDefault="00D610FA" w:rsidP="00E36434">
            <w:pPr>
              <w:spacing w:after="160" w:line="278" w:lineRule="auto"/>
              <w:jc w:val="both"/>
              <w:cnfStyle w:val="100000000000" w:firstRow="1" w:lastRow="0" w:firstColumn="0" w:lastColumn="0" w:oddVBand="0" w:evenVBand="0" w:oddHBand="0" w:evenHBand="0" w:firstRowFirstColumn="0" w:firstRowLastColumn="0" w:lastRowFirstColumn="0" w:lastRowLastColumn="0"/>
            </w:pPr>
            <w:r w:rsidRPr="00D610FA">
              <w:t>Likelihood</w:t>
            </w:r>
          </w:p>
        </w:tc>
        <w:tc>
          <w:tcPr>
            <w:tcW w:w="1276" w:type="dxa"/>
            <w:hideMark/>
          </w:tcPr>
          <w:p w14:paraId="44C837C8" w14:textId="77777777" w:rsidR="00D610FA" w:rsidRPr="00D610FA" w:rsidRDefault="00D610FA" w:rsidP="00E36434">
            <w:pPr>
              <w:spacing w:after="160" w:line="278" w:lineRule="auto"/>
              <w:jc w:val="both"/>
              <w:cnfStyle w:val="100000000000" w:firstRow="1" w:lastRow="0" w:firstColumn="0" w:lastColumn="0" w:oddVBand="0" w:evenVBand="0" w:oddHBand="0" w:evenHBand="0" w:firstRowFirstColumn="0" w:firstRowLastColumn="0" w:lastRowFirstColumn="0" w:lastRowLastColumn="0"/>
            </w:pPr>
            <w:r w:rsidRPr="00D610FA">
              <w:t>Impact</w:t>
            </w:r>
          </w:p>
        </w:tc>
        <w:tc>
          <w:tcPr>
            <w:tcW w:w="1276" w:type="dxa"/>
            <w:hideMark/>
          </w:tcPr>
          <w:p w14:paraId="5010CA7F" w14:textId="77777777" w:rsidR="00D610FA" w:rsidRPr="00D610FA" w:rsidRDefault="00D610FA" w:rsidP="00E36434">
            <w:pPr>
              <w:spacing w:after="160" w:line="278" w:lineRule="auto"/>
              <w:jc w:val="both"/>
              <w:cnfStyle w:val="100000000000" w:firstRow="1" w:lastRow="0" w:firstColumn="0" w:lastColumn="0" w:oddVBand="0" w:evenVBand="0" w:oddHBand="0" w:evenHBand="0" w:firstRowFirstColumn="0" w:firstRowLastColumn="0" w:lastRowFirstColumn="0" w:lastRowLastColumn="0"/>
            </w:pPr>
            <w:r w:rsidRPr="00D610FA">
              <w:t>Risk Level</w:t>
            </w:r>
          </w:p>
        </w:tc>
        <w:tc>
          <w:tcPr>
            <w:tcW w:w="2835" w:type="dxa"/>
            <w:hideMark/>
          </w:tcPr>
          <w:p w14:paraId="2F3557FC" w14:textId="77777777" w:rsidR="00D610FA" w:rsidRPr="00D610FA" w:rsidRDefault="00D610FA" w:rsidP="00E36434">
            <w:pPr>
              <w:spacing w:after="160" w:line="278" w:lineRule="auto"/>
              <w:jc w:val="both"/>
              <w:cnfStyle w:val="100000000000" w:firstRow="1" w:lastRow="0" w:firstColumn="0" w:lastColumn="0" w:oddVBand="0" w:evenVBand="0" w:oddHBand="0" w:evenHBand="0" w:firstRowFirstColumn="0" w:firstRowLastColumn="0" w:lastRowFirstColumn="0" w:lastRowLastColumn="0"/>
            </w:pPr>
            <w:r w:rsidRPr="00D610FA">
              <w:t>Mitigation</w:t>
            </w:r>
          </w:p>
        </w:tc>
      </w:tr>
      <w:tr w:rsidR="00D610FA" w:rsidRPr="00D610FA" w14:paraId="79A52140" w14:textId="77777777" w:rsidTr="001606D6">
        <w:tc>
          <w:tcPr>
            <w:cnfStyle w:val="001000000000" w:firstRow="0" w:lastRow="0" w:firstColumn="1" w:lastColumn="0" w:oddVBand="0" w:evenVBand="0" w:oddHBand="0" w:evenHBand="0" w:firstRowFirstColumn="0" w:firstRowLastColumn="0" w:lastRowFirstColumn="0" w:lastRowLastColumn="0"/>
            <w:tcW w:w="0" w:type="auto"/>
            <w:hideMark/>
          </w:tcPr>
          <w:p w14:paraId="56CCEEF8" w14:textId="77777777" w:rsidR="00D610FA" w:rsidRPr="00D610FA" w:rsidRDefault="00D610FA" w:rsidP="00E36434">
            <w:pPr>
              <w:spacing w:after="160" w:line="278" w:lineRule="auto"/>
              <w:jc w:val="both"/>
            </w:pPr>
            <w:r w:rsidRPr="00D610FA">
              <w:t>BYOD data leakage</w:t>
            </w:r>
          </w:p>
        </w:tc>
        <w:tc>
          <w:tcPr>
            <w:tcW w:w="1587" w:type="dxa"/>
            <w:hideMark/>
          </w:tcPr>
          <w:p w14:paraId="0EF885A0" w14:textId="77777777" w:rsidR="00D610FA" w:rsidRPr="00D610FA" w:rsidRDefault="00D610FA" w:rsidP="00E36434">
            <w:pPr>
              <w:spacing w:after="160" w:line="278" w:lineRule="auto"/>
              <w:jc w:val="both"/>
              <w:cnfStyle w:val="000000000000" w:firstRow="0" w:lastRow="0" w:firstColumn="0" w:lastColumn="0" w:oddVBand="0" w:evenVBand="0" w:oddHBand="0" w:evenHBand="0" w:firstRowFirstColumn="0" w:firstRowLastColumn="0" w:lastRowFirstColumn="0" w:lastRowLastColumn="0"/>
            </w:pPr>
            <w:r w:rsidRPr="00D610FA">
              <w:t>High</w:t>
            </w:r>
          </w:p>
        </w:tc>
        <w:tc>
          <w:tcPr>
            <w:tcW w:w="1276" w:type="dxa"/>
            <w:hideMark/>
          </w:tcPr>
          <w:p w14:paraId="6F2B0352" w14:textId="77777777" w:rsidR="00D610FA" w:rsidRPr="00D610FA" w:rsidRDefault="00D610FA" w:rsidP="00E36434">
            <w:pPr>
              <w:spacing w:after="160" w:line="278" w:lineRule="auto"/>
              <w:jc w:val="both"/>
              <w:cnfStyle w:val="000000000000" w:firstRow="0" w:lastRow="0" w:firstColumn="0" w:lastColumn="0" w:oddVBand="0" w:evenVBand="0" w:oddHBand="0" w:evenHBand="0" w:firstRowFirstColumn="0" w:firstRowLastColumn="0" w:lastRowFirstColumn="0" w:lastRowLastColumn="0"/>
            </w:pPr>
            <w:r w:rsidRPr="00D610FA">
              <w:t>High</w:t>
            </w:r>
          </w:p>
        </w:tc>
        <w:tc>
          <w:tcPr>
            <w:tcW w:w="1276" w:type="dxa"/>
            <w:hideMark/>
          </w:tcPr>
          <w:p w14:paraId="602B4378" w14:textId="77777777" w:rsidR="00D610FA" w:rsidRPr="00D610FA" w:rsidRDefault="00D610FA" w:rsidP="00E36434">
            <w:pPr>
              <w:spacing w:after="160" w:line="278" w:lineRule="auto"/>
              <w:jc w:val="both"/>
              <w:cnfStyle w:val="000000000000" w:firstRow="0" w:lastRow="0" w:firstColumn="0" w:lastColumn="0" w:oddVBand="0" w:evenVBand="0" w:oddHBand="0" w:evenHBand="0" w:firstRowFirstColumn="0" w:firstRowLastColumn="0" w:lastRowFirstColumn="0" w:lastRowLastColumn="0"/>
            </w:pPr>
            <w:r w:rsidRPr="00D610FA">
              <w:t>Critical</w:t>
            </w:r>
          </w:p>
        </w:tc>
        <w:tc>
          <w:tcPr>
            <w:tcW w:w="2835" w:type="dxa"/>
            <w:hideMark/>
          </w:tcPr>
          <w:p w14:paraId="76C834F9" w14:textId="77777777" w:rsidR="00D610FA" w:rsidRPr="00D610FA" w:rsidRDefault="00D610FA" w:rsidP="00E36434">
            <w:pPr>
              <w:spacing w:after="160" w:line="278" w:lineRule="auto"/>
              <w:jc w:val="both"/>
              <w:cnfStyle w:val="000000000000" w:firstRow="0" w:lastRow="0" w:firstColumn="0" w:lastColumn="0" w:oddVBand="0" w:evenVBand="0" w:oddHBand="0" w:evenHBand="0" w:firstRowFirstColumn="0" w:firstRowLastColumn="0" w:lastRowFirstColumn="0" w:lastRowLastColumn="0"/>
            </w:pPr>
            <w:r w:rsidRPr="00D610FA">
              <w:t>Device encryption, MDM</w:t>
            </w:r>
          </w:p>
        </w:tc>
      </w:tr>
      <w:tr w:rsidR="00D610FA" w:rsidRPr="00D610FA" w14:paraId="502DEC1D" w14:textId="77777777" w:rsidTr="001606D6">
        <w:tc>
          <w:tcPr>
            <w:cnfStyle w:val="001000000000" w:firstRow="0" w:lastRow="0" w:firstColumn="1" w:lastColumn="0" w:oddVBand="0" w:evenVBand="0" w:oddHBand="0" w:evenHBand="0" w:firstRowFirstColumn="0" w:firstRowLastColumn="0" w:lastRowFirstColumn="0" w:lastRowLastColumn="0"/>
            <w:tcW w:w="0" w:type="auto"/>
            <w:hideMark/>
          </w:tcPr>
          <w:p w14:paraId="4EF98A90" w14:textId="77777777" w:rsidR="00D610FA" w:rsidRPr="00D610FA" w:rsidRDefault="00D610FA" w:rsidP="00E36434">
            <w:pPr>
              <w:spacing w:after="160" w:line="278" w:lineRule="auto"/>
              <w:jc w:val="both"/>
            </w:pPr>
            <w:r w:rsidRPr="00D610FA">
              <w:t>Cloud misconfiguration</w:t>
            </w:r>
          </w:p>
        </w:tc>
        <w:tc>
          <w:tcPr>
            <w:tcW w:w="1587" w:type="dxa"/>
            <w:hideMark/>
          </w:tcPr>
          <w:p w14:paraId="564588F5" w14:textId="77777777" w:rsidR="00D610FA" w:rsidRPr="00D610FA" w:rsidRDefault="00D610FA" w:rsidP="00E36434">
            <w:pPr>
              <w:spacing w:after="160" w:line="278" w:lineRule="auto"/>
              <w:jc w:val="both"/>
              <w:cnfStyle w:val="000000000000" w:firstRow="0" w:lastRow="0" w:firstColumn="0" w:lastColumn="0" w:oddVBand="0" w:evenVBand="0" w:oddHBand="0" w:evenHBand="0" w:firstRowFirstColumn="0" w:firstRowLastColumn="0" w:lastRowFirstColumn="0" w:lastRowLastColumn="0"/>
            </w:pPr>
            <w:r w:rsidRPr="00D610FA">
              <w:t>Medium</w:t>
            </w:r>
          </w:p>
        </w:tc>
        <w:tc>
          <w:tcPr>
            <w:tcW w:w="1276" w:type="dxa"/>
            <w:hideMark/>
          </w:tcPr>
          <w:p w14:paraId="44A40641" w14:textId="77777777" w:rsidR="00D610FA" w:rsidRPr="00D610FA" w:rsidRDefault="00D610FA" w:rsidP="00E36434">
            <w:pPr>
              <w:spacing w:after="160" w:line="278" w:lineRule="auto"/>
              <w:jc w:val="both"/>
              <w:cnfStyle w:val="000000000000" w:firstRow="0" w:lastRow="0" w:firstColumn="0" w:lastColumn="0" w:oddVBand="0" w:evenVBand="0" w:oddHBand="0" w:evenHBand="0" w:firstRowFirstColumn="0" w:firstRowLastColumn="0" w:lastRowFirstColumn="0" w:lastRowLastColumn="0"/>
            </w:pPr>
            <w:r w:rsidRPr="00D610FA">
              <w:t>High</w:t>
            </w:r>
          </w:p>
        </w:tc>
        <w:tc>
          <w:tcPr>
            <w:tcW w:w="1276" w:type="dxa"/>
            <w:hideMark/>
          </w:tcPr>
          <w:p w14:paraId="6390D0FD" w14:textId="77777777" w:rsidR="00D610FA" w:rsidRPr="00D610FA" w:rsidRDefault="00D610FA" w:rsidP="00E36434">
            <w:pPr>
              <w:spacing w:after="160" w:line="278" w:lineRule="auto"/>
              <w:jc w:val="both"/>
              <w:cnfStyle w:val="000000000000" w:firstRow="0" w:lastRow="0" w:firstColumn="0" w:lastColumn="0" w:oddVBand="0" w:evenVBand="0" w:oddHBand="0" w:evenHBand="0" w:firstRowFirstColumn="0" w:firstRowLastColumn="0" w:lastRowFirstColumn="0" w:lastRowLastColumn="0"/>
            </w:pPr>
            <w:r w:rsidRPr="00D610FA">
              <w:t>High</w:t>
            </w:r>
          </w:p>
        </w:tc>
        <w:tc>
          <w:tcPr>
            <w:tcW w:w="2835" w:type="dxa"/>
            <w:hideMark/>
          </w:tcPr>
          <w:p w14:paraId="45AE70E5" w14:textId="77777777" w:rsidR="00D610FA" w:rsidRPr="00D610FA" w:rsidRDefault="00D610FA" w:rsidP="00E36434">
            <w:pPr>
              <w:spacing w:after="160" w:line="278" w:lineRule="auto"/>
              <w:jc w:val="both"/>
              <w:cnfStyle w:val="000000000000" w:firstRow="0" w:lastRow="0" w:firstColumn="0" w:lastColumn="0" w:oddVBand="0" w:evenVBand="0" w:oddHBand="0" w:evenHBand="0" w:firstRowFirstColumn="0" w:firstRowLastColumn="0" w:lastRowFirstColumn="0" w:lastRowLastColumn="0"/>
            </w:pPr>
            <w:r w:rsidRPr="00D610FA">
              <w:t>Regular audits</w:t>
            </w:r>
          </w:p>
        </w:tc>
      </w:tr>
      <w:tr w:rsidR="00D610FA" w:rsidRPr="00D610FA" w14:paraId="0BE70F3F" w14:textId="77777777" w:rsidTr="001606D6">
        <w:tc>
          <w:tcPr>
            <w:cnfStyle w:val="001000000000" w:firstRow="0" w:lastRow="0" w:firstColumn="1" w:lastColumn="0" w:oddVBand="0" w:evenVBand="0" w:oddHBand="0" w:evenHBand="0" w:firstRowFirstColumn="0" w:firstRowLastColumn="0" w:lastRowFirstColumn="0" w:lastRowLastColumn="0"/>
            <w:tcW w:w="0" w:type="auto"/>
            <w:hideMark/>
          </w:tcPr>
          <w:p w14:paraId="0CC7F618" w14:textId="77777777" w:rsidR="00D610FA" w:rsidRPr="00D610FA" w:rsidRDefault="00D610FA" w:rsidP="00E36434">
            <w:pPr>
              <w:spacing w:after="160" w:line="278" w:lineRule="auto"/>
              <w:jc w:val="both"/>
            </w:pPr>
            <w:r w:rsidRPr="00D610FA">
              <w:t>Insider threat</w:t>
            </w:r>
          </w:p>
        </w:tc>
        <w:tc>
          <w:tcPr>
            <w:tcW w:w="1587" w:type="dxa"/>
            <w:hideMark/>
          </w:tcPr>
          <w:p w14:paraId="6E38BD39" w14:textId="77777777" w:rsidR="00D610FA" w:rsidRPr="00D610FA" w:rsidRDefault="00D610FA" w:rsidP="00E36434">
            <w:pPr>
              <w:spacing w:after="160" w:line="278" w:lineRule="auto"/>
              <w:jc w:val="both"/>
              <w:cnfStyle w:val="000000000000" w:firstRow="0" w:lastRow="0" w:firstColumn="0" w:lastColumn="0" w:oddVBand="0" w:evenVBand="0" w:oddHBand="0" w:evenHBand="0" w:firstRowFirstColumn="0" w:firstRowLastColumn="0" w:lastRowFirstColumn="0" w:lastRowLastColumn="0"/>
            </w:pPr>
            <w:r w:rsidRPr="00D610FA">
              <w:t>Medium</w:t>
            </w:r>
          </w:p>
        </w:tc>
        <w:tc>
          <w:tcPr>
            <w:tcW w:w="1276" w:type="dxa"/>
            <w:hideMark/>
          </w:tcPr>
          <w:p w14:paraId="11C030FE" w14:textId="77777777" w:rsidR="00D610FA" w:rsidRPr="00D610FA" w:rsidRDefault="00D610FA" w:rsidP="00E36434">
            <w:pPr>
              <w:spacing w:after="160" w:line="278" w:lineRule="auto"/>
              <w:jc w:val="both"/>
              <w:cnfStyle w:val="000000000000" w:firstRow="0" w:lastRow="0" w:firstColumn="0" w:lastColumn="0" w:oddVBand="0" w:evenVBand="0" w:oddHBand="0" w:evenHBand="0" w:firstRowFirstColumn="0" w:firstRowLastColumn="0" w:lastRowFirstColumn="0" w:lastRowLastColumn="0"/>
            </w:pPr>
            <w:r w:rsidRPr="00D610FA">
              <w:t>High</w:t>
            </w:r>
          </w:p>
        </w:tc>
        <w:tc>
          <w:tcPr>
            <w:tcW w:w="1276" w:type="dxa"/>
            <w:hideMark/>
          </w:tcPr>
          <w:p w14:paraId="1524285D" w14:textId="77777777" w:rsidR="00D610FA" w:rsidRPr="00D610FA" w:rsidRDefault="00D610FA" w:rsidP="00E36434">
            <w:pPr>
              <w:spacing w:after="160" w:line="278" w:lineRule="auto"/>
              <w:jc w:val="both"/>
              <w:cnfStyle w:val="000000000000" w:firstRow="0" w:lastRow="0" w:firstColumn="0" w:lastColumn="0" w:oddVBand="0" w:evenVBand="0" w:oddHBand="0" w:evenHBand="0" w:firstRowFirstColumn="0" w:firstRowLastColumn="0" w:lastRowFirstColumn="0" w:lastRowLastColumn="0"/>
            </w:pPr>
            <w:r w:rsidRPr="00D610FA">
              <w:t>High</w:t>
            </w:r>
          </w:p>
        </w:tc>
        <w:tc>
          <w:tcPr>
            <w:tcW w:w="2835" w:type="dxa"/>
            <w:hideMark/>
          </w:tcPr>
          <w:p w14:paraId="272D3215" w14:textId="77777777" w:rsidR="00D610FA" w:rsidRPr="00D610FA" w:rsidRDefault="00D610FA" w:rsidP="00E36434">
            <w:pPr>
              <w:spacing w:after="160" w:line="278" w:lineRule="auto"/>
              <w:jc w:val="both"/>
              <w:cnfStyle w:val="000000000000" w:firstRow="0" w:lastRow="0" w:firstColumn="0" w:lastColumn="0" w:oddVBand="0" w:evenVBand="0" w:oddHBand="0" w:evenHBand="0" w:firstRowFirstColumn="0" w:firstRowLastColumn="0" w:lastRowFirstColumn="0" w:lastRowLastColumn="0"/>
            </w:pPr>
            <w:r w:rsidRPr="00D610FA">
              <w:t>Access controls</w:t>
            </w:r>
          </w:p>
        </w:tc>
      </w:tr>
      <w:tr w:rsidR="00D610FA" w:rsidRPr="00D610FA" w14:paraId="0C13BEDA" w14:textId="77777777" w:rsidTr="001606D6">
        <w:tc>
          <w:tcPr>
            <w:cnfStyle w:val="001000000000" w:firstRow="0" w:lastRow="0" w:firstColumn="1" w:lastColumn="0" w:oddVBand="0" w:evenVBand="0" w:oddHBand="0" w:evenHBand="0" w:firstRowFirstColumn="0" w:firstRowLastColumn="0" w:lastRowFirstColumn="0" w:lastRowLastColumn="0"/>
            <w:tcW w:w="0" w:type="auto"/>
            <w:hideMark/>
          </w:tcPr>
          <w:p w14:paraId="3A409F88" w14:textId="77777777" w:rsidR="00D610FA" w:rsidRPr="00D610FA" w:rsidRDefault="00D610FA" w:rsidP="00E36434">
            <w:pPr>
              <w:spacing w:after="160" w:line="278" w:lineRule="auto"/>
              <w:jc w:val="both"/>
            </w:pPr>
            <w:r w:rsidRPr="00D610FA">
              <w:lastRenderedPageBreak/>
              <w:t>Phishing attacks</w:t>
            </w:r>
          </w:p>
        </w:tc>
        <w:tc>
          <w:tcPr>
            <w:tcW w:w="1587" w:type="dxa"/>
            <w:hideMark/>
          </w:tcPr>
          <w:p w14:paraId="5C34EE5C" w14:textId="77777777" w:rsidR="00D610FA" w:rsidRPr="00D610FA" w:rsidRDefault="00D610FA" w:rsidP="00E36434">
            <w:pPr>
              <w:spacing w:after="160" w:line="278" w:lineRule="auto"/>
              <w:jc w:val="both"/>
              <w:cnfStyle w:val="000000000000" w:firstRow="0" w:lastRow="0" w:firstColumn="0" w:lastColumn="0" w:oddVBand="0" w:evenVBand="0" w:oddHBand="0" w:evenHBand="0" w:firstRowFirstColumn="0" w:firstRowLastColumn="0" w:lastRowFirstColumn="0" w:lastRowLastColumn="0"/>
            </w:pPr>
            <w:r w:rsidRPr="00D610FA">
              <w:t>High</w:t>
            </w:r>
          </w:p>
        </w:tc>
        <w:tc>
          <w:tcPr>
            <w:tcW w:w="1276" w:type="dxa"/>
            <w:hideMark/>
          </w:tcPr>
          <w:p w14:paraId="75A923F9" w14:textId="77777777" w:rsidR="00D610FA" w:rsidRPr="00D610FA" w:rsidRDefault="00D610FA" w:rsidP="00E36434">
            <w:pPr>
              <w:spacing w:after="160" w:line="278" w:lineRule="auto"/>
              <w:jc w:val="both"/>
              <w:cnfStyle w:val="000000000000" w:firstRow="0" w:lastRow="0" w:firstColumn="0" w:lastColumn="0" w:oddVBand="0" w:evenVBand="0" w:oddHBand="0" w:evenHBand="0" w:firstRowFirstColumn="0" w:firstRowLastColumn="0" w:lastRowFirstColumn="0" w:lastRowLastColumn="0"/>
            </w:pPr>
            <w:r w:rsidRPr="00D610FA">
              <w:t>Medium</w:t>
            </w:r>
          </w:p>
        </w:tc>
        <w:tc>
          <w:tcPr>
            <w:tcW w:w="1276" w:type="dxa"/>
            <w:hideMark/>
          </w:tcPr>
          <w:p w14:paraId="74D5FE84" w14:textId="77777777" w:rsidR="00D610FA" w:rsidRPr="00D610FA" w:rsidRDefault="00D610FA" w:rsidP="00E36434">
            <w:pPr>
              <w:spacing w:after="160" w:line="278" w:lineRule="auto"/>
              <w:jc w:val="both"/>
              <w:cnfStyle w:val="000000000000" w:firstRow="0" w:lastRow="0" w:firstColumn="0" w:lastColumn="0" w:oddVBand="0" w:evenVBand="0" w:oddHBand="0" w:evenHBand="0" w:firstRowFirstColumn="0" w:firstRowLastColumn="0" w:lastRowFirstColumn="0" w:lastRowLastColumn="0"/>
            </w:pPr>
            <w:r w:rsidRPr="00D610FA">
              <w:t>High</w:t>
            </w:r>
          </w:p>
        </w:tc>
        <w:tc>
          <w:tcPr>
            <w:tcW w:w="2835" w:type="dxa"/>
            <w:hideMark/>
          </w:tcPr>
          <w:p w14:paraId="5091FFEB" w14:textId="77777777" w:rsidR="00D610FA" w:rsidRPr="00D610FA" w:rsidRDefault="00D610FA" w:rsidP="00E36434">
            <w:pPr>
              <w:spacing w:after="160" w:line="278" w:lineRule="auto"/>
              <w:jc w:val="both"/>
              <w:cnfStyle w:val="000000000000" w:firstRow="0" w:lastRow="0" w:firstColumn="0" w:lastColumn="0" w:oddVBand="0" w:evenVBand="0" w:oddHBand="0" w:evenHBand="0" w:firstRowFirstColumn="0" w:firstRowLastColumn="0" w:lastRowFirstColumn="0" w:lastRowLastColumn="0"/>
            </w:pPr>
            <w:r w:rsidRPr="00D610FA">
              <w:t>User training</w:t>
            </w:r>
          </w:p>
        </w:tc>
      </w:tr>
    </w:tbl>
    <w:p w14:paraId="22F85C66" w14:textId="6E13A361" w:rsidR="00F2568C" w:rsidRPr="00F2568C" w:rsidRDefault="00F2568C" w:rsidP="00F2568C">
      <w:pPr>
        <w:jc w:val="center"/>
        <w:rPr>
          <w:i/>
          <w:iCs/>
        </w:rPr>
      </w:pPr>
      <w:r w:rsidRPr="00F2568C">
        <w:rPr>
          <w:i/>
          <w:iCs/>
        </w:rPr>
        <w:t>Table 1: Risk Management Strategy</w:t>
      </w:r>
    </w:p>
    <w:p w14:paraId="73BBC25D" w14:textId="4A2FB325" w:rsidR="00FF1AC7" w:rsidRPr="00186D84" w:rsidRDefault="00FF1AC7" w:rsidP="00E36434">
      <w:pPr>
        <w:jc w:val="both"/>
      </w:pPr>
      <w:r w:rsidRPr="00186D84">
        <w:t>The strategies of risk treatment can be risk avoidance, mitigation, transfer, and acceptance. There should be continual monitoring and regular re-assessment to deal with the changing threats [11].</w:t>
      </w:r>
    </w:p>
    <w:p w14:paraId="5C306D85" w14:textId="49A5ABC7" w:rsidR="00D610FA" w:rsidRPr="00E414E2" w:rsidRDefault="00D610FA" w:rsidP="00E414E2">
      <w:pPr>
        <w:pStyle w:val="Heading2"/>
        <w:rPr>
          <w:b/>
          <w:bCs/>
          <w:color w:val="auto"/>
        </w:rPr>
      </w:pPr>
      <w:r w:rsidRPr="00E414E2">
        <w:rPr>
          <w:b/>
          <w:bCs/>
          <w:color w:val="auto"/>
        </w:rPr>
        <w:t xml:space="preserve">3.3 Security Policies </w:t>
      </w:r>
    </w:p>
    <w:p w14:paraId="19391566" w14:textId="5A7EC117" w:rsidR="00FF1AC7" w:rsidRPr="00186D84" w:rsidRDefault="00FF1AC7" w:rsidP="00E36434">
      <w:pPr>
        <w:jc w:val="both"/>
      </w:pPr>
      <w:r w:rsidRPr="00186D84">
        <w:t xml:space="preserve">FSB should develop comprehensive security </w:t>
      </w:r>
      <w:r w:rsidR="00E36434" w:rsidRPr="00186D84">
        <w:t>practices</w:t>
      </w:r>
      <w:r w:rsidRPr="00186D84">
        <w:t xml:space="preserve"> to harmonise and enforce the compliance. Key policies include: </w:t>
      </w:r>
    </w:p>
    <w:p w14:paraId="558E5977" w14:textId="77777777" w:rsidR="00FF1AC7" w:rsidRPr="00186D84" w:rsidRDefault="00FF1AC7" w:rsidP="00E36434">
      <w:pPr>
        <w:pStyle w:val="ListParagraph"/>
        <w:numPr>
          <w:ilvl w:val="0"/>
          <w:numId w:val="10"/>
        </w:numPr>
        <w:jc w:val="both"/>
      </w:pPr>
      <w:r w:rsidRPr="00186D84">
        <w:t xml:space="preserve">The BYOD policy outlines permitted use, security measures (such device encryption and antivirus software), and remote erase capabilities. </w:t>
      </w:r>
    </w:p>
    <w:p w14:paraId="6AD31B93" w14:textId="77777777" w:rsidR="00FF1AC7" w:rsidRPr="00186D84" w:rsidRDefault="00FF1AC7" w:rsidP="00E36434">
      <w:pPr>
        <w:pStyle w:val="ListParagraph"/>
        <w:numPr>
          <w:ilvl w:val="0"/>
          <w:numId w:val="10"/>
        </w:numPr>
        <w:jc w:val="both"/>
      </w:pPr>
      <w:r w:rsidRPr="00186D84">
        <w:t>Role-based access control, or RBAC, is enforced by the access control policy.</w:t>
      </w:r>
    </w:p>
    <w:p w14:paraId="61A34948" w14:textId="30DB5EDD" w:rsidR="00FF1AC7" w:rsidRPr="00186D84" w:rsidRDefault="00FF1AC7" w:rsidP="00E36434">
      <w:pPr>
        <w:pStyle w:val="ListParagraph"/>
        <w:numPr>
          <w:ilvl w:val="0"/>
          <w:numId w:val="10"/>
        </w:numPr>
        <w:jc w:val="both"/>
      </w:pPr>
      <w:r w:rsidRPr="00186D84">
        <w:t xml:space="preserve">Data Protection Policy: This is to protect sensitive financial data encrypted at rest and in transit. </w:t>
      </w:r>
    </w:p>
    <w:p w14:paraId="1ED2AF6E" w14:textId="200B03F3" w:rsidR="00FF1AC7" w:rsidRPr="00186D84" w:rsidRDefault="00FF1AC7" w:rsidP="00E36434">
      <w:pPr>
        <w:jc w:val="both"/>
      </w:pPr>
      <w:r w:rsidRPr="00186D84">
        <w:t>The technical policies must be oriented toward the ISO 27002 controls and implemented by the technical mechanisms like identity and access management (IAM) systems. They should take regular employee training and awareness programmes to ensure compliance and minimise the risks related to humans [12].</w:t>
      </w:r>
    </w:p>
    <w:p w14:paraId="286282C8" w14:textId="2019F4D7" w:rsidR="00D610FA" w:rsidRPr="00E414E2" w:rsidRDefault="00D610FA" w:rsidP="00E414E2">
      <w:pPr>
        <w:pStyle w:val="Heading2"/>
        <w:rPr>
          <w:b/>
          <w:bCs/>
          <w:color w:val="auto"/>
        </w:rPr>
      </w:pPr>
      <w:r w:rsidRPr="00E414E2">
        <w:rPr>
          <w:b/>
          <w:bCs/>
          <w:color w:val="auto"/>
        </w:rPr>
        <w:t xml:space="preserve">3.4 Security Management Model </w:t>
      </w:r>
    </w:p>
    <w:p w14:paraId="65532568" w14:textId="77777777" w:rsidR="00FF1AC7" w:rsidRPr="00186D84" w:rsidRDefault="00FF1AC7" w:rsidP="00E36434">
      <w:pPr>
        <w:jc w:val="both"/>
      </w:pPr>
      <w:r w:rsidRPr="00186D84">
        <w:t>FSB needs to establish an integrated security management model that is an amalgamation on ISO 27001 (governing and controlling) and ITIL (managed services). This model is a hybrid that guarantees strategy and operational efficacy.</w:t>
      </w:r>
    </w:p>
    <w:p w14:paraId="4099C7EA" w14:textId="603B7DBA" w:rsidR="00D610FA" w:rsidRDefault="00716456" w:rsidP="00F2568C">
      <w:pPr>
        <w:spacing w:after="0"/>
        <w:jc w:val="both"/>
        <w:rPr>
          <w:highlight w:val="yellow"/>
        </w:rPr>
      </w:pPr>
      <w:r w:rsidRPr="00E36434">
        <w:rPr>
          <w:noProof/>
        </w:rPr>
        <w:drawing>
          <wp:inline distT="0" distB="0" distL="0" distR="0" wp14:anchorId="3B12F86E" wp14:editId="068F83E1">
            <wp:extent cx="5943600" cy="1636395"/>
            <wp:effectExtent l="76200" t="76200" r="133350" b="135255"/>
            <wp:docPr id="204130568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16363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B86FD4" w14:textId="077C3E13" w:rsidR="00F2568C" w:rsidRPr="00F2568C" w:rsidRDefault="00F2568C" w:rsidP="00F2568C">
      <w:pPr>
        <w:jc w:val="center"/>
        <w:rPr>
          <w:i/>
          <w:iCs/>
        </w:rPr>
      </w:pPr>
      <w:r w:rsidRPr="00F2568C">
        <w:rPr>
          <w:i/>
          <w:iCs/>
        </w:rPr>
        <w:t>Figure 2: Security Model</w:t>
      </w:r>
    </w:p>
    <w:p w14:paraId="353A33AE" w14:textId="77777777" w:rsidR="00D610FA" w:rsidRPr="00186D84" w:rsidRDefault="00D610FA" w:rsidP="00E36434">
      <w:pPr>
        <w:jc w:val="both"/>
      </w:pPr>
      <w:r w:rsidRPr="00186D84">
        <w:t>The model should include:</w:t>
      </w:r>
    </w:p>
    <w:p w14:paraId="559E7E85" w14:textId="77777777" w:rsidR="00FF1AC7" w:rsidRPr="00186D84" w:rsidRDefault="00FF1AC7" w:rsidP="00E36434">
      <w:pPr>
        <w:jc w:val="both"/>
      </w:pPr>
      <w:r w:rsidRPr="00186D84">
        <w:t xml:space="preserve">Governance level (policies, leadership control) Layers: risk management layer (assessment and mitigation). Operational layer (incident and service management through ITIL) It should track </w:t>
      </w:r>
      <w:r w:rsidRPr="00186D84">
        <w:lastRenderedPageBreak/>
        <w:t>compliance and find out anomalies in real time by means of continuous monitoring tools. This holistic system makes security become integrated in all the organisational processes.</w:t>
      </w:r>
    </w:p>
    <w:p w14:paraId="18D12C1B" w14:textId="3C689234" w:rsidR="00D610FA" w:rsidRPr="00E414E2" w:rsidRDefault="00D610FA" w:rsidP="00E414E2">
      <w:pPr>
        <w:pStyle w:val="Heading2"/>
        <w:rPr>
          <w:b/>
          <w:bCs/>
          <w:color w:val="auto"/>
        </w:rPr>
      </w:pPr>
      <w:r w:rsidRPr="00E414E2">
        <w:rPr>
          <w:b/>
          <w:bCs/>
          <w:color w:val="auto"/>
        </w:rPr>
        <w:t xml:space="preserve">3.5 Compliance and Legal Considerations </w:t>
      </w:r>
    </w:p>
    <w:p w14:paraId="5606314F" w14:textId="77777777" w:rsidR="00E222A3" w:rsidRDefault="00FF1AC7" w:rsidP="00E36434">
      <w:pPr>
        <w:jc w:val="both"/>
      </w:pPr>
      <w:r w:rsidRPr="00FF1AC7">
        <w:t xml:space="preserve">Maintaining compliance is essential to avoiding legal repercussions and keeping clients. The General Data Protection Regulation, which governs the processing and protection of personal data, is one of the </w:t>
      </w:r>
      <w:r w:rsidR="00E36434" w:rsidRPr="00FF1AC7">
        <w:t>legislations</w:t>
      </w:r>
      <w:r w:rsidRPr="00FF1AC7">
        <w:t xml:space="preserve"> that FSB must take into account.</w:t>
      </w:r>
    </w:p>
    <w:p w14:paraId="2E17E051" w14:textId="4AAFF861" w:rsidR="00FF1AC7" w:rsidRPr="00186D84" w:rsidRDefault="00FF1AC7" w:rsidP="00E36434">
      <w:pPr>
        <w:jc w:val="both"/>
      </w:pPr>
      <w:r w:rsidRPr="00FF1AC7">
        <w:t xml:space="preserve">The following are crucial compliance measures: </w:t>
      </w:r>
    </w:p>
    <w:p w14:paraId="12AAF9BF" w14:textId="77777777" w:rsidR="00FF1AC7" w:rsidRPr="00186D84" w:rsidRDefault="00FF1AC7" w:rsidP="00E36434">
      <w:pPr>
        <w:pStyle w:val="ListParagraph"/>
        <w:numPr>
          <w:ilvl w:val="0"/>
          <w:numId w:val="11"/>
        </w:numPr>
        <w:jc w:val="both"/>
      </w:pPr>
      <w:r w:rsidRPr="00186D84">
        <w:t>Regular checks and assessments.</w:t>
      </w:r>
    </w:p>
    <w:p w14:paraId="6608FFAB" w14:textId="77777777" w:rsidR="00FF1AC7" w:rsidRPr="00186D84" w:rsidRDefault="00FF1AC7" w:rsidP="00E36434">
      <w:pPr>
        <w:pStyle w:val="ListParagraph"/>
        <w:numPr>
          <w:ilvl w:val="0"/>
          <w:numId w:val="11"/>
        </w:numPr>
        <w:jc w:val="both"/>
      </w:pPr>
      <w:r w:rsidRPr="00186D84">
        <w:t xml:space="preserve">Maintaining documentation of data processing. </w:t>
      </w:r>
    </w:p>
    <w:p w14:paraId="75DCC40B" w14:textId="30829EE8" w:rsidR="00FF1AC7" w:rsidRPr="00186D84" w:rsidRDefault="00FF1AC7" w:rsidP="00E36434">
      <w:pPr>
        <w:pStyle w:val="ListParagraph"/>
        <w:numPr>
          <w:ilvl w:val="0"/>
          <w:numId w:val="11"/>
        </w:numPr>
        <w:jc w:val="both"/>
      </w:pPr>
      <w:r w:rsidRPr="00186D84">
        <w:t xml:space="preserve">Specific actions (such as the right to access and erasure as rights of data subjects). </w:t>
      </w:r>
    </w:p>
    <w:p w14:paraId="147C79BD" w14:textId="43718A8B" w:rsidR="00FF1AC7" w:rsidRPr="00186D84" w:rsidRDefault="00FF1AC7" w:rsidP="00E36434">
      <w:pPr>
        <w:jc w:val="both"/>
      </w:pPr>
      <w:r w:rsidRPr="00186D84">
        <w:t>The FSB should also establish a compliance monitoring division tasked with examining the policies in light of evolving legislation. Monitoring compliance and producing audit reports are two possible uses for the automated compliance tools [13].</w:t>
      </w:r>
    </w:p>
    <w:p w14:paraId="5CA89C78" w14:textId="58A514A1" w:rsidR="00D610FA" w:rsidRPr="00E414E2" w:rsidRDefault="00D610FA" w:rsidP="00E414E2">
      <w:pPr>
        <w:pStyle w:val="Heading2"/>
        <w:rPr>
          <w:b/>
          <w:bCs/>
          <w:color w:val="auto"/>
        </w:rPr>
      </w:pPr>
      <w:r w:rsidRPr="00E414E2">
        <w:rPr>
          <w:b/>
          <w:bCs/>
          <w:color w:val="auto"/>
        </w:rPr>
        <w:t xml:space="preserve">3.6 Protection Mechanisms </w:t>
      </w:r>
    </w:p>
    <w:p w14:paraId="00A2EA9B" w14:textId="77777777" w:rsidR="00FF1AC7" w:rsidRPr="00186D84" w:rsidRDefault="00FF1AC7" w:rsidP="00E36434">
      <w:pPr>
        <w:jc w:val="both"/>
      </w:pPr>
      <w:r w:rsidRPr="00186D84">
        <w:t>FSB must implement robust technical and physical security measures, such as the following, to safeguard its systems:</w:t>
      </w:r>
    </w:p>
    <w:p w14:paraId="050EFF73" w14:textId="77777777" w:rsidR="00FF1AC7" w:rsidRPr="00186D84" w:rsidRDefault="00FF1AC7" w:rsidP="00E36434">
      <w:pPr>
        <w:pStyle w:val="ListParagraph"/>
        <w:numPr>
          <w:ilvl w:val="0"/>
          <w:numId w:val="12"/>
        </w:numPr>
        <w:jc w:val="both"/>
      </w:pPr>
      <w:r w:rsidRPr="00186D84">
        <w:t>Encryption: Keep private financial information separate.</w:t>
      </w:r>
    </w:p>
    <w:p w14:paraId="2B6A88AA" w14:textId="77777777" w:rsidR="00FF1AC7" w:rsidRPr="00186D84" w:rsidRDefault="00FF1AC7" w:rsidP="00E36434">
      <w:pPr>
        <w:pStyle w:val="ListParagraph"/>
        <w:numPr>
          <w:ilvl w:val="0"/>
          <w:numId w:val="12"/>
        </w:numPr>
        <w:jc w:val="both"/>
      </w:pPr>
      <w:r w:rsidRPr="00186D84">
        <w:t>User authentication is known as multi-factor authentication, or MFA.</w:t>
      </w:r>
    </w:p>
    <w:p w14:paraId="3109B556" w14:textId="77777777" w:rsidR="00FF1AC7" w:rsidRPr="00186D84" w:rsidRDefault="00FF1AC7" w:rsidP="00E36434">
      <w:pPr>
        <w:pStyle w:val="ListParagraph"/>
        <w:numPr>
          <w:ilvl w:val="0"/>
          <w:numId w:val="12"/>
        </w:numPr>
        <w:jc w:val="both"/>
      </w:pPr>
      <w:r w:rsidRPr="00186D84">
        <w:t>Endpoint Security: Keep BYOD devices safe.</w:t>
      </w:r>
    </w:p>
    <w:p w14:paraId="5C7E7B0C" w14:textId="77777777" w:rsidR="00FF1AC7" w:rsidRPr="00186D84" w:rsidRDefault="00FF1AC7" w:rsidP="00E36434">
      <w:pPr>
        <w:pStyle w:val="ListParagraph"/>
        <w:numPr>
          <w:ilvl w:val="0"/>
          <w:numId w:val="12"/>
        </w:numPr>
        <w:jc w:val="both"/>
      </w:pPr>
      <w:r w:rsidRPr="00186D84">
        <w:t>Network traffic is monitored by firewalls and intrusion detection systems (IDS).</w:t>
      </w:r>
    </w:p>
    <w:p w14:paraId="1BA463E7" w14:textId="77777777" w:rsidR="00FF1AC7" w:rsidRPr="00186D84" w:rsidRDefault="00FF1AC7" w:rsidP="00E36434">
      <w:pPr>
        <w:jc w:val="both"/>
      </w:pPr>
      <w:r w:rsidRPr="00186D84">
        <w:t>It should also be viewed as a zero-trust architecture, where neither a device nor a user can be trusted. Additionally, because FSB operates in a dispersed, cloud-based environment, this is particularly important [14].</w:t>
      </w:r>
    </w:p>
    <w:p w14:paraId="28CDEB4A" w14:textId="614536D7" w:rsidR="00D610FA" w:rsidRPr="00E414E2" w:rsidRDefault="00D610FA" w:rsidP="00E414E2">
      <w:pPr>
        <w:pStyle w:val="Heading2"/>
        <w:rPr>
          <w:b/>
          <w:bCs/>
          <w:color w:val="auto"/>
        </w:rPr>
      </w:pPr>
      <w:r w:rsidRPr="00E414E2">
        <w:rPr>
          <w:b/>
          <w:bCs/>
          <w:color w:val="auto"/>
        </w:rPr>
        <w:t>3.7 Contingency Planning</w:t>
      </w:r>
    </w:p>
    <w:p w14:paraId="0A0B9995" w14:textId="77777777" w:rsidR="00FF1AC7" w:rsidRPr="00186D84" w:rsidRDefault="00FF1AC7" w:rsidP="00E36434">
      <w:pPr>
        <w:jc w:val="both"/>
      </w:pPr>
      <w:r w:rsidRPr="00186D84">
        <w:t>FSB ought to come up with an elaborate contingency plan, to guarantee continuity of business in the case of disruptions. This includes:</w:t>
      </w:r>
    </w:p>
    <w:p w14:paraId="7A0FA020" w14:textId="77777777" w:rsidR="00FF1AC7" w:rsidRPr="00186D84" w:rsidRDefault="00FF1AC7" w:rsidP="00E36434">
      <w:pPr>
        <w:pStyle w:val="ListParagraph"/>
        <w:numPr>
          <w:ilvl w:val="0"/>
          <w:numId w:val="13"/>
        </w:numPr>
        <w:jc w:val="both"/>
      </w:pPr>
      <w:r w:rsidRPr="00186D84">
        <w:t>Incident Response Plan (IRP): Establishes the rules of managing security breaches.</w:t>
      </w:r>
    </w:p>
    <w:p w14:paraId="447ED1E7" w14:textId="77777777" w:rsidR="00FF1AC7" w:rsidRPr="00186D84" w:rsidRDefault="00FF1AC7" w:rsidP="00E36434">
      <w:pPr>
        <w:pStyle w:val="ListParagraph"/>
        <w:numPr>
          <w:ilvl w:val="0"/>
          <w:numId w:val="13"/>
        </w:numPr>
        <w:jc w:val="both"/>
      </w:pPr>
      <w:r w:rsidRPr="00186D84">
        <w:t>Disaster Recovery Plan (DRP): Provides recovery of systems in the event of failures.</w:t>
      </w:r>
    </w:p>
    <w:p w14:paraId="50476282" w14:textId="77777777" w:rsidR="00FF1AC7" w:rsidRPr="00186D84" w:rsidRDefault="00FF1AC7" w:rsidP="00E36434">
      <w:pPr>
        <w:pStyle w:val="ListParagraph"/>
        <w:numPr>
          <w:ilvl w:val="0"/>
          <w:numId w:val="13"/>
        </w:numPr>
        <w:jc w:val="both"/>
      </w:pPr>
      <w:r w:rsidRPr="00186D84">
        <w:t>Business Continuity Plan (BCP): Holds the essential processes.</w:t>
      </w:r>
    </w:p>
    <w:p w14:paraId="5D9AFC07" w14:textId="77777777" w:rsidR="00FF1AC7" w:rsidRPr="00186D84" w:rsidRDefault="00FF1AC7" w:rsidP="00E36434">
      <w:pPr>
        <w:jc w:val="both"/>
      </w:pPr>
      <w:r w:rsidRPr="00186D84">
        <w:lastRenderedPageBreak/>
        <w:t>The effectiveness of these plans should be tested and there should be regular testing and simulation exercise. This guarantees that FSB can be quick responsive in mitigating financial and reputational losses in the incidences [15].</w:t>
      </w:r>
    </w:p>
    <w:p w14:paraId="633C4DDC" w14:textId="0907DA6E" w:rsidR="00D610FA" w:rsidRPr="00E414E2" w:rsidRDefault="00D610FA" w:rsidP="00E414E2">
      <w:pPr>
        <w:pStyle w:val="Heading2"/>
        <w:rPr>
          <w:b/>
          <w:bCs/>
          <w:color w:val="auto"/>
        </w:rPr>
      </w:pPr>
      <w:r w:rsidRPr="00E414E2">
        <w:rPr>
          <w:b/>
          <w:bCs/>
          <w:color w:val="auto"/>
        </w:rPr>
        <w:t xml:space="preserve">3.8 Service Level Agreements (SLAs) </w:t>
      </w:r>
    </w:p>
    <w:p w14:paraId="7564D70A" w14:textId="77777777" w:rsidR="00186D84" w:rsidRPr="00186D84" w:rsidRDefault="00186D84" w:rsidP="00E36434">
      <w:pPr>
        <w:jc w:val="both"/>
      </w:pPr>
      <w:r w:rsidRPr="00186D84">
        <w:t>Since FSB is a cloud service user, Service Level Agreements (SLAs) are necessary in outlining security expectations. SLAs should include:</w:t>
      </w:r>
    </w:p>
    <w:p w14:paraId="389AA447" w14:textId="77777777" w:rsidR="00186D84" w:rsidRPr="00186D84" w:rsidRDefault="00186D84" w:rsidP="00E36434">
      <w:pPr>
        <w:pStyle w:val="ListParagraph"/>
        <w:numPr>
          <w:ilvl w:val="0"/>
          <w:numId w:val="14"/>
        </w:numPr>
        <w:jc w:val="both"/>
      </w:pPr>
      <w:r w:rsidRPr="00186D84">
        <w:t>Information security duties.</w:t>
      </w:r>
    </w:p>
    <w:p w14:paraId="65DD1AFD" w14:textId="77777777" w:rsidR="00186D84" w:rsidRPr="00186D84" w:rsidRDefault="00186D84" w:rsidP="00E36434">
      <w:pPr>
        <w:pStyle w:val="ListParagraph"/>
        <w:numPr>
          <w:ilvl w:val="0"/>
          <w:numId w:val="14"/>
        </w:numPr>
        <w:jc w:val="both"/>
      </w:pPr>
      <w:r w:rsidRPr="00186D84">
        <w:t>Availability guarantees</w:t>
      </w:r>
    </w:p>
    <w:p w14:paraId="6E615537" w14:textId="77777777" w:rsidR="00186D84" w:rsidRPr="00186D84" w:rsidRDefault="00186D84" w:rsidP="00E36434">
      <w:pPr>
        <w:pStyle w:val="ListParagraph"/>
        <w:numPr>
          <w:ilvl w:val="0"/>
          <w:numId w:val="14"/>
        </w:numPr>
        <w:jc w:val="both"/>
      </w:pPr>
      <w:r w:rsidRPr="00186D84">
        <w:t>Compliance requirements</w:t>
      </w:r>
    </w:p>
    <w:p w14:paraId="4ED46BD3" w14:textId="270F221B" w:rsidR="00D610FA" w:rsidRDefault="00186D84" w:rsidP="00E36434">
      <w:pPr>
        <w:jc w:val="both"/>
        <w:rPr>
          <w:b/>
          <w:bCs/>
        </w:rPr>
      </w:pPr>
      <w:r w:rsidRPr="00186D84">
        <w:t>Clearly defined SLAs make them responsible and less risky regarding the use of third-party services. They also assist FSB in imposing the</w:t>
      </w:r>
      <w:r>
        <w:t xml:space="preserve"> standards of security to its external partners [16].</w:t>
      </w:r>
      <w:r w:rsidR="00D610FA">
        <w:rPr>
          <w:b/>
          <w:bCs/>
        </w:rPr>
        <w:br w:type="page"/>
      </w:r>
    </w:p>
    <w:p w14:paraId="0A101C30" w14:textId="5F02315E" w:rsidR="00D610FA" w:rsidRPr="00E414E2" w:rsidRDefault="00D610FA" w:rsidP="00E414E2">
      <w:pPr>
        <w:pStyle w:val="Heading1"/>
        <w:jc w:val="center"/>
        <w:rPr>
          <w:b/>
          <w:bCs/>
          <w:color w:val="auto"/>
        </w:rPr>
      </w:pPr>
      <w:r w:rsidRPr="00E414E2">
        <w:rPr>
          <w:b/>
          <w:bCs/>
          <w:color w:val="auto"/>
        </w:rPr>
        <w:lastRenderedPageBreak/>
        <w:t>4. Critical Discussion: Importance of Evolving Regulations and Standards</w:t>
      </w:r>
    </w:p>
    <w:p w14:paraId="094F6323" w14:textId="79FEDC9A" w:rsidR="00804DCD" w:rsidRDefault="00804DCD" w:rsidP="00804DCD">
      <w:pPr>
        <w:jc w:val="both"/>
      </w:pPr>
      <w:r>
        <w:t xml:space="preserve">Given the rapidly evolving nature of the digital landscape, it is imperative that organizations such as FinSure Bank (FSB) keep their security protocols up to date. Operating in a cloud computing environment, mobile banking, and global connectivity expose FSB to changing risks that are not addressed by out-of-date regulations [17]. Modern threats such as ransomware, phishing, and </w:t>
      </w:r>
      <w:r w:rsidRPr="00804DCD">
        <w:t>advanced persistent threats—require</w:t>
      </w:r>
      <w:r>
        <w:t xml:space="preserve"> need regular regulatory changes due to their impact on BYOD and cloud technologies that are critical for </w:t>
      </w:r>
      <w:r w:rsidRPr="00804DCD">
        <w:t>FSB’s</w:t>
      </w:r>
      <w:r w:rsidR="00E64AB2">
        <w:t xml:space="preserve"> </w:t>
      </w:r>
      <w:r>
        <w:t>business [18].</w:t>
      </w:r>
    </w:p>
    <w:p w14:paraId="459AEF1C" w14:textId="0E915F3A" w:rsidR="00804DCD" w:rsidRDefault="00804DCD" w:rsidP="00804DCD">
      <w:pPr>
        <w:jc w:val="both"/>
      </w:pPr>
      <w:r>
        <w:t xml:space="preserve">In particular technological innovations like artificial intelligence (AI), big data technologies as well as </w:t>
      </w:r>
      <w:r w:rsidR="00E64AB2">
        <w:t>decentralized</w:t>
      </w:r>
      <w:r>
        <w:t xml:space="preserve"> clouds may additionally demand new safety regulations along with management strategies up-to-date to current threats existing today. Standards like ISO/IEC 27000 series are helping organizations to keep their security policies in line with technology changes. Similarly, regulations such as GDPR have stringent rules on data privacy, breach notifications, and user consent; updates close loopholes and increase accountability [4].</w:t>
      </w:r>
    </w:p>
    <w:p w14:paraId="63D3E441" w14:textId="693651C2" w:rsidR="00804DCD" w:rsidRDefault="00804DCD" w:rsidP="00804DCD">
      <w:pPr>
        <w:jc w:val="both"/>
      </w:pPr>
      <w:r>
        <w:t>The new rules will improve organizational credibility as well corporate image enabling to gain an edge over others when it comes to offering online bank services for customers. However, challenges include high implementation costs, resource demands, and complexity across multiple jurisdictions, which can strain organizations with less mature governance structures [19].</w:t>
      </w:r>
    </w:p>
    <w:p w14:paraId="3B6B8519" w14:textId="52E87EB5" w:rsidR="00224630" w:rsidRDefault="00804DCD" w:rsidP="00804DCD">
      <w:pPr>
        <w:jc w:val="both"/>
        <w:rPr>
          <w:b/>
          <w:bCs/>
        </w:rPr>
      </w:pPr>
      <w:r>
        <w:t>Nevertheless, advantages surpass disadvantages here. Regulatory updates guarantee flexibility to new challenges; ensure legality adherence as well protect confidential information integrity. Adapting promptly to new regulations falls not only as an obligation but also fundamentally represents best practices that promote sustainable growth of organizations like FSB.</w:t>
      </w:r>
      <w:r w:rsidR="00224630">
        <w:rPr>
          <w:b/>
          <w:bCs/>
        </w:rPr>
        <w:br w:type="page"/>
      </w:r>
    </w:p>
    <w:p w14:paraId="43C59732" w14:textId="5CACA06D" w:rsidR="00D610FA" w:rsidRPr="00E414E2" w:rsidRDefault="00D610FA" w:rsidP="00E414E2">
      <w:pPr>
        <w:pStyle w:val="Heading1"/>
        <w:jc w:val="center"/>
        <w:rPr>
          <w:b/>
          <w:bCs/>
        </w:rPr>
      </w:pPr>
      <w:r w:rsidRPr="00E414E2">
        <w:rPr>
          <w:b/>
          <w:bCs/>
          <w:color w:val="auto"/>
        </w:rPr>
        <w:lastRenderedPageBreak/>
        <w:t>5</w:t>
      </w:r>
      <w:r w:rsidRPr="00E414E2">
        <w:rPr>
          <w:b/>
          <w:bCs/>
        </w:rPr>
        <w:t xml:space="preserve">. </w:t>
      </w:r>
      <w:r w:rsidRPr="00E414E2">
        <w:rPr>
          <w:b/>
          <w:bCs/>
          <w:color w:val="auto"/>
        </w:rPr>
        <w:t>Conclusion</w:t>
      </w:r>
    </w:p>
    <w:p w14:paraId="68FFC7B0" w14:textId="3E63EA58" w:rsidR="00043DB1" w:rsidRDefault="00224630" w:rsidP="00E36434">
      <w:pPr>
        <w:jc w:val="both"/>
      </w:pPr>
      <w:r w:rsidRPr="00224630">
        <w:t>The report has discussed the relevance of Governance, Risk, and Compliance (GRC) in mitigating the cybersecurity threats of the FinSure Bank (FSB). As can be seen in the discussion of such frameworks as the Information Technology Infrastructure Library and the ISO/IEC 27000 family, the two frameworks have complementary roles to play in improving the security of organisations. Whereas ITIL is concerned with the management of services and operational efficiency, ISO 27001 is a discipline that offers a systematic Information security risk management and compliance. A detailed system of GRC was suggested that included governance framework, risk management measures, security policies, compliance and technical measures. This combined strategy will solve the major problems facing FSB such as security risks in the cloud, BYOD vulnerabilities, and no formal governance procedures. A model like this will enable FSB to enhance its security position, upgrade compliance with its regulations, and secure highly sensitive financial information. The discussion also brought out the need to constantly modify regulations and standards according to the new cyber threats and new technological developments. Though compliance may be hectic to keep up, it plays a crucial role in the determination of resilience in an organisation, safeguarding customer confidence and ensuring success in the long term. To sum up, the modern financial institutions are to adopt a structured and flexible GRC approach to succeed. In the case of FinSure Bank, focused and systematic incorporation of current regulatory changes with the old frameworks in place will give the formidable grounds upon which digital operations will be safe and sustainable.</w:t>
      </w:r>
      <w:r w:rsidR="00043DB1">
        <w:br w:type="page"/>
      </w:r>
    </w:p>
    <w:p w14:paraId="00CA1848" w14:textId="1E03594D" w:rsidR="00D610FA" w:rsidRPr="00E414E2" w:rsidRDefault="00D610FA" w:rsidP="00E414E2">
      <w:pPr>
        <w:pStyle w:val="Heading1"/>
        <w:jc w:val="center"/>
        <w:rPr>
          <w:b/>
          <w:bCs/>
          <w:color w:val="auto"/>
        </w:rPr>
      </w:pPr>
      <w:r w:rsidRPr="00E414E2">
        <w:rPr>
          <w:b/>
          <w:bCs/>
          <w:color w:val="auto"/>
        </w:rPr>
        <w:lastRenderedPageBreak/>
        <w:t>References</w:t>
      </w:r>
    </w:p>
    <w:p w14:paraId="67F4A68F" w14:textId="77777777" w:rsidR="00FF1AC7" w:rsidRDefault="00D610FA" w:rsidP="00E36434">
      <w:pPr>
        <w:jc w:val="both"/>
      </w:pPr>
      <w:r w:rsidRPr="00D610FA">
        <w:t xml:space="preserve">[1] S. Behl and K. Behl, </w:t>
      </w:r>
      <w:r w:rsidRPr="00D610FA">
        <w:rPr>
          <w:i/>
          <w:iCs/>
        </w:rPr>
        <w:t>Cybersecurity and Cyberwar: What Everyone Needs to Know</w:t>
      </w:r>
      <w:r w:rsidRPr="00D610FA">
        <w:t>, Oxford University Press, 2017.</w:t>
      </w:r>
    </w:p>
    <w:p w14:paraId="3EB0AF78" w14:textId="2FA6B4E3" w:rsidR="00FF1AC7" w:rsidRDefault="00D610FA" w:rsidP="00E36434">
      <w:pPr>
        <w:jc w:val="both"/>
      </w:pPr>
      <w:r w:rsidRPr="00D610FA">
        <w:t xml:space="preserve">[2] A. </w:t>
      </w:r>
      <w:proofErr w:type="spellStart"/>
      <w:r w:rsidRPr="00D610FA">
        <w:t>Silic</w:t>
      </w:r>
      <w:proofErr w:type="spellEnd"/>
      <w:r w:rsidRPr="00D610FA">
        <w:t xml:space="preserve"> and A. Back, “Impact of organizational (non-)compliance with information security policy on the occurrence of information security incidents,” </w:t>
      </w:r>
      <w:r w:rsidRPr="00D610FA">
        <w:rPr>
          <w:i/>
          <w:iCs/>
        </w:rPr>
        <w:t>Computers &amp; Security</w:t>
      </w:r>
      <w:r w:rsidRPr="00D610FA">
        <w:t>, vol. 45, pp. 65–76, 2014.</w:t>
      </w:r>
    </w:p>
    <w:p w14:paraId="75189AEB" w14:textId="1B4870FA" w:rsidR="00FF1AC7" w:rsidRDefault="00D610FA" w:rsidP="00E36434">
      <w:pPr>
        <w:jc w:val="both"/>
      </w:pPr>
      <w:r w:rsidRPr="00D610FA">
        <w:t xml:space="preserve">[3] A. Calder and S. Watkins, </w:t>
      </w:r>
      <w:r w:rsidRPr="00D610FA">
        <w:rPr>
          <w:i/>
          <w:iCs/>
        </w:rPr>
        <w:t>IT Governance: An International Guide to Data Security and ISO27001/ISO27002</w:t>
      </w:r>
      <w:r w:rsidRPr="00D610FA">
        <w:t>, Kogan Page, 2015.</w:t>
      </w:r>
    </w:p>
    <w:p w14:paraId="641232EF" w14:textId="4BFC1F15" w:rsidR="00D610FA" w:rsidRPr="00D610FA" w:rsidRDefault="00D610FA" w:rsidP="00E36434">
      <w:pPr>
        <w:jc w:val="both"/>
      </w:pPr>
      <w:r w:rsidRPr="00D610FA">
        <w:t xml:space="preserve">[4] P. Voigt and A. Von dem </w:t>
      </w:r>
      <w:proofErr w:type="spellStart"/>
      <w:r w:rsidRPr="00D610FA">
        <w:t>Bussche</w:t>
      </w:r>
      <w:proofErr w:type="spellEnd"/>
      <w:r w:rsidRPr="00D610FA">
        <w:t xml:space="preserve">, </w:t>
      </w:r>
      <w:r w:rsidRPr="00D610FA">
        <w:rPr>
          <w:i/>
          <w:iCs/>
        </w:rPr>
        <w:t>The EU General Data Protection Regulation (GDPR): A Practical Guide</w:t>
      </w:r>
      <w:r w:rsidRPr="00D610FA">
        <w:t>, Springer, 2017.</w:t>
      </w:r>
    </w:p>
    <w:p w14:paraId="6FBC0474" w14:textId="1CC34E9A" w:rsidR="00043DB1" w:rsidRDefault="00D610FA" w:rsidP="00E36434">
      <w:pPr>
        <w:jc w:val="both"/>
      </w:pPr>
      <w:r w:rsidRPr="00D610FA">
        <w:t xml:space="preserve">[5] J. Iden and T. R. </w:t>
      </w:r>
      <w:proofErr w:type="spellStart"/>
      <w:r w:rsidRPr="00D610FA">
        <w:t>Eikebrokk</w:t>
      </w:r>
      <w:proofErr w:type="spellEnd"/>
      <w:r w:rsidRPr="00D610FA">
        <w:t xml:space="preserve">, “Implementing IT Service Management: A systematic literature review,” </w:t>
      </w:r>
      <w:r w:rsidRPr="00D610FA">
        <w:rPr>
          <w:i/>
          <w:iCs/>
        </w:rPr>
        <w:t>International Journal of Information Management</w:t>
      </w:r>
      <w:r w:rsidRPr="00D610FA">
        <w:t>, vol. 33, no. 3, pp. 512–523, 2013.</w:t>
      </w:r>
      <w:r w:rsidRPr="00D610FA">
        <w:br/>
        <w:t xml:space="preserve">[6] AXELOS, </w:t>
      </w:r>
      <w:r w:rsidRPr="00D610FA">
        <w:rPr>
          <w:i/>
          <w:iCs/>
        </w:rPr>
        <w:t>ITIL Foundation ITIL 4 Edition</w:t>
      </w:r>
      <w:r w:rsidRPr="00D610FA">
        <w:t>, The Stationery Office, 2019.</w:t>
      </w:r>
      <w:r w:rsidRPr="00D610FA">
        <w:br/>
        <w:t xml:space="preserve">[7] M. Marrone and M. Kolbe, “Impact of IT Service Management frameworks on the IT organization,” </w:t>
      </w:r>
      <w:r w:rsidRPr="00D610FA">
        <w:rPr>
          <w:i/>
          <w:iCs/>
        </w:rPr>
        <w:t>Business &amp; Information Systems Engineering</w:t>
      </w:r>
      <w:r w:rsidRPr="00D610FA">
        <w:t>, vol. 3, no. 1, pp. 5–18, 2011.</w:t>
      </w:r>
      <w:r w:rsidRPr="00D610FA">
        <w:br/>
        <w:t xml:space="preserve">[8] E. Humphreys, “Information security management standards: Compliance, governance and risk management,” </w:t>
      </w:r>
      <w:r w:rsidRPr="00D610FA">
        <w:rPr>
          <w:i/>
          <w:iCs/>
        </w:rPr>
        <w:t>Information Security Technical Report</w:t>
      </w:r>
      <w:r w:rsidRPr="00D610FA">
        <w:t>, vol. 13, no. 4, pp. 247–255, 2008.</w:t>
      </w:r>
      <w:r w:rsidRPr="00D610FA">
        <w:br/>
        <w:t xml:space="preserve">[9] D. Brewer and M. Nash, “The value of ISO/IEC 27001 certification,” </w:t>
      </w:r>
      <w:r w:rsidRPr="00D610FA">
        <w:rPr>
          <w:i/>
          <w:iCs/>
        </w:rPr>
        <w:t>Computer Fraud &amp; Security</w:t>
      </w:r>
      <w:r w:rsidRPr="00D610FA">
        <w:t>, vol. 2005, no. 10, pp. 10–12, 2005.</w:t>
      </w:r>
    </w:p>
    <w:p w14:paraId="2C79627B" w14:textId="77777777" w:rsidR="00D610FA" w:rsidRPr="00D610FA" w:rsidRDefault="00D610FA" w:rsidP="00E36434">
      <w:pPr>
        <w:jc w:val="both"/>
      </w:pPr>
      <w:r w:rsidRPr="00D610FA">
        <w:t>[10] R. Von Solms and J. Van Niekerk, “From information security to cyber security,” Computers &amp; Security, vol. 38, pp. 97–102, 2013.</w:t>
      </w:r>
    </w:p>
    <w:p w14:paraId="47C3CD3E" w14:textId="77777777" w:rsidR="00D610FA" w:rsidRPr="00D610FA" w:rsidRDefault="00D610FA" w:rsidP="00E36434">
      <w:pPr>
        <w:jc w:val="both"/>
      </w:pPr>
      <w:r w:rsidRPr="00D610FA">
        <w:t>[11] ISO/IEC, ISO/IEC 27005: Information Security Risk Management, 2018.</w:t>
      </w:r>
    </w:p>
    <w:p w14:paraId="3DA5A515" w14:textId="00C5441C" w:rsidR="00D610FA" w:rsidRPr="00D610FA" w:rsidRDefault="00D610FA" w:rsidP="00E36434">
      <w:pPr>
        <w:jc w:val="both"/>
      </w:pPr>
      <w:r w:rsidRPr="00D610FA">
        <w:t xml:space="preserve">[12] N. G. Leveson, </w:t>
      </w:r>
      <w:r w:rsidR="00D57C2D" w:rsidRPr="00D610FA">
        <w:t>engineering</w:t>
      </w:r>
      <w:r w:rsidRPr="00D610FA">
        <w:t xml:space="preserve"> a Safer World: Systems Thinking Applied to Safety, MIT Press, 2011.</w:t>
      </w:r>
    </w:p>
    <w:p w14:paraId="16BADD24" w14:textId="77777777" w:rsidR="00D610FA" w:rsidRPr="00D610FA" w:rsidRDefault="00D610FA" w:rsidP="00E36434">
      <w:pPr>
        <w:jc w:val="both"/>
      </w:pPr>
      <w:r w:rsidRPr="00D610FA">
        <w:t>[13] S. De Haes and W. Van Grembergen, “IT governance and its mechanisms,” Information Systems Control Journal, vol. 1, pp. 27–33, 2004.</w:t>
      </w:r>
    </w:p>
    <w:p w14:paraId="19C25EA2" w14:textId="77777777" w:rsidR="00D610FA" w:rsidRPr="00D610FA" w:rsidRDefault="00D610FA" w:rsidP="00E36434">
      <w:pPr>
        <w:jc w:val="both"/>
      </w:pPr>
      <w:r w:rsidRPr="00D610FA">
        <w:t xml:space="preserve">[14] J. </w:t>
      </w:r>
      <w:proofErr w:type="spellStart"/>
      <w:r w:rsidRPr="00D610FA">
        <w:t>Kindervag</w:t>
      </w:r>
      <w:proofErr w:type="spellEnd"/>
      <w:r w:rsidRPr="00D610FA">
        <w:t>, “Build security into your network’s DNA: The Zero Trust Network Architecture,” Forrester Research, 2010.</w:t>
      </w:r>
    </w:p>
    <w:p w14:paraId="50B53B4D" w14:textId="77777777" w:rsidR="00D610FA" w:rsidRPr="00D610FA" w:rsidRDefault="00D610FA" w:rsidP="00E36434">
      <w:pPr>
        <w:jc w:val="both"/>
      </w:pPr>
      <w:r w:rsidRPr="00D610FA">
        <w:t>[15] E. Alhazmi and Y. Malaiya, “Modeling the impact of cybersecurity risks on organizations,” Journal of Cybersecurity, vol. 5, no. 1, 2019.</w:t>
      </w:r>
    </w:p>
    <w:p w14:paraId="421AE352" w14:textId="53B0D9A1" w:rsidR="00D610FA" w:rsidRDefault="00D610FA" w:rsidP="00E36434">
      <w:pPr>
        <w:jc w:val="both"/>
      </w:pPr>
      <w:r w:rsidRPr="00D610FA">
        <w:t>[16] A. Behl and K. Behl, Cybersecurity and Cyberwar, Oxford University Press, 2017.</w:t>
      </w:r>
    </w:p>
    <w:p w14:paraId="3D097DF5" w14:textId="77777777" w:rsidR="00D610FA" w:rsidRPr="00D610FA" w:rsidRDefault="00D610FA" w:rsidP="00E36434">
      <w:pPr>
        <w:jc w:val="both"/>
      </w:pPr>
      <w:r w:rsidRPr="00D610FA">
        <w:lastRenderedPageBreak/>
        <w:t>[17] R. Anderson, Security Engineering: A Guide to Building Dependable Distributed Systems, 2nd ed., Wiley, 2008.</w:t>
      </w:r>
    </w:p>
    <w:p w14:paraId="30320289" w14:textId="77777777" w:rsidR="00D610FA" w:rsidRPr="00D610FA" w:rsidRDefault="00D610FA" w:rsidP="00E36434">
      <w:pPr>
        <w:jc w:val="both"/>
      </w:pPr>
      <w:r w:rsidRPr="00D610FA">
        <w:t>[18] M. Bishop, Computer Security: Art and Science, Addison-Wesley, 2018.</w:t>
      </w:r>
    </w:p>
    <w:p w14:paraId="22EA143C" w14:textId="0998219B" w:rsidR="00D610FA" w:rsidRDefault="00D610FA" w:rsidP="00E36434">
      <w:pPr>
        <w:jc w:val="both"/>
      </w:pPr>
      <w:r w:rsidRPr="00D610FA">
        <w:t xml:space="preserve">[19] J. </w:t>
      </w:r>
      <w:proofErr w:type="spellStart"/>
      <w:r w:rsidRPr="00D610FA">
        <w:t>Kshetri</w:t>
      </w:r>
      <w:proofErr w:type="spellEnd"/>
      <w:r w:rsidRPr="00D610FA">
        <w:t>, “Cybersecurity and cybercrime: What everyone needs to know,” Business Horizons, vol. 63, no. 2, pp. 161–170, 2020.</w:t>
      </w:r>
    </w:p>
    <w:sectPr w:rsidR="00D610FA" w:rsidSect="00E36434">
      <w:footerReference w:type="default" r:id="rId11"/>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FA375C" w14:textId="77777777" w:rsidR="008B66B7" w:rsidRDefault="008B66B7" w:rsidP="00E36434">
      <w:pPr>
        <w:spacing w:after="0" w:line="240" w:lineRule="auto"/>
      </w:pPr>
      <w:r>
        <w:separator/>
      </w:r>
    </w:p>
  </w:endnote>
  <w:endnote w:type="continuationSeparator" w:id="0">
    <w:p w14:paraId="786C8CEF" w14:textId="77777777" w:rsidR="008B66B7" w:rsidRDefault="008B66B7" w:rsidP="00E364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9662793"/>
      <w:docPartObj>
        <w:docPartGallery w:val="Page Numbers (Bottom of Page)"/>
        <w:docPartUnique/>
      </w:docPartObj>
    </w:sdtPr>
    <w:sdtEndPr>
      <w:rPr>
        <w:noProof/>
      </w:rPr>
    </w:sdtEndPr>
    <w:sdtContent>
      <w:p w14:paraId="3E3DB8F6" w14:textId="2AD9E1F6" w:rsidR="00E36434" w:rsidRDefault="00E364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C15FB2" w14:textId="77777777" w:rsidR="00E36434" w:rsidRDefault="00E364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057930" w14:textId="77777777" w:rsidR="008B66B7" w:rsidRDefault="008B66B7" w:rsidP="00E36434">
      <w:pPr>
        <w:spacing w:after="0" w:line="240" w:lineRule="auto"/>
      </w:pPr>
      <w:r>
        <w:separator/>
      </w:r>
    </w:p>
  </w:footnote>
  <w:footnote w:type="continuationSeparator" w:id="0">
    <w:p w14:paraId="101BB291" w14:textId="77777777" w:rsidR="008B66B7" w:rsidRDefault="008B66B7" w:rsidP="00E364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423AA"/>
    <w:multiLevelType w:val="multilevel"/>
    <w:tmpl w:val="B964B1F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068D7742"/>
    <w:multiLevelType w:val="multilevel"/>
    <w:tmpl w:val="D4F20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CD1FA1"/>
    <w:multiLevelType w:val="hybridMultilevel"/>
    <w:tmpl w:val="52FCFA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210424"/>
    <w:multiLevelType w:val="multilevel"/>
    <w:tmpl w:val="FFD42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404E7D"/>
    <w:multiLevelType w:val="hybridMultilevel"/>
    <w:tmpl w:val="15C0D2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A3E3C6A"/>
    <w:multiLevelType w:val="multilevel"/>
    <w:tmpl w:val="E4B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7E2C82"/>
    <w:multiLevelType w:val="multilevel"/>
    <w:tmpl w:val="4FC22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7A3B06"/>
    <w:multiLevelType w:val="hybridMultilevel"/>
    <w:tmpl w:val="1E26E5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B106BA7"/>
    <w:multiLevelType w:val="hybridMultilevel"/>
    <w:tmpl w:val="8CDC5C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D852ED8"/>
    <w:multiLevelType w:val="multilevel"/>
    <w:tmpl w:val="9F6A4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037359"/>
    <w:multiLevelType w:val="multilevel"/>
    <w:tmpl w:val="E1E6D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8F7F44"/>
    <w:multiLevelType w:val="hybridMultilevel"/>
    <w:tmpl w:val="46429E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D8857F6"/>
    <w:multiLevelType w:val="hybridMultilevel"/>
    <w:tmpl w:val="A0B839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FB833EE"/>
    <w:multiLevelType w:val="hybridMultilevel"/>
    <w:tmpl w:val="5380CF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3D74B69"/>
    <w:multiLevelType w:val="multilevel"/>
    <w:tmpl w:val="709A6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3A700C"/>
    <w:multiLevelType w:val="multilevel"/>
    <w:tmpl w:val="97A2B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FB81544"/>
    <w:multiLevelType w:val="hybridMultilevel"/>
    <w:tmpl w:val="FD16D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393735">
    <w:abstractNumId w:val="0"/>
  </w:num>
  <w:num w:numId="2" w16cid:durableId="1860659227">
    <w:abstractNumId w:val="9"/>
  </w:num>
  <w:num w:numId="3" w16cid:durableId="573659742">
    <w:abstractNumId w:val="15"/>
  </w:num>
  <w:num w:numId="4" w16cid:durableId="1752196281">
    <w:abstractNumId w:val="1"/>
  </w:num>
  <w:num w:numId="5" w16cid:durableId="1111123170">
    <w:abstractNumId w:val="10"/>
  </w:num>
  <w:num w:numId="6" w16cid:durableId="1648245477">
    <w:abstractNumId w:val="14"/>
  </w:num>
  <w:num w:numId="7" w16cid:durableId="693960813">
    <w:abstractNumId w:val="5"/>
  </w:num>
  <w:num w:numId="8" w16cid:durableId="1111586661">
    <w:abstractNumId w:val="3"/>
  </w:num>
  <w:num w:numId="9" w16cid:durableId="1990748036">
    <w:abstractNumId w:val="6"/>
  </w:num>
  <w:num w:numId="10" w16cid:durableId="333459154">
    <w:abstractNumId w:val="11"/>
  </w:num>
  <w:num w:numId="11" w16cid:durableId="1934586366">
    <w:abstractNumId w:val="12"/>
  </w:num>
  <w:num w:numId="12" w16cid:durableId="652217894">
    <w:abstractNumId w:val="2"/>
  </w:num>
  <w:num w:numId="13" w16cid:durableId="573858879">
    <w:abstractNumId w:val="16"/>
  </w:num>
  <w:num w:numId="14" w16cid:durableId="1972862405">
    <w:abstractNumId w:val="8"/>
  </w:num>
  <w:num w:numId="15" w16cid:durableId="1484273539">
    <w:abstractNumId w:val="7"/>
  </w:num>
  <w:num w:numId="16" w16cid:durableId="171183488">
    <w:abstractNumId w:val="13"/>
  </w:num>
  <w:num w:numId="17" w16cid:durableId="2190505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DB1"/>
    <w:rsid w:val="00043DB1"/>
    <w:rsid w:val="001606D6"/>
    <w:rsid w:val="00186D84"/>
    <w:rsid w:val="00224630"/>
    <w:rsid w:val="002509F1"/>
    <w:rsid w:val="002F4AA1"/>
    <w:rsid w:val="00325F68"/>
    <w:rsid w:val="003C15B4"/>
    <w:rsid w:val="00491438"/>
    <w:rsid w:val="00563490"/>
    <w:rsid w:val="00716456"/>
    <w:rsid w:val="00765C39"/>
    <w:rsid w:val="00804DCD"/>
    <w:rsid w:val="008B66B7"/>
    <w:rsid w:val="008C6D8D"/>
    <w:rsid w:val="009525AB"/>
    <w:rsid w:val="009E4EBD"/>
    <w:rsid w:val="00A30A12"/>
    <w:rsid w:val="00A8501B"/>
    <w:rsid w:val="00AA1F42"/>
    <w:rsid w:val="00B64261"/>
    <w:rsid w:val="00B70731"/>
    <w:rsid w:val="00BF2898"/>
    <w:rsid w:val="00D57C2D"/>
    <w:rsid w:val="00D610FA"/>
    <w:rsid w:val="00D930AE"/>
    <w:rsid w:val="00E222A3"/>
    <w:rsid w:val="00E36434"/>
    <w:rsid w:val="00E414E2"/>
    <w:rsid w:val="00E64AB2"/>
    <w:rsid w:val="00E95ABE"/>
    <w:rsid w:val="00ED1470"/>
    <w:rsid w:val="00EE3D42"/>
    <w:rsid w:val="00F2568C"/>
    <w:rsid w:val="00FF1A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220A4"/>
  <w15:chartTrackingRefBased/>
  <w15:docId w15:val="{25B4E826-5FDC-4DAA-8165-997A4378B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3DB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43DB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43DB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43DB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43DB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43D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3D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3D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3D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3DB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43DB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43DB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43DB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43DB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43D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3D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3D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3DB1"/>
    <w:rPr>
      <w:rFonts w:eastAsiaTheme="majorEastAsia" w:cstheme="majorBidi"/>
      <w:color w:val="272727" w:themeColor="text1" w:themeTint="D8"/>
    </w:rPr>
  </w:style>
  <w:style w:type="paragraph" w:styleId="Title">
    <w:name w:val="Title"/>
    <w:basedOn w:val="Normal"/>
    <w:next w:val="Normal"/>
    <w:link w:val="TitleChar"/>
    <w:uiPriority w:val="10"/>
    <w:qFormat/>
    <w:rsid w:val="00043D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3D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3D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3D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3DB1"/>
    <w:pPr>
      <w:spacing w:before="160"/>
      <w:jc w:val="center"/>
    </w:pPr>
    <w:rPr>
      <w:i/>
      <w:iCs/>
      <w:color w:val="404040" w:themeColor="text1" w:themeTint="BF"/>
    </w:rPr>
  </w:style>
  <w:style w:type="character" w:customStyle="1" w:styleId="QuoteChar">
    <w:name w:val="Quote Char"/>
    <w:basedOn w:val="DefaultParagraphFont"/>
    <w:link w:val="Quote"/>
    <w:uiPriority w:val="29"/>
    <w:rsid w:val="00043DB1"/>
    <w:rPr>
      <w:i/>
      <w:iCs/>
      <w:color w:val="404040" w:themeColor="text1" w:themeTint="BF"/>
    </w:rPr>
  </w:style>
  <w:style w:type="paragraph" w:styleId="ListParagraph">
    <w:name w:val="List Paragraph"/>
    <w:basedOn w:val="Normal"/>
    <w:uiPriority w:val="34"/>
    <w:qFormat/>
    <w:rsid w:val="00043DB1"/>
    <w:pPr>
      <w:ind w:left="720"/>
      <w:contextualSpacing/>
    </w:pPr>
  </w:style>
  <w:style w:type="character" w:styleId="IntenseEmphasis">
    <w:name w:val="Intense Emphasis"/>
    <w:basedOn w:val="DefaultParagraphFont"/>
    <w:uiPriority w:val="21"/>
    <w:qFormat/>
    <w:rsid w:val="00043DB1"/>
    <w:rPr>
      <w:i/>
      <w:iCs/>
      <w:color w:val="2F5496" w:themeColor="accent1" w:themeShade="BF"/>
    </w:rPr>
  </w:style>
  <w:style w:type="paragraph" w:styleId="IntenseQuote">
    <w:name w:val="Intense Quote"/>
    <w:basedOn w:val="Normal"/>
    <w:next w:val="Normal"/>
    <w:link w:val="IntenseQuoteChar"/>
    <w:uiPriority w:val="30"/>
    <w:qFormat/>
    <w:rsid w:val="00043DB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43DB1"/>
    <w:rPr>
      <w:i/>
      <w:iCs/>
      <w:color w:val="2F5496" w:themeColor="accent1" w:themeShade="BF"/>
    </w:rPr>
  </w:style>
  <w:style w:type="character" w:styleId="IntenseReference">
    <w:name w:val="Intense Reference"/>
    <w:basedOn w:val="DefaultParagraphFont"/>
    <w:uiPriority w:val="32"/>
    <w:qFormat/>
    <w:rsid w:val="00043DB1"/>
    <w:rPr>
      <w:b/>
      <w:bCs/>
      <w:smallCaps/>
      <w:color w:val="2F5496" w:themeColor="accent1" w:themeShade="BF"/>
      <w:spacing w:val="5"/>
    </w:rPr>
  </w:style>
  <w:style w:type="table" w:styleId="GridTable1Light">
    <w:name w:val="Grid Table 1 Light"/>
    <w:basedOn w:val="TableNormal"/>
    <w:uiPriority w:val="46"/>
    <w:rsid w:val="00043DB1"/>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E364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6434"/>
  </w:style>
  <w:style w:type="paragraph" w:styleId="Footer">
    <w:name w:val="footer"/>
    <w:basedOn w:val="Normal"/>
    <w:link w:val="FooterChar"/>
    <w:uiPriority w:val="99"/>
    <w:unhideWhenUsed/>
    <w:rsid w:val="00E364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64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CA6109-2D95-478C-98B8-F7F61CD450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TotalTime>
  <Pages>15</Pages>
  <Words>3257</Words>
  <Characters>18570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Dip Patel</dc:creator>
  <cp:keywords/>
  <dc:description/>
  <cp:lastModifiedBy>Dip Patel</cp:lastModifiedBy>
  <cp:revision>18</cp:revision>
  <dcterms:created xsi:type="dcterms:W3CDTF">2026-03-26T08:48:00Z</dcterms:created>
  <dcterms:modified xsi:type="dcterms:W3CDTF">2026-04-19T12:23:00Z</dcterms:modified>
</cp:coreProperties>
</file>