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w:rPr>
          <w:rFonts w:ascii="Times New Roman" w:hAnsi="Times New Roman"/>
        </w:rPr>
      </w:pPr>
      <w:bookmarkStart w:name="_go5p84k0vw1v" w:id="0"/>
      <w:bookmarkEnd w:id="0"/>
    </w:p>
    <w:p>
      <w:pPr>
        <w:pStyle w:val="Body A"/>
        <w:tabs>
          <w:tab w:val="right" w:pos="9340"/>
        </w:tabs>
        <w:spacing w:before="80" w:line="240" w:lineRule="auto"/>
        <w:rPr>
          <w:rFonts w:ascii="Times New Roman" w:hAnsi="Times New Roman"/>
        </w:rPr>
      </w:pPr>
    </w:p>
    <w:p>
      <w:pPr>
        <w:pStyle w:val="Body A"/>
        <w:tabs>
          <w:tab w:val="right" w:pos="9340"/>
        </w:tabs>
        <w:spacing w:before="80" w:line="240" w:lineRule="auto"/>
        <w:rPr>
          <w:rFonts w:ascii="Times New Roman" w:hAnsi="Times New Roman"/>
        </w:rPr>
      </w:pPr>
    </w:p>
    <w:p>
      <w:pPr>
        <w:pStyle w:val="Body A"/>
        <w:tabs>
          <w:tab w:val="right" w:pos="9340"/>
        </w:tabs>
        <w:spacing w:before="80" w:line="240" w:lineRule="auto"/>
        <w:rPr>
          <w:rFonts w:ascii="Times New Roman" w:hAnsi="Times New Roman"/>
        </w:rPr>
      </w:pPr>
    </w:p>
    <w:p>
      <w:pPr>
        <w:pStyle w:val="Body A"/>
        <w:tabs>
          <w:tab w:val="right" w:pos="9340"/>
        </w:tabs>
        <w:spacing w:before="80" w:line="240" w:lineRule="auto"/>
        <w:rPr>
          <w:rFonts w:ascii="Times New Roman" w:hAnsi="Times New Roman"/>
        </w:rPr>
      </w:pPr>
    </w:p>
    <w:p>
      <w:pPr>
        <w:pStyle w:val="Body A"/>
        <w:tabs>
          <w:tab w:val="right" w:pos="9340"/>
        </w:tabs>
        <w:spacing w:before="80" w:line="240" w:lineRule="auto"/>
        <w:rPr>
          <w:rFonts w:ascii="Times New Roman" w:hAnsi="Times New Roman"/>
        </w:rPr>
      </w:pPr>
    </w:p>
    <w:p>
      <w:pPr>
        <w:pStyle w:val="Body A"/>
        <w:tabs>
          <w:tab w:val="right" w:pos="9340"/>
        </w:tabs>
        <w:spacing w:before="80" w:line="240" w:lineRule="auto"/>
        <w:rPr>
          <w:rFonts w:ascii="Times New Roman" w:hAnsi="Times New Roman"/>
        </w:rPr>
      </w:pPr>
    </w:p>
    <w:p>
      <w:pPr>
        <w:pStyle w:val="Body A"/>
        <w:tabs>
          <w:tab w:val="right" w:pos="9340"/>
        </w:tabs>
        <w:spacing w:before="80" w:line="240" w:lineRule="auto"/>
        <w:rPr>
          <w:rFonts w:ascii="Times New Roman" w:hAnsi="Times New Roman"/>
        </w:rPr>
      </w:pPr>
    </w:p>
    <w:p>
      <w:pPr>
        <w:pStyle w:val="Body"/>
        <w:tabs>
          <w:tab w:val="left" w:pos="6540"/>
        </w:tabs>
        <w:spacing w:after="160" w:line="360" w:lineRule="auto"/>
        <w:rPr>
          <w:rFonts w:ascii="Arial" w:cs="Arial" w:hAnsi="Arial" w:eastAsia="Arial"/>
          <w:b w:val="1"/>
          <w:bCs w:val="1"/>
          <w:caps w:val="0"/>
          <w:smallCaps w:val="0"/>
          <w:strike w:val="0"/>
          <w:dstrike w:val="0"/>
          <w:outline w:val="0"/>
          <w:color w:val="000000"/>
          <w:spacing w:val="0"/>
          <w:kern w:val="0"/>
          <w:position w:val="0"/>
          <w:sz w:val="42"/>
          <w:szCs w:val="42"/>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42"/>
          <w:szCs w:val="42"/>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Introduction to Psychology </w:t>
      </w: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6"/>
          <w:szCs w:val="26"/>
          <w:u w:val="none" w:color="000000"/>
          <w:shd w:val="nil" w:color="auto" w:fill="auto"/>
          <w:vertAlign w:val="baseline"/>
          <w:rtl w:val="0"/>
          <w:lang w:val="nl-NL"/>
          <w14:textOutline w14:w="12700" w14:cap="flat">
            <w14:noFill/>
            <w14:miter w14:lim="400000"/>
          </w14:textOutline>
          <w14:textFill>
            <w14:solidFill>
              <w14:srgbClr w14:val="000000"/>
            </w14:solidFill>
          </w14:textFill>
        </w:rPr>
        <w:t>Student name</w:t>
      </w:r>
      <w:r>
        <w:rPr>
          <w:rFonts w:ascii="Arial" w:hAnsi="Arial"/>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 Ileana Ioana Chis</w:t>
      </w: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Student ID</w:t>
      </w:r>
      <w:r>
        <w:rPr>
          <w:rFonts w:ascii="Arial" w:hAnsi="Arial"/>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 1818454</w:t>
      </w: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Module name</w:t>
      </w:r>
      <w:r>
        <w:rPr>
          <w:rFonts w:ascii="Arial" w:hAnsi="Arial"/>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 Introduction to Psychology </w:t>
      </w: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Module code</w:t>
      </w:r>
      <w:r>
        <w:rPr>
          <w:rFonts w:ascii="Arial" w:hAnsi="Arial"/>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 BMHP5003_LON</w:t>
      </w:r>
    </w:p>
    <w:p>
      <w:pPr>
        <w:pStyle w:val="Body"/>
        <w:tabs>
          <w:tab w:val="left" w:pos="6540"/>
        </w:tabs>
        <w:spacing w:after="160" w:line="360" w:lineRule="auto"/>
        <w:rPr>
          <w:rFonts w:ascii="Arial" w:cs="Arial" w:hAnsi="Arial" w:eastAsia="Arial"/>
          <w:caps w:val="0"/>
          <w:smallCaps w:val="0"/>
          <w:strike w:val="0"/>
          <w:dstrike w:val="0"/>
          <w:outline w:val="0"/>
          <w:color w:val="000000"/>
          <w:spacing w:val="0"/>
          <w:kern w:val="0"/>
          <w:position w:val="0"/>
          <w:sz w:val="26"/>
          <w:szCs w:val="26"/>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6"/>
          <w:szCs w:val="26"/>
          <w:u w:val="none" w:color="000000"/>
          <w:shd w:val="nil" w:color="auto" w:fill="auto"/>
          <w:vertAlign w:val="baseline"/>
          <w:rtl w:val="0"/>
          <w:lang w:val="fr-FR"/>
          <w14:textOutline w14:w="12700" w14:cap="flat">
            <w14:noFill/>
            <w14:miter w14:lim="400000"/>
          </w14:textOutline>
          <w14:textFill>
            <w14:solidFill>
              <w14:srgbClr w14:val="000000"/>
            </w14:solidFill>
          </w14:textFill>
        </w:rPr>
        <w:t>Lecturer name</w:t>
      </w:r>
      <w:r>
        <w:rPr>
          <w:rFonts w:ascii="Arial" w:hAnsi="Arial"/>
          <w:caps w:val="0"/>
          <w:smallCaps w:val="0"/>
          <w:strike w:val="0"/>
          <w:dstrike w:val="0"/>
          <w:outline w:val="0"/>
          <w:color w:val="000000"/>
          <w:spacing w:val="0"/>
          <w:kern w:val="0"/>
          <w:position w:val="0"/>
          <w:sz w:val="26"/>
          <w:szCs w:val="26"/>
          <w:u w:val="none" w:color="000000"/>
          <w:shd w:val="nil" w:color="auto" w:fill="auto"/>
          <w:vertAlign w:val="baseline"/>
          <w:rtl w:val="0"/>
          <w:lang w:val="it-IT"/>
          <w14:textOutline w14:w="12700" w14:cap="flat">
            <w14:noFill/>
            <w14:miter w14:lim="400000"/>
          </w14:textOutline>
          <w14:textFill>
            <w14:solidFill>
              <w14:srgbClr w14:val="000000"/>
            </w14:solidFill>
          </w14:textFill>
        </w:rPr>
        <w:t xml:space="preserve">: </w:t>
      </w:r>
      <w:r>
        <w:rPr>
          <w:rFonts w:ascii="Arial" w:hAnsi="Arial"/>
          <w:caps w:val="0"/>
          <w:smallCaps w:val="0"/>
          <w:strike w:val="0"/>
          <w:dstrike w:val="0"/>
          <w:outline w:val="0"/>
          <w:color w:val="000000"/>
          <w:spacing w:val="0"/>
          <w:kern w:val="0"/>
          <w:position w:val="0"/>
          <w:sz w:val="26"/>
          <w:szCs w:val="26"/>
          <w:u w:val="none" w:color="000000"/>
          <w:shd w:val="nil" w:color="auto" w:fill="auto"/>
          <w:vertAlign w:val="baseline"/>
          <w:rtl w:val="0"/>
          <w:lang w:val="en-US"/>
          <w14:textOutline w14:w="12700" w14:cap="flat">
            <w14:noFill/>
            <w14:miter w14:lim="400000"/>
          </w14:textOutline>
          <w14:textFill>
            <w14:solidFill>
              <w14:srgbClr w14:val="000000"/>
            </w14:solidFill>
          </w14:textFill>
        </w:rPr>
        <w:t>Noura Mohamed</w:t>
      </w: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sz w:val="28"/>
          <w:szCs w:val="28"/>
        </w:rPr>
      </w:pPr>
      <w:r>
        <w:rPr>
          <w:sz w:val="28"/>
          <w:szCs w:val="28"/>
          <w:rtl w:val="0"/>
          <w:lang w:val="en-US"/>
        </w:rPr>
        <w:t>Poster</w:t>
      </w: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r>
        <w:rPr>
          <w:rFonts w:ascii="Times New Roman" w:cs="Times New Roman" w:hAnsi="Times New Roman" w:eastAsia="Times New Roman"/>
        </w:rPr>
        <w:drawing xmlns:a="http://schemas.openxmlformats.org/drawingml/2006/main">
          <wp:anchor distT="152400" distB="152400" distL="152400" distR="152400" simplePos="0" relativeHeight="251659264" behindDoc="0" locked="0" layoutInCell="1" allowOverlap="1">
            <wp:simplePos x="0" y="0"/>
            <wp:positionH relativeFrom="page">
              <wp:posOffset>908050</wp:posOffset>
            </wp:positionH>
            <wp:positionV relativeFrom="line">
              <wp:posOffset>243840</wp:posOffset>
            </wp:positionV>
            <wp:extent cx="5943600" cy="4040890"/>
            <wp:effectExtent l="0" t="0" r="0" b="0"/>
            <wp:wrapThrough wrapText="bothSides" distL="152400" distR="152400">
              <wp:wrapPolygon edited="1">
                <wp:start x="0" y="0"/>
                <wp:lineTo x="21600" y="0"/>
                <wp:lineTo x="21600" y="21625"/>
                <wp:lineTo x="0" y="21625"/>
                <wp:lineTo x="0" y="0"/>
              </wp:wrapPolygon>
            </wp:wrapThrough>
            <wp:docPr id="1073741825" name="officeArt object" descr="Screenshot 2022-01-12 at 21.07.54.png"/>
            <wp:cNvGraphicFramePr/>
            <a:graphic xmlns:a="http://schemas.openxmlformats.org/drawingml/2006/main">
              <a:graphicData uri="http://schemas.openxmlformats.org/drawingml/2006/picture">
                <pic:pic xmlns:pic="http://schemas.openxmlformats.org/drawingml/2006/picture">
                  <pic:nvPicPr>
                    <pic:cNvPr id="1073741825" name="Screenshot 2022-01-12 at 21.07.54.png" descr="Screenshot 2022-01-12 at 21.07.54.png"/>
                    <pic:cNvPicPr>
                      <a:picLocks noChangeAspect="1"/>
                    </pic:cNvPicPr>
                  </pic:nvPicPr>
                  <pic:blipFill>
                    <a:blip r:embed="rId4">
                      <a:extLst/>
                    </a:blip>
                    <a:stretch>
                      <a:fillRect/>
                    </a:stretch>
                  </pic:blipFill>
                  <pic:spPr>
                    <a:xfrm>
                      <a:off x="0" y="0"/>
                      <a:ext cx="5943600" cy="4040890"/>
                    </a:xfrm>
                    <a:prstGeom prst="rect">
                      <a:avLst/>
                    </a:prstGeom>
                    <a:ln w="12700" cap="flat">
                      <a:noFill/>
                      <a:miter lim="400000"/>
                    </a:ln>
                    <a:effectLst/>
                  </pic:spPr>
                </pic:pic>
              </a:graphicData>
            </a:graphic>
          </wp:anchor>
        </w:drawing>
      </w: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rFonts w:ascii="Times New Roman" w:cs="Times New Roman" w:hAnsi="Times New Roman" w:eastAsia="Times New Roman"/>
        </w:rPr>
      </w:pPr>
    </w:p>
    <w:p>
      <w:pPr>
        <w:pStyle w:val="Body A"/>
        <w:tabs>
          <w:tab w:val="right" w:pos="9340"/>
        </w:tabs>
        <w:spacing w:before="80" w:line="240" w:lineRule="auto"/>
        <w:rPr>
          <w:b w:val="1"/>
          <w:bCs w:val="1"/>
          <w:sz w:val="28"/>
          <w:szCs w:val="28"/>
        </w:rPr>
      </w:pPr>
      <w:r>
        <w:rPr>
          <w:b w:val="1"/>
          <w:bCs w:val="1"/>
          <w:sz w:val="28"/>
          <w:szCs w:val="28"/>
          <w:rtl w:val="0"/>
          <w:lang w:val="en-US"/>
        </w:rPr>
        <w:t>Speakers notes                                                                                           3</w:t>
      </w:r>
    </w:p>
    <w:p>
      <w:pPr>
        <w:pStyle w:val="Body A"/>
        <w:tabs>
          <w:tab w:val="right" w:pos="9340"/>
        </w:tabs>
        <w:spacing w:before="80" w:line="240" w:lineRule="auto"/>
        <w:rPr>
          <w:b w:val="1"/>
          <w:bCs w:val="1"/>
          <w:sz w:val="28"/>
          <w:szCs w:val="28"/>
        </w:rPr>
      </w:pPr>
      <w:r>
        <w:rPr>
          <w:b w:val="1"/>
          <w:bCs w:val="1"/>
          <w:sz w:val="28"/>
          <w:szCs w:val="28"/>
          <w:rtl w:val="0"/>
          <w:lang w:val="en-US"/>
        </w:rPr>
        <w:t xml:space="preserve">Introduction </w:t>
      </w:r>
      <w:r>
        <w:rPr>
          <w:b w:val="1"/>
          <w:bCs w:val="1"/>
          <w:sz w:val="28"/>
          <w:szCs w:val="28"/>
        </w:rPr>
        <w:tab/>
      </w:r>
      <w:r>
        <w:rPr>
          <w:b w:val="1"/>
          <w:bCs w:val="1"/>
          <w:sz w:val="28"/>
          <w:szCs w:val="28"/>
          <w:rtl w:val="0"/>
          <w:lang w:val="en-US"/>
        </w:rPr>
        <w:t>4</w:t>
      </w:r>
    </w:p>
    <w:p>
      <w:pPr>
        <w:pStyle w:val="Body A"/>
        <w:tabs>
          <w:tab w:val="right" w:pos="9340"/>
        </w:tabs>
        <w:spacing w:before="80" w:line="240" w:lineRule="auto"/>
        <w:rPr>
          <w:rStyle w:val="None"/>
          <w:sz w:val="28"/>
          <w:szCs w:val="28"/>
        </w:rPr>
      </w:pPr>
      <w:r>
        <w:rPr>
          <w:rStyle w:val="Hyperlink.0"/>
        </w:rPr>
        <w:fldChar w:fldCharType="begin" w:fldLock="0"/>
      </w:r>
      <w:r>
        <w:rPr>
          <w:rStyle w:val="Hyperlink.0"/>
        </w:rPr>
        <w:instrText xml:space="preserve"> HYPERLINK \l "bookmark" </w:instrText>
      </w:r>
      <w:r>
        <w:rPr>
          <w:rStyle w:val="Hyperlink.0"/>
        </w:rPr>
        <w:fldChar w:fldCharType="separate" w:fldLock="0"/>
      </w:r>
      <w:r>
        <w:rPr>
          <w:rStyle w:val="Hyperlink.0"/>
          <w:rtl w:val="0"/>
          <w:lang w:val="en-US"/>
        </w:rPr>
        <w:t>The structure and functioning of Diabetes in the Human Body</w:t>
      </w:r>
      <w:r>
        <w:rPr/>
        <w:fldChar w:fldCharType="end" w:fldLock="0"/>
      </w:r>
      <w:r>
        <w:rPr>
          <w:rStyle w:val="None"/>
          <w:rFonts w:ascii="Times New Roman" w:cs="Times New Roman" w:hAnsi="Times New Roman" w:eastAsia="Times New Roman"/>
          <w:b w:val="1"/>
          <w:bCs w:val="1"/>
          <w:sz w:val="28"/>
          <w:szCs w:val="28"/>
        </w:rPr>
        <w:tab/>
      </w:r>
      <w:r>
        <w:rPr>
          <w:rStyle w:val="Hyperlink.0"/>
          <w:rtl w:val="0"/>
          <w:lang w:val="en-US"/>
        </w:rPr>
        <w:t>4</w:t>
      </w:r>
    </w:p>
    <w:p>
      <w:pPr>
        <w:pStyle w:val="Body A"/>
        <w:tabs>
          <w:tab w:val="right" w:pos="9340"/>
        </w:tabs>
        <w:spacing w:before="200" w:line="240" w:lineRule="auto"/>
        <w:rPr>
          <w:rStyle w:val="None"/>
          <w:sz w:val="28"/>
          <w:szCs w:val="28"/>
        </w:rPr>
      </w:pPr>
      <w:r>
        <w:rPr>
          <w:rStyle w:val="Hyperlink.0"/>
        </w:rPr>
        <w:fldChar w:fldCharType="begin" w:fldLock="0"/>
      </w:r>
      <w:r>
        <w:rPr>
          <w:rStyle w:val="Hyperlink.0"/>
        </w:rPr>
        <w:instrText xml:space="preserve"> HYPERLINK \l "bookmark1" </w:instrText>
      </w:r>
      <w:r>
        <w:rPr>
          <w:rStyle w:val="Hyperlink.0"/>
        </w:rPr>
        <w:fldChar w:fldCharType="separate" w:fldLock="0"/>
      </w:r>
      <w:r>
        <w:rPr>
          <w:rStyle w:val="Hyperlink.0"/>
          <w:rtl w:val="0"/>
          <w:lang w:val="en-US"/>
        </w:rPr>
        <w:t>Causes</w:t>
      </w:r>
      <w:r>
        <w:rPr/>
        <w:fldChar w:fldCharType="end" w:fldLock="0"/>
      </w:r>
      <w:r>
        <w:rPr>
          <w:rStyle w:val="None"/>
          <w:rFonts w:ascii="Times New Roman" w:cs="Times New Roman" w:hAnsi="Times New Roman" w:eastAsia="Times New Roman"/>
          <w:b w:val="1"/>
          <w:bCs w:val="1"/>
          <w:sz w:val="28"/>
          <w:szCs w:val="28"/>
        </w:rPr>
        <w:tab/>
      </w:r>
      <w:r>
        <w:rPr>
          <w:rStyle w:val="Hyperlink.0"/>
          <w:rtl w:val="0"/>
          <w:lang w:val="en-US"/>
        </w:rPr>
        <w:t>5</w:t>
      </w:r>
    </w:p>
    <w:p>
      <w:pPr>
        <w:pStyle w:val="Body A"/>
        <w:tabs>
          <w:tab w:val="right" w:pos="9340"/>
        </w:tabs>
        <w:spacing w:before="200" w:line="240" w:lineRule="auto"/>
        <w:rPr>
          <w:rStyle w:val="None"/>
          <w:sz w:val="28"/>
          <w:szCs w:val="28"/>
        </w:rPr>
      </w:pPr>
      <w:r>
        <w:rPr>
          <w:rStyle w:val="Hyperlink.0"/>
        </w:rPr>
        <w:fldChar w:fldCharType="begin" w:fldLock="0"/>
      </w:r>
      <w:r>
        <w:rPr>
          <w:rStyle w:val="Hyperlink.0"/>
        </w:rPr>
        <w:instrText xml:space="preserve"> HYPERLINK \l "bookmark2" </w:instrText>
      </w:r>
      <w:r>
        <w:rPr>
          <w:rStyle w:val="Hyperlink.0"/>
        </w:rPr>
        <w:fldChar w:fldCharType="separate" w:fldLock="0"/>
      </w:r>
      <w:r>
        <w:rPr>
          <w:rStyle w:val="Hyperlink.0"/>
          <w:rtl w:val="0"/>
          <w:lang w:val="en-US"/>
        </w:rPr>
        <w:t>Data collected in health and social care</w:t>
      </w:r>
      <w:r>
        <w:rPr/>
        <w:fldChar w:fldCharType="end" w:fldLock="0"/>
      </w:r>
      <w:r>
        <w:rPr>
          <w:rStyle w:val="None"/>
          <w:rFonts w:ascii="Times New Roman" w:cs="Times New Roman" w:hAnsi="Times New Roman" w:eastAsia="Times New Roman"/>
          <w:b w:val="1"/>
          <w:bCs w:val="1"/>
          <w:sz w:val="28"/>
          <w:szCs w:val="28"/>
        </w:rPr>
        <w:tab/>
      </w:r>
      <w:r>
        <w:rPr>
          <w:rStyle w:val="Hyperlink.0"/>
          <w:rtl w:val="0"/>
          <w:lang w:val="en-US"/>
        </w:rPr>
        <w:t>6</w:t>
      </w:r>
    </w:p>
    <w:p>
      <w:pPr>
        <w:pStyle w:val="Body A"/>
        <w:tabs>
          <w:tab w:val="right" w:pos="9340"/>
        </w:tabs>
        <w:spacing w:before="200" w:line="240" w:lineRule="auto"/>
        <w:rPr>
          <w:rStyle w:val="None"/>
          <w:sz w:val="28"/>
          <w:szCs w:val="28"/>
        </w:rPr>
      </w:pPr>
      <w:r>
        <w:rPr>
          <w:rStyle w:val="Hyperlink.0"/>
        </w:rPr>
        <w:fldChar w:fldCharType="begin" w:fldLock="0"/>
      </w:r>
      <w:r>
        <w:rPr>
          <w:rStyle w:val="Hyperlink.0"/>
        </w:rPr>
        <w:instrText xml:space="preserve"> HYPERLINK \l "bookmark3" </w:instrText>
      </w:r>
      <w:r>
        <w:rPr>
          <w:rStyle w:val="Hyperlink.0"/>
        </w:rPr>
        <w:fldChar w:fldCharType="separate" w:fldLock="0"/>
      </w:r>
      <w:r>
        <w:rPr>
          <w:rStyle w:val="Hyperlink.0"/>
          <w:rtl w:val="0"/>
          <w:lang w:val="en-US"/>
        </w:rPr>
        <w:t>Implications for Service Planning</w:t>
      </w:r>
      <w:r>
        <w:rPr/>
        <w:fldChar w:fldCharType="end" w:fldLock="0"/>
      </w:r>
      <w:r>
        <w:rPr>
          <w:rStyle w:val="None"/>
          <w:rFonts w:ascii="Times New Roman" w:cs="Times New Roman" w:hAnsi="Times New Roman" w:eastAsia="Times New Roman"/>
          <w:b w:val="1"/>
          <w:bCs w:val="1"/>
          <w:sz w:val="28"/>
          <w:szCs w:val="28"/>
        </w:rPr>
        <w:tab/>
      </w:r>
      <w:r>
        <w:rPr>
          <w:rStyle w:val="Hyperlink.0"/>
          <w:rtl w:val="0"/>
          <w:lang w:val="en-US"/>
        </w:rPr>
        <w:t>7</w:t>
      </w:r>
    </w:p>
    <w:p>
      <w:pPr>
        <w:pStyle w:val="Body A"/>
        <w:tabs>
          <w:tab w:val="right" w:pos="9340"/>
        </w:tabs>
        <w:spacing w:before="200" w:line="240" w:lineRule="auto"/>
        <w:rPr>
          <w:rStyle w:val="None"/>
          <w:sz w:val="28"/>
          <w:szCs w:val="28"/>
        </w:rPr>
      </w:pPr>
      <w:r>
        <w:rPr>
          <w:rStyle w:val="Hyperlink.1"/>
        </w:rPr>
        <w:fldChar w:fldCharType="begin" w:fldLock="0"/>
      </w:r>
      <w:r>
        <w:rPr>
          <w:rStyle w:val="Hyperlink.1"/>
        </w:rPr>
        <w:instrText xml:space="preserve"> HYPERLINK \l "bookmark4" </w:instrText>
      </w:r>
      <w:r>
        <w:rPr>
          <w:rStyle w:val="Hyperlink.1"/>
        </w:rPr>
        <w:fldChar w:fldCharType="separate" w:fldLock="0"/>
      </w:r>
      <w:r>
        <w:rPr>
          <w:rStyle w:val="Hyperlink.1"/>
          <w:rtl w:val="0"/>
          <w:lang w:val="it-IT"/>
        </w:rPr>
        <w:t>Conclusion</w:t>
      </w:r>
      <w:r>
        <w:rPr/>
        <w:fldChar w:fldCharType="end" w:fldLock="0"/>
      </w:r>
      <w:r>
        <w:rPr>
          <w:rStyle w:val="Hyperlink.0"/>
          <w:rtl w:val="0"/>
          <w:lang w:val="en-US"/>
        </w:rPr>
        <w:t xml:space="preserve">                                                                                                 </w:t>
      </w:r>
      <w:r>
        <w:rPr>
          <w:rStyle w:val="Hyperlink.0"/>
          <w:rtl w:val="0"/>
          <w:lang w:val="en-US"/>
        </w:rPr>
        <w:t xml:space="preserve">              </w:t>
      </w:r>
      <w:r>
        <w:rPr>
          <w:rStyle w:val="Hyperlink.0"/>
          <w:rtl w:val="0"/>
          <w:lang w:val="en-US"/>
        </w:rPr>
        <w:t xml:space="preserve"> 7</w:t>
      </w:r>
    </w:p>
    <w:p>
      <w:pPr>
        <w:pStyle w:val="Body A"/>
        <w:tabs>
          <w:tab w:val="right" w:pos="9340"/>
        </w:tabs>
        <w:spacing w:before="200" w:after="80" w:line="240" w:lineRule="auto"/>
        <w:rPr>
          <w:rStyle w:val="None"/>
          <w:rFonts w:ascii="Times New Roman" w:cs="Times New Roman" w:hAnsi="Times New Roman" w:eastAsia="Times New Roman"/>
          <w:b w:val="1"/>
          <w:bCs w:val="1"/>
          <w:sz w:val="28"/>
          <w:szCs w:val="28"/>
        </w:rPr>
      </w:pPr>
      <w:r>
        <w:rPr>
          <w:rStyle w:val="Hyperlink.2"/>
        </w:rPr>
        <w:fldChar w:fldCharType="begin" w:fldLock="0"/>
      </w:r>
      <w:r>
        <w:rPr>
          <w:rStyle w:val="Hyperlink.2"/>
        </w:rPr>
        <w:instrText xml:space="preserve"> HYPERLINK \l "bookmark5" </w:instrText>
      </w:r>
      <w:r>
        <w:rPr>
          <w:rStyle w:val="Hyperlink.2"/>
        </w:rPr>
        <w:fldChar w:fldCharType="separate" w:fldLock="0"/>
      </w:r>
      <w:r>
        <w:rPr>
          <w:rStyle w:val="Hyperlink.2"/>
          <w:rtl w:val="0"/>
          <w:lang w:val="fr-FR"/>
        </w:rPr>
        <w:t>References</w:t>
      </w:r>
      <w:r>
        <w:rPr/>
        <w:fldChar w:fldCharType="end" w:fldLock="0"/>
      </w:r>
      <w:r>
        <w:rPr>
          <w:rStyle w:val="Hyperlink.0"/>
          <w:rtl w:val="0"/>
          <w:lang w:val="en-US"/>
        </w:rPr>
        <w:t xml:space="preserve">                                                                                                  </w:t>
      </w:r>
      <w:r>
        <w:rPr>
          <w:rStyle w:val="Hyperlink.0"/>
          <w:rtl w:val="0"/>
          <w:lang w:val="en-US"/>
        </w:rPr>
        <w:t xml:space="preserve">              </w:t>
      </w:r>
      <w:r>
        <w:rPr>
          <w:rStyle w:val="Hyperlink.0"/>
          <w:rtl w:val="0"/>
          <w:lang w:val="en-US"/>
        </w:rPr>
        <w:t>8</w:t>
      </w:r>
    </w:p>
    <w:p>
      <w:pPr>
        <w:pStyle w:val="Body A"/>
        <w:tabs>
          <w:tab w:val="right" w:pos="9340"/>
        </w:tabs>
        <w:spacing w:before="200" w:after="80" w:line="240" w:lineRule="auto"/>
        <w:rPr>
          <w:rStyle w:val="None"/>
          <w:sz w:val="28"/>
          <w:szCs w:val="28"/>
        </w:rPr>
      </w:pPr>
    </w:p>
    <w:p>
      <w:pPr>
        <w:pStyle w:val="Heading"/>
        <w:rPr>
          <w:rStyle w:val="None"/>
          <w:rFonts w:ascii="Times New Roman" w:cs="Times New Roman" w:hAnsi="Times New Roman" w:eastAsia="Times New Roman"/>
        </w:rPr>
      </w:pPr>
    </w:p>
    <w:p>
      <w:pPr>
        <w:pStyle w:val="Heading"/>
        <w:rPr>
          <w:rStyle w:val="None"/>
          <w:rFonts w:ascii="Times New Roman" w:cs="Times New Roman" w:hAnsi="Times New Roman" w:eastAsia="Times New Roman"/>
        </w:rPr>
      </w:pPr>
    </w:p>
    <w:p>
      <w:pPr>
        <w:pStyle w:val="Heading"/>
        <w:rPr>
          <w:rStyle w:val="None"/>
          <w:rFonts w:ascii="Times New Roman" w:cs="Times New Roman" w:hAnsi="Times New Roman" w:eastAsia="Times New Roman"/>
        </w:rPr>
      </w:pPr>
    </w:p>
    <w:p>
      <w:pPr>
        <w:pStyle w:val="Heading"/>
        <w:rPr>
          <w:rStyle w:val="None"/>
          <w:rFonts w:ascii="Times New Roman" w:cs="Times New Roman" w:hAnsi="Times New Roman" w:eastAsia="Times New Roman"/>
        </w:rPr>
      </w:pPr>
    </w:p>
    <w:p>
      <w:pPr>
        <w:pStyle w:val="Heading"/>
        <w:rPr>
          <w:rStyle w:val="None"/>
          <w:rFonts w:ascii="Times New Roman" w:cs="Times New Roman" w:hAnsi="Times New Roman" w:eastAsia="Times New Roman"/>
        </w:rPr>
      </w:pPr>
    </w:p>
    <w:p>
      <w:pPr>
        <w:pStyle w:val="Heading"/>
        <w:rPr>
          <w:rStyle w:val="None"/>
          <w:rFonts w:ascii="Times New Roman" w:cs="Times New Roman" w:hAnsi="Times New Roman" w:eastAsia="Times New Roman"/>
        </w:rPr>
      </w:pPr>
    </w:p>
    <w:p>
      <w:pPr>
        <w:pStyle w:val="Body A"/>
        <w:widowControl w:val="0"/>
        <w:spacing w:after="200" w:line="360" w:lineRule="auto"/>
        <w:jc w:val="both"/>
        <w:rPr>
          <w:rStyle w:val="None"/>
          <w:rFonts w:ascii="Times New Roman" w:cs="Times New Roman" w:hAnsi="Times New Roman" w:eastAsia="Times New Roman"/>
        </w:rPr>
      </w:pPr>
    </w:p>
    <w:p>
      <w:pPr>
        <w:pStyle w:val="Body A"/>
        <w:widowControl w:val="0"/>
        <w:spacing w:after="200" w:line="360" w:lineRule="auto"/>
        <w:jc w:val="both"/>
        <w:rPr>
          <w:rStyle w:val="None"/>
          <w:rFonts w:ascii="Times New Roman" w:cs="Times New Roman" w:hAnsi="Times New Roman" w:eastAsia="Times New Roman"/>
        </w:rPr>
      </w:pPr>
    </w:p>
    <w:p>
      <w:pPr>
        <w:pStyle w:val="Body A"/>
        <w:widowControl w:val="0"/>
        <w:spacing w:after="200" w:line="360" w:lineRule="auto"/>
        <w:jc w:val="both"/>
        <w:rPr>
          <w:rStyle w:val="None"/>
          <w:rFonts w:ascii="Times New Roman" w:cs="Times New Roman" w:hAnsi="Times New Roman" w:eastAsia="Times New Roman"/>
          <w:b w:val="1"/>
          <w:bCs w:val="1"/>
          <w:outline w:val="0"/>
          <w:color w:val="222222"/>
          <w:sz w:val="30"/>
          <w:szCs w:val="30"/>
          <w:u w:color="222222"/>
          <w:shd w:val="clear" w:color="auto" w:fill="ffffff"/>
          <w14:textFill>
            <w14:solidFill>
              <w14:srgbClr w14:val="222222"/>
            </w14:solidFill>
          </w14:textFill>
        </w:rPr>
      </w:pPr>
      <w:r>
        <w:rPr>
          <w:rStyle w:val="None"/>
          <w:rFonts w:ascii="Times New Roman" w:hAnsi="Times New Roman"/>
          <w:b w:val="1"/>
          <w:bCs w:val="1"/>
          <w:outline w:val="0"/>
          <w:color w:val="222222"/>
          <w:sz w:val="30"/>
          <w:szCs w:val="30"/>
          <w:u w:color="222222"/>
          <w:shd w:val="clear" w:color="auto" w:fill="ffffff"/>
          <w:rtl w:val="0"/>
          <w:lang w:val="en-US"/>
          <w14:textFill>
            <w14:solidFill>
              <w14:srgbClr w14:val="222222"/>
            </w14:solidFill>
          </w14:textFill>
        </w:rPr>
        <w:t xml:space="preserve">Speaker notes </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The body is made up of substances that make up the human organism. Anatomy gives the framework and skills for understanding how organs in the bodywork. Type 2 diabetes, often known as gestational diabetes, is a set of illnesses affecting the body's ability to utilise sugar (glucose).</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Insulin-free glucose absorption in red blood cells, brain, liver, kidney, and small intestinal lining cells is not required. Diabetes affects around 18 million Americans, including 200,000 children. Type 1 diabetes is an autoimmune disease of the pancreatic beta cells. Type 2 diabetes accounts for 95% of all topics.</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Diabetes patients are susceptible to microvascular complications such as retinopathy, nephropathy, and neuropathy. People with diabetes who develop cardiovascular disease may benefit from secondary preventative treatments. Diabetes patients often suffer from depression and erectile dysfunction, but frequent monitoring and treatment may help improve their quality of life.</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The NHS and its partners will need to reassess local diabetes services. Primary Care Trusts will lead the way in assessing patient needs, planning and getting services, and improving patient outcomes. Ensure that people with diabetes are regularly monitored for long-term consequences, such as those common in people without diabetes.</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A coordinated system that includes a strong interaction between public health, health care, and the community and non-health sectors might result in improved preventive and treatment results. The NHS will create, implement, and track agreed-upon standards and systems of care to ensure that all individuals with long-term diabetic complications get a prompt, appropriate, and effective evaluation and treatment.</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p>
    <w:p>
      <w:pPr>
        <w:pStyle w:val="Body A"/>
        <w:widowControl w:val="0"/>
        <w:spacing w:after="200" w:line="360" w:lineRule="auto"/>
        <w:jc w:val="both"/>
        <w:rPr>
          <w:rStyle w:val="None"/>
          <w:sz w:val="40"/>
          <w:szCs w:val="40"/>
        </w:rPr>
      </w:pPr>
      <w:bookmarkStart w:name="_wmq2s2firpr9" w:id="1"/>
      <w:bookmarkEnd w:id="1"/>
      <w:r>
        <w:rPr>
          <w:rStyle w:val="None"/>
          <w:sz w:val="40"/>
          <w:szCs w:val="40"/>
          <w:rtl w:val="0"/>
        </w:rPr>
        <w:t>I</w:t>
      </w:r>
      <w:r>
        <w:rPr>
          <w:rStyle w:val="None"/>
          <w:sz w:val="40"/>
          <w:szCs w:val="40"/>
          <w:rtl w:val="0"/>
          <w:lang w:val="fr-FR"/>
        </w:rPr>
        <w:t xml:space="preserve">ntroduction </w:t>
      </w:r>
    </w:p>
    <w:p>
      <w:pPr>
        <w:pStyle w:val="Body A"/>
        <w:widowControl w:val="0"/>
        <w:spacing w:line="360" w:lineRule="auto"/>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 </w:t>
      </w:r>
      <w:r>
        <w:rPr>
          <w:rStyle w:val="None"/>
          <w:rFonts w:ascii="Times New Roman" w:hAnsi="Times New Roman"/>
          <w:sz w:val="24"/>
          <w:szCs w:val="24"/>
          <w:rtl w:val="0"/>
          <w:lang w:val="en-US"/>
        </w:rPr>
        <w:t>Substances that make up the human organism and are organised into tissues, organs, and systems include live cells and extracellular materials. Anatomy gives the framework and skills for understanding how organs in the bodywork. Physiology explains how the body works, whereas evolutionary biology tells how the body's form and function came to be (</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Becker et al,2018</w:t>
      </w:r>
      <w:r>
        <w:rPr>
          <w:rStyle w:val="None"/>
          <w:rFonts w:ascii="Times New Roman" w:hAnsi="Times New Roman"/>
          <w:sz w:val="24"/>
          <w:szCs w:val="24"/>
          <w:rtl w:val="0"/>
          <w:lang w:val="en-US"/>
        </w:rPr>
        <w:t>). Type 2 diabetes, often known as gestational diabetes, is a set of illnesses affecting the body's ability to utilise sugar (glucose). The cells that make up your muscles and tissues rely on glucose for energy. Thus it's critical to your well-being. It also serves as the primary energy source for your brain (</w:t>
      </w:r>
      <w:r>
        <w:rPr>
          <w:rStyle w:val="None"/>
          <w:rFonts w:ascii="Times New Roman" w:hAnsi="Times New Roman"/>
          <w:outline w:val="0"/>
          <w:color w:val="222222"/>
          <w:sz w:val="24"/>
          <w:szCs w:val="24"/>
          <w:u w:color="222222"/>
          <w:rtl w:val="0"/>
          <w14:textFill>
            <w14:solidFill>
              <w14:srgbClr w14:val="222222"/>
            </w14:solidFill>
          </w14:textFill>
        </w:rPr>
        <w:t>Faulkner et al,2020</w:t>
      </w:r>
      <w:r>
        <w:rPr>
          <w:rStyle w:val="None"/>
          <w:rFonts w:ascii="Times New Roman" w:hAnsi="Times New Roman"/>
          <w:sz w:val="24"/>
          <w:szCs w:val="24"/>
          <w:rtl w:val="0"/>
          <w:lang w:val="en-US"/>
        </w:rPr>
        <w:t>). In addition to insulin and glucagons, diabetes has a complex pathophysiology that involves growth hormone and oestrogen. There is a decline in glucose absorption regardless of the aetiology of diabetes. People with diabetes with type 1 diabetes don't produce insulin, whereas people with diabetes with type 2 diabetes have resistance to insulin in their peripheral tissues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rPr>
        <w:t>.</w:t>
      </w:r>
    </w:p>
    <w:p>
      <w:pPr>
        <w:pStyle w:val="Heading"/>
        <w:widowControl w:val="0"/>
        <w:spacing w:line="360" w:lineRule="auto"/>
        <w:jc w:val="both"/>
        <w:rPr>
          <w:rStyle w:val="None"/>
          <w:rFonts w:ascii="Times New Roman" w:cs="Times New Roman" w:hAnsi="Times New Roman" w:eastAsia="Times New Roman"/>
        </w:rPr>
      </w:pPr>
      <w:bookmarkStart w:name="_f42dizm1h7ss" w:id="2"/>
      <w:bookmarkEnd w:id="2"/>
      <w:r>
        <w:rPr>
          <w:rStyle w:val="None"/>
          <w:rFonts w:ascii="Times New Roman" w:hAnsi="Times New Roman"/>
          <w:rtl w:val="0"/>
        </w:rPr>
        <w:t>T</w:t>
      </w:r>
      <w:r>
        <w:rPr>
          <w:rStyle w:val="None"/>
          <w:rFonts w:ascii="Times New Roman" w:hAnsi="Times New Roman"/>
          <w:rtl w:val="0"/>
          <w:lang w:val="en-US"/>
        </w:rPr>
        <w:t>he structure and functioning of Diabetes in the Human Body</w:t>
      </w:r>
    </w:p>
    <w:p>
      <w:pPr>
        <w:pStyle w:val="Body A"/>
        <w:widowControl w:val="0"/>
        <w:spacing w:line="360" w:lineRule="auto"/>
        <w:ind w:right="8"/>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More pathophysiologic adjustments than fundamental faults produce functional alterations. Diabetes arises when the body's capacity to make and use insulin is thrown off. It is believed that type 1 diabetes is caused by an immune system assault on the pancreatic insulin-producing beta cells. Beta cells are lacking, resulting in insulin deficit. A relative absence of insulin is present in type 2 diabetes, while an absolute lack exists in type 1 (Pankhurst and Cody,2019). A lack of insulin means the body cannot meet its needs. The pancreas is a long, thin organ underneath the stomach lining. The pancreas secretes digestive enzymes in addition to being an exocrine gland. These four hormones are produced by pancreatic islets, also known as Langerhans islets (Misra et al,2018). Islets include four cell types: To produce glucagon, each islet alpha cell has Glucagon released in response to low blood sugar. Approximately 75% of each islet's bulk is insulin-producing beta cells. Glucose raises insulin production. Somatostatin is produced by the delta cell. It is produced by the hypothalamus, the stomach and the intestines: a glucagon and insulin inhibitor, pancreatic somatostatin (Chalmers,2019). Because glucose is needed for cellular aerobic metabolism, it is the preferred fuel for all body cells. The body converts carbohydrate-rich foods and drinks into glucose. This is similar to how the liver and muscles store glucose that isn't immediately utilised by cells in the form of glycogen (Becker et al,2018). Hormones control glycogen storage and use. Pantothenic receptors signal pancreatic cells to release glucagon or insulin in response. For example, pancreatic receptors detect a decline in blood glucose levels after fasting, prolonged work, or exercise. This causes glucagon (Faulkner et al,2020) to be released by the pancreatic alpha cells.</w:t>
      </w:r>
    </w:p>
    <w:p>
      <w:pPr>
        <w:pStyle w:val="Heading"/>
        <w:widowControl w:val="0"/>
        <w:spacing w:line="360" w:lineRule="auto"/>
        <w:ind w:right="8"/>
        <w:jc w:val="both"/>
        <w:rPr>
          <w:rStyle w:val="None"/>
          <w:rFonts w:ascii="Times New Roman" w:cs="Times New Roman" w:hAnsi="Times New Roman" w:eastAsia="Times New Roman"/>
        </w:rPr>
      </w:pPr>
      <w:bookmarkStart w:name="_zn0vwjy0az9" w:id="3"/>
      <w:bookmarkEnd w:id="3"/>
      <w:r>
        <w:rPr>
          <w:rStyle w:val="None"/>
          <w:rFonts w:ascii="Times New Roman" w:hAnsi="Times New Roman"/>
          <w:rtl w:val="0"/>
        </w:rPr>
        <w:t>C</w:t>
      </w:r>
      <w:r>
        <w:rPr>
          <w:rStyle w:val="None"/>
          <w:rFonts w:ascii="Times New Roman" w:hAnsi="Times New Roman"/>
          <w:rtl w:val="0"/>
          <w:lang w:val="en-US"/>
        </w:rPr>
        <w:t>auses</w:t>
      </w:r>
    </w:p>
    <w:p>
      <w:pPr>
        <w:pStyle w:val="Body A"/>
        <w:widowControl w:val="0"/>
        <w:spacing w:line="360" w:lineRule="auto"/>
        <w:ind w:right="8"/>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Insulin helps the body's cells absorb glucose. Insulin-free glucose absorption in red blood cells, brain, liver, kidney, and small intestinal lining cells is not required (Becker et al,2018). Although all cells need insulin, skeletal muscle and fat cells are the primary targets. GDIPP and other gastrointestinal hormones are produced (previously known as a gastric inhibitory peptide). The pancreatic beta cells generate and release insulin as a consequence (Chalmers,2019). Following digestion, glucose rises, promoting insulin synthesis. Insulin seems to enhance glucose absorption. </w:t>
      </w:r>
    </w:p>
    <w:p>
      <w:pPr>
        <w:pStyle w:val="Body A"/>
        <w:widowControl w:val="0"/>
        <w:spacing w:line="360" w:lineRule="auto"/>
        <w:ind w:right="8"/>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Contrary to popular belief, insulin seems to phosphorylate multiple cellular substrates. Internal vesicles containing glucose transporters enter the cell membrane through metabolic pathways. Without insulin, these transfer proteins are regenerated at a far slower pace (Chalmers,2019). Insulin causes the fusion of glucose transporter vesicles at the cell membrane, exposing them to the extracellular environment. As a consequence, transporters enhance glucose absorption.</w:t>
      </w:r>
    </w:p>
    <w:p>
      <w:pPr>
        <w:pStyle w:val="Body A"/>
        <w:widowControl w:val="0"/>
        <w:spacing w:line="360" w:lineRule="auto"/>
        <w:ind w:right="8"/>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Diabetes mellitus is caused by a lack of insulin synthesis, secretion, and target cell response. Diabetes affects around 18 million Americans, including 200,000 children. Up to 7 million unidentified patients are suspected of having the condition (Becker et al,2018). Moreover, 79 million Pre-diabetes occurs when blood glucose levels are increased but not high enough to be diagnosed as diabetes.</w:t>
      </w:r>
    </w:p>
    <w:p>
      <w:pPr>
        <w:pStyle w:val="Body A"/>
        <w:widowControl w:val="0"/>
        <w:spacing w:line="360" w:lineRule="auto"/>
        <w:ind w:right="8"/>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Type 1 diabetes is an autoimmune disease of the pancreatic beta cells. Genes linked to an increased vulnerability are found (Peila and Rohan,2020). Synthetic insulin must be injected or infused intravenously to treat type 1 diabetes. This kind of diabetes accounts for less than 5% of all diabetes cases. Type 2 diabetes accounts for 95% of all topics. It is inherited, and poor nutrition, lack of exercise, and pre-diabetes considerably enhance the risk (Becker et al,2018). Type 2 diabetes affects 80-90% of overweight or obese persons. Type 2 diabetes cells become insulin resistant. It reacts by boosting insulin output, despite beta cells tyre. Type 2 diabetes is often treated with modest weight reduction, frequent exercise, and an appropriate diet; nevertheless, uncontrolled fasting blood glucose requires insulin (Misra et al,2018).</w:t>
      </w:r>
    </w:p>
    <w:p>
      <w:pPr>
        <w:pStyle w:val="Body A"/>
        <w:widowControl w:val="0"/>
        <w:spacing w:line="360" w:lineRule="auto"/>
        <w:ind w:right="8"/>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Diabetes causes frequent urination and thirst. They reveal how high blood glucose levels affect renal function. The kidneys remove glucose from the blood (Pankhurst and Cody,2019). Excess glucose in the blood pulls water into the urine, leading the person to excrete a lot of sweet pee. Using body water to dilute pee dehydrates the body, creating excessive thirst. Because the physical cells cannot access the blood glucose, the person may always feel hungry (Misra et al,2018).</w:t>
      </w:r>
    </w:p>
    <w:p>
      <w:pPr>
        <w:pStyle w:val="Heading"/>
        <w:widowControl w:val="0"/>
        <w:spacing w:line="360" w:lineRule="auto"/>
        <w:ind w:right="8"/>
        <w:jc w:val="both"/>
        <w:rPr>
          <w:rStyle w:val="None"/>
          <w:rFonts w:ascii="Times New Roman" w:cs="Times New Roman" w:hAnsi="Times New Roman" w:eastAsia="Times New Roman"/>
        </w:rPr>
      </w:pPr>
      <w:bookmarkStart w:name="_w8i8v39e5i0m" w:id="4"/>
      <w:bookmarkEnd w:id="4"/>
      <w:r>
        <w:rPr>
          <w:rStyle w:val="None"/>
          <w:rFonts w:ascii="Times New Roman" w:hAnsi="Times New Roman"/>
          <w:rtl w:val="0"/>
        </w:rPr>
        <w:t>D</w:t>
      </w:r>
      <w:r>
        <w:rPr>
          <w:rStyle w:val="None"/>
          <w:rFonts w:ascii="Times New Roman" w:hAnsi="Times New Roman"/>
          <w:rtl w:val="0"/>
          <w:lang w:val="en-US"/>
        </w:rPr>
        <w:t xml:space="preserve">ata collected in health and social care </w:t>
      </w:r>
    </w:p>
    <w:p>
      <w:pPr>
        <w:pStyle w:val="Body A"/>
        <w:widowControl w:val="0"/>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Reduce the burden of long-term diabetes difficulties via early detection and treatment and enhance the quality of life of those affected. Assuring that all people with long-term diabetes complications get fast, appropriate, and effective diagnosis and treatment reduces the risk of disability and early mortality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rPr>
        <w:t>).</w:t>
      </w:r>
    </w:p>
    <w:p>
      <w:pPr>
        <w:pStyle w:val="Body A"/>
        <w:widowControl w:val="0"/>
        <w:spacing w:before="200"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Diabetes patients are susceptible to microvascular complications such as retinopathy, nephropathy, and neuropathy, damaging the eyes, kidneys, and nerves. As a consequence, they are more vulnerable to cardiovascular diseases such as coronary heart disease, stroke, and PAD (</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Misra et al,2018</w:t>
      </w:r>
      <w:r>
        <w:rPr>
          <w:rStyle w:val="None"/>
          <w:rFonts w:ascii="Times New Roman" w:hAnsi="Times New Roman"/>
          <w:sz w:val="24"/>
          <w:szCs w:val="24"/>
          <w:rtl w:val="0"/>
          <w:lang w:val="en-US"/>
        </w:rPr>
        <w:t>). Diabetes retinopathy may cause blindness if not detected and treated early. Less visual impairment means more opportunities to use low vision devices, information, psychological support and practical welfare benefits. ACE inhibitors may help people with diabetes with microalbuminuria delay the onset of diabetic nephropathy (</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Misra et al,2018</w:t>
      </w:r>
      <w:r>
        <w:rPr>
          <w:rStyle w:val="None"/>
          <w:rFonts w:ascii="Times New Roman" w:hAnsi="Times New Roman"/>
          <w:sz w:val="24"/>
          <w:szCs w:val="24"/>
          <w:rtl w:val="0"/>
          <w:lang w:val="en-US"/>
        </w:rPr>
        <w:t>). Diabetic kidney damage may be delayed by properly monitoring blood pressure and glucose levels. People with diabetes who develop the cardiovascular disease may benefit from secondary preventative treatments already advised for the general population in the National Service Framework for Coronary Heart Disease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Pankhurst and Cody,2019</w:t>
      </w:r>
      <w:r>
        <w:rPr>
          <w:rStyle w:val="None"/>
          <w:rFonts w:ascii="Times New Roman" w:hAnsi="Times New Roman"/>
          <w:sz w:val="24"/>
          <w:szCs w:val="24"/>
          <w:rtl w:val="0"/>
          <w:lang w:val="en-US"/>
        </w:rPr>
        <w:t>). Also, intensive insulin therapy improves outcomes for people with diabetes who have a heart attack. Diabetes patients often suffer from depression and erectile dysfunction, but frequent monitoring and treatment may help improve their quality of life (</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Misra et al,2018</w:t>
      </w:r>
      <w:r>
        <w:rPr>
          <w:rStyle w:val="None"/>
          <w:rFonts w:ascii="Times New Roman" w:hAnsi="Times New Roman"/>
          <w:sz w:val="24"/>
          <w:szCs w:val="24"/>
          <w:rtl w:val="0"/>
        </w:rPr>
        <w:t>).</w:t>
      </w:r>
    </w:p>
    <w:p>
      <w:pPr>
        <w:pStyle w:val="Body A"/>
        <w:widowControl w:val="0"/>
        <w:spacing w:before="200" w:after="200" w:line="360" w:lineRule="auto"/>
        <w:jc w:val="both"/>
        <w:rPr>
          <w:rStyle w:val="None"/>
          <w:sz w:val="26"/>
          <w:szCs w:val="26"/>
        </w:rPr>
      </w:pPr>
      <w:r>
        <w:rPr>
          <w:rStyle w:val="None"/>
          <w:rFonts w:ascii="Times New Roman" w:hAnsi="Times New Roman"/>
          <w:sz w:val="24"/>
          <w:szCs w:val="24"/>
          <w:rtl w:val="0"/>
          <w:lang w:val="en-US"/>
        </w:rPr>
        <w:t>Regular diabetic retinopathy monitoring and early laser treatment for patients with sight-threatening retinopathy may help prevent vision loss and blindness. Microalbuminuria patients may benefit from ACE inhibitors, which reduce the progression of the illness to diabetic nephropathy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lang w:val="en-US"/>
        </w:rPr>
        <w:t>). Diabetes nephropathy patients with severe blood pressure and glucose control may slow renal function loss and reduce the risk of coronary heart disease. Participation in a foot care programme that offers education, podiatrist services, and protective footwear to people with diabetes may help reduce this risk. Diabetes patients with foot ulcers should be treated promptly to avoid disability and amputation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lang w:val="en-US"/>
        </w:rPr>
        <w:t>). The National Service Framework for Coronary Heart Disease recommends secondary preventive measures for persons with established cardiovascular disease. Intensive insulin therapy reduces mortality in people with type 2 diabetes who suffer a heart attack by 30%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Pankhurst and Cody,2019</w:t>
      </w:r>
      <w:r>
        <w:rPr>
          <w:rStyle w:val="None"/>
          <w:rFonts w:ascii="Times New Roman" w:hAnsi="Times New Roman"/>
          <w:sz w:val="24"/>
          <w:szCs w:val="24"/>
          <w:rtl w:val="0"/>
        </w:rPr>
        <w:t>).</w:t>
      </w:r>
    </w:p>
    <w:p>
      <w:pPr>
        <w:pStyle w:val="Heading"/>
        <w:widowControl w:val="0"/>
        <w:spacing w:line="360" w:lineRule="auto"/>
        <w:ind w:right="8"/>
        <w:jc w:val="both"/>
        <w:rPr>
          <w:rStyle w:val="None"/>
          <w:rFonts w:ascii="Times New Roman" w:cs="Times New Roman" w:hAnsi="Times New Roman" w:eastAsia="Times New Roman"/>
        </w:rPr>
      </w:pPr>
      <w:bookmarkStart w:name="_v2o6wpxaqvv3" w:id="5"/>
      <w:bookmarkEnd w:id="5"/>
      <w:r>
        <w:rPr>
          <w:rStyle w:val="None"/>
          <w:rFonts w:ascii="Times New Roman" w:hAnsi="Times New Roman"/>
          <w:rtl w:val="0"/>
        </w:rPr>
        <w:t>I</w:t>
      </w:r>
      <w:r>
        <w:rPr>
          <w:rStyle w:val="None"/>
          <w:rFonts w:ascii="Times New Roman" w:hAnsi="Times New Roman"/>
          <w:rtl w:val="0"/>
          <w:lang w:val="en-US"/>
        </w:rPr>
        <w:t>mplications for Service Planning</w:t>
      </w:r>
    </w:p>
    <w:p>
      <w:pPr>
        <w:pStyle w:val="Body A"/>
        <w:widowControl w:val="0"/>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In 1991, the WHO Regional Committee for Europe issued the St Vincent Declaration, which set objectives and goals for reducing diabetes. Since then, much has changed. The NHS and its partners will need to reassess local diabetes services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lang w:val="en-US"/>
        </w:rPr>
        <w:t>). Ensure that people with diabetes are regularly monitored for long-term consequences, including those more common in people with diabetes. Implement and evaluate local guidelines for treating people with long-term issues. Primary Care Trusts (PCTs) will lead the way in assessing patient needs, planning and getting services, and improving patient outcomes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Pankhurst and Cody,2019</w:t>
      </w:r>
      <w:r>
        <w:rPr>
          <w:rStyle w:val="None"/>
          <w:rFonts w:ascii="Times New Roman" w:hAnsi="Times New Roman"/>
          <w:sz w:val="24"/>
          <w:szCs w:val="24"/>
          <w:rtl w:val="0"/>
          <w:lang w:val="en-US"/>
        </w:rPr>
        <w:t>). In addition, they will help to coordinate the NHS's efforts with local authorities and other stakeholders. As outlined in the NHS Plan, there are several ways to collaborate in healthcare: between patients, their families, and NHS personnel; between various authorities and the public sector. Volunteers and commercial providers (</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Misra et al,2018</w:t>
      </w:r>
      <w:r>
        <w:rPr>
          <w:rStyle w:val="None"/>
          <w:rFonts w:ascii="Times New Roman" w:hAnsi="Times New Roman"/>
          <w:sz w:val="24"/>
          <w:szCs w:val="24"/>
          <w:rtl w:val="0"/>
          <w:lang w:val="en-US"/>
        </w:rPr>
        <w:t>). The ultimate goal is to deliver patient-centred care.</w:t>
      </w:r>
    </w:p>
    <w:p>
      <w:pPr>
        <w:pStyle w:val="Body A"/>
        <w:widowControl w:val="0"/>
        <w:spacing w:before="200" w:after="200" w:line="360" w:lineRule="auto"/>
        <w:jc w:val="both"/>
        <w:rPr>
          <w:rStyle w:val="None"/>
          <w:sz w:val="26"/>
          <w:szCs w:val="26"/>
        </w:rPr>
      </w:pPr>
      <w:r>
        <w:rPr>
          <w:rStyle w:val="None"/>
          <w:rFonts w:ascii="Times New Roman" w:hAnsi="Times New Roman"/>
          <w:sz w:val="24"/>
          <w:szCs w:val="24"/>
          <w:rtl w:val="0"/>
          <w:lang w:val="en-US"/>
        </w:rPr>
        <w:t>These groups have effectively pushed for a patient-centred approach, including people with diabetes in planning and serving as change agents in places where they have been successful (</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Misra et al,2018</w:t>
      </w:r>
      <w:r>
        <w:rPr>
          <w:rStyle w:val="None"/>
          <w:rFonts w:ascii="Times New Roman" w:hAnsi="Times New Roman"/>
          <w:sz w:val="24"/>
          <w:szCs w:val="24"/>
          <w:rtl w:val="0"/>
          <w:lang w:val="en-US"/>
        </w:rPr>
        <w:t>). Due to the demise of Health Authorities and the upcoming adoption of a diabetes programme, we must assess how such mechanisms may adapt to the new NHS institutions.</w:t>
      </w:r>
    </w:p>
    <w:p>
      <w:pPr>
        <w:pStyle w:val="Heading"/>
        <w:widowControl w:val="0"/>
        <w:spacing w:line="360" w:lineRule="auto"/>
        <w:jc w:val="both"/>
        <w:rPr>
          <w:rStyle w:val="None"/>
          <w:rFonts w:ascii="Times New Roman" w:cs="Times New Roman" w:hAnsi="Times New Roman" w:eastAsia="Times New Roman"/>
        </w:rPr>
      </w:pPr>
      <w:bookmarkStart w:name="_a3crnyy370ac" w:id="6"/>
      <w:bookmarkEnd w:id="6"/>
      <w:r>
        <w:rPr>
          <w:rStyle w:val="None"/>
          <w:rFonts w:ascii="Times New Roman" w:hAnsi="Times New Roman"/>
          <w:rtl w:val="0"/>
        </w:rPr>
        <w:t>C</w:t>
      </w:r>
      <w:r>
        <w:rPr>
          <w:rStyle w:val="None"/>
          <w:rFonts w:ascii="Times New Roman" w:hAnsi="Times New Roman"/>
          <w:rtl w:val="0"/>
          <w:lang w:val="fr-FR"/>
        </w:rPr>
        <w:t xml:space="preserve">onclusion </w:t>
      </w:r>
    </w:p>
    <w:p>
      <w:pPr>
        <w:pStyle w:val="Body A"/>
        <w:widowControl w:val="0"/>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According to the Institute of Medicine, a coordinated system that includes a strong interaction between public health, health care, and the community and non-health sectors might result in improved preventive and treatment results for those who have chronic illnesses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lang w:val="en-US"/>
        </w:rPr>
        <w:t xml:space="preserve">). The goal of public health organisations has typically been to measure population health and socioeconomic factors on health outcomes. </w:t>
      </w:r>
    </w:p>
    <w:p>
      <w:pPr>
        <w:pStyle w:val="Body A"/>
        <w:widowControl w:val="0"/>
        <w:spacing w:before="200" w:after="200"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Patients-centred medical homes and accountable care organisations, on the other hand, emphasise the need of evaluating and improve community health outcomes as a critical component of preventing chronic illness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Peila and Rohan,2020</w:t>
      </w:r>
      <w:r>
        <w:rPr>
          <w:rStyle w:val="None"/>
          <w:rFonts w:ascii="Times New Roman" w:hAnsi="Times New Roman"/>
          <w:sz w:val="24"/>
          <w:szCs w:val="24"/>
          <w:rtl w:val="0"/>
          <w:lang w:val="en-US"/>
        </w:rPr>
        <w:t>). The NHS will create, implement, and track agreed-upon standards and systems of care to ensure that all individuals with long-term diabetic complications get a prompt, appropriate, and effective evaluation and treatment to decrease their risk of impairment and early death. Integrated health and social care will be provided to all persons with diabetes who require multi-agency assistance (</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Chalmers,2019</w:t>
      </w:r>
      <w:r>
        <w:rPr>
          <w:rStyle w:val="None"/>
          <w:rFonts w:ascii="Times New Roman" w:hAnsi="Times New Roman"/>
          <w:sz w:val="24"/>
          <w:szCs w:val="24"/>
          <w:rtl w:val="0"/>
        </w:rPr>
        <w:t>).</w:t>
      </w:r>
    </w:p>
    <w:p>
      <w:pPr>
        <w:pStyle w:val="Heading"/>
        <w:widowControl w:val="0"/>
        <w:spacing w:before="200" w:after="200" w:line="360" w:lineRule="auto"/>
        <w:jc w:val="both"/>
        <w:rPr>
          <w:rStyle w:val="None"/>
          <w:rFonts w:ascii="Times New Roman" w:cs="Times New Roman" w:hAnsi="Times New Roman" w:eastAsia="Times New Roman"/>
          <w:sz w:val="24"/>
          <w:szCs w:val="24"/>
        </w:rPr>
      </w:pPr>
    </w:p>
    <w:p>
      <w:pPr>
        <w:pStyle w:val="Heading"/>
        <w:widowControl w:val="0"/>
        <w:spacing w:before="200" w:after="200" w:line="360" w:lineRule="auto"/>
        <w:jc w:val="both"/>
        <w:rPr>
          <w:rStyle w:val="None"/>
          <w:rFonts w:ascii="Times New Roman" w:cs="Times New Roman" w:hAnsi="Times New Roman" w:eastAsia="Times New Roman"/>
          <w:sz w:val="24"/>
          <w:szCs w:val="24"/>
        </w:rPr>
      </w:pPr>
    </w:p>
    <w:p>
      <w:pPr>
        <w:pStyle w:val="Heading"/>
        <w:widowControl w:val="0"/>
        <w:spacing w:before="200" w:after="200" w:line="360" w:lineRule="auto"/>
        <w:jc w:val="both"/>
        <w:rPr>
          <w:rStyle w:val="None"/>
          <w:rFonts w:ascii="Times New Roman" w:cs="Times New Roman" w:hAnsi="Times New Roman" w:eastAsia="Times New Roman"/>
          <w:sz w:val="24"/>
          <w:szCs w:val="24"/>
        </w:rPr>
      </w:pPr>
    </w:p>
    <w:p>
      <w:pPr>
        <w:pStyle w:val="Heading"/>
        <w:widowControl w:val="0"/>
        <w:spacing w:before="200" w:after="200" w:line="360" w:lineRule="auto"/>
        <w:jc w:val="both"/>
        <w:rPr>
          <w:rStyle w:val="None"/>
          <w:rFonts w:ascii="Times New Roman" w:cs="Times New Roman" w:hAnsi="Times New Roman" w:eastAsia="Times New Roman"/>
          <w:sz w:val="24"/>
          <w:szCs w:val="24"/>
        </w:rPr>
      </w:pPr>
    </w:p>
    <w:p>
      <w:pPr>
        <w:pStyle w:val="Body A"/>
        <w:widowControl w:val="0"/>
        <w:spacing w:after="200" w:line="360" w:lineRule="auto"/>
        <w:jc w:val="both"/>
        <w:rPr>
          <w:rStyle w:val="None"/>
          <w:rFonts w:ascii="Times New Roman" w:cs="Times New Roman" w:hAnsi="Times New Roman" w:eastAsia="Times New Roman"/>
          <w:sz w:val="24"/>
          <w:szCs w:val="24"/>
        </w:rPr>
      </w:pPr>
    </w:p>
    <w:p>
      <w:pPr>
        <w:pStyle w:val="Body A"/>
        <w:widowControl w:val="0"/>
        <w:spacing w:after="200" w:line="360" w:lineRule="auto"/>
        <w:jc w:val="both"/>
        <w:rPr>
          <w:rStyle w:val="None"/>
          <w:rFonts w:ascii="Times New Roman" w:cs="Times New Roman" w:hAnsi="Times New Roman" w:eastAsia="Times New Roman"/>
          <w:sz w:val="24"/>
          <w:szCs w:val="24"/>
        </w:rPr>
      </w:pPr>
    </w:p>
    <w:p>
      <w:pPr>
        <w:pStyle w:val="Heading"/>
        <w:widowControl w:val="0"/>
        <w:spacing w:before="200" w:after="200" w:line="360" w:lineRule="auto"/>
        <w:jc w:val="both"/>
        <w:rPr>
          <w:rStyle w:val="None"/>
          <w:rFonts w:ascii="Times New Roman" w:cs="Times New Roman" w:hAnsi="Times New Roman" w:eastAsia="Times New Roman"/>
        </w:rPr>
      </w:pPr>
      <w:bookmarkStart w:name="_yx3oni8hxlb3" w:id="7"/>
      <w:bookmarkEnd w:id="7"/>
      <w:r>
        <w:rPr>
          <w:rStyle w:val="None"/>
          <w:rFonts w:ascii="Times New Roman" w:hAnsi="Times New Roman"/>
          <w:rtl w:val="0"/>
        </w:rPr>
        <w:t>R</w:t>
      </w:r>
      <w:r>
        <w:rPr>
          <w:rStyle w:val="None"/>
          <w:rFonts w:ascii="Times New Roman" w:hAnsi="Times New Roman"/>
          <w:rtl w:val="0"/>
          <w:lang w:val="fr-FR"/>
        </w:rPr>
        <w:t>eferences</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de-DE"/>
          <w14:textFill>
            <w14:solidFill>
              <w14:srgbClr w14:val="222222"/>
            </w14:solidFill>
          </w14:textFill>
        </w:rPr>
        <w:t>Becker</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w:t>
      </w:r>
      <w:r>
        <w:rPr>
          <w:rStyle w:val="None"/>
          <w:rFonts w:ascii="Times New Roman" w:hAnsi="Times New Roman"/>
          <w:outline w:val="0"/>
          <w:color w:val="222222"/>
          <w:sz w:val="24"/>
          <w:szCs w:val="24"/>
          <w:u w:color="222222"/>
          <w:shd w:val="clear" w:color="auto" w:fill="ffffff"/>
          <w:rtl w:val="0"/>
          <w:lang w:val="de-DE"/>
          <w14:textFill>
            <w14:solidFill>
              <w14:srgbClr w14:val="222222"/>
            </w14:solidFill>
          </w14:textFill>
        </w:rPr>
        <w:t xml:space="preserve"> C., Schneider, C., Aball</w:t>
      </w:r>
      <w:r>
        <w:rPr>
          <w:rStyle w:val="None"/>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é</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a, S., Bailey, C., Bourne, R., Jick, S. and Meier, C., 2018. Cataract in patients with diabetes mellitus</w:t>
      </w:r>
      <w:r>
        <w:rPr>
          <w:rStyle w:val="None"/>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w:t>
      </w: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incidence rates in the UK and risk factors. </w:t>
      </w:r>
      <w:r>
        <w:rPr>
          <w:rStyle w:val="None"/>
          <w:rFonts w:ascii="Times New Roman" w:hAnsi="Times New Roman"/>
          <w:i w:val="1"/>
          <w:iCs w:val="1"/>
          <w:outline w:val="0"/>
          <w:color w:val="222222"/>
          <w:sz w:val="24"/>
          <w:szCs w:val="24"/>
          <w:u w:color="222222"/>
          <w:shd w:val="clear" w:color="auto" w:fill="ffffff"/>
          <w:rtl w:val="0"/>
          <w14:textFill>
            <w14:solidFill>
              <w14:srgbClr w14:val="222222"/>
            </w14:solidFill>
          </w14:textFill>
        </w:rPr>
        <w:t>Eye</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one"/>
          <w:rFonts w:ascii="Times New Roman" w:hAnsi="Times New Roman"/>
          <w:i w:val="1"/>
          <w:iCs w:val="1"/>
          <w:outline w:val="0"/>
          <w:color w:val="222222"/>
          <w:sz w:val="24"/>
          <w:szCs w:val="24"/>
          <w:u w:color="222222"/>
          <w:shd w:val="clear" w:color="auto" w:fill="ffffff"/>
          <w:rtl w:val="0"/>
          <w14:textFill>
            <w14:solidFill>
              <w14:srgbClr w14:val="222222"/>
            </w14:solidFill>
          </w14:textFill>
        </w:rPr>
        <w:t>32</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(6), pp.1028-1035.</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Faulkner, A., Tamiato, A., Cathery, W., Rampin, A., Caravaggi, C.M., Jover, E., Allen, S., Mellor, H., Hauton, D., Heather, L.C. and Spinetti, G., 2020. Dimethyl-2-oxoglutarate improves redox balance and mitochondrial function in muscle pericytes of individuals with diabetes mellitus. </w:t>
      </w:r>
      <w:r>
        <w:rPr>
          <w:rStyle w:val="None"/>
          <w:rFonts w:ascii="Times New Roman" w:hAnsi="Times New Roman"/>
          <w:i w:val="1"/>
          <w:iCs w:val="1"/>
          <w:outline w:val="0"/>
          <w:color w:val="222222"/>
          <w:sz w:val="24"/>
          <w:szCs w:val="24"/>
          <w:u w:color="222222"/>
          <w:shd w:val="clear" w:color="auto" w:fill="ffffff"/>
          <w:rtl w:val="0"/>
          <w:lang w:val="it-IT"/>
          <w14:textFill>
            <w14:solidFill>
              <w14:srgbClr w14:val="222222"/>
            </w14:solidFill>
          </w14:textFill>
        </w:rPr>
        <w:t>Diabetologia</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one"/>
          <w:rFonts w:ascii="Times New Roman" w:hAnsi="Times New Roman"/>
          <w:i w:val="1"/>
          <w:iCs w:val="1"/>
          <w:outline w:val="0"/>
          <w:color w:val="222222"/>
          <w:sz w:val="24"/>
          <w:szCs w:val="24"/>
          <w:u w:color="222222"/>
          <w:shd w:val="clear" w:color="auto" w:fill="ffffff"/>
          <w:rtl w:val="0"/>
          <w14:textFill>
            <w14:solidFill>
              <w14:srgbClr w14:val="222222"/>
            </w14:solidFill>
          </w14:textFill>
        </w:rPr>
        <w:t>63</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(10), pp.2205-2217.</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Peila, R. and Rohan, T.E., 2020. Diabetes, glycated hemoglobin, and risk of cancer in the UK biobank study. </w:t>
      </w:r>
      <w:r>
        <w:rPr>
          <w:rStyle w:val="None"/>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Cancer Epidemiology and Prevention Biomarkers</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one"/>
          <w:rFonts w:ascii="Times New Roman" w:hAnsi="Times New Roman"/>
          <w:i w:val="1"/>
          <w:iCs w:val="1"/>
          <w:outline w:val="0"/>
          <w:color w:val="222222"/>
          <w:sz w:val="24"/>
          <w:szCs w:val="24"/>
          <w:u w:color="222222"/>
          <w:shd w:val="clear" w:color="auto" w:fill="ffffff"/>
          <w:rtl w:val="0"/>
          <w14:textFill>
            <w14:solidFill>
              <w14:srgbClr w14:val="222222"/>
            </w14:solidFill>
          </w14:textFill>
        </w:rPr>
        <w:t>29</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(6), pp.1107-1119.</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Pankhurst, C. and Cody, C., 2019. the Diabetes Foot Interdisciplinary Team. </w:t>
      </w:r>
      <w:r>
        <w:rPr>
          <w:rStyle w:val="None"/>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Limb Salvage of the Diabetic Foot: An Interdisciplinary Approach</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p.89.</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Misra, S., Vedovato, N., Cliff, E., De Franco, E., Hattersley, A.T., Ashcroft, F.M. and Oliver, N.S., 2018. Permanent neonatal diabetes: combining sulfonylureas with insulin may be an effective treatment. </w:t>
      </w:r>
      <w:r>
        <w:rPr>
          <w:rStyle w:val="None"/>
          <w:rFonts w:ascii="Times New Roman" w:hAnsi="Times New Roman"/>
          <w:i w:val="1"/>
          <w:iCs w:val="1"/>
          <w:outline w:val="0"/>
          <w:color w:val="222222"/>
          <w:sz w:val="24"/>
          <w:szCs w:val="24"/>
          <w:u w:color="222222"/>
          <w:shd w:val="clear" w:color="auto" w:fill="ffffff"/>
          <w:rtl w:val="0"/>
          <w14:textFill>
            <w14:solidFill>
              <w14:srgbClr w14:val="222222"/>
            </w14:solidFill>
          </w14:textFill>
        </w:rPr>
        <w:t>Diabetic Medicine</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one"/>
          <w:rFonts w:ascii="Times New Roman" w:hAnsi="Times New Roman"/>
          <w:i w:val="1"/>
          <w:iCs w:val="1"/>
          <w:outline w:val="0"/>
          <w:color w:val="222222"/>
          <w:sz w:val="24"/>
          <w:szCs w:val="24"/>
          <w:u w:color="222222"/>
          <w:shd w:val="clear" w:color="auto" w:fill="ffffff"/>
          <w:rtl w:val="0"/>
          <w14:textFill>
            <w14:solidFill>
              <w14:srgbClr w14:val="222222"/>
            </w14:solidFill>
          </w14:textFill>
        </w:rPr>
        <w:t>35</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(9), pp.1291-1296.</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Chalmers, C., 2019. Applied anatomy and physiology and the renal disease process. </w:t>
      </w:r>
      <w:r>
        <w:rPr>
          <w:rStyle w:val="None"/>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Renal Nursing: Care and Management of People with Kidney Disease</w:t>
      </w: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pp.21-58.</w:t>
      </w:r>
    </w:p>
    <w:p>
      <w:pPr>
        <w:pStyle w:val="Body A"/>
        <w:widowControl w:val="0"/>
        <w:spacing w:after="200" w:line="360" w:lineRule="auto"/>
        <w:jc w:val="both"/>
        <w:rPr>
          <w:rStyle w:val="None"/>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one"/>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p>
    <w:p>
      <w:pPr>
        <w:pStyle w:val="Body A"/>
        <w:widowControl w:val="0"/>
        <w:spacing w:after="200" w:line="360" w:lineRule="auto"/>
        <w:jc w:val="both"/>
      </w:pPr>
      <w:r>
        <w:rPr>
          <w:rStyle w:val="None"/>
          <w:rFonts w:ascii="Arial Unicode MS" w:cs="Arial Unicode MS" w:hAnsi="Arial Unicode MS" w:eastAsia="Arial Unicode MS"/>
          <w:b w:val="0"/>
          <w:bCs w:val="0"/>
          <w:i w:val="0"/>
          <w:iCs w:val="0"/>
        </w:rPr>
        <w:br w:type="page"/>
      </w:r>
    </w:p>
    <w:sectPr>
      <w:headerReference w:type="default" r:id="rId5"/>
      <w:footerReference w:type="default" r:id="rId6"/>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Unicode MS" w:hAnsi="Arial"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b w:val="1"/>
      <w:bCs w:val="1"/>
      <w:sz w:val="28"/>
      <w:szCs w:val="28"/>
      <w:lang w:val="en-US"/>
    </w:rPr>
  </w:style>
  <w:style w:type="character" w:styleId="Hyperlink.1">
    <w:name w:val="Hyperlink.1"/>
    <w:basedOn w:val="None"/>
    <w:next w:val="Hyperlink.1"/>
    <w:rPr>
      <w:rFonts w:ascii="Times New Roman" w:cs="Times New Roman" w:hAnsi="Times New Roman" w:eastAsia="Times New Roman"/>
      <w:b w:val="1"/>
      <w:bCs w:val="1"/>
      <w:sz w:val="28"/>
      <w:szCs w:val="28"/>
      <w:lang w:val="it-IT"/>
    </w:rPr>
  </w:style>
  <w:style w:type="character" w:styleId="Hyperlink.2">
    <w:name w:val="Hyperlink.2"/>
    <w:basedOn w:val="None"/>
    <w:next w:val="Hyperlink.2"/>
    <w:rPr>
      <w:rFonts w:ascii="Times New Roman" w:cs="Times New Roman" w:hAnsi="Times New Roman" w:eastAsia="Times New Roman"/>
      <w:b w:val="1"/>
      <w:bCs w:val="1"/>
      <w:sz w:val="28"/>
      <w:szCs w:val="28"/>
      <w:lang w:val="fr-FR"/>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