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9EB8D" w14:textId="41533F4E" w:rsidR="00847B72" w:rsidRDefault="00847B72">
      <w:pPr>
        <w:rPr>
          <w:b/>
          <w:bCs/>
        </w:rPr>
      </w:pPr>
      <w:r>
        <w:rPr>
          <w:b/>
          <w:bCs/>
        </w:rPr>
        <w:t>Suzanne Ashworth</w:t>
      </w:r>
    </w:p>
    <w:p w14:paraId="63E5417B" w14:textId="77777777" w:rsidR="00847B72" w:rsidRDefault="00847B72">
      <w:pPr>
        <w:rPr>
          <w:b/>
          <w:bCs/>
        </w:rPr>
      </w:pPr>
    </w:p>
    <w:p w14:paraId="2C078E63" w14:textId="11AE399F" w:rsidR="003401CB" w:rsidRPr="00371907" w:rsidRDefault="368A71CD">
      <w:r w:rsidRPr="00371907">
        <w:rPr>
          <w:b/>
          <w:bCs/>
        </w:rPr>
        <w:t>AHLH 7062 Agrarian Experiences</w:t>
      </w:r>
    </w:p>
    <w:p w14:paraId="6C2F082B" w14:textId="0733B5D0" w:rsidR="368A71CD" w:rsidRDefault="368A71CD" w:rsidP="368A71CD">
      <w:pPr>
        <w:rPr>
          <w:b/>
          <w:bCs/>
        </w:rPr>
      </w:pPr>
      <w:r w:rsidRPr="368A71CD">
        <w:rPr>
          <w:b/>
          <w:bCs/>
        </w:rPr>
        <w:t>The 1840s in south-west Wales was a decade of anger, which at times manifested itself in rebellion. Would you agree with many contemporaries and historians who put the unrest firmly at the rural poverty?</w:t>
      </w:r>
    </w:p>
    <w:p w14:paraId="2489F321" w14:textId="3C73F16D" w:rsidR="009B24F8" w:rsidRDefault="368A71CD" w:rsidP="368A71CD">
      <w:r>
        <w:t xml:space="preserve">By the beginning of the 1840s, farm workers </w:t>
      </w:r>
      <w:r w:rsidR="008B44E2">
        <w:t>found</w:t>
      </w:r>
      <w:r>
        <w:t xml:space="preserve"> south-west Wales a challenging place to make a living as the impact of the enclosure of common land, the aftermath of the Napoleonic wars and coming </w:t>
      </w:r>
      <w:r w:rsidRPr="368A71CD">
        <w:t>industrialisation</w:t>
      </w:r>
      <w:r>
        <w:t xml:space="preserve"> made an impact on the traditional way of life</w:t>
      </w:r>
      <w:r w:rsidR="00100103">
        <w:t xml:space="preserve"> and landscape</w:t>
      </w:r>
      <w:r>
        <w:t>.</w:t>
      </w:r>
      <w:r w:rsidR="006E6A2F">
        <w:t xml:space="preserve"> The period of the war had been exceptional for farming as extra supplies were needed and </w:t>
      </w:r>
      <w:r w:rsidR="00E41639">
        <w:t>trade with Europe was restricted, which both benefited Welsh agriculture.</w:t>
      </w:r>
      <w:r w:rsidR="001A2AD7">
        <w:t xml:space="preserve"> However, post-war inflation and bad harvests combined with the failure of the potato crop </w:t>
      </w:r>
      <w:r w:rsidR="00E91860">
        <w:t>soon wiped out this short-lived prosperity.</w:t>
      </w:r>
      <w:r>
        <w:t xml:space="preserve"> Previously, it had been considered that a single man and wife could make a sustainable living with 30-35 acres of land, but the loss in grazing and other common land made this </w:t>
      </w:r>
      <w:r w:rsidR="00DB03B1">
        <w:t xml:space="preserve">difficult. The effect of enclosure was felt most severely by three groups </w:t>
      </w:r>
      <w:r w:rsidR="007F3427">
        <w:t>– small farmer</w:t>
      </w:r>
      <w:r w:rsidR="00E67182">
        <w:t>s</w:t>
      </w:r>
      <w:r w:rsidR="007F3427">
        <w:t>, cottager</w:t>
      </w:r>
      <w:r w:rsidR="00E67182">
        <w:t>s</w:t>
      </w:r>
      <w:r w:rsidR="007F3427">
        <w:t xml:space="preserve"> and those who may previously had been squatters.</w:t>
      </w:r>
      <w:r w:rsidR="00DB03B1">
        <w:t xml:space="preserve"> </w:t>
      </w:r>
      <w:r>
        <w:t xml:space="preserve"> Tenancies had always been for three lifetimes and the change to shorter tenure</w:t>
      </w:r>
      <w:r w:rsidR="00040C54">
        <w:t>s</w:t>
      </w:r>
      <w:r>
        <w:t xml:space="preserve"> increased reluctance to develop new methods</w:t>
      </w:r>
      <w:r w:rsidR="008F57A6">
        <w:t>.</w:t>
      </w:r>
      <w:r>
        <w:t xml:space="preserve"> </w:t>
      </w:r>
      <w:r w:rsidR="008F57A6">
        <w:t>O</w:t>
      </w:r>
      <w:r>
        <w:t xml:space="preserve">nly larger landowners could afford to take </w:t>
      </w:r>
      <w:r w:rsidR="00E67182">
        <w:t>risks</w:t>
      </w:r>
      <w:r>
        <w:t>.</w:t>
      </w:r>
      <w:r w:rsidR="00C4648D">
        <w:t xml:space="preserve"> For others the fragility of their </w:t>
      </w:r>
      <w:r w:rsidR="003573BD">
        <w:t>subsistence could not be jeopardised.</w:t>
      </w:r>
      <w:r>
        <w:t xml:space="preserve"> The growing population added pressure and there had been occasional outbreaks of unrest across south-west Wales. </w:t>
      </w:r>
      <w:r w:rsidR="008F57A6">
        <w:t>With</w:t>
      </w:r>
      <w:r w:rsidR="00625869">
        <w:t xml:space="preserve"> a 50% increase in the rural population </w:t>
      </w:r>
      <w:r w:rsidR="00897299">
        <w:t xml:space="preserve">since 1801 the standard of living </w:t>
      </w:r>
      <w:r w:rsidR="00CF1D21">
        <w:t>fell. In</w:t>
      </w:r>
      <w:r w:rsidR="009B24F8">
        <w:t xml:space="preserve"> </w:t>
      </w:r>
      <w:r w:rsidR="00CF1D21">
        <w:t>addition,</w:t>
      </w:r>
      <w:r w:rsidR="00897299">
        <w:t xml:space="preserve"> hardships experienced by small farmers were exacerbated by the weaknesses and unfairness of the legal </w:t>
      </w:r>
      <w:r w:rsidR="00D17BC2">
        <w:t>system. Banks</w:t>
      </w:r>
      <w:r>
        <w:t xml:space="preserve"> were being cautious, and the price of staple foodstuffs had increased, exacerbated by a series of poor harvests and hard winters. Potato crops failed and the dependence on barley or wheat for bread grew. In 1831 the Ground Game Act meant that country people also lost their right to kill the rabbits and hares feeding on their crops.</w:t>
      </w:r>
    </w:p>
    <w:p w14:paraId="7BB3E30B" w14:textId="3E80EF41" w:rsidR="00DB03B1" w:rsidRPr="00DB03B1" w:rsidRDefault="00DB03B1" w:rsidP="368A71CD">
      <w:pPr>
        <w:rPr>
          <w:b/>
          <w:bCs/>
        </w:rPr>
      </w:pPr>
      <w:r>
        <w:rPr>
          <w:b/>
          <w:bCs/>
        </w:rPr>
        <w:t xml:space="preserve"> </w:t>
      </w:r>
      <w:r w:rsidR="368A71CD">
        <w:t xml:space="preserve">The 1834 Poor Law Amendment Act, which transferred the care of the poor and destitute to the workhouses </w:t>
      </w:r>
      <w:r w:rsidR="008F57A6">
        <w:t>from</w:t>
      </w:r>
      <w:r w:rsidR="368A71CD">
        <w:t xml:space="preserve"> the parish was unpopular.</w:t>
      </w:r>
      <w:r w:rsidR="005B15D6">
        <w:t xml:space="preserve"> The public enquiry that had </w:t>
      </w:r>
      <w:r w:rsidR="00CF1D21">
        <w:t>investigated</w:t>
      </w:r>
      <w:r w:rsidR="005B15D6">
        <w:t xml:space="preserve"> alternatives to the parish system of relief had determined that</w:t>
      </w:r>
      <w:r w:rsidR="007A6C19">
        <w:t xml:space="preserve"> the so-called ‘Speenhamland system’ of allowances to supplement wages</w:t>
      </w:r>
      <w:r w:rsidR="007F6A8B">
        <w:t xml:space="preserve"> did not encourage self-sufficiency</w:t>
      </w:r>
      <w:r w:rsidR="00695B3F">
        <w:t xml:space="preserve"> amongst the poor. </w:t>
      </w:r>
      <w:r w:rsidR="00BF4B00">
        <w:t>If people were really desparate they would go into the workhouse, but only as a last resort</w:t>
      </w:r>
      <w:r w:rsidR="00F4001F">
        <w:t>.</w:t>
      </w:r>
      <w:r w:rsidR="005B15D6">
        <w:t xml:space="preserve"> </w:t>
      </w:r>
      <w:r w:rsidR="368A71CD">
        <w:t>There was less work</w:t>
      </w:r>
      <w:r w:rsidR="00650C35">
        <w:t xml:space="preserve"> </w:t>
      </w:r>
      <w:r w:rsidR="368A71CD">
        <w:t>in agriculture after the war years too. The main exports of butter and livestock had reduced in price.</w:t>
      </w:r>
      <w:r w:rsidR="009363A8">
        <w:t xml:space="preserve"> The weather </w:t>
      </w:r>
      <w:r w:rsidR="004D2A1D">
        <w:t xml:space="preserve">always had an impact on the fortunes of farmers, but there was now the added pressure from </w:t>
      </w:r>
      <w:r w:rsidR="009643A7">
        <w:t xml:space="preserve">the uncertainties of early industrialization – the remote regions of south-west Wales </w:t>
      </w:r>
      <w:r w:rsidR="00AD6AF1">
        <w:t>were ill-prepared to turn this to their advantage.</w:t>
      </w:r>
    </w:p>
    <w:p w14:paraId="1AD72AE9" w14:textId="23D3B577" w:rsidR="00C61996" w:rsidRDefault="368A71CD" w:rsidP="368A71CD">
      <w:pPr>
        <w:rPr>
          <w:b/>
          <w:bCs/>
        </w:rPr>
      </w:pPr>
      <w:r>
        <w:t xml:space="preserve"> Local magistrates were causing resentment, especially as most did not speak Welsh </w:t>
      </w:r>
      <w:r w:rsidR="00F4001F">
        <w:t>in an area where</w:t>
      </w:r>
      <w:r>
        <w:t xml:space="preserve"> most were monoglot Welsh speakers.</w:t>
      </w:r>
      <w:r w:rsidR="00852EBE">
        <w:t xml:space="preserve"> Corruption was rife.</w:t>
      </w:r>
      <w:r w:rsidR="00DB03B1">
        <w:t xml:space="preserve"> Local law enforcement was in the hands of the JPs, who were usually also members of the gentry – many were not really concerned about their role and its impact and misused their powers. Attendance</w:t>
      </w:r>
      <w:r w:rsidR="00C61996">
        <w:t xml:space="preserve"> for duties</w:t>
      </w:r>
      <w:r w:rsidR="00DB03B1">
        <w:t xml:space="preserve"> was poor, particularly during harvest times and</w:t>
      </w:r>
      <w:r w:rsidR="00C61996">
        <w:t>,</w:t>
      </w:r>
      <w:r w:rsidR="00DB03B1">
        <w:t xml:space="preserve"> in some places, Fishguard for example, there was widespread disregard for petty offences.</w:t>
      </w:r>
      <w:r>
        <w:t xml:space="preserve"> There was a misunderstanding too of the unusual structure of the communication systems within the scattered hamlets and farms of the south-west – people came together over the work pattern of the </w:t>
      </w:r>
      <w:r>
        <w:lastRenderedPageBreak/>
        <w:t>agricultural year and each farmhouse was</w:t>
      </w:r>
      <w:r w:rsidR="009E663B">
        <w:t xml:space="preserve"> a</w:t>
      </w:r>
      <w:r>
        <w:t xml:space="preserve"> social centre. For many decades the peoples of rural south-west Wales were regarded, in the words of </w:t>
      </w:r>
      <w:sdt>
        <w:sdtPr>
          <w:rPr>
            <w:b/>
            <w:bCs/>
          </w:rPr>
          <w:id w:val="-1013226014"/>
          <w:citation/>
        </w:sdtPr>
        <w:sdtEndPr/>
        <w:sdtContent>
          <w:r w:rsidR="0073749A">
            <w:rPr>
              <w:b/>
              <w:bCs/>
            </w:rPr>
            <w:fldChar w:fldCharType="begin"/>
          </w:r>
          <w:r w:rsidR="0073749A">
            <w:rPr>
              <w:b/>
              <w:bCs/>
            </w:rPr>
            <w:instrText xml:space="preserve"> CITATION Pre89 \l 2057 </w:instrText>
          </w:r>
          <w:r w:rsidR="0073749A">
            <w:rPr>
              <w:b/>
              <w:bCs/>
            </w:rPr>
            <w:fldChar w:fldCharType="separate"/>
          </w:r>
          <w:r w:rsidR="00E70A4A" w:rsidRPr="00E70A4A">
            <w:rPr>
              <w:noProof/>
            </w:rPr>
            <w:t>(Pretty, 1989)</w:t>
          </w:r>
          <w:r w:rsidR="0073749A">
            <w:rPr>
              <w:b/>
              <w:bCs/>
            </w:rPr>
            <w:fldChar w:fldCharType="end"/>
          </w:r>
        </w:sdtContent>
      </w:sdt>
      <w:r w:rsidR="00650C35">
        <w:rPr>
          <w:rStyle w:val="FootnoteReference"/>
          <w:b/>
          <w:bCs/>
        </w:rPr>
        <w:footnoteReference w:id="1"/>
      </w:r>
    </w:p>
    <w:p w14:paraId="7F3CE254" w14:textId="31C66A80" w:rsidR="00C61996" w:rsidRDefault="0073749A" w:rsidP="003C0DC6">
      <w:pPr>
        <w:ind w:left="720"/>
        <w:rPr>
          <w:bCs/>
        </w:rPr>
      </w:pPr>
      <w:r>
        <w:rPr>
          <w:b/>
          <w:bCs/>
        </w:rPr>
        <w:t xml:space="preserve"> </w:t>
      </w:r>
      <w:r w:rsidR="00CF1D21">
        <w:rPr>
          <w:b/>
          <w:bCs/>
        </w:rPr>
        <w:t>...</w:t>
      </w:r>
      <w:r w:rsidRPr="00D17BC2">
        <w:rPr>
          <w:bCs/>
        </w:rPr>
        <w:t>an inferior, impotent and cheap labour force at the call of their masters.</w:t>
      </w:r>
    </w:p>
    <w:p w14:paraId="36054A31" w14:textId="4C8B5B06" w:rsidR="368A71CD" w:rsidRDefault="00D17BC2" w:rsidP="368A71CD">
      <w:pPr>
        <w:rPr>
          <w:bCs/>
        </w:rPr>
      </w:pPr>
      <w:r w:rsidRPr="00D17BC2">
        <w:rPr>
          <w:bCs/>
        </w:rPr>
        <w:t xml:space="preserve"> </w:t>
      </w:r>
      <w:r w:rsidR="00E57D44">
        <w:rPr>
          <w:bCs/>
        </w:rPr>
        <w:t>Compared to the rest of Britain, estates in Wales were usually small</w:t>
      </w:r>
      <w:r w:rsidR="001824BF">
        <w:rPr>
          <w:bCs/>
        </w:rPr>
        <w:t xml:space="preserve"> and owned by members of the gentry who were allied to the Anglican church</w:t>
      </w:r>
      <w:r w:rsidR="009E663B">
        <w:rPr>
          <w:bCs/>
        </w:rPr>
        <w:t>,</w:t>
      </w:r>
      <w:r w:rsidR="001824BF">
        <w:rPr>
          <w:bCs/>
        </w:rPr>
        <w:t xml:space="preserve"> and often run by English agents – the </w:t>
      </w:r>
      <w:r w:rsidR="00662867">
        <w:rPr>
          <w:bCs/>
        </w:rPr>
        <w:t>relationship with the Nonconformist labouring class was under strain by this time.</w:t>
      </w:r>
      <w:r w:rsidR="00005430">
        <w:rPr>
          <w:bCs/>
        </w:rPr>
        <w:t xml:space="preserve"> The Welsh Land Commission itself identified the issue with </w:t>
      </w:r>
      <w:r w:rsidR="00D60515">
        <w:rPr>
          <w:bCs/>
        </w:rPr>
        <w:t xml:space="preserve">the changes in land structures for the peasants of south-west Wales in the following </w:t>
      </w:r>
      <w:r w:rsidR="00CF1D21">
        <w:rPr>
          <w:bCs/>
        </w:rPr>
        <w:t>terms: -</w:t>
      </w:r>
    </w:p>
    <w:p w14:paraId="2A934C5F" w14:textId="3526F25A" w:rsidR="002870FF" w:rsidRPr="00D17BC2" w:rsidRDefault="002870FF" w:rsidP="002870FF">
      <w:pPr>
        <w:ind w:left="720"/>
        <w:rPr>
          <w:bCs/>
        </w:rPr>
      </w:pPr>
      <w:r>
        <w:rPr>
          <w:bCs/>
        </w:rPr>
        <w:t>…those who have been brought up on the land had a kind of moral right</w:t>
      </w:r>
      <w:r w:rsidR="007C6C9D">
        <w:rPr>
          <w:bCs/>
        </w:rPr>
        <w:t xml:space="preserve"> to have a means of obtaining a livelihood throughout life. The land they regarded as the natural home of the people</w:t>
      </w:r>
      <w:r w:rsidR="00CE53C8">
        <w:rPr>
          <w:bCs/>
        </w:rPr>
        <w:t xml:space="preserve"> and the process of consolidation was tantamount to disinheritance.</w:t>
      </w:r>
      <w:r w:rsidR="00650C35">
        <w:rPr>
          <w:rStyle w:val="FootnoteReference"/>
          <w:bCs/>
        </w:rPr>
        <w:footnoteReference w:id="2"/>
      </w:r>
    </w:p>
    <w:p w14:paraId="73D8A32E" w14:textId="27F64FBC" w:rsidR="007C352F" w:rsidRDefault="00371907" w:rsidP="368A71CD">
      <w:pPr>
        <w:rPr>
          <w:bCs/>
        </w:rPr>
      </w:pPr>
      <w:r>
        <w:rPr>
          <w:bCs/>
        </w:rPr>
        <w:t xml:space="preserve">The deference and mutual respect between the landowners and farmers </w:t>
      </w:r>
      <w:r w:rsidR="008F57A6">
        <w:rPr>
          <w:bCs/>
        </w:rPr>
        <w:t>broke</w:t>
      </w:r>
      <w:r>
        <w:rPr>
          <w:bCs/>
        </w:rPr>
        <w:t xml:space="preserve"> down as more incoming English estate owners handed over management to agents and there was less likelihood of abatements in rents being allowed during hard times.</w:t>
      </w:r>
      <w:r w:rsidR="00852EBE">
        <w:rPr>
          <w:bCs/>
        </w:rPr>
        <w:t xml:space="preserve"> There seemed to no longer be any appreciation of the fact that the ability to meet all charges was reliant upon the agricultural economy.</w:t>
      </w:r>
      <w:r>
        <w:rPr>
          <w:bCs/>
        </w:rPr>
        <w:t xml:space="preserve"> Tithe charges increased with growing resentment about having to pay these to the Anglican </w:t>
      </w:r>
      <w:r w:rsidR="00CF1D21">
        <w:rPr>
          <w:bCs/>
        </w:rPr>
        <w:t>church,</w:t>
      </w:r>
      <w:r>
        <w:rPr>
          <w:bCs/>
        </w:rPr>
        <w:t xml:space="preserve"> when most of those having to pay were practicing non-Conformists. Village life seemed to some to have changed forever</w:t>
      </w:r>
      <w:r w:rsidR="00852EBE">
        <w:rPr>
          <w:bCs/>
        </w:rPr>
        <w:t>, and the links between all those involved at all levels had broken down – differences in wealth, culture, language and politics was more obvious.</w:t>
      </w:r>
      <w:r w:rsidR="00DB03B1">
        <w:rPr>
          <w:bCs/>
        </w:rPr>
        <w:t xml:space="preserve"> Tenants felt insecure and </w:t>
      </w:r>
      <w:r w:rsidR="001B7765">
        <w:rPr>
          <w:bCs/>
        </w:rPr>
        <w:t xml:space="preserve">began to believe </w:t>
      </w:r>
      <w:r w:rsidR="00DB03B1">
        <w:rPr>
          <w:bCs/>
        </w:rPr>
        <w:t>that the landowners were even keeping prices artificially high.</w:t>
      </w:r>
      <w:r>
        <w:rPr>
          <w:bCs/>
        </w:rPr>
        <w:t xml:space="preserve"> </w:t>
      </w:r>
      <w:r w:rsidR="007F3427">
        <w:rPr>
          <w:bCs/>
        </w:rPr>
        <w:t xml:space="preserve">No longer was the established practice of payment in kind such as fuel, garden </w:t>
      </w:r>
      <w:r w:rsidR="00CF1D21">
        <w:rPr>
          <w:bCs/>
        </w:rPr>
        <w:t>space and</w:t>
      </w:r>
      <w:r w:rsidR="007F3427">
        <w:rPr>
          <w:bCs/>
        </w:rPr>
        <w:t xml:space="preserve"> low rents so common to ensure farm workers could manage. Food</w:t>
      </w:r>
      <w:r>
        <w:rPr>
          <w:bCs/>
        </w:rPr>
        <w:t xml:space="preserve"> riots had occurred with those starving perceiving that </w:t>
      </w:r>
      <w:r w:rsidR="00852EBE">
        <w:rPr>
          <w:bCs/>
        </w:rPr>
        <w:t xml:space="preserve">landowners were hoarding supplies and failing to respond to local dearth. Protests in Carmarthen had centred around the new measuring tool for </w:t>
      </w:r>
      <w:r w:rsidR="00CF1D21">
        <w:rPr>
          <w:bCs/>
        </w:rPr>
        <w:t>corn,</w:t>
      </w:r>
      <w:r w:rsidR="00852EBE">
        <w:rPr>
          <w:bCs/>
        </w:rPr>
        <w:t xml:space="preserve"> called the Winchester.</w:t>
      </w:r>
      <w:r w:rsidR="00BD1A63">
        <w:rPr>
          <w:bCs/>
        </w:rPr>
        <w:t xml:space="preserve"> Prices had risen for barley, oats and </w:t>
      </w:r>
      <w:r w:rsidR="005F101E">
        <w:rPr>
          <w:bCs/>
        </w:rPr>
        <w:t>potatoes, which increased levels of starvation amongst the rural poor.</w:t>
      </w:r>
      <w:r w:rsidR="00852EBE">
        <w:rPr>
          <w:bCs/>
        </w:rPr>
        <w:t xml:space="preserve"> As mentioned above, the introduction of the workhouse for those in dire need was widely loathed and an extreme reluctance to go into them prevailed.</w:t>
      </w:r>
      <w:r w:rsidR="007F3427">
        <w:rPr>
          <w:bCs/>
        </w:rPr>
        <w:t xml:space="preserve"> During hard times in the past, the parishes had sustained many by giving out flour, subsidized bread or funds from the local rates.</w:t>
      </w:r>
      <w:r w:rsidR="00733698">
        <w:rPr>
          <w:bCs/>
        </w:rPr>
        <w:t xml:space="preserve"> Even in the best of the </w:t>
      </w:r>
      <w:r w:rsidR="00CF1D21">
        <w:rPr>
          <w:bCs/>
        </w:rPr>
        <w:t>workhouses</w:t>
      </w:r>
      <w:r w:rsidR="00733698">
        <w:rPr>
          <w:bCs/>
        </w:rPr>
        <w:t xml:space="preserve"> inmates were subject to </w:t>
      </w:r>
      <w:r w:rsidR="00F337B5">
        <w:rPr>
          <w:bCs/>
        </w:rPr>
        <w:t xml:space="preserve">a bleak existence with poor diet, grindingly relentless </w:t>
      </w:r>
      <w:r w:rsidR="00F04289">
        <w:rPr>
          <w:bCs/>
        </w:rPr>
        <w:t>work and separation from their families – couple</w:t>
      </w:r>
      <w:r w:rsidR="008F57A6">
        <w:rPr>
          <w:bCs/>
        </w:rPr>
        <w:t>s</w:t>
      </w:r>
      <w:r w:rsidR="00F04289">
        <w:rPr>
          <w:bCs/>
        </w:rPr>
        <w:t xml:space="preserve"> were not allowed to be together unless over 60 and children were taken from their mothers from 2 years of age.</w:t>
      </w:r>
      <w:r w:rsidR="00D22CF6">
        <w:rPr>
          <w:bCs/>
        </w:rPr>
        <w:t xml:space="preserve"> </w:t>
      </w:r>
      <w:r w:rsidR="00EE0B19">
        <w:rPr>
          <w:bCs/>
        </w:rPr>
        <w:t>Uniformity</w:t>
      </w:r>
      <w:r w:rsidR="001C5BE6">
        <w:rPr>
          <w:bCs/>
        </w:rPr>
        <w:t xml:space="preserve">, cruelty and </w:t>
      </w:r>
      <w:r w:rsidR="00EE0B19">
        <w:rPr>
          <w:bCs/>
        </w:rPr>
        <w:t xml:space="preserve">loss of dignity were aimed to dissuade the poor from lingering in the workhouse or entering </w:t>
      </w:r>
      <w:r w:rsidR="0064451A">
        <w:rPr>
          <w:bCs/>
        </w:rPr>
        <w:t>lightly.</w:t>
      </w:r>
    </w:p>
    <w:p w14:paraId="3EC2A60D" w14:textId="3B97CF9D" w:rsidR="00E053E9" w:rsidRDefault="0064451A" w:rsidP="368A71CD">
      <w:pPr>
        <w:rPr>
          <w:bCs/>
        </w:rPr>
      </w:pPr>
      <w:r>
        <w:rPr>
          <w:bCs/>
        </w:rPr>
        <w:t xml:space="preserve"> The</w:t>
      </w:r>
      <w:r w:rsidR="00852EBE">
        <w:rPr>
          <w:bCs/>
        </w:rPr>
        <w:t xml:space="preserve"> tollgates along many roads were an even more unpopular new challenge – often run by English incomers and making unreasonable charges for every trip backwards and forwards</w:t>
      </w:r>
      <w:r w:rsidR="007C352F">
        <w:rPr>
          <w:bCs/>
        </w:rPr>
        <w:t xml:space="preserve"> -</w:t>
      </w:r>
      <w:r w:rsidR="00852EBE">
        <w:rPr>
          <w:bCs/>
        </w:rPr>
        <w:t xml:space="preserve"> this was yet another financial burden for the struggling small farmer. </w:t>
      </w:r>
      <w:r w:rsidR="00DB03B1">
        <w:rPr>
          <w:bCs/>
        </w:rPr>
        <w:t>Regular trips</w:t>
      </w:r>
      <w:r w:rsidR="007C352F">
        <w:rPr>
          <w:bCs/>
        </w:rPr>
        <w:t xml:space="preserve"> to and </w:t>
      </w:r>
      <w:r w:rsidR="00CF1D21">
        <w:rPr>
          <w:bCs/>
        </w:rPr>
        <w:t>from</w:t>
      </w:r>
      <w:r w:rsidR="00DB03B1">
        <w:rPr>
          <w:bCs/>
        </w:rPr>
        <w:t xml:space="preserve"> with lime-carts for fertilizing crops were the most frequent journey and this toll was unaffordable. The</w:t>
      </w:r>
      <w:r w:rsidR="00852EBE">
        <w:rPr>
          <w:bCs/>
        </w:rPr>
        <w:t xml:space="preserve"> income generated from a tollgate was considerable and those collecting the fees usually had a house provided too. </w:t>
      </w:r>
      <w:r w:rsidR="00DB03B1">
        <w:rPr>
          <w:bCs/>
        </w:rPr>
        <w:t>Few actual improvements to roads were evident, causing further unhappiness</w:t>
      </w:r>
      <w:r w:rsidR="00DB72B4">
        <w:rPr>
          <w:bCs/>
        </w:rPr>
        <w:t xml:space="preserve"> and limiting the positive impact on trade for farmers.</w:t>
      </w:r>
      <w:r w:rsidR="0015797C">
        <w:rPr>
          <w:bCs/>
        </w:rPr>
        <w:t xml:space="preserve"> </w:t>
      </w:r>
      <w:r w:rsidR="00DB03B1">
        <w:rPr>
          <w:bCs/>
        </w:rPr>
        <w:t>The</w:t>
      </w:r>
      <w:r w:rsidR="00852EBE">
        <w:rPr>
          <w:bCs/>
        </w:rPr>
        <w:t xml:space="preserve"> demands of the increased rates, taxes, tithes and rents was too </w:t>
      </w:r>
      <w:r w:rsidR="00CF1D21">
        <w:rPr>
          <w:bCs/>
        </w:rPr>
        <w:t>much</w:t>
      </w:r>
      <w:r w:rsidR="008F57A6">
        <w:rPr>
          <w:bCs/>
        </w:rPr>
        <w:t>.</w:t>
      </w:r>
      <w:r w:rsidR="00DB03B1">
        <w:rPr>
          <w:bCs/>
        </w:rPr>
        <w:t xml:space="preserve"> A Poor Law Commission in the 1830s had found that many families in south-west Wales lacked even the </w:t>
      </w:r>
      <w:r w:rsidR="00DB03B1">
        <w:rPr>
          <w:bCs/>
        </w:rPr>
        <w:lastRenderedPageBreak/>
        <w:t xml:space="preserve">most basic income sufficient to survive. </w:t>
      </w:r>
      <w:r w:rsidR="00E053E9">
        <w:rPr>
          <w:bCs/>
        </w:rPr>
        <w:t>In the 1700s the economist Adam Smith had defined true poverty as</w:t>
      </w:r>
    </w:p>
    <w:p w14:paraId="391E8C07" w14:textId="64DA55CD" w:rsidR="00920BDF" w:rsidRDefault="00920BDF" w:rsidP="00920BDF">
      <w:pPr>
        <w:ind w:left="720"/>
        <w:rPr>
          <w:bCs/>
        </w:rPr>
      </w:pPr>
      <w:r>
        <w:rPr>
          <w:bCs/>
        </w:rPr>
        <w:t>The absence of the necessities of life – not only the commodities which are indispensably</w:t>
      </w:r>
      <w:r w:rsidR="004B7F62">
        <w:rPr>
          <w:bCs/>
        </w:rPr>
        <w:t xml:space="preserve"> necessary for the support of life, but whatever the custom of the country renders it indecent for creditable people</w:t>
      </w:r>
      <w:r w:rsidR="004E776D">
        <w:rPr>
          <w:bCs/>
        </w:rPr>
        <w:t>, even of the lowest order, to be without.</w:t>
      </w:r>
      <w:sdt>
        <w:sdtPr>
          <w:rPr>
            <w:bCs/>
          </w:rPr>
          <w:id w:val="789475280"/>
          <w:citation/>
        </w:sdtPr>
        <w:sdtEndPr/>
        <w:sdtContent>
          <w:r w:rsidR="004E776D">
            <w:rPr>
              <w:bCs/>
            </w:rPr>
            <w:fldChar w:fldCharType="begin"/>
          </w:r>
          <w:r w:rsidR="004E776D">
            <w:rPr>
              <w:bCs/>
            </w:rPr>
            <w:instrText xml:space="preserve"> CITATION Pet99 \l 2057 </w:instrText>
          </w:r>
          <w:r w:rsidR="004E776D">
            <w:rPr>
              <w:bCs/>
            </w:rPr>
            <w:fldChar w:fldCharType="separate"/>
          </w:r>
          <w:r w:rsidR="00E70A4A">
            <w:rPr>
              <w:bCs/>
              <w:noProof/>
            </w:rPr>
            <w:t xml:space="preserve"> </w:t>
          </w:r>
          <w:r w:rsidR="00E70A4A" w:rsidRPr="00E70A4A">
            <w:rPr>
              <w:noProof/>
            </w:rPr>
            <w:t>(Murray, 1999)</w:t>
          </w:r>
          <w:r w:rsidR="004E776D">
            <w:rPr>
              <w:bCs/>
            </w:rPr>
            <w:fldChar w:fldCharType="end"/>
          </w:r>
        </w:sdtContent>
      </w:sdt>
      <w:r w:rsidR="006C1CA2">
        <w:rPr>
          <w:rStyle w:val="FootnoteReference"/>
          <w:bCs/>
        </w:rPr>
        <w:footnoteReference w:id="3"/>
      </w:r>
    </w:p>
    <w:p w14:paraId="6F31E721" w14:textId="2C5F8010" w:rsidR="00371907" w:rsidRDefault="00915A8C" w:rsidP="368A71CD">
      <w:pPr>
        <w:rPr>
          <w:bCs/>
        </w:rPr>
      </w:pPr>
      <w:r>
        <w:rPr>
          <w:bCs/>
        </w:rPr>
        <w:t>Parochial reports from this time recorded that the customary diet for the people of south-west Wales consisted of bread, a little cheese, potatoes, porridge</w:t>
      </w:r>
      <w:r w:rsidR="00DC29F3">
        <w:rPr>
          <w:bCs/>
        </w:rPr>
        <w:t xml:space="preserve"> and a thick flummery made from coarse oatmeal. Consumption of meat was a rare treat.</w:t>
      </w:r>
      <w:r w:rsidR="0015797C">
        <w:rPr>
          <w:bCs/>
        </w:rPr>
        <w:t xml:space="preserve"> </w:t>
      </w:r>
      <w:r w:rsidR="00DB03B1">
        <w:rPr>
          <w:bCs/>
        </w:rPr>
        <w:t>Bankruptcies were increasing</w:t>
      </w:r>
      <w:r w:rsidR="007F3427">
        <w:rPr>
          <w:bCs/>
        </w:rPr>
        <w:t xml:space="preserve"> and opportunities to gain a toehold on owning land were rare. The combination of rent increases, shortened leases, farm consolidations and enclosures had completely changed the rural economy’s structure. </w:t>
      </w:r>
      <w:r w:rsidR="003B26B7">
        <w:rPr>
          <w:bCs/>
        </w:rPr>
        <w:t xml:space="preserve">Workers had no choice but to accept market forces and </w:t>
      </w:r>
      <w:r w:rsidR="00006BD5">
        <w:rPr>
          <w:bCs/>
        </w:rPr>
        <w:t xml:space="preserve">seek any means to keep out of the workhouse. </w:t>
      </w:r>
      <w:r w:rsidR="00A429A2">
        <w:rPr>
          <w:bCs/>
        </w:rPr>
        <w:t xml:space="preserve">For hard-working families there was a fear of being incarcerated with the worst </w:t>
      </w:r>
      <w:r w:rsidR="00175BAB">
        <w:rPr>
          <w:bCs/>
        </w:rPr>
        <w:t xml:space="preserve">sort of people and of being judged harshly by </w:t>
      </w:r>
      <w:r w:rsidR="000A725F">
        <w:rPr>
          <w:bCs/>
        </w:rPr>
        <w:t>society. Those</w:t>
      </w:r>
      <w:r w:rsidR="00006BD5">
        <w:rPr>
          <w:bCs/>
        </w:rPr>
        <w:t xml:space="preserve"> who had previously administered the relief still often had a say in the </w:t>
      </w:r>
      <w:r w:rsidR="00284CBB">
        <w:rPr>
          <w:bCs/>
        </w:rPr>
        <w:t>new Boards of Guardians, so corruption was not eliminated either.</w:t>
      </w:r>
      <w:r w:rsidR="00377F76">
        <w:rPr>
          <w:bCs/>
        </w:rPr>
        <w:t xml:space="preserve"> Some MPs such as William Cobbett opposed the new Poor Law, but it </w:t>
      </w:r>
      <w:r w:rsidR="00B12506">
        <w:rPr>
          <w:bCs/>
        </w:rPr>
        <w:t xml:space="preserve">was passed quite </w:t>
      </w:r>
      <w:r w:rsidR="00EA11C6">
        <w:rPr>
          <w:bCs/>
        </w:rPr>
        <w:t>easily. The</w:t>
      </w:r>
      <w:r w:rsidR="00DD2798">
        <w:rPr>
          <w:bCs/>
        </w:rPr>
        <w:t xml:space="preserve"> prevailing view was that poverty was often due to personal failure</w:t>
      </w:r>
      <w:r w:rsidR="00BD6BCC">
        <w:rPr>
          <w:bCs/>
        </w:rPr>
        <w:t xml:space="preserve">; </w:t>
      </w:r>
      <w:r w:rsidR="009F1AE3">
        <w:rPr>
          <w:bCs/>
        </w:rPr>
        <w:t>people should help themselves</w:t>
      </w:r>
      <w:r w:rsidR="00EA11C6">
        <w:rPr>
          <w:bCs/>
        </w:rPr>
        <w:t xml:space="preserve"> and that giving the poor more resources would not resolve the issue.</w:t>
      </w:r>
      <w:r w:rsidR="00B12506">
        <w:rPr>
          <w:bCs/>
        </w:rPr>
        <w:t xml:space="preserve"> Implementation proved more </w:t>
      </w:r>
      <w:r w:rsidR="00CF1D21">
        <w:rPr>
          <w:bCs/>
        </w:rPr>
        <w:t>difficult,</w:t>
      </w:r>
      <w:r w:rsidR="00B12506">
        <w:rPr>
          <w:bCs/>
        </w:rPr>
        <w:t xml:space="preserve"> which led to even greater poverty while the new systems were being established</w:t>
      </w:r>
      <w:r w:rsidR="001775A3">
        <w:rPr>
          <w:bCs/>
        </w:rPr>
        <w:t xml:space="preserve"> and less people were deemed eligible for help.</w:t>
      </w:r>
      <w:r w:rsidR="00C307D4">
        <w:rPr>
          <w:bCs/>
        </w:rPr>
        <w:t xml:space="preserve"> </w:t>
      </w:r>
      <w:r w:rsidR="00F61124">
        <w:rPr>
          <w:bCs/>
        </w:rPr>
        <w:t>Outdoor relief did reappear in some areas.</w:t>
      </w:r>
    </w:p>
    <w:p w14:paraId="5704E0A5" w14:textId="16552180" w:rsidR="00EC1AAF" w:rsidRPr="00D261C4" w:rsidRDefault="006314E9" w:rsidP="368A71CD">
      <w:pPr>
        <w:rPr>
          <w:bCs/>
        </w:rPr>
      </w:pPr>
      <w:r>
        <w:rPr>
          <w:bCs/>
        </w:rPr>
        <w:t xml:space="preserve">In May 1849 it all came to a head </w:t>
      </w:r>
      <w:r w:rsidR="001F4283">
        <w:rPr>
          <w:bCs/>
        </w:rPr>
        <w:t>with</w:t>
      </w:r>
      <w:r>
        <w:rPr>
          <w:bCs/>
        </w:rPr>
        <w:t xml:space="preserve"> the first attack on the tollgate at </w:t>
      </w:r>
      <w:proofErr w:type="spellStart"/>
      <w:r>
        <w:rPr>
          <w:bCs/>
        </w:rPr>
        <w:t>Efailwen</w:t>
      </w:r>
      <w:proofErr w:type="spellEnd"/>
      <w:r>
        <w:rPr>
          <w:bCs/>
        </w:rPr>
        <w:t>, closely followed by another on gates at Llanboidy.</w:t>
      </w:r>
      <w:r w:rsidR="009B2DFB">
        <w:rPr>
          <w:bCs/>
        </w:rPr>
        <w:t xml:space="preserve"> The tollgate keeper here was Thomas Bullin, an Englishman and the attack was led by a local farmer named later as Thomas Rees.</w:t>
      </w:r>
      <w:r w:rsidR="00D261C4">
        <w:rPr>
          <w:bCs/>
        </w:rPr>
        <w:t xml:space="preserve"> Acting out a scene from the </w:t>
      </w:r>
      <w:r w:rsidR="00C01ACE">
        <w:rPr>
          <w:bCs/>
        </w:rPr>
        <w:t>B</w:t>
      </w:r>
      <w:r w:rsidR="00D261C4">
        <w:rPr>
          <w:bCs/>
        </w:rPr>
        <w:t xml:space="preserve">ible involving Rebecca and her children, those </w:t>
      </w:r>
      <w:r w:rsidR="00171490">
        <w:rPr>
          <w:bCs/>
        </w:rPr>
        <w:t>protesting</w:t>
      </w:r>
      <w:r w:rsidR="00D261C4">
        <w:rPr>
          <w:bCs/>
        </w:rPr>
        <w:t xml:space="preserve"> wore women’s clothes and had their faces disguised. Where</w:t>
      </w:r>
      <w:r>
        <w:rPr>
          <w:bCs/>
        </w:rPr>
        <w:t xml:space="preserve"> did the name of Rebecca originate from as the leader of the riots? In Genesis Chapter 24 verse 60 it states that people should “possess the gates of those who hate them” and this is generally believed to be the source, particularly as the foremost attacks were on the loathed tollgates. Despite its later success and spread there was no written manifesto or political affiliation attached to the “children” of Rebecca. The use of gender reversal and disguise linked clearly to the </w:t>
      </w:r>
      <w:r w:rsidR="00CF1D21">
        <w:rPr>
          <w:bCs/>
        </w:rPr>
        <w:t>long-held</w:t>
      </w:r>
      <w:r>
        <w:rPr>
          <w:bCs/>
        </w:rPr>
        <w:t xml:space="preserve"> practice of rough music and community judgement of ill-doers. With faces blackened with blackberry juice, the protagonists were hard to identify and could then easily disassociate themselves from the actions when needed – such as in chapel, for example.</w:t>
      </w:r>
      <w:r w:rsidR="00D261C4">
        <w:rPr>
          <w:bCs/>
        </w:rPr>
        <w:t xml:space="preserve"> Dating back to the </w:t>
      </w:r>
      <w:proofErr w:type="spellStart"/>
      <w:r w:rsidR="00D261C4">
        <w:rPr>
          <w:bCs/>
          <w:i/>
        </w:rPr>
        <w:t>ceffyl</w:t>
      </w:r>
      <w:proofErr w:type="spellEnd"/>
      <w:r w:rsidR="00D261C4">
        <w:rPr>
          <w:bCs/>
          <w:i/>
        </w:rPr>
        <w:t xml:space="preserve"> </w:t>
      </w:r>
      <w:proofErr w:type="spellStart"/>
      <w:r w:rsidR="00D261C4">
        <w:rPr>
          <w:bCs/>
          <w:i/>
        </w:rPr>
        <w:t>pren</w:t>
      </w:r>
      <w:proofErr w:type="spellEnd"/>
      <w:r w:rsidR="00D261C4">
        <w:rPr>
          <w:bCs/>
          <w:i/>
        </w:rPr>
        <w:t xml:space="preserve"> </w:t>
      </w:r>
      <w:r w:rsidR="00D261C4">
        <w:rPr>
          <w:bCs/>
        </w:rPr>
        <w:t>local justice carried out across West Wales using a wooden prop and accompanied with rough music, the Rebecca riots followed traditional patterns.</w:t>
      </w:r>
      <w:r w:rsidR="00EC1AAF">
        <w:rPr>
          <w:bCs/>
        </w:rPr>
        <w:t xml:space="preserve"> The person taking the role of Rebecca herself often rode a white horse. It was later established that many of those involved had come from parishes most </w:t>
      </w:r>
      <w:r w:rsidR="00CF1D21">
        <w:rPr>
          <w:bCs/>
        </w:rPr>
        <w:t>affected by</w:t>
      </w:r>
      <w:r w:rsidR="00EC1AAF">
        <w:rPr>
          <w:bCs/>
        </w:rPr>
        <w:t xml:space="preserve"> the enclosures. Armed with guns, swords, scythes, pitchforks, saws, hatchets and whatever they could get hold of the crowds often numbered between 50 – </w:t>
      </w:r>
      <w:r w:rsidR="00CF1D21">
        <w:rPr>
          <w:bCs/>
        </w:rPr>
        <w:t>100 but</w:t>
      </w:r>
      <w:r w:rsidR="00EC1AAF">
        <w:rPr>
          <w:bCs/>
        </w:rPr>
        <w:t xml:space="preserve"> followed a similar structure at each attack and were at pains to demonstrate authority and order.</w:t>
      </w:r>
      <w:r w:rsidR="009B2DFB">
        <w:rPr>
          <w:bCs/>
        </w:rPr>
        <w:t xml:space="preserve"> The first attack at Efailwen was followed up with more as the gates were reinstated until the Whitland Turnpike Trust gave in and removed the gates on 23</w:t>
      </w:r>
      <w:r w:rsidR="009B2DFB" w:rsidRPr="009B2DFB">
        <w:rPr>
          <w:bCs/>
          <w:vertAlign w:val="superscript"/>
        </w:rPr>
        <w:t>rd</w:t>
      </w:r>
      <w:r w:rsidR="009B2DFB">
        <w:rPr>
          <w:bCs/>
        </w:rPr>
        <w:t xml:space="preserve"> July, after the presence of soldiers had failed to protect them.</w:t>
      </w:r>
    </w:p>
    <w:p w14:paraId="63A865C2" w14:textId="4AF87A30" w:rsidR="00D261C4" w:rsidRDefault="009B2DFB" w:rsidP="368A71CD">
      <w:pPr>
        <w:rPr>
          <w:bCs/>
        </w:rPr>
      </w:pPr>
      <w:r>
        <w:rPr>
          <w:bCs/>
        </w:rPr>
        <w:lastRenderedPageBreak/>
        <w:t>In 1842 targets included gates at St Clears, Pwll-trap, Trevaughan and again at St Clears. As</w:t>
      </w:r>
      <w:r w:rsidR="00D261C4">
        <w:rPr>
          <w:bCs/>
        </w:rPr>
        <w:t xml:space="preserve"> attacks increased, marines were called in from Pembroke Dock and Castlemartin to restore order. The movement rapidly grew, sustained by mass meetings</w:t>
      </w:r>
      <w:r w:rsidR="00EC1AAF">
        <w:rPr>
          <w:bCs/>
        </w:rPr>
        <w:t xml:space="preserve"> with planned notices and clear discussions</w:t>
      </w:r>
      <w:r w:rsidR="00D261C4">
        <w:rPr>
          <w:bCs/>
        </w:rPr>
        <w:t>, incendiarism, violence and even murder</w:t>
      </w:r>
      <w:r w:rsidR="002214CC">
        <w:rPr>
          <w:bCs/>
        </w:rPr>
        <w:t>.</w:t>
      </w:r>
      <w:r w:rsidR="00D261C4">
        <w:rPr>
          <w:bCs/>
        </w:rPr>
        <w:t xml:space="preserve"> Rebecca and her followers did not only focus on the injustices of the tollgates, rents and tithes, but </w:t>
      </w:r>
      <w:r w:rsidR="00CF1D21">
        <w:rPr>
          <w:bCs/>
        </w:rPr>
        <w:t>also acted</w:t>
      </w:r>
      <w:r w:rsidR="00D261C4">
        <w:rPr>
          <w:bCs/>
        </w:rPr>
        <w:t xml:space="preserve"> as a moral guardian tackling issues such as abandoned single parents and domestic abuse.</w:t>
      </w:r>
      <w:r w:rsidR="009766DD">
        <w:rPr>
          <w:bCs/>
        </w:rPr>
        <w:t xml:space="preserve"> The Rebeccaites issued frequent warning letters to local people, such as one on 16</w:t>
      </w:r>
      <w:r w:rsidR="009766DD" w:rsidRPr="009766DD">
        <w:rPr>
          <w:bCs/>
          <w:vertAlign w:val="superscript"/>
        </w:rPr>
        <w:t>th</w:t>
      </w:r>
      <w:r w:rsidR="009766DD">
        <w:rPr>
          <w:bCs/>
        </w:rPr>
        <w:t xml:space="preserve"> December 1842 to the residents of St Clears warning about forthcoming repeat attacks on a tollgate </w:t>
      </w:r>
      <w:sdt>
        <w:sdtPr>
          <w:rPr>
            <w:bCs/>
          </w:rPr>
          <w:id w:val="480203269"/>
          <w:citation/>
        </w:sdtPr>
        <w:sdtEndPr/>
        <w:sdtContent>
          <w:r w:rsidR="009766DD">
            <w:rPr>
              <w:bCs/>
            </w:rPr>
            <w:fldChar w:fldCharType="begin"/>
          </w:r>
          <w:r w:rsidR="009766DD">
            <w:rPr>
              <w:bCs/>
            </w:rPr>
            <w:instrText xml:space="preserve"> CITATION Nat42 \l 2057 </w:instrText>
          </w:r>
          <w:r w:rsidR="009766DD">
            <w:rPr>
              <w:bCs/>
            </w:rPr>
            <w:fldChar w:fldCharType="separate"/>
          </w:r>
          <w:r w:rsidR="009766DD" w:rsidRPr="009766DD">
            <w:rPr>
              <w:noProof/>
            </w:rPr>
            <w:t>(Anon., 1842)</w:t>
          </w:r>
          <w:r w:rsidR="009766DD">
            <w:rPr>
              <w:bCs/>
            </w:rPr>
            <w:fldChar w:fldCharType="end"/>
          </w:r>
        </w:sdtContent>
      </w:sdt>
      <w:r w:rsidR="009766DD">
        <w:rPr>
          <w:rStyle w:val="FootnoteReference"/>
          <w:bCs/>
        </w:rPr>
        <w:footnoteReference w:id="4"/>
      </w:r>
      <w:r w:rsidR="00D261C4">
        <w:rPr>
          <w:bCs/>
        </w:rPr>
        <w:t xml:space="preserve"> </w:t>
      </w:r>
      <w:r w:rsidR="009766DD">
        <w:rPr>
          <w:bCs/>
        </w:rPr>
        <w:t>. Illustrations and photographs of incidents show men in disguise and numbers of quite young boys involved too.</w:t>
      </w:r>
      <w:r w:rsidR="008F57A6">
        <w:rPr>
          <w:bCs/>
        </w:rPr>
        <w:t xml:space="preserve"> </w:t>
      </w:r>
      <w:r w:rsidR="00D261C4">
        <w:rPr>
          <w:bCs/>
        </w:rPr>
        <w:t xml:space="preserve">Crops were damaged and plants maimed in some incidents and the landowners were seen as supporting the changes made by the Poor Law amendments. Intimidation was often used, culminating in the renowned attack on Carmarthen workhouse in June 1843. After this event 1000 troops were </w:t>
      </w:r>
      <w:r w:rsidR="00CF1D21">
        <w:rPr>
          <w:bCs/>
        </w:rPr>
        <w:t>posted,</w:t>
      </w:r>
      <w:r w:rsidR="00D261C4">
        <w:rPr>
          <w:bCs/>
        </w:rPr>
        <w:t xml:space="preserve"> and 150 metropolitan police sent to south-west Wales. Law enforcement was previously </w:t>
      </w:r>
      <w:r w:rsidR="00CF1D21">
        <w:rPr>
          <w:bCs/>
        </w:rPr>
        <w:t>inadequate,</w:t>
      </w:r>
      <w:r w:rsidR="00D261C4">
        <w:rPr>
          <w:bCs/>
        </w:rPr>
        <w:t xml:space="preserve"> and the government had been called upon for help frequently after each of Rebecca’s riots.</w:t>
      </w:r>
      <w:r w:rsidR="00EC1AAF">
        <w:rPr>
          <w:bCs/>
        </w:rPr>
        <w:t xml:space="preserve"> During the period from 1842 – 3 250 tollgates had been wrecked and eventually a response to the demands had to be given. Most attacks had taken place in Carmarthenshire, with some </w:t>
      </w:r>
      <w:r w:rsidR="008D2916">
        <w:rPr>
          <w:bCs/>
        </w:rPr>
        <w:t xml:space="preserve">occurring </w:t>
      </w:r>
      <w:r w:rsidR="00EC1AAF">
        <w:rPr>
          <w:bCs/>
        </w:rPr>
        <w:t>in north Pembrokeshire and Cardiganshire.</w:t>
      </w:r>
    </w:p>
    <w:p w14:paraId="7C48FD4E" w14:textId="0A51A068" w:rsidR="009B2DFB" w:rsidRDefault="009B2DFB" w:rsidP="368A71CD">
      <w:pPr>
        <w:rPr>
          <w:bCs/>
        </w:rPr>
      </w:pPr>
      <w:r>
        <w:rPr>
          <w:bCs/>
        </w:rPr>
        <w:t xml:space="preserve">In 1839 about 40 occurrences took place and these included </w:t>
      </w:r>
      <w:r w:rsidR="004F6654">
        <w:rPr>
          <w:bCs/>
        </w:rPr>
        <w:t>such</w:t>
      </w:r>
      <w:r>
        <w:rPr>
          <w:bCs/>
        </w:rPr>
        <w:t xml:space="preserve"> diverse activities as assaulting bailiffs, police officers, burning workhouse buildings, destroying tollgates and hedges and scaring witnesses. There was then a lull until it became apparent there was little change and new outbreaks began – 14 in 1842 and 263 during the year after. The infantry and ca</w:t>
      </w:r>
      <w:r w:rsidR="0036022D">
        <w:rPr>
          <w:bCs/>
        </w:rPr>
        <w:t>val</w:t>
      </w:r>
      <w:r>
        <w:rPr>
          <w:bCs/>
        </w:rPr>
        <w:t>ry were sent in after the workhouse attack and the government enquiry commenced in July, reporting its findings the following years.</w:t>
      </w:r>
      <w:r w:rsidR="009D6CB6">
        <w:rPr>
          <w:rStyle w:val="FootnoteReference"/>
          <w:bCs/>
        </w:rPr>
        <w:footnoteReference w:id="5"/>
      </w:r>
      <w:r>
        <w:rPr>
          <w:bCs/>
        </w:rPr>
        <w:t xml:space="preserve"> Trials took place of arrested ringleaders in December 1843.</w:t>
      </w:r>
    </w:p>
    <w:p w14:paraId="46B458BC" w14:textId="77FF7B7F" w:rsidR="00EC1AAF" w:rsidRDefault="00EC1AAF" w:rsidP="368A71CD">
      <w:pPr>
        <w:rPr>
          <w:bCs/>
        </w:rPr>
      </w:pPr>
      <w:r>
        <w:rPr>
          <w:bCs/>
        </w:rPr>
        <w:t>A correspondent</w:t>
      </w:r>
      <w:r w:rsidR="003376E2">
        <w:rPr>
          <w:bCs/>
        </w:rPr>
        <w:t>, Thomas Campbell Foster,</w:t>
      </w:r>
      <w:r>
        <w:rPr>
          <w:bCs/>
        </w:rPr>
        <w:t xml:space="preserve"> from The Times was among many of the media sent to report on the riots and the events became top news items nationally. At </w:t>
      </w:r>
      <w:r w:rsidR="00CF1D21">
        <w:rPr>
          <w:bCs/>
        </w:rPr>
        <w:t>first,</w:t>
      </w:r>
      <w:r>
        <w:rPr>
          <w:bCs/>
        </w:rPr>
        <w:t xml:space="preserve"> he described the west Welsh </w:t>
      </w:r>
      <w:r w:rsidR="00CF1D21">
        <w:rPr>
          <w:bCs/>
        </w:rPr>
        <w:t>as: -</w:t>
      </w:r>
      <w:r>
        <w:rPr>
          <w:bCs/>
        </w:rPr>
        <w:t xml:space="preserve"> “…a morose, vindictive and dangerous population.”</w:t>
      </w:r>
      <w:r w:rsidR="003376E2">
        <w:rPr>
          <w:bCs/>
        </w:rPr>
        <w:t xml:space="preserve"> However, by June 1843 he had been completely changed in his opinions and </w:t>
      </w:r>
      <w:r w:rsidR="00CF1D21">
        <w:rPr>
          <w:bCs/>
        </w:rPr>
        <w:t>wrote: -</w:t>
      </w:r>
    </w:p>
    <w:p w14:paraId="4FE7E0B9" w14:textId="687187E7" w:rsidR="003376E2" w:rsidRPr="00D01D65" w:rsidRDefault="003376E2" w:rsidP="00984BF4">
      <w:pPr>
        <w:ind w:left="720"/>
        <w:rPr>
          <w:bCs/>
        </w:rPr>
      </w:pPr>
      <w:r>
        <w:rPr>
          <w:bCs/>
          <w:i/>
        </w:rPr>
        <w:t>In Carmarthenshire, Pembrokeshire and Cardiganshire, the Rebeccaites traverse the country from end to end and level the gates and commit other outrages with perfect impunity</w:t>
      </w:r>
      <w:r w:rsidR="00CF1D21">
        <w:rPr>
          <w:bCs/>
          <w:i/>
        </w:rPr>
        <w:t>…. every</w:t>
      </w:r>
      <w:commentRangeStart w:id="0"/>
      <w:commentRangeEnd w:id="0"/>
      <w:r w:rsidR="00CF1D21">
        <w:rPr>
          <w:rStyle w:val="CommentReference"/>
        </w:rPr>
        <w:commentReference w:id="0"/>
      </w:r>
      <w:r>
        <w:rPr>
          <w:bCs/>
          <w:i/>
        </w:rPr>
        <w:t xml:space="preserve"> person I spoke to sympathized with the rioters</w:t>
      </w:r>
      <w:r w:rsidR="00CF1D21">
        <w:rPr>
          <w:bCs/>
          <w:i/>
        </w:rPr>
        <w:t>….</w:t>
      </w:r>
      <w:r w:rsidR="00CF1D21">
        <w:rPr>
          <w:bCs/>
        </w:rPr>
        <w:t xml:space="preserve"> he</w:t>
      </w:r>
      <w:r w:rsidR="00D01D65">
        <w:rPr>
          <w:bCs/>
        </w:rPr>
        <w:t xml:space="preserve"> also pointed out that a stretch of only 19 miles of road had 11 toll gates.</w:t>
      </w:r>
      <w:r w:rsidR="009D6CB6">
        <w:rPr>
          <w:rStyle w:val="FootnoteReference"/>
          <w:bCs/>
        </w:rPr>
        <w:footnoteReference w:id="6"/>
      </w:r>
    </w:p>
    <w:p w14:paraId="579EC581" w14:textId="47065CBA" w:rsidR="00E46112" w:rsidRDefault="00BF588D" w:rsidP="368A71CD">
      <w:pPr>
        <w:rPr>
          <w:bCs/>
        </w:rPr>
      </w:pPr>
      <w:sdt>
        <w:sdtPr>
          <w:rPr>
            <w:bCs/>
          </w:rPr>
          <w:id w:val="1952118017"/>
          <w:citation/>
        </w:sdtPr>
        <w:sdtEndPr/>
        <w:sdtContent>
          <w:r w:rsidR="00EC1AAF">
            <w:rPr>
              <w:bCs/>
            </w:rPr>
            <w:fldChar w:fldCharType="begin"/>
          </w:r>
          <w:r w:rsidR="00EC1AAF">
            <w:rPr>
              <w:bCs/>
            </w:rPr>
            <w:instrText xml:space="preserve"> CITATION Rus051 \l 2057 </w:instrText>
          </w:r>
          <w:r w:rsidR="00EC1AAF">
            <w:rPr>
              <w:bCs/>
            </w:rPr>
            <w:fldChar w:fldCharType="separate"/>
          </w:r>
          <w:r w:rsidR="00E70A4A" w:rsidRPr="00E70A4A">
            <w:rPr>
              <w:noProof/>
            </w:rPr>
            <w:t>(Davies, 2005)</w:t>
          </w:r>
          <w:r w:rsidR="00EC1AAF">
            <w:rPr>
              <w:bCs/>
            </w:rPr>
            <w:fldChar w:fldCharType="end"/>
          </w:r>
        </w:sdtContent>
      </w:sdt>
      <w:r w:rsidR="00EC1AAF">
        <w:rPr>
          <w:bCs/>
        </w:rPr>
        <w:t xml:space="preserve"> </w:t>
      </w:r>
      <w:r w:rsidR="009B2DFB">
        <w:rPr>
          <w:bCs/>
        </w:rPr>
        <w:t xml:space="preserve">summed up the Rebecca Riots as </w:t>
      </w:r>
      <w:r w:rsidR="00CF1D21">
        <w:rPr>
          <w:bCs/>
        </w:rPr>
        <w:t>having:</w:t>
      </w:r>
    </w:p>
    <w:p w14:paraId="3683FAA7" w14:textId="1E98C3E8" w:rsidR="00EC1AAF" w:rsidRPr="00371907" w:rsidRDefault="009B2DFB" w:rsidP="00E46112">
      <w:pPr>
        <w:ind w:left="720"/>
        <w:rPr>
          <w:bCs/>
        </w:rPr>
      </w:pPr>
      <w:r w:rsidRPr="009B2DFB">
        <w:rPr>
          <w:bCs/>
          <w:i/>
        </w:rPr>
        <w:t>advanced this tradition of protest into an astute political movement in which the Carmarthen Chartist and solicitor, Hugh Williams, was influential.</w:t>
      </w:r>
      <w:r w:rsidR="009D6CB6">
        <w:rPr>
          <w:rStyle w:val="FootnoteReference"/>
          <w:bCs/>
          <w:i/>
        </w:rPr>
        <w:footnoteReference w:id="7"/>
      </w:r>
    </w:p>
    <w:p w14:paraId="532E04CA" w14:textId="151A8ED1" w:rsidR="00692589" w:rsidRDefault="00861284" w:rsidP="368A71CD">
      <w:pPr>
        <w:rPr>
          <w:bCs/>
        </w:rPr>
      </w:pPr>
      <w:r>
        <w:rPr>
          <w:bCs/>
        </w:rPr>
        <w:t>The peoples of south-west Wales at this time were accustomed to lively</w:t>
      </w:r>
      <w:r w:rsidR="00BA05EB">
        <w:rPr>
          <w:bCs/>
        </w:rPr>
        <w:t xml:space="preserve"> gatherings to celebrate, share, fight</w:t>
      </w:r>
      <w:r w:rsidR="00E46112">
        <w:rPr>
          <w:bCs/>
        </w:rPr>
        <w:t xml:space="preserve"> or</w:t>
      </w:r>
      <w:r w:rsidR="00BA05EB">
        <w:rPr>
          <w:bCs/>
        </w:rPr>
        <w:t xml:space="preserve"> censure</w:t>
      </w:r>
      <w:r w:rsidR="00E46112">
        <w:rPr>
          <w:bCs/>
        </w:rPr>
        <w:t>,</w:t>
      </w:r>
      <w:r w:rsidR="00BA05EB">
        <w:rPr>
          <w:bCs/>
        </w:rPr>
        <w:t xml:space="preserve"> and </w:t>
      </w:r>
      <w:r w:rsidR="00E46112">
        <w:rPr>
          <w:bCs/>
        </w:rPr>
        <w:t xml:space="preserve">thus </w:t>
      </w:r>
      <w:r w:rsidR="00BA05EB">
        <w:rPr>
          <w:bCs/>
        </w:rPr>
        <w:t xml:space="preserve">the Rebecca Riots could be regarded as the natural manner to express the desparate passions invoked by the agricultural situation at the time. </w:t>
      </w:r>
      <w:r w:rsidR="00112E1D">
        <w:rPr>
          <w:bCs/>
        </w:rPr>
        <w:t xml:space="preserve">The connection with the scriptures was also unsurprising as the Welsh were well-versed in their </w:t>
      </w:r>
      <w:r w:rsidR="0058418C">
        <w:rPr>
          <w:bCs/>
        </w:rPr>
        <w:t>bibles. There</w:t>
      </w:r>
      <w:r w:rsidR="00BA05EB">
        <w:rPr>
          <w:bCs/>
        </w:rPr>
        <w:t xml:space="preserve"> </w:t>
      </w:r>
      <w:r w:rsidR="001A0AC1">
        <w:rPr>
          <w:bCs/>
        </w:rPr>
        <w:t xml:space="preserve">seemed to </w:t>
      </w:r>
      <w:r w:rsidR="00CF1D21">
        <w:rPr>
          <w:bCs/>
        </w:rPr>
        <w:t>be no</w:t>
      </w:r>
      <w:r w:rsidR="00BA05EB">
        <w:rPr>
          <w:bCs/>
        </w:rPr>
        <w:t xml:space="preserve"> other route </w:t>
      </w:r>
      <w:r w:rsidR="00BA05EB">
        <w:rPr>
          <w:bCs/>
        </w:rPr>
        <w:lastRenderedPageBreak/>
        <w:t xml:space="preserve">to resolve or publicise the issues of the day. The erosion of the paternal protection of the landowners was gone and, in their turn, the wealthy classes had lost their trust in the peasantry. The general depression that had fallen over rural life and growing mechanization and unemployment had ensured the traditional inertia has disappeared. Another interesting factor was the involvement of women in the movement. </w:t>
      </w:r>
      <w:sdt>
        <w:sdtPr>
          <w:rPr>
            <w:bCs/>
          </w:rPr>
          <w:id w:val="9415708"/>
          <w:citation/>
        </w:sdtPr>
        <w:sdtEndPr/>
        <w:sdtContent>
          <w:r w:rsidR="00BA05EB">
            <w:rPr>
              <w:bCs/>
            </w:rPr>
            <w:fldChar w:fldCharType="begin"/>
          </w:r>
          <w:r w:rsidR="00BA05EB">
            <w:rPr>
              <w:bCs/>
            </w:rPr>
            <w:instrText xml:space="preserve"> CITATION Ang11 \l 2057 </w:instrText>
          </w:r>
          <w:r w:rsidR="00BA05EB">
            <w:rPr>
              <w:bCs/>
            </w:rPr>
            <w:fldChar w:fldCharType="separate"/>
          </w:r>
          <w:r w:rsidR="00E70A4A" w:rsidRPr="00E70A4A">
            <w:rPr>
              <w:noProof/>
            </w:rPr>
            <w:t>(John, 2011)</w:t>
          </w:r>
          <w:r w:rsidR="00BA05EB">
            <w:rPr>
              <w:bCs/>
            </w:rPr>
            <w:fldChar w:fldCharType="end"/>
          </w:r>
        </w:sdtContent>
      </w:sdt>
      <w:r w:rsidR="009D6CB6">
        <w:rPr>
          <w:rStyle w:val="FootnoteReference"/>
          <w:bCs/>
        </w:rPr>
        <w:footnoteReference w:id="8"/>
      </w:r>
      <w:r w:rsidR="00BA05EB">
        <w:rPr>
          <w:bCs/>
        </w:rPr>
        <w:t xml:space="preserve"> </w:t>
      </w:r>
      <w:r w:rsidR="00EE1EA1">
        <w:rPr>
          <w:bCs/>
        </w:rPr>
        <w:t>. Women</w:t>
      </w:r>
      <w:r w:rsidR="00BA05EB">
        <w:rPr>
          <w:bCs/>
        </w:rPr>
        <w:t xml:space="preserve"> </w:t>
      </w:r>
      <w:bookmarkStart w:id="1" w:name="_GoBack"/>
      <w:bookmarkEnd w:id="1"/>
      <w:r w:rsidR="00BA05EB">
        <w:rPr>
          <w:bCs/>
        </w:rPr>
        <w:t>had played a lead role in culture, community and loyalty so it was natural that they were actively involved in public displays and the demonstrations. The lack of a middle class in rural Wales could also be a contributory influence, particularly since the previous relationship between the rich and the labouring poor had broken down.</w:t>
      </w:r>
      <w:r w:rsidR="00A956DF">
        <w:rPr>
          <w:bCs/>
        </w:rPr>
        <w:t xml:space="preserve"> Unlike the rest of the UK, this area was still mainly dependent on agriculture. The long-suffering frugality and resilience hid a darker side of suicide and family problems – child mortality was </w:t>
      </w:r>
      <w:r w:rsidR="00CF1D21">
        <w:rPr>
          <w:bCs/>
        </w:rPr>
        <w:t>high,</w:t>
      </w:r>
      <w:r w:rsidR="00A956DF">
        <w:rPr>
          <w:bCs/>
        </w:rPr>
        <w:t xml:space="preserve"> and the community was well used to keeping its secrets, so the unknown organisers of the Rebecca riots were almost impossible for outsiders to identify. These uprisings were a simple way to extend existing practices and incorporated many issues beyond the tollgate issue. Observers remarked on the customary </w:t>
      </w:r>
      <w:r w:rsidR="00CF1D21">
        <w:rPr>
          <w:bCs/>
        </w:rPr>
        <w:t>restraint,</w:t>
      </w:r>
      <w:r w:rsidR="00A956DF">
        <w:rPr>
          <w:bCs/>
        </w:rPr>
        <w:t xml:space="preserve"> with some exceptions, of the attacks and that apologies and reparations were given when things did get out of hand and the “wrong” people had suffered. </w:t>
      </w:r>
      <w:r w:rsidR="004C5224">
        <w:rPr>
          <w:bCs/>
        </w:rPr>
        <w:t>Only one murder was eventually attributed to the Rebecca rioters</w:t>
      </w:r>
      <w:r w:rsidR="008A1FF8">
        <w:rPr>
          <w:bCs/>
        </w:rPr>
        <w:t xml:space="preserve">, that of the tollgate keeper at </w:t>
      </w:r>
      <w:r w:rsidR="00CF1D21">
        <w:rPr>
          <w:bCs/>
        </w:rPr>
        <w:t>Hendy in</w:t>
      </w:r>
      <w:r w:rsidR="008A1FF8">
        <w:rPr>
          <w:bCs/>
        </w:rPr>
        <w:t xml:space="preserve"> September 1843. </w:t>
      </w:r>
      <w:r w:rsidR="00A956DF">
        <w:rPr>
          <w:bCs/>
        </w:rPr>
        <w:t xml:space="preserve">One statement attributed to Rebecca </w:t>
      </w:r>
      <w:r w:rsidR="00CF1D21">
        <w:rPr>
          <w:bCs/>
        </w:rPr>
        <w:t>was:</w:t>
      </w:r>
      <w:r w:rsidR="00A956DF">
        <w:rPr>
          <w:bCs/>
        </w:rPr>
        <w:t xml:space="preserve"> </w:t>
      </w:r>
      <w:r w:rsidR="00A956DF">
        <w:rPr>
          <w:bCs/>
          <w:i/>
        </w:rPr>
        <w:t>I am to arise to every tyranny and oppression.</w:t>
      </w:r>
      <w:r w:rsidR="00A956DF">
        <w:rPr>
          <w:bCs/>
        </w:rPr>
        <w:t xml:space="preserve"> The movement was upholding the true laws and rights owed to the people. Over half the riots were not even linked to the tollgates and Rebecca sought to improve all aspects of the peasants’ lives – poverty, debt, land, families and natural justice. Impoverished female servants, abandoned pregnant girls and others hard done by were supported by Rebecca and her “children”. At all costs the aim was to keep everyone safe, fed and out of the workhouse.</w:t>
      </w:r>
      <w:r w:rsidR="00112E1D">
        <w:rPr>
          <w:bCs/>
        </w:rPr>
        <w:t xml:space="preserve"> The </w:t>
      </w:r>
      <w:proofErr w:type="gramStart"/>
      <w:r w:rsidR="00112E1D">
        <w:rPr>
          <w:bCs/>
        </w:rPr>
        <w:t>rioters</w:t>
      </w:r>
      <w:proofErr w:type="gramEnd"/>
      <w:r w:rsidR="00112E1D">
        <w:rPr>
          <w:bCs/>
        </w:rPr>
        <w:t xml:space="preserve"> regular meetings were well-informed and engaged people in lengthy debates leading to clear</w:t>
      </w:r>
      <w:r w:rsidR="004F6654">
        <w:rPr>
          <w:bCs/>
        </w:rPr>
        <w:t>ly</w:t>
      </w:r>
      <w:r w:rsidR="00112E1D">
        <w:rPr>
          <w:bCs/>
        </w:rPr>
        <w:t xml:space="preserve"> stated aims and objectives. A meeting held at Trelech, for example, listed their demands </w:t>
      </w:r>
      <w:r w:rsidR="00CF1D21">
        <w:rPr>
          <w:bCs/>
        </w:rPr>
        <w:t>as:</w:t>
      </w:r>
      <w:r w:rsidR="00112E1D">
        <w:rPr>
          <w:bCs/>
        </w:rPr>
        <w:t xml:space="preserve"> changes in tolls, changes to the Poor Law, tithe reductions, rents to be lowered, better magistrates, trading and full franchise. For the rural poor it was protest and make life better in </w:t>
      </w:r>
      <w:r w:rsidR="00CF1D21">
        <w:rPr>
          <w:bCs/>
        </w:rPr>
        <w:t>Wales or</w:t>
      </w:r>
      <w:r w:rsidR="00112E1D">
        <w:rPr>
          <w:bCs/>
        </w:rPr>
        <w:t xml:space="preserve"> emigrate overseas. Passive submission was no longer an option for the starving poor and the Rebecca Riots did bring the desparate plight of the agricultural and working poor to the attention of the national government.</w:t>
      </w:r>
    </w:p>
    <w:p w14:paraId="2662ECE1" w14:textId="2973DA43" w:rsidR="00692589" w:rsidRDefault="004F0655" w:rsidP="00692589">
      <w:pPr>
        <w:ind w:left="720"/>
        <w:rPr>
          <w:bCs/>
          <w:i/>
        </w:rPr>
      </w:pPr>
      <w:r>
        <w:rPr>
          <w:bCs/>
        </w:rPr>
        <w:t xml:space="preserve"> In a letter to The Welshmen newspaper in September 1843 from Rebecca it stated: </w:t>
      </w:r>
      <w:r>
        <w:rPr>
          <w:bCs/>
          <w:i/>
        </w:rPr>
        <w:t>The people, the masses to a man throughout the 3 counties…they are all my children…lime-men on the road…coalmen coming to town clothed in rags…farmers wives carrying loaded baskets into market…I know well they are all my daughters…</w:t>
      </w:r>
      <w:r w:rsidR="009D6CB6">
        <w:rPr>
          <w:rStyle w:val="FootnoteReference"/>
          <w:bCs/>
          <w:i/>
        </w:rPr>
        <w:footnoteReference w:id="9"/>
      </w:r>
    </w:p>
    <w:p w14:paraId="7A603C6E" w14:textId="277AA043" w:rsidR="0073749A" w:rsidRPr="000F59BE" w:rsidRDefault="000F59BE" w:rsidP="368A71CD">
      <w:pPr>
        <w:rPr>
          <w:bCs/>
        </w:rPr>
      </w:pPr>
      <w:r>
        <w:rPr>
          <w:bCs/>
        </w:rPr>
        <w:t xml:space="preserve">Even those who had previously had to </w:t>
      </w:r>
      <w:r w:rsidR="00747204">
        <w:rPr>
          <w:bCs/>
        </w:rPr>
        <w:t xml:space="preserve">administer the Poor Law felt that the new system was intrusive and </w:t>
      </w:r>
      <w:r w:rsidR="00CD599F">
        <w:rPr>
          <w:bCs/>
        </w:rPr>
        <w:t xml:space="preserve">that such interference from central government was </w:t>
      </w:r>
      <w:r w:rsidR="00294FAF">
        <w:rPr>
          <w:bCs/>
        </w:rPr>
        <w:t xml:space="preserve">appalling. It also did not </w:t>
      </w:r>
      <w:r w:rsidR="00D11814">
        <w:rPr>
          <w:bCs/>
        </w:rPr>
        <w:t>effectively help the unwell, aged or abandoned children</w:t>
      </w:r>
      <w:r w:rsidR="005536B8">
        <w:rPr>
          <w:bCs/>
        </w:rPr>
        <w:t xml:space="preserve"> and the ending of ‘outdoor relief’ caused even greater hardship.</w:t>
      </w:r>
    </w:p>
    <w:p w14:paraId="68DBE412" w14:textId="0879CF92" w:rsidR="00D574FA" w:rsidRDefault="00112E1D" w:rsidP="368A71CD">
      <w:pPr>
        <w:rPr>
          <w:bCs/>
        </w:rPr>
      </w:pPr>
      <w:r>
        <w:rPr>
          <w:bCs/>
        </w:rPr>
        <w:t xml:space="preserve">The Commission of Enquiry, which was set up in response to the riots, took evidence from many people and the injustices and causes became impossible to deny. Mary Thomas of Llanelli described how different things had </w:t>
      </w:r>
      <w:r w:rsidR="00CF1D21">
        <w:rPr>
          <w:bCs/>
        </w:rPr>
        <w:t>become:</w:t>
      </w:r>
      <w:r>
        <w:rPr>
          <w:bCs/>
        </w:rPr>
        <w:t xml:space="preserve"> </w:t>
      </w:r>
      <w:r w:rsidR="009D6CB6">
        <w:rPr>
          <w:rStyle w:val="FootnoteReference"/>
          <w:bCs/>
        </w:rPr>
        <w:footnoteReference w:id="10"/>
      </w:r>
    </w:p>
    <w:p w14:paraId="0A37D03C" w14:textId="066C974D" w:rsidR="00D574FA" w:rsidRDefault="00112E1D" w:rsidP="00D574FA">
      <w:pPr>
        <w:ind w:left="720"/>
        <w:rPr>
          <w:bCs/>
          <w:i/>
        </w:rPr>
      </w:pPr>
      <w:r>
        <w:rPr>
          <w:bCs/>
          <w:i/>
        </w:rPr>
        <w:lastRenderedPageBreak/>
        <w:t>Last time when I had the tithe to pay, I could only make up seven sovereigns</w:t>
      </w:r>
      <w:r w:rsidR="00CF1D21">
        <w:rPr>
          <w:bCs/>
          <w:i/>
        </w:rPr>
        <w:t>…. he</w:t>
      </w:r>
      <w:r>
        <w:rPr>
          <w:bCs/>
          <w:i/>
        </w:rPr>
        <w:t xml:space="preserve"> (the agent) refused to take them and he trust me for a week or so until I could sell something…</w:t>
      </w:r>
    </w:p>
    <w:p w14:paraId="08F5D1D9" w14:textId="53709A4B" w:rsidR="00112E1D" w:rsidRDefault="00112E1D" w:rsidP="368A71CD">
      <w:pPr>
        <w:rPr>
          <w:bCs/>
        </w:rPr>
      </w:pPr>
      <w:r>
        <w:rPr>
          <w:bCs/>
          <w:i/>
        </w:rPr>
        <w:t xml:space="preserve"> </w:t>
      </w:r>
      <w:r>
        <w:rPr>
          <w:bCs/>
        </w:rPr>
        <w:t xml:space="preserve">but such tolerance was no longer permitted. </w:t>
      </w:r>
      <w:r w:rsidR="004F0655">
        <w:rPr>
          <w:bCs/>
        </w:rPr>
        <w:t xml:space="preserve">The Commission also realized that </w:t>
      </w:r>
      <w:r w:rsidR="00CF1D21">
        <w:rPr>
          <w:bCs/>
        </w:rPr>
        <w:t>several</w:t>
      </w:r>
      <w:r w:rsidR="004F0655">
        <w:rPr>
          <w:bCs/>
        </w:rPr>
        <w:t xml:space="preserve"> different people had taken on the Rebecca role.</w:t>
      </w:r>
      <w:r w:rsidR="00657B3B">
        <w:rPr>
          <w:bCs/>
        </w:rPr>
        <w:t xml:space="preserve"> Led by Thomas Frankland Lewis was published in March 1844 and identified that the causes of the Rebecca </w:t>
      </w:r>
      <w:r w:rsidR="00CF1D21">
        <w:rPr>
          <w:bCs/>
        </w:rPr>
        <w:t>Riots were: -</w:t>
      </w:r>
    </w:p>
    <w:p w14:paraId="74BF56D3" w14:textId="23F598F3" w:rsidR="00657B3B" w:rsidRDefault="00657B3B" w:rsidP="00D574FA">
      <w:pPr>
        <w:ind w:left="720"/>
        <w:rPr>
          <w:bCs/>
        </w:rPr>
      </w:pPr>
      <w:r>
        <w:rPr>
          <w:bCs/>
        </w:rPr>
        <w:t>Mismanagement of funds by Turnpike Trusts; tolls; conduct; tithe increases; amendment of the Poor Law; the administration of justice; county rate increases.</w:t>
      </w:r>
      <w:r w:rsidR="009D6CB6">
        <w:rPr>
          <w:rStyle w:val="FootnoteReference"/>
          <w:bCs/>
        </w:rPr>
        <w:footnoteReference w:id="11"/>
      </w:r>
      <w:r>
        <w:rPr>
          <w:bCs/>
        </w:rPr>
        <w:t xml:space="preserve"> </w:t>
      </w:r>
    </w:p>
    <w:p w14:paraId="66D9FD6B" w14:textId="4FA69AB6" w:rsidR="00031A28" w:rsidRDefault="00031A28" w:rsidP="368A71CD">
      <w:pPr>
        <w:rPr>
          <w:bCs/>
        </w:rPr>
      </w:pPr>
      <w:r>
        <w:rPr>
          <w:bCs/>
        </w:rPr>
        <w:t xml:space="preserve">The inquiry </w:t>
      </w:r>
      <w:r w:rsidR="00937C65">
        <w:rPr>
          <w:bCs/>
        </w:rPr>
        <w:t>spent time in all counties of south-west Wales, as reported in the Pembrokeshire Herald on 29</w:t>
      </w:r>
      <w:r w:rsidR="00937C65" w:rsidRPr="00937C65">
        <w:rPr>
          <w:bCs/>
          <w:vertAlign w:val="superscript"/>
        </w:rPr>
        <w:t>th</w:t>
      </w:r>
      <w:r w:rsidR="00937C65">
        <w:rPr>
          <w:bCs/>
        </w:rPr>
        <w:t xml:space="preserve"> March 1844</w:t>
      </w:r>
      <w:r w:rsidR="00AC2B8C">
        <w:rPr>
          <w:bCs/>
        </w:rPr>
        <w:t>:</w:t>
      </w:r>
    </w:p>
    <w:p w14:paraId="458A067E" w14:textId="48038D34" w:rsidR="00AC2B8C" w:rsidRDefault="00AC2B8C" w:rsidP="00AC2B8C">
      <w:pPr>
        <w:ind w:left="720"/>
        <w:rPr>
          <w:bCs/>
        </w:rPr>
      </w:pPr>
      <w:r>
        <w:rPr>
          <w:bCs/>
        </w:rPr>
        <w:t>Commenced at Carmarthen, was transferred to Haverfordwest</w:t>
      </w:r>
      <w:r w:rsidR="0003416A">
        <w:rPr>
          <w:bCs/>
        </w:rPr>
        <w:t xml:space="preserve"> and then, successively, to the counties of Cardigan and Radnor, and finally concluded in </w:t>
      </w:r>
      <w:r w:rsidR="001A34D5">
        <w:rPr>
          <w:bCs/>
        </w:rPr>
        <w:t>Glamorganshire.</w:t>
      </w:r>
      <w:sdt>
        <w:sdtPr>
          <w:rPr>
            <w:bCs/>
          </w:rPr>
          <w:id w:val="443191212"/>
          <w:citation/>
        </w:sdtPr>
        <w:sdtEndPr/>
        <w:sdtContent>
          <w:r w:rsidR="001A34D5">
            <w:rPr>
              <w:bCs/>
            </w:rPr>
            <w:fldChar w:fldCharType="begin"/>
          </w:r>
          <w:r w:rsidR="001A34D5">
            <w:rPr>
              <w:bCs/>
            </w:rPr>
            <w:instrText xml:space="preserve"> CITATION 44Ma \l 2057 </w:instrText>
          </w:r>
          <w:r w:rsidR="001A34D5">
            <w:rPr>
              <w:bCs/>
            </w:rPr>
            <w:fldChar w:fldCharType="separate"/>
          </w:r>
          <w:r w:rsidR="00E70A4A">
            <w:rPr>
              <w:bCs/>
              <w:noProof/>
            </w:rPr>
            <w:t xml:space="preserve"> </w:t>
          </w:r>
          <w:r w:rsidR="00E70A4A" w:rsidRPr="00E70A4A">
            <w:rPr>
              <w:noProof/>
            </w:rPr>
            <w:t>(Anon., 1844)</w:t>
          </w:r>
          <w:r w:rsidR="001A34D5">
            <w:rPr>
              <w:bCs/>
            </w:rPr>
            <w:fldChar w:fldCharType="end"/>
          </w:r>
        </w:sdtContent>
      </w:sdt>
    </w:p>
    <w:p w14:paraId="38BC23D5" w14:textId="77777777" w:rsidR="009766DD" w:rsidRDefault="00657B3B" w:rsidP="368A71CD">
      <w:pPr>
        <w:rPr>
          <w:bCs/>
        </w:rPr>
      </w:pPr>
      <w:r>
        <w:rPr>
          <w:bCs/>
        </w:rPr>
        <w:t xml:space="preserve">From afar it seemed that the whole region had become unmanageable and that the rioters had merely highlighted the appalling state of life in south-west Wales. Journalist Edward Crompton Lloyd Hall stated that the main reason was not tolls, but </w:t>
      </w:r>
      <w:r>
        <w:rPr>
          <w:bCs/>
          <w:i/>
        </w:rPr>
        <w:t xml:space="preserve">tithes, followed by the poor rates and then the high level of rates. </w:t>
      </w:r>
      <w:r>
        <w:rPr>
          <w:bCs/>
        </w:rPr>
        <w:t>Colonel Love</w:t>
      </w:r>
      <w:r w:rsidR="00BA4620">
        <w:rPr>
          <w:bCs/>
        </w:rPr>
        <w:t>, who had come to south-west Wales with a troop of 1800 soldiers</w:t>
      </w:r>
      <w:r w:rsidR="00DF6B57">
        <w:rPr>
          <w:bCs/>
        </w:rPr>
        <w:t xml:space="preserve"> in July 18143 to restore peace,</w:t>
      </w:r>
      <w:r>
        <w:rPr>
          <w:bCs/>
        </w:rPr>
        <w:t xml:space="preserve"> wrote to the Home Office that a </w:t>
      </w:r>
      <w:r w:rsidR="0058418C">
        <w:rPr>
          <w:bCs/>
        </w:rPr>
        <w:t>special enquiry was essential.</w:t>
      </w:r>
      <w:r w:rsidR="00DF6B57">
        <w:rPr>
          <w:bCs/>
        </w:rPr>
        <w:t xml:space="preserve"> He did succe</w:t>
      </w:r>
      <w:r w:rsidR="009766DD">
        <w:rPr>
          <w:bCs/>
        </w:rPr>
        <w:t>ed</w:t>
      </w:r>
      <w:r w:rsidR="00DF6B57">
        <w:rPr>
          <w:bCs/>
        </w:rPr>
        <w:t xml:space="preserve"> in apprehending some</w:t>
      </w:r>
      <w:r w:rsidR="00755FE0">
        <w:rPr>
          <w:bCs/>
        </w:rPr>
        <w:t xml:space="preserve"> of the rioters, who later received sentences of transportation.</w:t>
      </w:r>
      <w:r w:rsidR="0058418C">
        <w:rPr>
          <w:bCs/>
        </w:rPr>
        <w:t xml:space="preserve"> </w:t>
      </w:r>
      <w:r w:rsidR="009766DD">
        <w:rPr>
          <w:bCs/>
        </w:rPr>
        <w:t>Another witness, George Ellis, who collected evidence later stated that:</w:t>
      </w:r>
    </w:p>
    <w:p w14:paraId="2D000F35" w14:textId="7F45C919" w:rsidR="009766DD" w:rsidRDefault="009766DD" w:rsidP="009766DD">
      <w:pPr>
        <w:ind w:left="720"/>
        <w:rPr>
          <w:bCs/>
        </w:rPr>
      </w:pPr>
      <w:r>
        <w:rPr>
          <w:bCs/>
        </w:rPr>
        <w:t>Besides the oppressive effect of the numerous gates, I must add that I heard charges of partiality and injustice against trustees</w:t>
      </w:r>
      <w:r>
        <w:rPr>
          <w:rStyle w:val="FootnoteReference"/>
          <w:bCs/>
        </w:rPr>
        <w:footnoteReference w:id="12"/>
      </w:r>
      <w:r>
        <w:rPr>
          <w:bCs/>
        </w:rPr>
        <w:t>…</w:t>
      </w:r>
      <w:sdt>
        <w:sdtPr>
          <w:rPr>
            <w:bCs/>
          </w:rPr>
          <w:id w:val="-1235240770"/>
          <w:citation/>
        </w:sdtPr>
        <w:sdtEndPr/>
        <w:sdtContent>
          <w:r>
            <w:rPr>
              <w:bCs/>
            </w:rPr>
            <w:fldChar w:fldCharType="begin"/>
          </w:r>
          <w:r>
            <w:rPr>
              <w:bCs/>
            </w:rPr>
            <w:instrText xml:space="preserve"> CITATION Nat42 \l 2057 </w:instrText>
          </w:r>
          <w:r>
            <w:rPr>
              <w:bCs/>
            </w:rPr>
            <w:fldChar w:fldCharType="separate"/>
          </w:r>
          <w:r>
            <w:rPr>
              <w:bCs/>
              <w:noProof/>
            </w:rPr>
            <w:t xml:space="preserve"> </w:t>
          </w:r>
          <w:r w:rsidRPr="009766DD">
            <w:rPr>
              <w:noProof/>
            </w:rPr>
            <w:t>(Anon., 1842)</w:t>
          </w:r>
          <w:r>
            <w:rPr>
              <w:bCs/>
            </w:rPr>
            <w:fldChar w:fldCharType="end"/>
          </w:r>
        </w:sdtContent>
      </w:sdt>
    </w:p>
    <w:p w14:paraId="3340C170" w14:textId="40833E07" w:rsidR="00F3458B" w:rsidRDefault="00F3458B" w:rsidP="00F3458B">
      <w:pPr>
        <w:rPr>
          <w:bCs/>
        </w:rPr>
      </w:pPr>
      <w:r>
        <w:rPr>
          <w:bCs/>
        </w:rPr>
        <w:t xml:space="preserve">Evidence was taken very thoroughly and from all sorts of people to ensure a fair hearing. Many clerks serving the many Turnpike Trusts were </w:t>
      </w:r>
      <w:r w:rsidR="00A46759">
        <w:rPr>
          <w:bCs/>
        </w:rPr>
        <w:t>interviewed,</w:t>
      </w:r>
      <w:r>
        <w:rPr>
          <w:bCs/>
        </w:rPr>
        <w:t xml:space="preserve"> and their observations taken seriously. Mr W Evans, of the Turnpike Trust</w:t>
      </w:r>
      <w:r w:rsidR="008C0947">
        <w:rPr>
          <w:bCs/>
        </w:rPr>
        <w:t xml:space="preserve"> stated to the inquiry:</w:t>
      </w:r>
    </w:p>
    <w:p w14:paraId="6F4C1CD9" w14:textId="36AC4911" w:rsidR="008C0947" w:rsidRDefault="008C0947" w:rsidP="008C0947">
      <w:pPr>
        <w:ind w:left="720"/>
        <w:rPr>
          <w:bCs/>
        </w:rPr>
      </w:pPr>
      <w:r>
        <w:rPr>
          <w:bCs/>
        </w:rPr>
        <w:t>The rioters, however, gained their point, the gates were not re-established; no-one was punished for this outrage…can be no doubt that with the erection of these gates originated the disturbance.</w:t>
      </w:r>
      <w:sdt>
        <w:sdtPr>
          <w:rPr>
            <w:bCs/>
          </w:rPr>
          <w:id w:val="1969157293"/>
          <w:citation/>
        </w:sdtPr>
        <w:sdtEndPr/>
        <w:sdtContent>
          <w:r>
            <w:rPr>
              <w:bCs/>
            </w:rPr>
            <w:fldChar w:fldCharType="begin"/>
          </w:r>
          <w:r>
            <w:rPr>
              <w:bCs/>
            </w:rPr>
            <w:instrText xml:space="preserve"> CITATION The43 \l 2057 </w:instrText>
          </w:r>
          <w:r>
            <w:rPr>
              <w:bCs/>
            </w:rPr>
            <w:fldChar w:fldCharType="separate"/>
          </w:r>
          <w:r>
            <w:rPr>
              <w:bCs/>
              <w:noProof/>
            </w:rPr>
            <w:t xml:space="preserve"> </w:t>
          </w:r>
          <w:r w:rsidRPr="008C0947">
            <w:rPr>
              <w:noProof/>
            </w:rPr>
            <w:t>(Anon., 1843)</w:t>
          </w:r>
          <w:r>
            <w:rPr>
              <w:bCs/>
            </w:rPr>
            <w:fldChar w:fldCharType="end"/>
          </w:r>
        </w:sdtContent>
      </w:sdt>
      <w:r>
        <w:rPr>
          <w:rStyle w:val="FootnoteReference"/>
          <w:bCs/>
        </w:rPr>
        <w:footnoteReference w:id="13"/>
      </w:r>
    </w:p>
    <w:p w14:paraId="40EF62B8" w14:textId="1D7248A0" w:rsidR="008C0947" w:rsidRDefault="008C0947" w:rsidP="368A71CD">
      <w:pPr>
        <w:rPr>
          <w:bCs/>
        </w:rPr>
      </w:pPr>
      <w:r>
        <w:rPr>
          <w:bCs/>
        </w:rPr>
        <w:t>Another clerk John James Stacey described attempts locally to relieve the situation by local landowners:</w:t>
      </w:r>
    </w:p>
    <w:p w14:paraId="4458E8C8" w14:textId="37E6008B" w:rsidR="008C0947" w:rsidRDefault="008C0947" w:rsidP="008C0947">
      <w:pPr>
        <w:ind w:left="720"/>
        <w:rPr>
          <w:bCs/>
        </w:rPr>
      </w:pPr>
      <w:r>
        <w:rPr>
          <w:bCs/>
        </w:rPr>
        <w:t>They have discontinued the gate at Penygarn which has been destroyed and they have made other alternatives with a view to relieve the farmers, and they wish to make up the loss by putting an additional toll upon strangers…that was a proposition of Lord Cawdor.</w:t>
      </w:r>
    </w:p>
    <w:p w14:paraId="0DAFB23C" w14:textId="73FBA6B2" w:rsidR="008C0947" w:rsidRDefault="008C0947" w:rsidP="008C0947">
      <w:pPr>
        <w:rPr>
          <w:bCs/>
        </w:rPr>
      </w:pPr>
      <w:r>
        <w:rPr>
          <w:bCs/>
        </w:rPr>
        <w:t>A Cardiganshire magistrate, Herbert Vaughan said in his evidence that:</w:t>
      </w:r>
    </w:p>
    <w:p w14:paraId="1836FA32" w14:textId="4D4B0341" w:rsidR="008C0947" w:rsidRDefault="008C0947" w:rsidP="008C0947">
      <w:pPr>
        <w:ind w:left="720"/>
        <w:rPr>
          <w:bCs/>
        </w:rPr>
      </w:pPr>
      <w:r>
        <w:rPr>
          <w:bCs/>
        </w:rPr>
        <w:t xml:space="preserve">…I think the turnpike gates were an excuse for a disturbance, but that the next real cause was something deeper </w:t>
      </w:r>
      <w:r w:rsidR="00A46759">
        <w:rPr>
          <w:bCs/>
        </w:rPr>
        <w:t>than</w:t>
      </w:r>
      <w:r>
        <w:rPr>
          <w:bCs/>
        </w:rPr>
        <w:t xml:space="preserve"> that.</w:t>
      </w:r>
    </w:p>
    <w:p w14:paraId="232522C1" w14:textId="429303F1" w:rsidR="008C0947" w:rsidRDefault="008C0947" w:rsidP="008C0947">
      <w:pPr>
        <w:rPr>
          <w:bCs/>
        </w:rPr>
      </w:pPr>
      <w:r>
        <w:rPr>
          <w:bCs/>
        </w:rPr>
        <w:lastRenderedPageBreak/>
        <w:t>Harry Lingen, a London barrister who sometimes resided in Rhayader gave a similar view:</w:t>
      </w:r>
    </w:p>
    <w:p w14:paraId="1D0B1E21" w14:textId="1CD0732F" w:rsidR="008C0947" w:rsidRDefault="008C0947" w:rsidP="008C0947">
      <w:pPr>
        <w:ind w:left="720"/>
        <w:rPr>
          <w:bCs/>
        </w:rPr>
      </w:pPr>
      <w:r>
        <w:rPr>
          <w:bCs/>
        </w:rPr>
        <w:t>There appeared to be a general feeling in the country that they were labouring under great grievances of different kinds…the chief cause, perhaps, is the great depression that they are suffering under, but the turnpike</w:t>
      </w:r>
      <w:r w:rsidR="00B706E7">
        <w:rPr>
          <w:bCs/>
        </w:rPr>
        <w:t xml:space="preserve"> </w:t>
      </w:r>
      <w:r w:rsidR="00A46759">
        <w:rPr>
          <w:bCs/>
        </w:rPr>
        <w:t>was</w:t>
      </w:r>
      <w:r w:rsidR="00B706E7">
        <w:rPr>
          <w:bCs/>
        </w:rPr>
        <w:t xml:space="preserve"> a tangible thing for them to lay hold off.</w:t>
      </w:r>
    </w:p>
    <w:p w14:paraId="72A77184" w14:textId="6F8E4B65" w:rsidR="00D51E1B" w:rsidRDefault="0058418C" w:rsidP="368A71CD">
      <w:pPr>
        <w:rPr>
          <w:bCs/>
        </w:rPr>
      </w:pPr>
      <w:r>
        <w:rPr>
          <w:bCs/>
        </w:rPr>
        <w:t xml:space="preserve">For the government in London it was hard for the reality of the situation to be recognized as Welsh society was seen as peaceful and that the people were hardly capable of any form of uprising. As Sir Robert Peel himself said: </w:t>
      </w:r>
    </w:p>
    <w:p w14:paraId="44206D6B" w14:textId="43461AA9" w:rsidR="00D51E1B" w:rsidRDefault="0058418C" w:rsidP="00D51E1B">
      <w:pPr>
        <w:ind w:left="720"/>
        <w:rPr>
          <w:bCs/>
          <w:i/>
        </w:rPr>
      </w:pPr>
      <w:r>
        <w:rPr>
          <w:bCs/>
          <w:i/>
        </w:rPr>
        <w:t xml:space="preserve">…speaking of them generally, novices in agitation and systematic outrage… </w:t>
      </w:r>
      <w:r>
        <w:rPr>
          <w:bCs/>
        </w:rPr>
        <w:t xml:space="preserve">The Times correspondent very clearly stated </w:t>
      </w:r>
      <w:r w:rsidR="00CF1D21">
        <w:rPr>
          <w:bCs/>
        </w:rPr>
        <w:t>that:</w:t>
      </w:r>
      <w:r>
        <w:rPr>
          <w:bCs/>
        </w:rPr>
        <w:t xml:space="preserve"> </w:t>
      </w:r>
      <w:r>
        <w:rPr>
          <w:bCs/>
          <w:i/>
        </w:rPr>
        <w:t>The root of the evil is not the tollbars…nothing but poverty.</w:t>
      </w:r>
    </w:p>
    <w:p w14:paraId="3532522E" w14:textId="19914CFC" w:rsidR="00657B3B" w:rsidRDefault="002E6936" w:rsidP="368A71CD">
      <w:pPr>
        <w:rPr>
          <w:bCs/>
        </w:rPr>
      </w:pPr>
      <w:r>
        <w:rPr>
          <w:bCs/>
          <w:i/>
        </w:rPr>
        <w:t xml:space="preserve"> </w:t>
      </w:r>
      <w:r>
        <w:rPr>
          <w:bCs/>
        </w:rPr>
        <w:t xml:space="preserve">The local newspaper, the Pembrokeshire Herald, commented </w:t>
      </w:r>
      <w:r w:rsidR="00CF1D21">
        <w:rPr>
          <w:bCs/>
        </w:rPr>
        <w:t>that:</w:t>
      </w:r>
    </w:p>
    <w:p w14:paraId="3A3044DF" w14:textId="79152A42" w:rsidR="002E6936" w:rsidRPr="002E6936" w:rsidRDefault="002A178D" w:rsidP="002E6936">
      <w:pPr>
        <w:ind w:left="720"/>
        <w:rPr>
          <w:bCs/>
        </w:rPr>
      </w:pPr>
      <w:r>
        <w:rPr>
          <w:bCs/>
        </w:rPr>
        <w:t xml:space="preserve">There appeared to be a prevailing given that the conduct of (the </w:t>
      </w:r>
      <w:r w:rsidR="00CF1D21">
        <w:rPr>
          <w:bCs/>
        </w:rPr>
        <w:t>toll keepers</w:t>
      </w:r>
      <w:r>
        <w:rPr>
          <w:bCs/>
        </w:rPr>
        <w:t>) had done much t</w:t>
      </w:r>
      <w:r w:rsidR="00C42836">
        <w:rPr>
          <w:bCs/>
        </w:rPr>
        <w:t>o aggravate the discontent.</w:t>
      </w:r>
      <w:sdt>
        <w:sdtPr>
          <w:rPr>
            <w:bCs/>
          </w:rPr>
          <w:id w:val="-1550218282"/>
          <w:citation/>
        </w:sdtPr>
        <w:sdtEndPr/>
        <w:sdtContent>
          <w:r w:rsidR="00432199">
            <w:rPr>
              <w:bCs/>
            </w:rPr>
            <w:fldChar w:fldCharType="begin"/>
          </w:r>
          <w:r w:rsidR="00432199">
            <w:rPr>
              <w:bCs/>
            </w:rPr>
            <w:instrText xml:space="preserve"> CITATION 44Ap \l 2057 </w:instrText>
          </w:r>
          <w:r w:rsidR="00432199">
            <w:rPr>
              <w:bCs/>
            </w:rPr>
            <w:fldChar w:fldCharType="separate"/>
          </w:r>
          <w:r w:rsidR="00E70A4A">
            <w:rPr>
              <w:bCs/>
              <w:noProof/>
            </w:rPr>
            <w:t xml:space="preserve"> </w:t>
          </w:r>
          <w:r w:rsidR="00E70A4A" w:rsidRPr="00E70A4A">
            <w:rPr>
              <w:noProof/>
            </w:rPr>
            <w:t>(Anon., 1844)</w:t>
          </w:r>
          <w:r w:rsidR="00432199">
            <w:rPr>
              <w:bCs/>
            </w:rPr>
            <w:fldChar w:fldCharType="end"/>
          </w:r>
        </w:sdtContent>
      </w:sdt>
      <w:r w:rsidR="009D6CB6">
        <w:rPr>
          <w:rStyle w:val="FootnoteReference"/>
          <w:bCs/>
        </w:rPr>
        <w:footnoteReference w:id="14"/>
      </w:r>
    </w:p>
    <w:p w14:paraId="788CCC55" w14:textId="16D3E431" w:rsidR="0058418C" w:rsidRDefault="0058418C" w:rsidP="368A71CD">
      <w:pPr>
        <w:rPr>
          <w:bCs/>
        </w:rPr>
      </w:pPr>
      <w:r>
        <w:rPr>
          <w:bCs/>
        </w:rPr>
        <w:t xml:space="preserve">Those involved in the riots were very certain that their actions would not have been necessary had they not been starving. As one said: </w:t>
      </w:r>
      <w:r>
        <w:rPr>
          <w:bCs/>
          <w:i/>
        </w:rPr>
        <w:t xml:space="preserve">let them give food and employment to the people and Becca would soon disappear from them. </w:t>
      </w:r>
      <w:r>
        <w:rPr>
          <w:bCs/>
        </w:rPr>
        <w:t xml:space="preserve">It was also a shock when the enquiry released its findings to learn that those involved were not only farmers, but also from many trades and workforces – all of whom had suffered from the impact of abject poverty. The 1841 census showed that </w:t>
      </w:r>
      <w:r w:rsidR="00D01D65">
        <w:rPr>
          <w:bCs/>
        </w:rPr>
        <w:t>most of the population were engaged in working on the land – 26,000 while 12,000 worked as artisans and other labourers with the remainder of the population occupied in educated professions, mining, trading, manufacture and seafaring.</w:t>
      </w:r>
    </w:p>
    <w:p w14:paraId="7D2F7D29" w14:textId="00CF7F9B" w:rsidR="00D51E1B" w:rsidRDefault="004D39BF" w:rsidP="00D51E1B">
      <w:pPr>
        <w:ind w:left="720"/>
        <w:rPr>
          <w:bCs/>
        </w:rPr>
      </w:pPr>
      <w:r>
        <w:rPr>
          <w:bCs/>
        </w:rPr>
        <w:t xml:space="preserve">As a result of the enquiry and the </w:t>
      </w:r>
      <w:r w:rsidR="006C1895">
        <w:rPr>
          <w:bCs/>
        </w:rPr>
        <w:t>press attention in favour of the rioters Lord Cawdor of the Stackpole Estate steered a bill through parliament to address the concerns and described the episode as:</w:t>
      </w:r>
    </w:p>
    <w:p w14:paraId="629FA313" w14:textId="335F004D" w:rsidR="00D51E1B" w:rsidRDefault="006C1895" w:rsidP="00D51E1B">
      <w:pPr>
        <w:ind w:left="720"/>
        <w:rPr>
          <w:bCs/>
        </w:rPr>
      </w:pPr>
      <w:r>
        <w:rPr>
          <w:bCs/>
        </w:rPr>
        <w:t xml:space="preserve"> </w:t>
      </w:r>
      <w:r>
        <w:rPr>
          <w:bCs/>
          <w:i/>
        </w:rPr>
        <w:t>a very creditable portion of Welsh history.</w:t>
      </w:r>
      <w:r>
        <w:rPr>
          <w:bCs/>
        </w:rPr>
        <w:t xml:space="preserve"> </w:t>
      </w:r>
      <w:r w:rsidR="009D6CB6">
        <w:rPr>
          <w:rStyle w:val="FootnoteReference"/>
          <w:bCs/>
        </w:rPr>
        <w:footnoteReference w:id="15"/>
      </w:r>
    </w:p>
    <w:p w14:paraId="59E5DD1A" w14:textId="0A477213" w:rsidR="004D39BF" w:rsidRDefault="006C1895" w:rsidP="368A71CD">
      <w:pPr>
        <w:rPr>
          <w:bCs/>
        </w:rPr>
      </w:pPr>
      <w:r>
        <w:rPr>
          <w:bCs/>
        </w:rPr>
        <w:t xml:space="preserve">The loss of connection resulting from the prevalence of agents running </w:t>
      </w:r>
      <w:r w:rsidR="00B31AF4">
        <w:rPr>
          <w:bCs/>
        </w:rPr>
        <w:t>estates</w:t>
      </w:r>
      <w:r>
        <w:rPr>
          <w:bCs/>
        </w:rPr>
        <w:t xml:space="preserve"> was recognized. Historian David J V Jones considered that : </w:t>
      </w:r>
      <w:r>
        <w:rPr>
          <w:bCs/>
          <w:i/>
        </w:rPr>
        <w:t xml:space="preserve">the </w:t>
      </w:r>
      <w:r w:rsidR="00B31AF4">
        <w:rPr>
          <w:bCs/>
          <w:i/>
        </w:rPr>
        <w:t>behaviour</w:t>
      </w:r>
      <w:r>
        <w:rPr>
          <w:bCs/>
          <w:i/>
        </w:rPr>
        <w:t>, attitudes and language of the Welsh people made it more difficult to anticipate unrest.</w:t>
      </w:r>
      <w:sdt>
        <w:sdtPr>
          <w:rPr>
            <w:bCs/>
            <w:i/>
          </w:rPr>
          <w:id w:val="-1044828535"/>
          <w:citation/>
        </w:sdtPr>
        <w:sdtEndPr/>
        <w:sdtContent>
          <w:r>
            <w:rPr>
              <w:bCs/>
              <w:i/>
            </w:rPr>
            <w:fldChar w:fldCharType="begin"/>
          </w:r>
          <w:r>
            <w:rPr>
              <w:bCs/>
              <w:i/>
            </w:rPr>
            <w:instrText xml:space="preserve"> CITATION Ree \l 2057 </w:instrText>
          </w:r>
          <w:r>
            <w:rPr>
              <w:bCs/>
              <w:i/>
            </w:rPr>
            <w:fldChar w:fldCharType="separate"/>
          </w:r>
          <w:r w:rsidR="00E70A4A">
            <w:rPr>
              <w:bCs/>
              <w:i/>
              <w:noProof/>
            </w:rPr>
            <w:t xml:space="preserve"> </w:t>
          </w:r>
          <w:r w:rsidR="00E70A4A" w:rsidRPr="00E70A4A">
            <w:rPr>
              <w:noProof/>
            </w:rPr>
            <w:t>(Rees, n.d.)</w:t>
          </w:r>
          <w:r>
            <w:rPr>
              <w:bCs/>
              <w:i/>
            </w:rPr>
            <w:fldChar w:fldCharType="end"/>
          </w:r>
        </w:sdtContent>
      </w:sdt>
      <w:r>
        <w:rPr>
          <w:bCs/>
          <w:i/>
        </w:rPr>
        <w:t>.</w:t>
      </w:r>
      <w:r w:rsidR="008E0444">
        <w:rPr>
          <w:rStyle w:val="FootnoteReference"/>
          <w:bCs/>
          <w:i/>
        </w:rPr>
        <w:footnoteReference w:id="16"/>
      </w:r>
      <w:r>
        <w:rPr>
          <w:bCs/>
        </w:rPr>
        <w:t xml:space="preserve">He also noted the diversity of trades involved amongst the rioters, while David Williams thought that it was entirely an affair of small farmers. Communities were closely connected and pulled together to make the eventual successful outcome of the riots </w:t>
      </w:r>
      <w:sdt>
        <w:sdtPr>
          <w:rPr>
            <w:bCs/>
          </w:rPr>
          <w:id w:val="443578327"/>
          <w:citation/>
        </w:sdtPr>
        <w:sdtEndPr/>
        <w:sdtContent>
          <w:r>
            <w:rPr>
              <w:bCs/>
            </w:rPr>
            <w:fldChar w:fldCharType="begin"/>
          </w:r>
          <w:r>
            <w:rPr>
              <w:bCs/>
            </w:rPr>
            <w:instrText xml:space="preserve"> CITATION Dav771 \l 2057 </w:instrText>
          </w:r>
          <w:r>
            <w:rPr>
              <w:bCs/>
            </w:rPr>
            <w:fldChar w:fldCharType="separate"/>
          </w:r>
          <w:r w:rsidR="00E70A4A" w:rsidRPr="00E70A4A">
            <w:rPr>
              <w:noProof/>
            </w:rPr>
            <w:t>(Howell, 1977)</w:t>
          </w:r>
          <w:r>
            <w:rPr>
              <w:bCs/>
            </w:rPr>
            <w:fldChar w:fldCharType="end"/>
          </w:r>
        </w:sdtContent>
      </w:sdt>
      <w:r>
        <w:rPr>
          <w:bCs/>
        </w:rPr>
        <w:t xml:space="preserve">. </w:t>
      </w:r>
      <w:sdt>
        <w:sdtPr>
          <w:rPr>
            <w:bCs/>
          </w:rPr>
          <w:id w:val="236828907"/>
          <w:citation/>
        </w:sdtPr>
        <w:sdtEndPr/>
        <w:sdtContent>
          <w:r>
            <w:rPr>
              <w:bCs/>
            </w:rPr>
            <w:fldChar w:fldCharType="begin"/>
          </w:r>
          <w:r>
            <w:rPr>
              <w:bCs/>
            </w:rPr>
            <w:instrText xml:space="preserve"> CITATION Dav892 \l 2057 </w:instrText>
          </w:r>
          <w:r>
            <w:rPr>
              <w:bCs/>
            </w:rPr>
            <w:fldChar w:fldCharType="separate"/>
          </w:r>
          <w:r w:rsidR="00E70A4A" w:rsidRPr="00E70A4A">
            <w:rPr>
              <w:noProof/>
            </w:rPr>
            <w:t>(Jones, 1989)</w:t>
          </w:r>
          <w:r>
            <w:rPr>
              <w:bCs/>
            </w:rPr>
            <w:fldChar w:fldCharType="end"/>
          </w:r>
        </w:sdtContent>
      </w:sdt>
      <w:r w:rsidR="003B0E7A">
        <w:rPr>
          <w:bCs/>
        </w:rPr>
        <w:t xml:space="preserve"> considered that the impact was contributory in creating the whole political enlightenment of South Wales as an extension of the non-conformity and revivalism. The crime rate in south Wales was comparatively low, but what the people did share was unity in a sense of the constituted authorities falling into disrepute and the injustice resulting. Once combined with economic catastrophe and common poverty the poor united to </w:t>
      </w:r>
      <w:r w:rsidR="00CF1D21">
        <w:rPr>
          <w:bCs/>
        </w:rPr>
        <w:t>fight -</w:t>
      </w:r>
      <w:r w:rsidR="003B0E7A">
        <w:rPr>
          <w:bCs/>
        </w:rPr>
        <w:t xml:space="preserve"> farmers, craftsmen and servants.</w:t>
      </w:r>
      <w:r w:rsidR="0040385A">
        <w:rPr>
          <w:bCs/>
        </w:rPr>
        <w:t xml:space="preserve"> The Poor </w:t>
      </w:r>
      <w:r w:rsidR="0040385A">
        <w:rPr>
          <w:bCs/>
        </w:rPr>
        <w:lastRenderedPageBreak/>
        <w:t xml:space="preserve">Law Commission had actually recognized that as much as 20% of agricultural workers were affected by </w:t>
      </w:r>
      <w:r w:rsidR="009F6397">
        <w:rPr>
          <w:bCs/>
        </w:rPr>
        <w:t>“insufficient wages” at many times of the year.</w:t>
      </w:r>
    </w:p>
    <w:p w14:paraId="78C20315" w14:textId="118AA669" w:rsidR="00E2294E" w:rsidRDefault="003B0E7A" w:rsidP="368A71CD">
      <w:pPr>
        <w:rPr>
          <w:bCs/>
        </w:rPr>
      </w:pPr>
      <w:r>
        <w:rPr>
          <w:bCs/>
        </w:rPr>
        <w:t>Some contemporaries and historians put forward the theory that the rioters had been coerced into participating, but that fails to hold any credence. Everything was organized so locally, secretly and without anyone outside being able to predict what would occur. Then, when the enquiry did open and when reporters from London spoke to protagonists, they found that the people of south-west Wales were articulate a</w:t>
      </w:r>
      <w:r w:rsidR="00771B4C">
        <w:rPr>
          <w:bCs/>
        </w:rPr>
        <w:t>n</w:t>
      </w:r>
      <w:r>
        <w:rPr>
          <w:bCs/>
        </w:rPr>
        <w:t xml:space="preserve">d well-informed. </w:t>
      </w:r>
      <w:r w:rsidR="007C1F21">
        <w:rPr>
          <w:bCs/>
        </w:rPr>
        <w:t>The Times correspondent, T C Foster</w:t>
      </w:r>
      <w:r w:rsidR="001D36BC">
        <w:rPr>
          <w:bCs/>
        </w:rPr>
        <w:t xml:space="preserve">, had spent six months living amongst the rioters and had gained a great respect for them and their </w:t>
      </w:r>
      <w:r w:rsidR="00F102E5">
        <w:rPr>
          <w:bCs/>
        </w:rPr>
        <w:t>well-thought out ideals.</w:t>
      </w:r>
    </w:p>
    <w:p w14:paraId="1CB7E449" w14:textId="446F44C2" w:rsidR="00E2294E" w:rsidRDefault="009D6DDC" w:rsidP="00E2294E">
      <w:pPr>
        <w:ind w:left="720"/>
        <w:rPr>
          <w:bCs/>
          <w:i/>
        </w:rPr>
      </w:pPr>
      <w:r>
        <w:rPr>
          <w:bCs/>
        </w:rPr>
        <w:t xml:space="preserve"> </w:t>
      </w:r>
      <w:r w:rsidR="003B0E7A">
        <w:rPr>
          <w:bCs/>
        </w:rPr>
        <w:t xml:space="preserve">The Swansea Journal stated </w:t>
      </w:r>
      <w:r w:rsidR="00CF1D21">
        <w:rPr>
          <w:bCs/>
        </w:rPr>
        <w:t>that:</w:t>
      </w:r>
      <w:r w:rsidR="003B0E7A">
        <w:rPr>
          <w:bCs/>
        </w:rPr>
        <w:t xml:space="preserve"> </w:t>
      </w:r>
      <w:r w:rsidR="003B0E7A">
        <w:rPr>
          <w:bCs/>
          <w:i/>
        </w:rPr>
        <w:t>Many of the speeches evinced a degree of intelligence and singleness of purpose…few regions have been more exhilarated by the reform crisis than South-west Wales.</w:t>
      </w:r>
    </w:p>
    <w:p w14:paraId="433ADBA7" w14:textId="1681DCFA" w:rsidR="007D72AB" w:rsidRDefault="003B0E7A" w:rsidP="368A71CD">
      <w:pPr>
        <w:rPr>
          <w:bCs/>
        </w:rPr>
      </w:pPr>
      <w:r>
        <w:rPr>
          <w:bCs/>
          <w:i/>
        </w:rPr>
        <w:t xml:space="preserve"> </w:t>
      </w:r>
      <w:r>
        <w:rPr>
          <w:bCs/>
        </w:rPr>
        <w:t xml:space="preserve">Chartist leaders in subsequent years </w:t>
      </w:r>
      <w:r w:rsidR="00B31AF4">
        <w:rPr>
          <w:bCs/>
        </w:rPr>
        <w:t>marvelled</w:t>
      </w:r>
      <w:r>
        <w:rPr>
          <w:bCs/>
        </w:rPr>
        <w:t xml:space="preserve"> at the unity and loyalty of Rebecca and her children</w:t>
      </w:r>
      <w:r w:rsidR="001A44F5">
        <w:rPr>
          <w:bCs/>
        </w:rPr>
        <w:t xml:space="preserve"> and the episode was bound to become part of Wales’ proudest historical </w:t>
      </w:r>
      <w:r w:rsidR="00C6431A">
        <w:rPr>
          <w:bCs/>
        </w:rPr>
        <w:t>records. It</w:t>
      </w:r>
      <w:r w:rsidR="002D36D5">
        <w:rPr>
          <w:bCs/>
        </w:rPr>
        <w:t xml:space="preserve"> could </w:t>
      </w:r>
      <w:r w:rsidR="00C6431A">
        <w:rPr>
          <w:bCs/>
        </w:rPr>
        <w:t>possibly be viewed as a rural version of Chartism itself</w:t>
      </w:r>
      <w:sdt>
        <w:sdtPr>
          <w:rPr>
            <w:bCs/>
          </w:rPr>
          <w:id w:val="-1776709788"/>
          <w:citation/>
        </w:sdtPr>
        <w:sdtEndPr/>
        <w:sdtContent>
          <w:r w:rsidR="00D61992">
            <w:rPr>
              <w:bCs/>
            </w:rPr>
            <w:fldChar w:fldCharType="begin"/>
          </w:r>
          <w:r w:rsidR="00D61992">
            <w:rPr>
              <w:bCs/>
            </w:rPr>
            <w:instrText xml:space="preserve"> CITATION Joh931 \l 2057 </w:instrText>
          </w:r>
          <w:r w:rsidR="00D61992">
            <w:rPr>
              <w:bCs/>
            </w:rPr>
            <w:fldChar w:fldCharType="separate"/>
          </w:r>
          <w:r w:rsidR="00E70A4A">
            <w:rPr>
              <w:bCs/>
              <w:noProof/>
            </w:rPr>
            <w:t xml:space="preserve"> </w:t>
          </w:r>
          <w:r w:rsidR="00E70A4A" w:rsidRPr="00E70A4A">
            <w:rPr>
              <w:noProof/>
            </w:rPr>
            <w:t>(Davies, 1993)</w:t>
          </w:r>
          <w:r w:rsidR="00D61992">
            <w:rPr>
              <w:bCs/>
            </w:rPr>
            <w:fldChar w:fldCharType="end"/>
          </w:r>
        </w:sdtContent>
      </w:sdt>
      <w:r w:rsidR="007C1F21">
        <w:rPr>
          <w:bCs/>
        </w:rPr>
        <w:t>.</w:t>
      </w:r>
      <w:r w:rsidR="00837B74">
        <w:rPr>
          <w:bCs/>
        </w:rPr>
        <w:t>The words of Captain Charles Frederick Napier</w:t>
      </w:r>
      <w:r w:rsidR="007D72AB">
        <w:rPr>
          <w:bCs/>
        </w:rPr>
        <w:t xml:space="preserve"> when later giving evidence made the following statement, reported in the Cambrian newspaper:</w:t>
      </w:r>
    </w:p>
    <w:p w14:paraId="3974DAFC" w14:textId="41E892F0" w:rsidR="007D72AB" w:rsidRDefault="00D36867" w:rsidP="007D72AB">
      <w:pPr>
        <w:ind w:left="720"/>
        <w:rPr>
          <w:bCs/>
        </w:rPr>
      </w:pPr>
      <w:r>
        <w:rPr>
          <w:bCs/>
        </w:rPr>
        <w:t>I heard a noise</w:t>
      </w:r>
      <w:r w:rsidR="00DA312C">
        <w:rPr>
          <w:bCs/>
        </w:rPr>
        <w:t>, as if a body of men</w:t>
      </w:r>
      <w:r w:rsidR="00CF1D21">
        <w:rPr>
          <w:bCs/>
        </w:rPr>
        <w:t>…. great</w:t>
      </w:r>
      <w:r w:rsidR="00DA312C">
        <w:rPr>
          <w:bCs/>
        </w:rPr>
        <w:t xml:space="preserve"> guns fired off</w:t>
      </w:r>
      <w:r w:rsidR="008E0444">
        <w:rPr>
          <w:bCs/>
        </w:rPr>
        <w:t>…. I</w:t>
      </w:r>
      <w:r w:rsidR="00DA312C">
        <w:rPr>
          <w:bCs/>
        </w:rPr>
        <w:t xml:space="preserve"> observed a number of men on horseback, and disguised. Some had white dresses, and others had bonnets. Most of them appeared to be dressed as women, with their faces blackened.</w:t>
      </w:r>
      <w:sdt>
        <w:sdtPr>
          <w:rPr>
            <w:bCs/>
          </w:rPr>
          <w:id w:val="-281574584"/>
          <w:citation/>
        </w:sdtPr>
        <w:sdtEndPr/>
        <w:sdtContent>
          <w:r w:rsidR="00C93BF3">
            <w:rPr>
              <w:bCs/>
            </w:rPr>
            <w:fldChar w:fldCharType="begin"/>
          </w:r>
          <w:r w:rsidR="00C93BF3">
            <w:rPr>
              <w:bCs/>
            </w:rPr>
            <w:instrText xml:space="preserve"> CITATION htt18 \l 2057 </w:instrText>
          </w:r>
          <w:r w:rsidR="00C93BF3">
            <w:rPr>
              <w:bCs/>
            </w:rPr>
            <w:fldChar w:fldCharType="separate"/>
          </w:r>
          <w:r w:rsidR="00E70A4A">
            <w:rPr>
              <w:bCs/>
              <w:noProof/>
            </w:rPr>
            <w:t xml:space="preserve"> </w:t>
          </w:r>
          <w:r w:rsidR="00E70A4A" w:rsidRPr="00E70A4A">
            <w:rPr>
              <w:noProof/>
            </w:rPr>
            <w:t>(Anon., 2018)</w:t>
          </w:r>
          <w:r w:rsidR="00C93BF3">
            <w:rPr>
              <w:bCs/>
            </w:rPr>
            <w:fldChar w:fldCharType="end"/>
          </w:r>
        </w:sdtContent>
      </w:sdt>
    </w:p>
    <w:p w14:paraId="7C0C2E43" w14:textId="2E1B83D8" w:rsidR="00E9448F" w:rsidRDefault="00C6431A" w:rsidP="368A71CD">
      <w:pPr>
        <w:rPr>
          <w:bCs/>
        </w:rPr>
      </w:pPr>
      <w:r>
        <w:rPr>
          <w:bCs/>
        </w:rPr>
        <w:t xml:space="preserve"> </w:t>
      </w:r>
      <w:r w:rsidR="00E9448F">
        <w:rPr>
          <w:bCs/>
        </w:rPr>
        <w:t>A report in the Carmarthen Journal on 16</w:t>
      </w:r>
      <w:r w:rsidR="00E9448F" w:rsidRPr="00E9448F">
        <w:rPr>
          <w:bCs/>
          <w:vertAlign w:val="superscript"/>
        </w:rPr>
        <w:t>th</w:t>
      </w:r>
      <w:r w:rsidR="00E9448F">
        <w:rPr>
          <w:bCs/>
        </w:rPr>
        <w:t xml:space="preserve"> December 1842 described a typical riot:</w:t>
      </w:r>
    </w:p>
    <w:p w14:paraId="709DCFE8" w14:textId="7679E3C7" w:rsidR="00E9448F" w:rsidRDefault="00E9448F" w:rsidP="00E9448F">
      <w:pPr>
        <w:ind w:left="720"/>
        <w:rPr>
          <w:bCs/>
        </w:rPr>
      </w:pPr>
      <w:r>
        <w:rPr>
          <w:bCs/>
        </w:rPr>
        <w:t>The leaders of the mob were disfigured by painting their faces in various colours, wearing horse-hair beards and women’s clothes. All the doors of the houses in the neighbourhood were locked and the inhabitants locked within, not daring to exhibit a light within their window. The riots stopped all drovers coming in the direction of Carmarthen and levied a contribution from them, stating they had destroyed all the toll gates.</w:t>
      </w:r>
      <w:sdt>
        <w:sdtPr>
          <w:rPr>
            <w:bCs/>
          </w:rPr>
          <w:id w:val="1743976328"/>
          <w:citation/>
        </w:sdtPr>
        <w:sdtEndPr/>
        <w:sdtContent>
          <w:r>
            <w:rPr>
              <w:bCs/>
            </w:rPr>
            <w:fldChar w:fldCharType="begin"/>
          </w:r>
          <w:r>
            <w:rPr>
              <w:bCs/>
            </w:rPr>
            <w:instrText xml:space="preserve"> CITATION htt18 \l 2057 </w:instrText>
          </w:r>
          <w:r>
            <w:rPr>
              <w:bCs/>
            </w:rPr>
            <w:fldChar w:fldCharType="separate"/>
          </w:r>
          <w:r>
            <w:rPr>
              <w:bCs/>
              <w:noProof/>
            </w:rPr>
            <w:t xml:space="preserve"> </w:t>
          </w:r>
          <w:r w:rsidRPr="00E9448F">
            <w:rPr>
              <w:noProof/>
            </w:rPr>
            <w:t>(Anon., 2018)</w:t>
          </w:r>
          <w:r>
            <w:rPr>
              <w:bCs/>
            </w:rPr>
            <w:fldChar w:fldCharType="end"/>
          </w:r>
        </w:sdtContent>
      </w:sdt>
      <w:r>
        <w:rPr>
          <w:rStyle w:val="FootnoteReference"/>
          <w:bCs/>
        </w:rPr>
        <w:footnoteReference w:id="17"/>
      </w:r>
    </w:p>
    <w:p w14:paraId="6D49DE7D" w14:textId="62B95C06" w:rsidR="003B0E7A" w:rsidRPr="00F102E5" w:rsidRDefault="001A44F5" w:rsidP="368A71CD">
      <w:pPr>
        <w:rPr>
          <w:bCs/>
        </w:rPr>
      </w:pPr>
      <w:r>
        <w:rPr>
          <w:bCs/>
        </w:rPr>
        <w:t xml:space="preserve"> It could hardly </w:t>
      </w:r>
      <w:r w:rsidR="00CF1D21">
        <w:rPr>
          <w:bCs/>
        </w:rPr>
        <w:t>be</w:t>
      </w:r>
      <w:r>
        <w:rPr>
          <w:bCs/>
        </w:rPr>
        <w:t xml:space="preserve"> seen as just an aberration or due to outsiders influencing the participants as their ranks were so insular and protective of each other.</w:t>
      </w:r>
      <w:r w:rsidR="004B6253">
        <w:rPr>
          <w:bCs/>
        </w:rPr>
        <w:t xml:space="preserve"> It seems likely that the Rebecca approach influenced the egalitarianism of the Chartist campaigners. Jon Gower </w:t>
      </w:r>
      <w:sdt>
        <w:sdtPr>
          <w:rPr>
            <w:bCs/>
          </w:rPr>
          <w:id w:val="-565947698"/>
          <w:citation/>
        </w:sdtPr>
        <w:sdtEndPr/>
        <w:sdtContent>
          <w:r w:rsidR="004B6253">
            <w:rPr>
              <w:bCs/>
            </w:rPr>
            <w:fldChar w:fldCharType="begin"/>
          </w:r>
          <w:r w:rsidR="004B6253">
            <w:rPr>
              <w:bCs/>
            </w:rPr>
            <w:instrText xml:space="preserve"> CITATION Jon121 \l 2057 </w:instrText>
          </w:r>
          <w:r w:rsidR="004B6253">
            <w:rPr>
              <w:bCs/>
            </w:rPr>
            <w:fldChar w:fldCharType="separate"/>
          </w:r>
          <w:r w:rsidR="00E70A4A" w:rsidRPr="00E70A4A">
            <w:rPr>
              <w:noProof/>
            </w:rPr>
            <w:t>(Gower, 2012)</w:t>
          </w:r>
          <w:r w:rsidR="004B6253">
            <w:rPr>
              <w:bCs/>
            </w:rPr>
            <w:fldChar w:fldCharType="end"/>
          </w:r>
        </w:sdtContent>
      </w:sdt>
      <w:r w:rsidR="008E0444">
        <w:rPr>
          <w:rStyle w:val="FootnoteReference"/>
          <w:bCs/>
        </w:rPr>
        <w:footnoteReference w:id="18"/>
      </w:r>
      <w:r w:rsidR="004B6253">
        <w:rPr>
          <w:bCs/>
        </w:rPr>
        <w:t xml:space="preserve"> went as far as to suggest that the unrest of the 1840s in south-west Wales led to the emergence in part of : </w:t>
      </w:r>
      <w:r w:rsidR="004B6253">
        <w:rPr>
          <w:bCs/>
          <w:i/>
        </w:rPr>
        <w:t xml:space="preserve">a new class of people…had emerged from a grimy poverty-ridden mire t fight with spirit and </w:t>
      </w:r>
      <w:r w:rsidR="00777C82">
        <w:rPr>
          <w:bCs/>
          <w:i/>
        </w:rPr>
        <w:t>dignity.</w:t>
      </w:r>
      <w:r w:rsidR="00777C82">
        <w:rPr>
          <w:bCs/>
        </w:rPr>
        <w:t xml:space="preserve"> One</w:t>
      </w:r>
      <w:r w:rsidR="00F102E5">
        <w:rPr>
          <w:bCs/>
        </w:rPr>
        <w:t xml:space="preserve"> suggestion is that the </w:t>
      </w:r>
      <w:r w:rsidR="00777C82">
        <w:rPr>
          <w:bCs/>
        </w:rPr>
        <w:t>Chartist Hugh Williams was one of the writers of Rebecca’s missives. There were almost certainly several leaders.</w:t>
      </w:r>
    </w:p>
    <w:p w14:paraId="52ECFC1A" w14:textId="597AA385" w:rsidR="002036DD" w:rsidRDefault="001A44F5" w:rsidP="007B534E">
      <w:pPr>
        <w:rPr>
          <w:bCs/>
        </w:rPr>
      </w:pPr>
      <w:r>
        <w:rPr>
          <w:bCs/>
        </w:rPr>
        <w:t>In 1844 the Turnpike Trust Law amended the laws relating to the tolls.</w:t>
      </w:r>
      <w:r w:rsidR="004B6253">
        <w:rPr>
          <w:bCs/>
        </w:rPr>
        <w:t xml:space="preserve"> Counties took over control with uniformity of tolls and lime tolls were halved.</w:t>
      </w:r>
      <w:r>
        <w:rPr>
          <w:bCs/>
        </w:rPr>
        <w:t xml:space="preserve"> Convicting any of those who had been involved proved tricky, although 13 ringleaders were eventually deported. A </w:t>
      </w:r>
      <w:r w:rsidR="00CF1D21">
        <w:rPr>
          <w:bCs/>
        </w:rPr>
        <w:t>farmer’s</w:t>
      </w:r>
      <w:r>
        <w:rPr>
          <w:bCs/>
        </w:rPr>
        <w:t xml:space="preserve"> union was set up in Pembrokeshire and the first Working Men’s Association had been firmly established in Carmarthen, with enrolments soaring and feeding into the South Wales-wide Chartist movement. However, the secrecy surrounding Rebecca and her followers was never broken and even now, it is hard to know what they really thought,</w:t>
      </w:r>
    </w:p>
    <w:p w14:paraId="4F6A8C17" w14:textId="458D25B9" w:rsidR="002036DD" w:rsidRDefault="001A44F5" w:rsidP="002036DD">
      <w:pPr>
        <w:ind w:left="720"/>
        <w:rPr>
          <w:bCs/>
          <w:i/>
        </w:rPr>
      </w:pPr>
      <w:r>
        <w:rPr>
          <w:bCs/>
        </w:rPr>
        <w:lastRenderedPageBreak/>
        <w:t xml:space="preserve"> </w:t>
      </w:r>
      <w:r w:rsidR="002036DD">
        <w:rPr>
          <w:bCs/>
          <w:i/>
        </w:rPr>
        <w:t>The people saw that their only remedy was to take the law into their own hands. The Rebecca conspiracy was conducted with such skill and fidelity…It was never diverted from its original purpose…</w:t>
      </w:r>
    </w:p>
    <w:p w14:paraId="5668D542" w14:textId="63E552DB" w:rsidR="001A44F5" w:rsidRDefault="001A44F5" w:rsidP="368A71CD">
      <w:pPr>
        <w:rPr>
          <w:bCs/>
        </w:rPr>
      </w:pPr>
      <w:r>
        <w:rPr>
          <w:bCs/>
        </w:rPr>
        <w:t>said or if any went on to other political struggles in the future. What is undeniable is that their demands and methods gained respect and led to very real changes – the Home Secretary’s thoughtful responses and the amendments he made in the Poor Law Amendment Act of 1844 clearly demonstrated that. Further changes were made to the magistrate system and a paid constabulary of police was established in the next few years, starting in Pembrokeshire.</w:t>
      </w:r>
      <w:r w:rsidR="006321FF">
        <w:rPr>
          <w:bCs/>
        </w:rPr>
        <w:t xml:space="preserve"> It had been recognized that unpaid policemen could hardly </w:t>
      </w:r>
      <w:r w:rsidR="00C90C1C">
        <w:rPr>
          <w:bCs/>
        </w:rPr>
        <w:t xml:space="preserve">be expected to maintain law and order. As a </w:t>
      </w:r>
      <w:r w:rsidR="00CF1D21">
        <w:rPr>
          <w:bCs/>
        </w:rPr>
        <w:t>result,</w:t>
      </w:r>
      <w:r w:rsidR="00C90C1C">
        <w:rPr>
          <w:bCs/>
        </w:rPr>
        <w:t xml:space="preserve"> forces had been established all over Wales by 1856.</w:t>
      </w:r>
      <w:r>
        <w:rPr>
          <w:bCs/>
        </w:rPr>
        <w:t xml:space="preserve"> Economic improvements undoubtedly </w:t>
      </w:r>
      <w:r w:rsidR="004B6253">
        <w:rPr>
          <w:bCs/>
        </w:rPr>
        <w:t>allowed more peaceable decades to ensue.</w:t>
      </w:r>
    </w:p>
    <w:p w14:paraId="019158DF" w14:textId="2C3A4D75" w:rsidR="002036DD" w:rsidRDefault="00FA62D9" w:rsidP="368A71CD">
      <w:pPr>
        <w:rPr>
          <w:bCs/>
        </w:rPr>
      </w:pPr>
      <w:r>
        <w:rPr>
          <w:bCs/>
        </w:rPr>
        <w:t>The rebellious 1840</w:t>
      </w:r>
      <w:r w:rsidR="00CF1D21">
        <w:rPr>
          <w:bCs/>
        </w:rPr>
        <w:t>s marked</w:t>
      </w:r>
      <w:r>
        <w:rPr>
          <w:bCs/>
        </w:rPr>
        <w:t xml:space="preserve"> the end of the existing social structure of south-west </w:t>
      </w:r>
      <w:proofErr w:type="gramStart"/>
      <w:r w:rsidR="00CF1D21">
        <w:rPr>
          <w:bCs/>
        </w:rPr>
        <w:t>Wales</w:t>
      </w:r>
      <w:r w:rsidR="00771B4C">
        <w:rPr>
          <w:bCs/>
        </w:rPr>
        <w:t>,</w:t>
      </w:r>
      <w:r w:rsidR="00CF1D21">
        <w:rPr>
          <w:bCs/>
        </w:rPr>
        <w:t xml:space="preserve"> but</w:t>
      </w:r>
      <w:proofErr w:type="gramEnd"/>
      <w:r>
        <w:rPr>
          <w:bCs/>
        </w:rPr>
        <w:t xml:space="preserve"> was an inevitable reaction to desperation.</w:t>
      </w:r>
      <w:r w:rsidR="005124A2">
        <w:rPr>
          <w:bCs/>
        </w:rPr>
        <w:t xml:space="preserve"> The summary of the Chair of the Commission of </w:t>
      </w:r>
      <w:r w:rsidR="00CF1D21">
        <w:rPr>
          <w:bCs/>
        </w:rPr>
        <w:t>Enquiry,</w:t>
      </w:r>
      <w:r w:rsidR="005124A2">
        <w:rPr>
          <w:bCs/>
        </w:rPr>
        <w:t xml:space="preserve"> reporting in March 1844, wholeheartedly endorsed the actions of the protesters and the fact that the troubles ceased as soon as the voices of Rebecca and her children were listened to, was widely applauded. As the report stated: </w:t>
      </w:r>
    </w:p>
    <w:p w14:paraId="3EECBA9B" w14:textId="158994E8" w:rsidR="00FA62D9" w:rsidRDefault="005124A2" w:rsidP="00AD0A30">
      <w:pPr>
        <w:ind w:left="720"/>
        <w:rPr>
          <w:bCs/>
        </w:rPr>
      </w:pPr>
      <w:r>
        <w:rPr>
          <w:bCs/>
        </w:rPr>
        <w:t>This is assuredly high praise indeed and quite an astonishing outcome to what was initially seen as a lawless breakdown in society.</w:t>
      </w:r>
      <w:r w:rsidR="008E0444">
        <w:rPr>
          <w:rStyle w:val="FootnoteReference"/>
          <w:bCs/>
        </w:rPr>
        <w:footnoteReference w:id="19"/>
      </w:r>
    </w:p>
    <w:p w14:paraId="1CD136DA" w14:textId="71A1240B" w:rsidR="003E1CCA" w:rsidRDefault="003E1CCA" w:rsidP="368A71CD">
      <w:pPr>
        <w:rPr>
          <w:bCs/>
        </w:rPr>
      </w:pPr>
      <w:r>
        <w:rPr>
          <w:bCs/>
        </w:rPr>
        <w:t>In general, history has looked favourably on the inquiry’s approach and recognised that it was a “genuine attempt to get to the bottom of the whole outbreak and look fairly at the causes”.</w:t>
      </w:r>
      <w:sdt>
        <w:sdtPr>
          <w:rPr>
            <w:bCs/>
          </w:rPr>
          <w:id w:val="-39284883"/>
          <w:citation/>
        </w:sdtPr>
        <w:sdtEndPr/>
        <w:sdtContent>
          <w:r>
            <w:rPr>
              <w:bCs/>
            </w:rPr>
            <w:fldChar w:fldCharType="begin"/>
          </w:r>
          <w:r>
            <w:rPr>
              <w:bCs/>
            </w:rPr>
            <w:instrText xml:space="preserve"> CITATION His18 \l 2057 </w:instrText>
          </w:r>
          <w:r>
            <w:rPr>
              <w:bCs/>
            </w:rPr>
            <w:fldChar w:fldCharType="separate"/>
          </w:r>
          <w:r>
            <w:rPr>
              <w:bCs/>
              <w:noProof/>
            </w:rPr>
            <w:t xml:space="preserve"> </w:t>
          </w:r>
          <w:r w:rsidRPr="003E1CCA">
            <w:rPr>
              <w:noProof/>
            </w:rPr>
            <w:t>(Anon., n.d.)</w:t>
          </w:r>
          <w:r>
            <w:rPr>
              <w:bCs/>
            </w:rPr>
            <w:fldChar w:fldCharType="end"/>
          </w:r>
        </w:sdtContent>
      </w:sdt>
      <w:r>
        <w:rPr>
          <w:rStyle w:val="FootnoteReference"/>
          <w:bCs/>
        </w:rPr>
        <w:footnoteReference w:id="20"/>
      </w:r>
    </w:p>
    <w:p w14:paraId="4DF0A3A5" w14:textId="23B1DAEF" w:rsidR="001227F6" w:rsidRDefault="001227F6" w:rsidP="368A71CD">
      <w:pPr>
        <w:rPr>
          <w:bCs/>
        </w:rPr>
      </w:pPr>
      <w:r>
        <w:rPr>
          <w:bCs/>
        </w:rPr>
        <w:t>As a result of the Inquiry’s conclusions the 1844 Act implemented the consolidation of the Turnpike trusts, simplified the rates and the charges for the transportation of lime were more than halved. Williams in his summary for the Inquiry gave a comprehensive account of the many causes of the Rebecca Riots: a decaying gentry, the Welsh language barrier, poor treatment by the local judiciary, backward agricultural practice, the influence of Methodism and Nonconformity and ultimately, extreme poverty.</w:t>
      </w:r>
    </w:p>
    <w:p w14:paraId="65DDD871" w14:textId="783EB057" w:rsidR="004324D5" w:rsidRDefault="004324D5" w:rsidP="368A71CD">
      <w:pPr>
        <w:rPr>
          <w:bCs/>
        </w:rPr>
      </w:pPr>
      <w:r>
        <w:rPr>
          <w:bCs/>
        </w:rPr>
        <w:t xml:space="preserve">Some years later, Charles Booth, the great researcher into poverty identified that the </w:t>
      </w:r>
      <w:r w:rsidR="00AE35FF">
        <w:rPr>
          <w:bCs/>
        </w:rPr>
        <w:t>root causes of 19</w:t>
      </w:r>
      <w:r w:rsidR="00AE35FF" w:rsidRPr="00AE35FF">
        <w:rPr>
          <w:bCs/>
          <w:vertAlign w:val="superscript"/>
        </w:rPr>
        <w:t>th</w:t>
      </w:r>
      <w:r w:rsidR="00AE35FF">
        <w:rPr>
          <w:bCs/>
        </w:rPr>
        <w:t xml:space="preserve"> century poverty were poor wages, uncertainties in employment, </w:t>
      </w:r>
      <w:r w:rsidR="00AB44A2">
        <w:rPr>
          <w:bCs/>
        </w:rPr>
        <w:t xml:space="preserve">large families, illness, widowhood and old age were the </w:t>
      </w:r>
      <w:r w:rsidR="00A46759">
        <w:rPr>
          <w:bCs/>
        </w:rPr>
        <w:t>consistent</w:t>
      </w:r>
      <w:r w:rsidR="00AB44A2">
        <w:rPr>
          <w:bCs/>
        </w:rPr>
        <w:t xml:space="preserve"> reasons for poverty</w:t>
      </w:r>
      <w:r w:rsidR="00CC5315">
        <w:rPr>
          <w:bCs/>
        </w:rPr>
        <w:t>. Moral weakness was not the reason</w:t>
      </w:r>
      <w:r w:rsidR="00BB49A1">
        <w:rPr>
          <w:bCs/>
        </w:rPr>
        <w:t xml:space="preserve">. In rural south-west Wales the extreme challenges to lives in the 1840s resulted in the </w:t>
      </w:r>
      <w:r w:rsidR="00690F65">
        <w:rPr>
          <w:bCs/>
        </w:rPr>
        <w:t xml:space="preserve">unrest and rebellion </w:t>
      </w:r>
      <w:r w:rsidR="00771B4C">
        <w:rPr>
          <w:bCs/>
        </w:rPr>
        <w:t>by</w:t>
      </w:r>
      <w:r w:rsidR="00690F65">
        <w:rPr>
          <w:bCs/>
        </w:rPr>
        <w:t xml:space="preserve"> the desparate poor.</w:t>
      </w:r>
      <w:r w:rsidR="007A7402">
        <w:rPr>
          <w:bCs/>
        </w:rPr>
        <w:t xml:space="preserve"> After this crucial period, new means of support developed such as the Friendly Society in Narberth and other towns to support those in dire need</w:t>
      </w:r>
      <w:r w:rsidR="0023625C">
        <w:rPr>
          <w:bCs/>
        </w:rPr>
        <w:t xml:space="preserve"> and attention turned to welfare reforms as a necessity to tackle poverty</w:t>
      </w:r>
      <w:r w:rsidR="006224FA">
        <w:rPr>
          <w:bCs/>
        </w:rPr>
        <w:t xml:space="preserve"> and social exclusion.</w:t>
      </w:r>
      <w:r w:rsidR="008253EC">
        <w:rPr>
          <w:bCs/>
        </w:rPr>
        <w:t xml:space="preserve"> It had taken some time for </w:t>
      </w:r>
      <w:r w:rsidR="0041003B">
        <w:rPr>
          <w:bCs/>
        </w:rPr>
        <w:t xml:space="preserve">contemporaries to realise that the riots and unrest had valid causes and that the people of south-west Wales had </w:t>
      </w:r>
      <w:r w:rsidR="00025056">
        <w:rPr>
          <w:bCs/>
        </w:rPr>
        <w:t xml:space="preserve">themselves </w:t>
      </w:r>
      <w:r w:rsidR="00CF1D21">
        <w:rPr>
          <w:bCs/>
        </w:rPr>
        <w:t>revolted against</w:t>
      </w:r>
      <w:r w:rsidR="00025056">
        <w:rPr>
          <w:bCs/>
        </w:rPr>
        <w:t xml:space="preserve"> the unbearable conditions and not due to some external coercion</w:t>
      </w:r>
      <w:r w:rsidR="00B2053A">
        <w:rPr>
          <w:bCs/>
        </w:rPr>
        <w:t>. Their legitimate claims were acknowledged and finally respected, resulting in very real change as a result</w:t>
      </w:r>
      <w:r w:rsidR="001F03C0">
        <w:rPr>
          <w:bCs/>
        </w:rPr>
        <w:t xml:space="preserve">. Those who argued at the time against poverty as the cause founds their arguments lacked lasting credence and subsequent analysis further supports this – the root cause was </w:t>
      </w:r>
      <w:r w:rsidR="000B5D38">
        <w:rPr>
          <w:bCs/>
        </w:rPr>
        <w:t xml:space="preserve">undoubtedly </w:t>
      </w:r>
      <w:r w:rsidR="001F03C0">
        <w:rPr>
          <w:bCs/>
        </w:rPr>
        <w:t>poverty</w:t>
      </w:r>
      <w:r w:rsidR="003F5A09">
        <w:rPr>
          <w:bCs/>
        </w:rPr>
        <w:t xml:space="preserve"> and the anger</w:t>
      </w:r>
      <w:r w:rsidR="00AD0A30">
        <w:rPr>
          <w:bCs/>
        </w:rPr>
        <w:t xml:space="preserve"> </w:t>
      </w:r>
      <w:r w:rsidR="00AD0A30">
        <w:rPr>
          <w:bCs/>
        </w:rPr>
        <w:lastRenderedPageBreak/>
        <w:t>therefore</w:t>
      </w:r>
      <w:r w:rsidR="003F5A09">
        <w:rPr>
          <w:bCs/>
        </w:rPr>
        <w:t xml:space="preserve"> justified.</w:t>
      </w:r>
      <w:r w:rsidR="00215386">
        <w:rPr>
          <w:bCs/>
        </w:rPr>
        <w:t xml:space="preserve"> Ultimately, it achieved the results so badly required.</w:t>
      </w:r>
      <w:r w:rsidR="001227F6">
        <w:rPr>
          <w:bCs/>
        </w:rPr>
        <w:t xml:space="preserve"> As M Weller summed up the Rebecca Riots in his blog:</w:t>
      </w:r>
    </w:p>
    <w:p w14:paraId="37E6A9DB" w14:textId="74248EEC" w:rsidR="001227F6" w:rsidRDefault="001227F6" w:rsidP="001227F6">
      <w:pPr>
        <w:ind w:left="720"/>
        <w:rPr>
          <w:bCs/>
        </w:rPr>
      </w:pPr>
      <w:r>
        <w:rPr>
          <w:bCs/>
        </w:rPr>
        <w:t>When suppression failed, the authorities were ultimately forced to concede the grievances were valid.</w:t>
      </w:r>
      <w:sdt>
        <w:sdtPr>
          <w:rPr>
            <w:bCs/>
          </w:rPr>
          <w:id w:val="-1412151134"/>
          <w:citation/>
        </w:sdtPr>
        <w:sdtEndPr/>
        <w:sdtContent>
          <w:r>
            <w:rPr>
              <w:bCs/>
            </w:rPr>
            <w:fldChar w:fldCharType="begin"/>
          </w:r>
          <w:r>
            <w:rPr>
              <w:bCs/>
            </w:rPr>
            <w:instrText xml:space="preserve"> CITATION Wel \l 2057 </w:instrText>
          </w:r>
          <w:r>
            <w:rPr>
              <w:bCs/>
            </w:rPr>
            <w:fldChar w:fldCharType="separate"/>
          </w:r>
          <w:r>
            <w:rPr>
              <w:bCs/>
              <w:noProof/>
            </w:rPr>
            <w:t xml:space="preserve"> </w:t>
          </w:r>
          <w:r w:rsidRPr="001227F6">
            <w:rPr>
              <w:noProof/>
            </w:rPr>
            <w:t>(Weller, n.d.)</w:t>
          </w:r>
          <w:r>
            <w:rPr>
              <w:bCs/>
            </w:rPr>
            <w:fldChar w:fldCharType="end"/>
          </w:r>
        </w:sdtContent>
      </w:sdt>
      <w:r>
        <w:rPr>
          <w:bCs/>
        </w:rPr>
        <w:t>.</w:t>
      </w:r>
      <w:r>
        <w:rPr>
          <w:rStyle w:val="FootnoteReference"/>
          <w:bCs/>
        </w:rPr>
        <w:footnoteReference w:id="21"/>
      </w:r>
    </w:p>
    <w:p w14:paraId="4B7C17A2" w14:textId="7E3F5644" w:rsidR="002B5B71" w:rsidRPr="0009472D" w:rsidRDefault="002B5B71" w:rsidP="0009472D"/>
    <w:p w14:paraId="17A475D3" w14:textId="77777777" w:rsidR="00E70A4A" w:rsidRDefault="00E70A4A" w:rsidP="368A71CD">
      <w:pPr>
        <w:rPr>
          <w:b/>
          <w:bCs/>
        </w:rPr>
      </w:pPr>
    </w:p>
    <w:p w14:paraId="03F6E0A6" w14:textId="34D2D790" w:rsidR="002B5B71" w:rsidRDefault="002B5B71" w:rsidP="368A71CD">
      <w:pPr>
        <w:rPr>
          <w:b/>
          <w:bCs/>
        </w:rPr>
      </w:pPr>
      <w:r w:rsidRPr="0009472D">
        <w:rPr>
          <w:b/>
          <w:bCs/>
        </w:rPr>
        <w:t>BIBLIOGRAPHY</w:t>
      </w:r>
    </w:p>
    <w:p w14:paraId="0144EFA6" w14:textId="2D5C0623" w:rsidR="0009472D" w:rsidRDefault="0009472D" w:rsidP="368A71CD">
      <w:pPr>
        <w:rPr>
          <w:b/>
          <w:bCs/>
        </w:rPr>
      </w:pPr>
      <w:r>
        <w:rPr>
          <w:b/>
          <w:bCs/>
        </w:rPr>
        <w:t>Primary sources</w:t>
      </w:r>
    </w:p>
    <w:p w14:paraId="2245B53C" w14:textId="77777777" w:rsidR="00E70A4A" w:rsidRDefault="00E70A4A" w:rsidP="00CF541C">
      <w:pPr>
        <w:rPr>
          <w:noProof/>
          <w:sz w:val="24"/>
          <w:szCs w:val="24"/>
        </w:rPr>
      </w:pPr>
      <w:r>
        <w:rPr>
          <w:bCs/>
        </w:rPr>
        <w:fldChar w:fldCharType="begin"/>
      </w:r>
      <w:r>
        <w:rPr>
          <w:bCs/>
        </w:rPr>
        <w:instrText xml:space="preserve"> BIBLIOGRAPHY  \l 2057 </w:instrText>
      </w:r>
      <w:r>
        <w:rPr>
          <w:bCs/>
        </w:rPr>
        <w:fldChar w:fldCharType="separate"/>
      </w:r>
      <w:r>
        <w:rPr>
          <w:noProof/>
        </w:rPr>
        <w:t>Anon., 1844. s.l.:The Pembrokeshire Herald and General Advertiser.</w:t>
      </w:r>
    </w:p>
    <w:p w14:paraId="6746745E" w14:textId="77777777" w:rsidR="00E70A4A" w:rsidRDefault="00E70A4A" w:rsidP="00E70A4A">
      <w:pPr>
        <w:pStyle w:val="Bibliography"/>
        <w:rPr>
          <w:noProof/>
        </w:rPr>
      </w:pPr>
      <w:r>
        <w:rPr>
          <w:noProof/>
        </w:rPr>
        <w:t>Anon., 1844. s.l.:The Pembrokeshire Herald and General Advertiser.</w:t>
      </w:r>
    </w:p>
    <w:p w14:paraId="14EB357C" w14:textId="77777777" w:rsidR="00E70A4A" w:rsidRDefault="00E70A4A" w:rsidP="00E70A4A">
      <w:pPr>
        <w:pStyle w:val="Bibliography"/>
        <w:rPr>
          <w:noProof/>
        </w:rPr>
      </w:pPr>
      <w:r>
        <w:rPr>
          <w:noProof/>
        </w:rPr>
        <w:t xml:space="preserve">Anon., 1844. </w:t>
      </w:r>
      <w:r>
        <w:rPr>
          <w:i/>
          <w:iCs/>
          <w:noProof/>
        </w:rPr>
        <w:t xml:space="preserve">Commission of inquiry, </w:t>
      </w:r>
      <w:r>
        <w:rPr>
          <w:noProof/>
        </w:rPr>
        <w:t>s.l.: s.n.</w:t>
      </w:r>
    </w:p>
    <w:p w14:paraId="1E6F88C7" w14:textId="77777777" w:rsidR="00E70A4A" w:rsidRDefault="00E70A4A" w:rsidP="00E70A4A">
      <w:pPr>
        <w:pStyle w:val="Bibliography"/>
        <w:rPr>
          <w:noProof/>
        </w:rPr>
      </w:pPr>
      <w:r>
        <w:rPr>
          <w:noProof/>
        </w:rPr>
        <w:t xml:space="preserve">Anon., 1896. </w:t>
      </w:r>
      <w:r>
        <w:rPr>
          <w:i/>
          <w:iCs/>
          <w:noProof/>
        </w:rPr>
        <w:t xml:space="preserve">Welsh land Commission. </w:t>
      </w:r>
      <w:r>
        <w:rPr>
          <w:noProof/>
        </w:rPr>
        <w:t>[Online].</w:t>
      </w:r>
    </w:p>
    <w:p w14:paraId="37DEECA5" w14:textId="083B8DD1" w:rsidR="00E70A4A" w:rsidRDefault="00E70A4A" w:rsidP="00E70A4A">
      <w:pPr>
        <w:pStyle w:val="Bibliography"/>
        <w:rPr>
          <w:noProof/>
          <w:u w:val="single"/>
        </w:rPr>
      </w:pPr>
      <w:r>
        <w:rPr>
          <w:noProof/>
        </w:rPr>
        <w:t xml:space="preserve">Anon., 2018. </w:t>
      </w:r>
      <w:r>
        <w:rPr>
          <w:i/>
          <w:iCs/>
          <w:noProof/>
        </w:rPr>
        <w:t xml:space="preserve">https://newspapers.library.wales. </w:t>
      </w:r>
      <w:r>
        <w:rPr>
          <w:noProof/>
        </w:rPr>
        <w:t xml:space="preserve">[Online] </w:t>
      </w:r>
      <w:r>
        <w:rPr>
          <w:noProof/>
        </w:rPr>
        <w:br/>
        <w:t xml:space="preserve">Available at: </w:t>
      </w:r>
      <w:r>
        <w:rPr>
          <w:noProof/>
          <w:u w:val="single"/>
        </w:rPr>
        <w:t>https://newspapers.library.wales</w:t>
      </w:r>
    </w:p>
    <w:p w14:paraId="6FBC30D6" w14:textId="01CF4637" w:rsidR="00CF541C" w:rsidRDefault="00CF541C" w:rsidP="00CF541C">
      <w:r>
        <w:t>MA Local History course notes</w:t>
      </w:r>
    </w:p>
    <w:p w14:paraId="07C552DF" w14:textId="2B23AA2C" w:rsidR="00CF541C" w:rsidRDefault="00CF541C" w:rsidP="00CF541C">
      <w:r>
        <w:t>Letters from Colonel Love to the Home Office for Commission evidence</w:t>
      </w:r>
    </w:p>
    <w:p w14:paraId="1244304E" w14:textId="38CE625B" w:rsidR="00F3458B" w:rsidRDefault="00F3458B" w:rsidP="00CF541C">
      <w:r>
        <w:t>https://www.nationalarchives.gov.uk/education/resources/rebecca-riots</w:t>
      </w:r>
    </w:p>
    <w:p w14:paraId="60A01E77" w14:textId="69F79C2F" w:rsidR="001227F6" w:rsidRPr="00CF541C" w:rsidRDefault="001227F6" w:rsidP="00CF541C">
      <w:r>
        <w:t>https://blog.edtechnie.net/openaccess/sci-hub-and-the-rebecca-riots/</w:t>
      </w:r>
    </w:p>
    <w:p w14:paraId="53684FB4" w14:textId="68D4B2BF" w:rsidR="00E70A4A" w:rsidRPr="00E70A4A" w:rsidRDefault="00E70A4A" w:rsidP="00E70A4A">
      <w:pPr>
        <w:rPr>
          <w:b/>
        </w:rPr>
      </w:pPr>
      <w:r>
        <w:rPr>
          <w:b/>
        </w:rPr>
        <w:t>Secondary sources</w:t>
      </w:r>
    </w:p>
    <w:p w14:paraId="7E29522D" w14:textId="77777777" w:rsidR="00E70A4A" w:rsidRDefault="00E70A4A" w:rsidP="00E70A4A">
      <w:pPr>
        <w:pStyle w:val="Bibliography"/>
        <w:rPr>
          <w:noProof/>
        </w:rPr>
      </w:pPr>
      <w:r>
        <w:rPr>
          <w:noProof/>
        </w:rPr>
        <w:t xml:space="preserve">Davies, J., 1993. </w:t>
      </w:r>
      <w:r>
        <w:rPr>
          <w:i/>
          <w:iCs/>
          <w:noProof/>
        </w:rPr>
        <w:t xml:space="preserve">A History of Wales. </w:t>
      </w:r>
      <w:r>
        <w:rPr>
          <w:noProof/>
        </w:rPr>
        <w:t>London: Penguin.</w:t>
      </w:r>
    </w:p>
    <w:p w14:paraId="12427931" w14:textId="77777777" w:rsidR="00E70A4A" w:rsidRDefault="00E70A4A" w:rsidP="00E70A4A">
      <w:pPr>
        <w:pStyle w:val="Bibliography"/>
        <w:rPr>
          <w:noProof/>
        </w:rPr>
      </w:pPr>
      <w:r>
        <w:rPr>
          <w:noProof/>
        </w:rPr>
        <w:t xml:space="preserve">Davies, R., 2005. </w:t>
      </w:r>
      <w:r>
        <w:rPr>
          <w:i/>
          <w:iCs/>
          <w:noProof/>
        </w:rPr>
        <w:t xml:space="preserve">Hope and Heartbreak. </w:t>
      </w:r>
      <w:r>
        <w:rPr>
          <w:noProof/>
        </w:rPr>
        <w:t>Cardiff: University of Wales Press.</w:t>
      </w:r>
    </w:p>
    <w:p w14:paraId="1B30158F" w14:textId="77777777" w:rsidR="00E70A4A" w:rsidRDefault="00E70A4A" w:rsidP="00E70A4A">
      <w:pPr>
        <w:pStyle w:val="Bibliography"/>
        <w:rPr>
          <w:noProof/>
        </w:rPr>
      </w:pPr>
      <w:r>
        <w:rPr>
          <w:noProof/>
        </w:rPr>
        <w:t xml:space="preserve">Egan, D., 1987. </w:t>
      </w:r>
      <w:r>
        <w:rPr>
          <w:i/>
          <w:iCs/>
          <w:noProof/>
        </w:rPr>
        <w:t xml:space="preserve">People, Protest &amp; Politics. </w:t>
      </w:r>
      <w:r>
        <w:rPr>
          <w:noProof/>
        </w:rPr>
        <w:t>s.l.:Gower Press.</w:t>
      </w:r>
    </w:p>
    <w:p w14:paraId="1EB7D0BD" w14:textId="77777777" w:rsidR="00E70A4A" w:rsidRDefault="00E70A4A" w:rsidP="00E70A4A">
      <w:pPr>
        <w:pStyle w:val="Bibliography"/>
        <w:rPr>
          <w:noProof/>
        </w:rPr>
      </w:pPr>
      <w:r>
        <w:rPr>
          <w:noProof/>
        </w:rPr>
        <w:t xml:space="preserve">Evans, D. G., 1989. </w:t>
      </w:r>
      <w:r>
        <w:rPr>
          <w:i/>
          <w:iCs/>
          <w:noProof/>
        </w:rPr>
        <w:t xml:space="preserve">A History of Wales 1815-1906. </w:t>
      </w:r>
      <w:r>
        <w:rPr>
          <w:noProof/>
        </w:rPr>
        <w:t>Cardiff: University of Wales Press.</w:t>
      </w:r>
    </w:p>
    <w:p w14:paraId="0CCFA892" w14:textId="77777777" w:rsidR="00E70A4A" w:rsidRDefault="00E70A4A" w:rsidP="00E70A4A">
      <w:pPr>
        <w:pStyle w:val="Bibliography"/>
        <w:rPr>
          <w:noProof/>
        </w:rPr>
      </w:pPr>
      <w:r>
        <w:rPr>
          <w:noProof/>
        </w:rPr>
        <w:t xml:space="preserve">Gower, J., 2012. </w:t>
      </w:r>
      <w:r>
        <w:rPr>
          <w:i/>
          <w:iCs/>
          <w:noProof/>
        </w:rPr>
        <w:t xml:space="preserve">The Story of Wales. </w:t>
      </w:r>
      <w:r>
        <w:rPr>
          <w:noProof/>
        </w:rPr>
        <w:t>s.l.:BBC.</w:t>
      </w:r>
    </w:p>
    <w:p w14:paraId="1582AE93" w14:textId="77777777" w:rsidR="00E70A4A" w:rsidRDefault="00E70A4A" w:rsidP="00E70A4A">
      <w:pPr>
        <w:pStyle w:val="Bibliography"/>
        <w:rPr>
          <w:noProof/>
        </w:rPr>
      </w:pPr>
      <w:r>
        <w:rPr>
          <w:noProof/>
        </w:rPr>
        <w:t xml:space="preserve">Hill, C. P., 1992. </w:t>
      </w:r>
      <w:r>
        <w:rPr>
          <w:i/>
          <w:iCs/>
          <w:noProof/>
        </w:rPr>
        <w:t xml:space="preserve">British Economic &amp; Social History 1700-1982. </w:t>
      </w:r>
      <w:r>
        <w:rPr>
          <w:noProof/>
        </w:rPr>
        <w:t>Sevenoaks: Hodder &amp; Stoughton.</w:t>
      </w:r>
    </w:p>
    <w:p w14:paraId="51700675" w14:textId="77777777" w:rsidR="00E70A4A" w:rsidRDefault="00E70A4A" w:rsidP="00E70A4A">
      <w:pPr>
        <w:pStyle w:val="Bibliography"/>
        <w:rPr>
          <w:noProof/>
        </w:rPr>
      </w:pPr>
      <w:r>
        <w:rPr>
          <w:noProof/>
        </w:rPr>
        <w:t xml:space="preserve">Howell, D. W., 1977. </w:t>
      </w:r>
      <w:r>
        <w:rPr>
          <w:i/>
          <w:iCs/>
          <w:noProof/>
        </w:rPr>
        <w:t xml:space="preserve">Land and People in 19th century Wales. </w:t>
      </w:r>
      <w:r>
        <w:rPr>
          <w:noProof/>
        </w:rPr>
        <w:t>London: Routledge.</w:t>
      </w:r>
    </w:p>
    <w:p w14:paraId="51B4942A" w14:textId="77777777" w:rsidR="00E70A4A" w:rsidRDefault="00E70A4A" w:rsidP="00E70A4A">
      <w:pPr>
        <w:pStyle w:val="Bibliography"/>
        <w:rPr>
          <w:noProof/>
        </w:rPr>
      </w:pPr>
      <w:r>
        <w:rPr>
          <w:noProof/>
        </w:rPr>
        <w:t xml:space="preserve">John, A. V., 2011. </w:t>
      </w:r>
      <w:r>
        <w:rPr>
          <w:i/>
          <w:iCs/>
          <w:noProof/>
        </w:rPr>
        <w:t xml:space="preserve">Our Mother's Land. </w:t>
      </w:r>
      <w:r>
        <w:rPr>
          <w:noProof/>
        </w:rPr>
        <w:t>Cardiff: university of Wales Press.</w:t>
      </w:r>
    </w:p>
    <w:p w14:paraId="17A4EB0C" w14:textId="77777777" w:rsidR="00E70A4A" w:rsidRDefault="00E70A4A" w:rsidP="00E70A4A">
      <w:pPr>
        <w:pStyle w:val="Bibliography"/>
        <w:rPr>
          <w:noProof/>
        </w:rPr>
      </w:pPr>
      <w:r>
        <w:rPr>
          <w:noProof/>
        </w:rPr>
        <w:t xml:space="preserve">jones, D., 1973. </w:t>
      </w:r>
      <w:r>
        <w:rPr>
          <w:i/>
          <w:iCs/>
          <w:noProof/>
        </w:rPr>
        <w:t xml:space="preserve">Before Rebecca - Popular Protests in Wales 1793 - 1835. </w:t>
      </w:r>
      <w:r>
        <w:rPr>
          <w:noProof/>
        </w:rPr>
        <w:t>Bristol: Allen Lane.</w:t>
      </w:r>
    </w:p>
    <w:p w14:paraId="2CD9F265" w14:textId="77777777" w:rsidR="00E70A4A" w:rsidRDefault="00E70A4A" w:rsidP="00E70A4A">
      <w:pPr>
        <w:pStyle w:val="Bibliography"/>
        <w:rPr>
          <w:noProof/>
        </w:rPr>
      </w:pPr>
      <w:r>
        <w:rPr>
          <w:noProof/>
        </w:rPr>
        <w:lastRenderedPageBreak/>
        <w:t xml:space="preserve">Jones, D. J. V., 1989. </w:t>
      </w:r>
      <w:r>
        <w:rPr>
          <w:i/>
          <w:iCs/>
          <w:noProof/>
        </w:rPr>
        <w:t xml:space="preserve">Rebecca's Children. </w:t>
      </w:r>
      <w:r>
        <w:rPr>
          <w:noProof/>
        </w:rPr>
        <w:t>Oxford: Clarendon Press.</w:t>
      </w:r>
    </w:p>
    <w:p w14:paraId="4034C7A9" w14:textId="77777777" w:rsidR="00E70A4A" w:rsidRDefault="00E70A4A" w:rsidP="00E70A4A">
      <w:pPr>
        <w:pStyle w:val="Bibliography"/>
        <w:rPr>
          <w:noProof/>
        </w:rPr>
      </w:pPr>
      <w:r>
        <w:rPr>
          <w:noProof/>
        </w:rPr>
        <w:t xml:space="preserve">Jones, G. E., 1995. </w:t>
      </w:r>
      <w:r>
        <w:rPr>
          <w:i/>
          <w:iCs/>
          <w:noProof/>
        </w:rPr>
        <w:t xml:space="preserve">Modern Wales. </w:t>
      </w:r>
      <w:r>
        <w:rPr>
          <w:noProof/>
        </w:rPr>
        <w:t>Cambridge: University Press.</w:t>
      </w:r>
    </w:p>
    <w:p w14:paraId="43DC765C" w14:textId="77777777" w:rsidR="00E70A4A" w:rsidRDefault="00E70A4A" w:rsidP="00E70A4A">
      <w:pPr>
        <w:pStyle w:val="Bibliography"/>
        <w:rPr>
          <w:noProof/>
        </w:rPr>
      </w:pPr>
      <w:r>
        <w:rPr>
          <w:noProof/>
        </w:rPr>
        <w:t xml:space="preserve">Murray, P., 1999. </w:t>
      </w:r>
      <w:r>
        <w:rPr>
          <w:i/>
          <w:iCs/>
          <w:noProof/>
        </w:rPr>
        <w:t xml:space="preserve">Poverty and Welfare 1830- 1914. </w:t>
      </w:r>
      <w:r>
        <w:rPr>
          <w:noProof/>
        </w:rPr>
        <w:t>Abingdon: Bookpoint Ltd.</w:t>
      </w:r>
    </w:p>
    <w:p w14:paraId="7BB58AB3" w14:textId="77777777" w:rsidR="00E70A4A" w:rsidRDefault="00E70A4A" w:rsidP="00E70A4A">
      <w:pPr>
        <w:pStyle w:val="Bibliography"/>
        <w:rPr>
          <w:noProof/>
        </w:rPr>
      </w:pPr>
      <w:r>
        <w:rPr>
          <w:noProof/>
        </w:rPr>
        <w:t xml:space="preserve">Pretty, D. A., 1989. </w:t>
      </w:r>
      <w:r>
        <w:rPr>
          <w:i/>
          <w:iCs/>
          <w:noProof/>
        </w:rPr>
        <w:t xml:space="preserve">The Rural Revolt that Failed. </w:t>
      </w:r>
      <w:r>
        <w:rPr>
          <w:noProof/>
        </w:rPr>
        <w:t>Cardiff: University of Wales Press.</w:t>
      </w:r>
    </w:p>
    <w:p w14:paraId="7E96E8B7" w14:textId="77777777" w:rsidR="00E70A4A" w:rsidRDefault="00E70A4A" w:rsidP="00E70A4A">
      <w:pPr>
        <w:pStyle w:val="Bibliography"/>
        <w:rPr>
          <w:noProof/>
        </w:rPr>
      </w:pPr>
      <w:r>
        <w:rPr>
          <w:noProof/>
        </w:rPr>
        <w:t xml:space="preserve">Rees, L. A., n.d. </w:t>
      </w:r>
      <w:r>
        <w:rPr>
          <w:i/>
          <w:iCs/>
          <w:noProof/>
        </w:rPr>
        <w:t xml:space="preserve">Paternalism and Rural Protest: the rebecca Riots &amp; the landed gentry interest of south-west Wales, </w:t>
      </w:r>
      <w:r>
        <w:rPr>
          <w:noProof/>
        </w:rPr>
        <w:t>s.l.: s.n.</w:t>
      </w:r>
    </w:p>
    <w:p w14:paraId="7E6A9FB3" w14:textId="77777777" w:rsidR="00E70A4A" w:rsidRDefault="00E70A4A" w:rsidP="00E70A4A">
      <w:pPr>
        <w:pStyle w:val="Bibliography"/>
        <w:rPr>
          <w:noProof/>
        </w:rPr>
      </w:pPr>
      <w:r>
        <w:rPr>
          <w:noProof/>
        </w:rPr>
        <w:t xml:space="preserve">Rose, M. E., 1974. </w:t>
      </w:r>
      <w:r>
        <w:rPr>
          <w:i/>
          <w:iCs/>
          <w:noProof/>
        </w:rPr>
        <w:t xml:space="preserve">The Relief of Poverty 1834 - 1914. </w:t>
      </w:r>
      <w:r>
        <w:rPr>
          <w:noProof/>
        </w:rPr>
        <w:t>London: Macmillan Press.</w:t>
      </w:r>
    </w:p>
    <w:p w14:paraId="5B7D9388" w14:textId="77777777" w:rsidR="00E70A4A" w:rsidRDefault="00E70A4A" w:rsidP="00E70A4A">
      <w:pPr>
        <w:pStyle w:val="Bibliography"/>
        <w:rPr>
          <w:noProof/>
        </w:rPr>
      </w:pPr>
      <w:r>
        <w:rPr>
          <w:noProof/>
        </w:rPr>
        <w:t xml:space="preserve">Turner, E. B. A. H. &amp;. M., 1991. </w:t>
      </w:r>
      <w:r>
        <w:rPr>
          <w:i/>
          <w:iCs/>
          <w:noProof/>
        </w:rPr>
        <w:t xml:space="preserve">Land, Labour &amp; Agriculture 1700-1920. </w:t>
      </w:r>
      <w:r>
        <w:rPr>
          <w:noProof/>
        </w:rPr>
        <w:t>London: Hambledon Press.</w:t>
      </w:r>
    </w:p>
    <w:p w14:paraId="5FAE9663" w14:textId="54087BB7" w:rsidR="0009472D" w:rsidRDefault="00E70A4A" w:rsidP="00E70A4A">
      <w:pPr>
        <w:rPr>
          <w:bCs/>
        </w:rPr>
      </w:pPr>
      <w:r>
        <w:rPr>
          <w:bCs/>
        </w:rPr>
        <w:fldChar w:fldCharType="end"/>
      </w:r>
    </w:p>
    <w:p w14:paraId="3C751EF1" w14:textId="05BD4F0B" w:rsidR="003F5A09" w:rsidRPr="005124A2" w:rsidRDefault="003F5A09" w:rsidP="002B5B71">
      <w:pPr>
        <w:rPr>
          <w:bCs/>
        </w:rPr>
      </w:pPr>
    </w:p>
    <w:sectPr w:rsidR="003F5A09" w:rsidRPr="005124A2">
      <w:headerReference w:type="default" r:id="rId11"/>
      <w:footerReference w:type="default" r:id="rId1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User" w:date="2018-12-23T14:51:00Z" w:initials="U">
    <w:p w14:paraId="44BDFE4F" w14:textId="47D1FD95" w:rsidR="00CF1D21" w:rsidRDefault="00CF1D2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4BDFE4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4BDFE4F" w16cid:durableId="1FCB38F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832F2" w14:textId="77777777" w:rsidR="00BF588D" w:rsidRDefault="00BF588D">
      <w:pPr>
        <w:spacing w:after="0" w:line="240" w:lineRule="auto"/>
      </w:pPr>
      <w:r>
        <w:separator/>
      </w:r>
    </w:p>
  </w:endnote>
  <w:endnote w:type="continuationSeparator" w:id="0">
    <w:p w14:paraId="4454F6A0" w14:textId="77777777" w:rsidR="00BF588D" w:rsidRDefault="00BF5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BE06694" w14:paraId="2EF58617" w14:textId="77777777" w:rsidTr="0BE06694">
      <w:tc>
        <w:tcPr>
          <w:tcW w:w="3120" w:type="dxa"/>
        </w:tcPr>
        <w:p w14:paraId="311CEF70" w14:textId="1E59A861" w:rsidR="0BE06694" w:rsidRDefault="0BE06694" w:rsidP="0BE06694">
          <w:pPr>
            <w:pStyle w:val="Header"/>
            <w:ind w:left="-115"/>
          </w:pPr>
          <w:r>
            <w:t>MA Local History UWTSD</w:t>
          </w:r>
        </w:p>
      </w:tc>
      <w:tc>
        <w:tcPr>
          <w:tcW w:w="3120" w:type="dxa"/>
        </w:tcPr>
        <w:p w14:paraId="186EB737" w14:textId="72A1B0F3" w:rsidR="0BE06694" w:rsidRDefault="0BE06694" w:rsidP="0BE06694">
          <w:pPr>
            <w:pStyle w:val="Header"/>
            <w:jc w:val="center"/>
          </w:pPr>
        </w:p>
      </w:tc>
      <w:tc>
        <w:tcPr>
          <w:tcW w:w="3120" w:type="dxa"/>
        </w:tcPr>
        <w:p w14:paraId="72636C83" w14:textId="334F98ED" w:rsidR="0BE06694" w:rsidRDefault="0BE06694" w:rsidP="0BE06694">
          <w:pPr>
            <w:pStyle w:val="Header"/>
            <w:ind w:right="-115"/>
            <w:jc w:val="right"/>
          </w:pPr>
        </w:p>
      </w:tc>
    </w:tr>
  </w:tbl>
  <w:p w14:paraId="79D5609D" w14:textId="7CAC19E5" w:rsidR="0BE06694" w:rsidRDefault="0BE06694" w:rsidP="0BE06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97214" w14:textId="77777777" w:rsidR="00BF588D" w:rsidRDefault="00BF588D">
      <w:pPr>
        <w:spacing w:after="0" w:line="240" w:lineRule="auto"/>
      </w:pPr>
      <w:r>
        <w:separator/>
      </w:r>
    </w:p>
  </w:footnote>
  <w:footnote w:type="continuationSeparator" w:id="0">
    <w:p w14:paraId="72B6ABBD" w14:textId="77777777" w:rsidR="00BF588D" w:rsidRDefault="00BF588D">
      <w:pPr>
        <w:spacing w:after="0" w:line="240" w:lineRule="auto"/>
      </w:pPr>
      <w:r>
        <w:continuationSeparator/>
      </w:r>
    </w:p>
  </w:footnote>
  <w:footnote w:id="1">
    <w:p w14:paraId="1998C5EB" w14:textId="75382715" w:rsidR="00650C35" w:rsidRDefault="00650C35">
      <w:pPr>
        <w:pStyle w:val="FootnoteText"/>
      </w:pPr>
      <w:r>
        <w:rPr>
          <w:rStyle w:val="FootnoteReference"/>
        </w:rPr>
        <w:footnoteRef/>
      </w:r>
      <w:r>
        <w:t xml:space="preserve"> David A Pret</w:t>
      </w:r>
      <w:r w:rsidR="006C1CA2">
        <w:t>ty</w:t>
      </w:r>
      <w:r>
        <w:t>: The Rural revolt that failed 1889-1950. 1989. Cardiff. University of Wales Press p.1</w:t>
      </w:r>
      <w:sdt>
        <w:sdtPr>
          <w:id w:val="-135572608"/>
          <w:citation/>
        </w:sdtPr>
        <w:sdtEndPr/>
        <w:sdtContent>
          <w:r>
            <w:fldChar w:fldCharType="begin"/>
          </w:r>
          <w:r>
            <w:instrText xml:space="preserve"> CITATION Pre89 \l 2057 </w:instrText>
          </w:r>
          <w:r>
            <w:fldChar w:fldCharType="separate"/>
          </w:r>
          <w:r w:rsidR="00E70A4A">
            <w:rPr>
              <w:noProof/>
            </w:rPr>
            <w:t xml:space="preserve"> </w:t>
          </w:r>
          <w:r w:rsidR="00E70A4A" w:rsidRPr="00E70A4A">
            <w:rPr>
              <w:noProof/>
            </w:rPr>
            <w:t>(Pretty, 1989)</w:t>
          </w:r>
          <w:r>
            <w:fldChar w:fldCharType="end"/>
          </w:r>
        </w:sdtContent>
      </w:sdt>
    </w:p>
  </w:footnote>
  <w:footnote w:id="2">
    <w:p w14:paraId="322C294F" w14:textId="1DA7D955" w:rsidR="00650C35" w:rsidRDefault="00650C35">
      <w:pPr>
        <w:pStyle w:val="FootnoteText"/>
      </w:pPr>
      <w:r>
        <w:rPr>
          <w:rStyle w:val="FootnoteReference"/>
        </w:rPr>
        <w:footnoteRef/>
      </w:r>
      <w:r>
        <w:t xml:space="preserve"> Welsh Land Commission, Hansard, 30 March 1896</w:t>
      </w:r>
    </w:p>
  </w:footnote>
  <w:footnote w:id="3">
    <w:p w14:paraId="1F9E8085" w14:textId="4527058F" w:rsidR="006C1CA2" w:rsidRDefault="006C1CA2">
      <w:pPr>
        <w:pStyle w:val="FootnoteText"/>
      </w:pPr>
      <w:r>
        <w:rPr>
          <w:rStyle w:val="FootnoteReference"/>
        </w:rPr>
        <w:footnoteRef/>
      </w:r>
      <w:r>
        <w:t xml:space="preserve"> </w:t>
      </w:r>
      <w:sdt>
        <w:sdtPr>
          <w:id w:val="1327246503"/>
          <w:citation/>
        </w:sdtPr>
        <w:sdtEndPr/>
        <w:sdtContent>
          <w:r>
            <w:fldChar w:fldCharType="begin"/>
          </w:r>
          <w:r>
            <w:instrText xml:space="preserve"> CITATION Pet99 \l 2057 </w:instrText>
          </w:r>
          <w:r>
            <w:fldChar w:fldCharType="separate"/>
          </w:r>
          <w:r w:rsidR="00E70A4A" w:rsidRPr="00E70A4A">
            <w:rPr>
              <w:noProof/>
            </w:rPr>
            <w:t>(Murray, 1999)</w:t>
          </w:r>
          <w:r>
            <w:fldChar w:fldCharType="end"/>
          </w:r>
        </w:sdtContent>
      </w:sdt>
      <w:r w:rsidR="00956FAA">
        <w:t xml:space="preserve"> Poverty &amp; Welfare 1830-1914. Abingdon. </w:t>
      </w:r>
      <w:proofErr w:type="spellStart"/>
      <w:r w:rsidR="00956FAA">
        <w:t>Bookpoint</w:t>
      </w:r>
      <w:proofErr w:type="spellEnd"/>
      <w:r w:rsidR="00956FAA">
        <w:t>.</w:t>
      </w:r>
    </w:p>
  </w:footnote>
  <w:footnote w:id="4">
    <w:p w14:paraId="2B9E9AD1" w14:textId="6FF71895" w:rsidR="009766DD" w:rsidRDefault="009766DD">
      <w:pPr>
        <w:pStyle w:val="FootnoteText"/>
      </w:pPr>
      <w:r>
        <w:rPr>
          <w:rStyle w:val="FootnoteReference"/>
        </w:rPr>
        <w:footnoteRef/>
      </w:r>
      <w:r>
        <w:t xml:space="preserve"> CH045/265fi https://www.nationalarchives.gov.uk/education/resources/rebecca-riots/</w:t>
      </w:r>
    </w:p>
  </w:footnote>
  <w:footnote w:id="5">
    <w:p w14:paraId="6DA3CB5A" w14:textId="010FAB71" w:rsidR="009D6CB6" w:rsidRDefault="009D6CB6">
      <w:pPr>
        <w:pStyle w:val="FootnoteText"/>
      </w:pPr>
      <w:r>
        <w:rPr>
          <w:rStyle w:val="FootnoteReference"/>
        </w:rPr>
        <w:footnoteRef/>
      </w:r>
      <w:r>
        <w:t xml:space="preserve"> </w:t>
      </w:r>
      <w:sdt>
        <w:sdtPr>
          <w:id w:val="55900116"/>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6">
    <w:p w14:paraId="6677A107" w14:textId="45CFDA5D" w:rsidR="009D6CB6" w:rsidRDefault="009D6CB6">
      <w:pPr>
        <w:pStyle w:val="FootnoteText"/>
      </w:pPr>
      <w:r>
        <w:rPr>
          <w:rStyle w:val="FootnoteReference"/>
        </w:rPr>
        <w:footnoteRef/>
      </w:r>
      <w:r>
        <w:t xml:space="preserve"> </w:t>
      </w:r>
      <w:sdt>
        <w:sdtPr>
          <w:id w:val="-1031334261"/>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7">
    <w:p w14:paraId="65A0677B" w14:textId="7DD5C7D8" w:rsidR="009D6CB6" w:rsidRDefault="009D6CB6">
      <w:pPr>
        <w:pStyle w:val="FootnoteText"/>
      </w:pPr>
      <w:r>
        <w:rPr>
          <w:rStyle w:val="FootnoteReference"/>
        </w:rPr>
        <w:footnoteRef/>
      </w:r>
      <w:r>
        <w:t xml:space="preserve"> </w:t>
      </w:r>
      <w:sdt>
        <w:sdtPr>
          <w:id w:val="-1802369020"/>
          <w:citation/>
        </w:sdtPr>
        <w:sdtEndPr/>
        <w:sdtContent>
          <w:r>
            <w:fldChar w:fldCharType="begin"/>
          </w:r>
          <w:r>
            <w:instrText xml:space="preserve"> CITATION Rus051 \l 2057 </w:instrText>
          </w:r>
          <w:r>
            <w:fldChar w:fldCharType="separate"/>
          </w:r>
          <w:r w:rsidR="00E70A4A" w:rsidRPr="00E70A4A">
            <w:rPr>
              <w:noProof/>
            </w:rPr>
            <w:t>(Davies, 2005)</w:t>
          </w:r>
          <w:r>
            <w:fldChar w:fldCharType="end"/>
          </w:r>
        </w:sdtContent>
      </w:sdt>
      <w:r w:rsidR="00956FAA">
        <w:t>Hope &amp; Heartbreak. Cardiff. University of Wales press.</w:t>
      </w:r>
    </w:p>
  </w:footnote>
  <w:footnote w:id="8">
    <w:p w14:paraId="1947F416" w14:textId="6035966A" w:rsidR="009D6CB6" w:rsidRDefault="009D6CB6">
      <w:pPr>
        <w:pStyle w:val="FootnoteText"/>
      </w:pPr>
      <w:r>
        <w:rPr>
          <w:rStyle w:val="FootnoteReference"/>
        </w:rPr>
        <w:footnoteRef/>
      </w:r>
      <w:r>
        <w:t xml:space="preserve"> </w:t>
      </w:r>
      <w:sdt>
        <w:sdtPr>
          <w:id w:val="-253980956"/>
          <w:citation/>
        </w:sdtPr>
        <w:sdtEndPr/>
        <w:sdtContent>
          <w:r>
            <w:fldChar w:fldCharType="begin"/>
          </w:r>
          <w:r>
            <w:instrText xml:space="preserve"> CITATION Jon121 \l 2057 </w:instrText>
          </w:r>
          <w:r>
            <w:fldChar w:fldCharType="separate"/>
          </w:r>
          <w:r w:rsidR="00E70A4A" w:rsidRPr="00E70A4A">
            <w:rPr>
              <w:noProof/>
            </w:rPr>
            <w:t>(Gower, 2012)</w:t>
          </w:r>
          <w:r>
            <w:fldChar w:fldCharType="end"/>
          </w:r>
        </w:sdtContent>
      </w:sdt>
      <w:r w:rsidR="00956FAA">
        <w:t>The Story of Wales. BBC</w:t>
      </w:r>
    </w:p>
  </w:footnote>
  <w:footnote w:id="9">
    <w:p w14:paraId="5C88F4E9" w14:textId="003D0119" w:rsidR="009D6CB6" w:rsidRDefault="009D6CB6">
      <w:pPr>
        <w:pStyle w:val="FootnoteText"/>
      </w:pPr>
      <w:r>
        <w:rPr>
          <w:rStyle w:val="FootnoteReference"/>
        </w:rPr>
        <w:footnoteRef/>
      </w:r>
      <w:r>
        <w:t xml:space="preserve"> </w:t>
      </w:r>
      <w:sdt>
        <w:sdtPr>
          <w:id w:val="-923952563"/>
          <w:citation/>
        </w:sdtPr>
        <w:sdtEndPr/>
        <w:sdtContent>
          <w:r>
            <w:fldChar w:fldCharType="begin"/>
          </w:r>
          <w:r>
            <w:instrText xml:space="preserve"> CITATION htt18 \l 2057 </w:instrText>
          </w:r>
          <w:r>
            <w:fldChar w:fldCharType="separate"/>
          </w:r>
          <w:r w:rsidR="00E70A4A" w:rsidRPr="00E70A4A">
            <w:rPr>
              <w:noProof/>
            </w:rPr>
            <w:t>(Anon., 2018)</w:t>
          </w:r>
          <w:r>
            <w:fldChar w:fldCharType="end"/>
          </w:r>
        </w:sdtContent>
      </w:sdt>
      <w:hyperlink r:id="rId1" w:history="1">
        <w:r w:rsidR="00956FAA" w:rsidRPr="009D2B65">
          <w:rPr>
            <w:rStyle w:val="Hyperlink"/>
          </w:rPr>
          <w:t>https://newspapers.library</w:t>
        </w:r>
      </w:hyperlink>
      <w:r w:rsidR="00956FAA">
        <w:t>. wales</w:t>
      </w:r>
    </w:p>
  </w:footnote>
  <w:footnote w:id="10">
    <w:p w14:paraId="441CBF6C" w14:textId="28DF1189" w:rsidR="009D6CB6" w:rsidRDefault="009D6CB6">
      <w:pPr>
        <w:pStyle w:val="FootnoteText"/>
      </w:pPr>
      <w:r>
        <w:rPr>
          <w:rStyle w:val="FootnoteReference"/>
        </w:rPr>
        <w:footnoteRef/>
      </w:r>
      <w:r>
        <w:t xml:space="preserve"> </w:t>
      </w:r>
      <w:sdt>
        <w:sdtPr>
          <w:id w:val="1177698081"/>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11">
    <w:p w14:paraId="1FF96F15" w14:textId="2AB38DB5" w:rsidR="009D6CB6" w:rsidRDefault="009D6CB6">
      <w:pPr>
        <w:pStyle w:val="FootnoteText"/>
      </w:pPr>
      <w:r>
        <w:rPr>
          <w:rStyle w:val="FootnoteReference"/>
        </w:rPr>
        <w:footnoteRef/>
      </w:r>
      <w:r>
        <w:t xml:space="preserve"> </w:t>
      </w:r>
      <w:sdt>
        <w:sdtPr>
          <w:id w:val="-424184057"/>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12">
    <w:p w14:paraId="509ADC6E" w14:textId="18180829" w:rsidR="009766DD" w:rsidRDefault="009766DD">
      <w:pPr>
        <w:pStyle w:val="FootnoteText"/>
      </w:pPr>
      <w:r>
        <w:rPr>
          <w:rStyle w:val="FootnoteReference"/>
        </w:rPr>
        <w:footnoteRef/>
      </w:r>
      <w:r>
        <w:t xml:space="preserve"> </w:t>
      </w:r>
      <w:r w:rsidR="00911596">
        <w:t>George H Ellis – https://www.nationalarchives.gov.uk/education/resources/rebecca-riots/</w:t>
      </w:r>
    </w:p>
  </w:footnote>
  <w:footnote w:id="13">
    <w:p w14:paraId="0A7BEE8A" w14:textId="464210E0" w:rsidR="008C0947" w:rsidRDefault="008C0947">
      <w:pPr>
        <w:pStyle w:val="FootnoteText"/>
      </w:pPr>
      <w:r>
        <w:rPr>
          <w:rStyle w:val="FootnoteReference"/>
        </w:rPr>
        <w:footnoteRef/>
      </w:r>
      <w:r>
        <w:t xml:space="preserve"> https://sniggle.net/TPL/index5.php?entry=06Mar15</w:t>
      </w:r>
    </w:p>
  </w:footnote>
  <w:footnote w:id="14">
    <w:p w14:paraId="61A31A4A" w14:textId="68D64CD4" w:rsidR="009D6CB6" w:rsidRDefault="009D6CB6">
      <w:pPr>
        <w:pStyle w:val="FootnoteText"/>
      </w:pPr>
      <w:r>
        <w:rPr>
          <w:rStyle w:val="FootnoteReference"/>
        </w:rPr>
        <w:footnoteRef/>
      </w:r>
      <w:r>
        <w:t xml:space="preserve"> </w:t>
      </w:r>
      <w:sdt>
        <w:sdtPr>
          <w:id w:val="-624778205"/>
          <w:citation/>
        </w:sdtPr>
        <w:sdtEndPr/>
        <w:sdtContent>
          <w:r>
            <w:fldChar w:fldCharType="begin"/>
          </w:r>
          <w:r>
            <w:instrText xml:space="preserve"> CITATION htt18 \l 2057 </w:instrText>
          </w:r>
          <w:r>
            <w:fldChar w:fldCharType="separate"/>
          </w:r>
          <w:r w:rsidR="00E70A4A" w:rsidRPr="00E70A4A">
            <w:rPr>
              <w:noProof/>
            </w:rPr>
            <w:t>(Anon., 2018)</w:t>
          </w:r>
          <w:r>
            <w:fldChar w:fldCharType="end"/>
          </w:r>
        </w:sdtContent>
      </w:sdt>
      <w:r w:rsidR="00956FAA">
        <w:t>https://newspapers.library.wales</w:t>
      </w:r>
    </w:p>
  </w:footnote>
  <w:footnote w:id="15">
    <w:p w14:paraId="5E9B5D25" w14:textId="759F4E36" w:rsidR="009D6CB6" w:rsidRDefault="009D6CB6">
      <w:pPr>
        <w:pStyle w:val="FootnoteText"/>
      </w:pPr>
      <w:r>
        <w:rPr>
          <w:rStyle w:val="FootnoteReference"/>
        </w:rPr>
        <w:footnoteRef/>
      </w:r>
      <w:r>
        <w:t xml:space="preserve"> </w:t>
      </w:r>
      <w:sdt>
        <w:sdtPr>
          <w:id w:val="-1898197210"/>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16">
    <w:p w14:paraId="46A1A29F" w14:textId="77395109" w:rsidR="008E0444" w:rsidRDefault="008E0444">
      <w:pPr>
        <w:pStyle w:val="FootnoteText"/>
      </w:pPr>
      <w:r>
        <w:rPr>
          <w:rStyle w:val="FootnoteReference"/>
        </w:rPr>
        <w:footnoteRef/>
      </w:r>
      <w:r>
        <w:t xml:space="preserve"> </w:t>
      </w:r>
      <w:sdt>
        <w:sdtPr>
          <w:id w:val="1611863191"/>
          <w:citation/>
        </w:sdtPr>
        <w:sdtEndPr/>
        <w:sdtContent>
          <w:r>
            <w:fldChar w:fldCharType="begin"/>
          </w:r>
          <w:r>
            <w:instrText xml:space="preserve"> CITATION Dav892 \l 2057 </w:instrText>
          </w:r>
          <w:r>
            <w:fldChar w:fldCharType="separate"/>
          </w:r>
          <w:r w:rsidR="00E70A4A" w:rsidRPr="00E70A4A">
            <w:rPr>
              <w:noProof/>
            </w:rPr>
            <w:t>(Jones, 1989)</w:t>
          </w:r>
          <w:r>
            <w:fldChar w:fldCharType="end"/>
          </w:r>
        </w:sdtContent>
      </w:sdt>
      <w:r w:rsidR="00956FAA">
        <w:t xml:space="preserve"> Rebecca’s Children. Oxford. Clarendon Press.</w:t>
      </w:r>
      <w:r w:rsidR="00A60955">
        <w:t>p.321</w:t>
      </w:r>
    </w:p>
  </w:footnote>
  <w:footnote w:id="17">
    <w:p w14:paraId="3D24417A" w14:textId="681B127D" w:rsidR="00E9448F" w:rsidRDefault="00E9448F">
      <w:pPr>
        <w:pStyle w:val="FootnoteText"/>
      </w:pPr>
      <w:r>
        <w:rPr>
          <w:rStyle w:val="FootnoteReference"/>
        </w:rPr>
        <w:footnoteRef/>
      </w:r>
      <w:r>
        <w:t xml:space="preserve"> https://www.newspapers</w:t>
      </w:r>
      <w:r w:rsidR="001227F6">
        <w:t>library.wales</w:t>
      </w:r>
    </w:p>
  </w:footnote>
  <w:footnote w:id="18">
    <w:p w14:paraId="4C00C639" w14:textId="738A26E5" w:rsidR="008E0444" w:rsidRDefault="008E0444">
      <w:pPr>
        <w:pStyle w:val="FootnoteText"/>
      </w:pPr>
      <w:r>
        <w:rPr>
          <w:rStyle w:val="FootnoteReference"/>
        </w:rPr>
        <w:footnoteRef/>
      </w:r>
      <w:r>
        <w:t xml:space="preserve"> </w:t>
      </w:r>
      <w:sdt>
        <w:sdtPr>
          <w:id w:val="-1033876829"/>
          <w:citation/>
        </w:sdtPr>
        <w:sdtEndPr/>
        <w:sdtContent>
          <w:r>
            <w:fldChar w:fldCharType="begin"/>
          </w:r>
          <w:r>
            <w:instrText xml:space="preserve"> CITATION Jon121 \l 2057 </w:instrText>
          </w:r>
          <w:r>
            <w:fldChar w:fldCharType="separate"/>
          </w:r>
          <w:r w:rsidR="00E70A4A" w:rsidRPr="00E70A4A">
            <w:rPr>
              <w:noProof/>
            </w:rPr>
            <w:t>(Gower, 2012)</w:t>
          </w:r>
          <w:r>
            <w:fldChar w:fldCharType="end"/>
          </w:r>
        </w:sdtContent>
      </w:sdt>
      <w:r w:rsidR="00956FAA">
        <w:t>The Story of Wales. BBC</w:t>
      </w:r>
      <w:r w:rsidR="00A60955">
        <w:t xml:space="preserve"> p. 235</w:t>
      </w:r>
    </w:p>
  </w:footnote>
  <w:footnote w:id="19">
    <w:p w14:paraId="5A224F89" w14:textId="711057B6" w:rsidR="008E0444" w:rsidRDefault="008E0444">
      <w:pPr>
        <w:pStyle w:val="FootnoteText"/>
      </w:pPr>
      <w:r>
        <w:rPr>
          <w:rStyle w:val="FootnoteReference"/>
        </w:rPr>
        <w:footnoteRef/>
      </w:r>
      <w:r>
        <w:t xml:space="preserve"> </w:t>
      </w:r>
      <w:sdt>
        <w:sdtPr>
          <w:id w:val="-720135946"/>
          <w:citation/>
        </w:sdtPr>
        <w:sdtEndPr/>
        <w:sdtContent>
          <w:r>
            <w:fldChar w:fldCharType="begin"/>
          </w:r>
          <w:r>
            <w:instrText xml:space="preserve"> CITATION Com44 \l 2057 </w:instrText>
          </w:r>
          <w:r>
            <w:fldChar w:fldCharType="separate"/>
          </w:r>
          <w:r w:rsidR="00E70A4A" w:rsidRPr="00E70A4A">
            <w:rPr>
              <w:noProof/>
            </w:rPr>
            <w:t>(Anon., 1844)</w:t>
          </w:r>
          <w:r>
            <w:fldChar w:fldCharType="end"/>
          </w:r>
        </w:sdtContent>
      </w:sdt>
      <w:r w:rsidR="00956FAA">
        <w:t>Commission of Inquiry</w:t>
      </w:r>
    </w:p>
  </w:footnote>
  <w:footnote w:id="20">
    <w:p w14:paraId="4DE9DF86" w14:textId="0F689C34" w:rsidR="003E1CCA" w:rsidRDefault="003E1CCA">
      <w:pPr>
        <w:pStyle w:val="FootnoteText"/>
      </w:pPr>
      <w:r>
        <w:rPr>
          <w:rStyle w:val="FootnoteReference"/>
        </w:rPr>
        <w:footnoteRef/>
      </w:r>
      <w:r>
        <w:t xml:space="preserve"> https://www.history.powys.org.uk/history/rhaedr/rebecca6.html</w:t>
      </w:r>
    </w:p>
  </w:footnote>
  <w:footnote w:id="21">
    <w:p w14:paraId="398BEC23" w14:textId="2D7D3E5E" w:rsidR="001227F6" w:rsidRDefault="001227F6">
      <w:pPr>
        <w:pStyle w:val="FootnoteText"/>
      </w:pPr>
      <w:r>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18064"/>
      <w:docPartObj>
        <w:docPartGallery w:val="Page Numbers (Top of Page)"/>
        <w:docPartUnique/>
      </w:docPartObj>
    </w:sdtPr>
    <w:sdtEndPr>
      <w:rPr>
        <w:noProof/>
      </w:rPr>
    </w:sdtEndPr>
    <w:sdtContent>
      <w:p w14:paraId="086B888F" w14:textId="7DE5FBC9" w:rsidR="004D4C9C" w:rsidRDefault="004D4C9C">
        <w:pPr>
          <w:pStyle w:val="Header"/>
        </w:pPr>
        <w:r>
          <w:fldChar w:fldCharType="begin"/>
        </w:r>
        <w:r>
          <w:instrText xml:space="preserve"> PAGE   \* MERGEFORMAT </w:instrText>
        </w:r>
        <w:r>
          <w:fldChar w:fldCharType="separate"/>
        </w:r>
        <w:r>
          <w:rPr>
            <w:noProof/>
          </w:rPr>
          <w:t>2</w:t>
        </w:r>
        <w:r>
          <w:rPr>
            <w:noProof/>
          </w:rPr>
          <w:fldChar w:fldCharType="end"/>
        </w:r>
      </w:p>
    </w:sdtContent>
  </w:sdt>
  <w:p w14:paraId="73F2498D" w14:textId="0A549F14" w:rsidR="0BE06694" w:rsidRDefault="0BE06694" w:rsidP="0BE06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C4202"/>
    <w:multiLevelType w:val="hybridMultilevel"/>
    <w:tmpl w:val="2A9E7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User">
    <w15:presenceInfo w15:providerId="None" w15:userId="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FED0B7"/>
    <w:rsid w:val="00005430"/>
    <w:rsid w:val="00006BD5"/>
    <w:rsid w:val="00025056"/>
    <w:rsid w:val="00031A28"/>
    <w:rsid w:val="0003416A"/>
    <w:rsid w:val="00040C54"/>
    <w:rsid w:val="00087F02"/>
    <w:rsid w:val="0009472D"/>
    <w:rsid w:val="000A725F"/>
    <w:rsid w:val="000B5D38"/>
    <w:rsid w:val="000F59BE"/>
    <w:rsid w:val="00100103"/>
    <w:rsid w:val="00112E1D"/>
    <w:rsid w:val="001227F6"/>
    <w:rsid w:val="0015797C"/>
    <w:rsid w:val="00171490"/>
    <w:rsid w:val="00175BAB"/>
    <w:rsid w:val="001775A3"/>
    <w:rsid w:val="001824BF"/>
    <w:rsid w:val="001A0AC1"/>
    <w:rsid w:val="001A2AD7"/>
    <w:rsid w:val="001A34D5"/>
    <w:rsid w:val="001A44F5"/>
    <w:rsid w:val="001B1C35"/>
    <w:rsid w:val="001B7765"/>
    <w:rsid w:val="001C5BE6"/>
    <w:rsid w:val="001D36BC"/>
    <w:rsid w:val="001F03C0"/>
    <w:rsid w:val="001F4283"/>
    <w:rsid w:val="002015FD"/>
    <w:rsid w:val="002036DD"/>
    <w:rsid w:val="00215386"/>
    <w:rsid w:val="002214CC"/>
    <w:rsid w:val="0023625C"/>
    <w:rsid w:val="00247AF7"/>
    <w:rsid w:val="00284CBB"/>
    <w:rsid w:val="002870FF"/>
    <w:rsid w:val="00294FAF"/>
    <w:rsid w:val="002A178D"/>
    <w:rsid w:val="002A36C7"/>
    <w:rsid w:val="002B5B71"/>
    <w:rsid w:val="002D36D5"/>
    <w:rsid w:val="002E6936"/>
    <w:rsid w:val="003376E2"/>
    <w:rsid w:val="003401CB"/>
    <w:rsid w:val="003573BD"/>
    <w:rsid w:val="0036022D"/>
    <w:rsid w:val="00371907"/>
    <w:rsid w:val="00377F76"/>
    <w:rsid w:val="003B0E7A"/>
    <w:rsid w:val="003B26B7"/>
    <w:rsid w:val="003C0DC6"/>
    <w:rsid w:val="003E1CCA"/>
    <w:rsid w:val="003F3B62"/>
    <w:rsid w:val="003F5A09"/>
    <w:rsid w:val="0040385A"/>
    <w:rsid w:val="0041003B"/>
    <w:rsid w:val="00432199"/>
    <w:rsid w:val="004324D5"/>
    <w:rsid w:val="004B6253"/>
    <w:rsid w:val="004B7F62"/>
    <w:rsid w:val="004C4801"/>
    <w:rsid w:val="004C5224"/>
    <w:rsid w:val="004D2A1D"/>
    <w:rsid w:val="004D39BF"/>
    <w:rsid w:val="004D4C9C"/>
    <w:rsid w:val="004E3110"/>
    <w:rsid w:val="004E776D"/>
    <w:rsid w:val="004F0655"/>
    <w:rsid w:val="004F6654"/>
    <w:rsid w:val="005124A2"/>
    <w:rsid w:val="005536B8"/>
    <w:rsid w:val="005768E3"/>
    <w:rsid w:val="0058418C"/>
    <w:rsid w:val="005B15D6"/>
    <w:rsid w:val="005F101E"/>
    <w:rsid w:val="006224FA"/>
    <w:rsid w:val="00625869"/>
    <w:rsid w:val="006314E9"/>
    <w:rsid w:val="006321FF"/>
    <w:rsid w:val="0064451A"/>
    <w:rsid w:val="00650C35"/>
    <w:rsid w:val="00657B3B"/>
    <w:rsid w:val="00662867"/>
    <w:rsid w:val="00665BA8"/>
    <w:rsid w:val="00690F65"/>
    <w:rsid w:val="00692589"/>
    <w:rsid w:val="00695B3F"/>
    <w:rsid w:val="006C1895"/>
    <w:rsid w:val="006C1CA2"/>
    <w:rsid w:val="006E2F59"/>
    <w:rsid w:val="006E6A2F"/>
    <w:rsid w:val="006F2F58"/>
    <w:rsid w:val="00733698"/>
    <w:rsid w:val="0073749A"/>
    <w:rsid w:val="00747204"/>
    <w:rsid w:val="00755FE0"/>
    <w:rsid w:val="00771B4C"/>
    <w:rsid w:val="007756F3"/>
    <w:rsid w:val="00776ACE"/>
    <w:rsid w:val="00777C82"/>
    <w:rsid w:val="007A6C19"/>
    <w:rsid w:val="007A7402"/>
    <w:rsid w:val="007B534E"/>
    <w:rsid w:val="007C1F21"/>
    <w:rsid w:val="007C352F"/>
    <w:rsid w:val="007C6C9D"/>
    <w:rsid w:val="007D4B83"/>
    <w:rsid w:val="007D72AB"/>
    <w:rsid w:val="007F3427"/>
    <w:rsid w:val="007F6A8B"/>
    <w:rsid w:val="008253EC"/>
    <w:rsid w:val="008301DD"/>
    <w:rsid w:val="0083132B"/>
    <w:rsid w:val="00837B74"/>
    <w:rsid w:val="00847B72"/>
    <w:rsid w:val="00852EBE"/>
    <w:rsid w:val="00861284"/>
    <w:rsid w:val="008624E8"/>
    <w:rsid w:val="00864D4D"/>
    <w:rsid w:val="00897299"/>
    <w:rsid w:val="008A1FF8"/>
    <w:rsid w:val="008B1520"/>
    <w:rsid w:val="008B44E2"/>
    <w:rsid w:val="008C0947"/>
    <w:rsid w:val="008D2916"/>
    <w:rsid w:val="008E0444"/>
    <w:rsid w:val="008F57A6"/>
    <w:rsid w:val="00911596"/>
    <w:rsid w:val="00915A8C"/>
    <w:rsid w:val="00920BDF"/>
    <w:rsid w:val="009363A8"/>
    <w:rsid w:val="00937C65"/>
    <w:rsid w:val="00942434"/>
    <w:rsid w:val="00956FAA"/>
    <w:rsid w:val="009643A7"/>
    <w:rsid w:val="009766DD"/>
    <w:rsid w:val="00984BF4"/>
    <w:rsid w:val="009B24F8"/>
    <w:rsid w:val="009B2DFB"/>
    <w:rsid w:val="009D6CB6"/>
    <w:rsid w:val="009D6DDC"/>
    <w:rsid w:val="009E663B"/>
    <w:rsid w:val="009F1AE3"/>
    <w:rsid w:val="009F6397"/>
    <w:rsid w:val="00A4070F"/>
    <w:rsid w:val="00A429A2"/>
    <w:rsid w:val="00A46759"/>
    <w:rsid w:val="00A60955"/>
    <w:rsid w:val="00A956DF"/>
    <w:rsid w:val="00AB1510"/>
    <w:rsid w:val="00AB44A2"/>
    <w:rsid w:val="00AC2B8C"/>
    <w:rsid w:val="00AD0A30"/>
    <w:rsid w:val="00AD6AF1"/>
    <w:rsid w:val="00AD7DC5"/>
    <w:rsid w:val="00AE35FF"/>
    <w:rsid w:val="00AF089F"/>
    <w:rsid w:val="00B12506"/>
    <w:rsid w:val="00B2053A"/>
    <w:rsid w:val="00B31AF4"/>
    <w:rsid w:val="00B6312C"/>
    <w:rsid w:val="00B658FD"/>
    <w:rsid w:val="00B706E7"/>
    <w:rsid w:val="00BA05EB"/>
    <w:rsid w:val="00BA4620"/>
    <w:rsid w:val="00BB49A1"/>
    <w:rsid w:val="00BD1A63"/>
    <w:rsid w:val="00BD6BCC"/>
    <w:rsid w:val="00BF4B00"/>
    <w:rsid w:val="00BF588D"/>
    <w:rsid w:val="00BF6B1A"/>
    <w:rsid w:val="00C01ACE"/>
    <w:rsid w:val="00C307D4"/>
    <w:rsid w:val="00C42836"/>
    <w:rsid w:val="00C4648D"/>
    <w:rsid w:val="00C61996"/>
    <w:rsid w:val="00C6431A"/>
    <w:rsid w:val="00C81E0A"/>
    <w:rsid w:val="00C90C1C"/>
    <w:rsid w:val="00C93BF3"/>
    <w:rsid w:val="00CB1F8E"/>
    <w:rsid w:val="00CC5315"/>
    <w:rsid w:val="00CD599F"/>
    <w:rsid w:val="00CE53C8"/>
    <w:rsid w:val="00CF1D21"/>
    <w:rsid w:val="00CF541C"/>
    <w:rsid w:val="00D01D65"/>
    <w:rsid w:val="00D11814"/>
    <w:rsid w:val="00D17BC2"/>
    <w:rsid w:val="00D22CF6"/>
    <w:rsid w:val="00D261C4"/>
    <w:rsid w:val="00D36867"/>
    <w:rsid w:val="00D51E1B"/>
    <w:rsid w:val="00D574FA"/>
    <w:rsid w:val="00D60515"/>
    <w:rsid w:val="00D61992"/>
    <w:rsid w:val="00D86DD1"/>
    <w:rsid w:val="00DA312C"/>
    <w:rsid w:val="00DB03B1"/>
    <w:rsid w:val="00DB72B4"/>
    <w:rsid w:val="00DC29F3"/>
    <w:rsid w:val="00DD2798"/>
    <w:rsid w:val="00DF6B57"/>
    <w:rsid w:val="00E053E9"/>
    <w:rsid w:val="00E2294E"/>
    <w:rsid w:val="00E41639"/>
    <w:rsid w:val="00E46112"/>
    <w:rsid w:val="00E57D44"/>
    <w:rsid w:val="00E67182"/>
    <w:rsid w:val="00E70A4A"/>
    <w:rsid w:val="00E71DEB"/>
    <w:rsid w:val="00E91860"/>
    <w:rsid w:val="00E9448F"/>
    <w:rsid w:val="00EA11C6"/>
    <w:rsid w:val="00EC1AAF"/>
    <w:rsid w:val="00EE0B19"/>
    <w:rsid w:val="00EE1EA1"/>
    <w:rsid w:val="00EF51AB"/>
    <w:rsid w:val="00F04289"/>
    <w:rsid w:val="00F102E5"/>
    <w:rsid w:val="00F337B5"/>
    <w:rsid w:val="00F3458B"/>
    <w:rsid w:val="00F4001F"/>
    <w:rsid w:val="00F60F72"/>
    <w:rsid w:val="00F61124"/>
    <w:rsid w:val="00FA62D9"/>
    <w:rsid w:val="00FC1895"/>
    <w:rsid w:val="00FC54BC"/>
    <w:rsid w:val="0BE06694"/>
    <w:rsid w:val="2FFED0B7"/>
    <w:rsid w:val="368A7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F0532A"/>
  <w15:chartTrackingRefBased/>
  <w15:docId w15:val="{055B587B-261E-423C-B3BE-26D1B701E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ibliography">
    <w:name w:val="Bibliography"/>
    <w:basedOn w:val="Normal"/>
    <w:next w:val="Normal"/>
    <w:uiPriority w:val="37"/>
    <w:unhideWhenUsed/>
    <w:rsid w:val="002B5B71"/>
  </w:style>
  <w:style w:type="character" w:styleId="CommentReference">
    <w:name w:val="annotation reference"/>
    <w:basedOn w:val="DefaultParagraphFont"/>
    <w:uiPriority w:val="99"/>
    <w:semiHidden/>
    <w:unhideWhenUsed/>
    <w:rsid w:val="00CF1D21"/>
    <w:rPr>
      <w:sz w:val="16"/>
      <w:szCs w:val="16"/>
    </w:rPr>
  </w:style>
  <w:style w:type="paragraph" w:styleId="CommentText">
    <w:name w:val="annotation text"/>
    <w:basedOn w:val="Normal"/>
    <w:link w:val="CommentTextChar"/>
    <w:uiPriority w:val="99"/>
    <w:semiHidden/>
    <w:unhideWhenUsed/>
    <w:rsid w:val="00CF1D21"/>
    <w:pPr>
      <w:spacing w:line="240" w:lineRule="auto"/>
    </w:pPr>
    <w:rPr>
      <w:sz w:val="20"/>
      <w:szCs w:val="20"/>
    </w:rPr>
  </w:style>
  <w:style w:type="character" w:customStyle="1" w:styleId="CommentTextChar">
    <w:name w:val="Comment Text Char"/>
    <w:basedOn w:val="DefaultParagraphFont"/>
    <w:link w:val="CommentText"/>
    <w:uiPriority w:val="99"/>
    <w:semiHidden/>
    <w:rsid w:val="00CF1D21"/>
    <w:rPr>
      <w:sz w:val="20"/>
      <w:szCs w:val="20"/>
      <w:lang w:val="en-GB"/>
    </w:rPr>
  </w:style>
  <w:style w:type="paragraph" w:styleId="CommentSubject">
    <w:name w:val="annotation subject"/>
    <w:basedOn w:val="CommentText"/>
    <w:next w:val="CommentText"/>
    <w:link w:val="CommentSubjectChar"/>
    <w:uiPriority w:val="99"/>
    <w:semiHidden/>
    <w:unhideWhenUsed/>
    <w:rsid w:val="00CF1D21"/>
    <w:rPr>
      <w:b/>
      <w:bCs/>
    </w:rPr>
  </w:style>
  <w:style w:type="character" w:customStyle="1" w:styleId="CommentSubjectChar">
    <w:name w:val="Comment Subject Char"/>
    <w:basedOn w:val="CommentTextChar"/>
    <w:link w:val="CommentSubject"/>
    <w:uiPriority w:val="99"/>
    <w:semiHidden/>
    <w:rsid w:val="00CF1D21"/>
    <w:rPr>
      <w:b/>
      <w:bCs/>
      <w:sz w:val="20"/>
      <w:szCs w:val="20"/>
      <w:lang w:val="en-GB"/>
    </w:rPr>
  </w:style>
  <w:style w:type="paragraph" w:styleId="BalloonText">
    <w:name w:val="Balloon Text"/>
    <w:basedOn w:val="Normal"/>
    <w:link w:val="BalloonTextChar"/>
    <w:uiPriority w:val="99"/>
    <w:semiHidden/>
    <w:unhideWhenUsed/>
    <w:rsid w:val="00CF1D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1D21"/>
    <w:rPr>
      <w:rFonts w:ascii="Segoe UI" w:hAnsi="Segoe UI" w:cs="Segoe UI"/>
      <w:sz w:val="18"/>
      <w:szCs w:val="18"/>
      <w:lang w:val="en-GB"/>
    </w:rPr>
  </w:style>
  <w:style w:type="paragraph" w:styleId="FootnoteText">
    <w:name w:val="footnote text"/>
    <w:basedOn w:val="Normal"/>
    <w:link w:val="FootnoteTextChar"/>
    <w:uiPriority w:val="99"/>
    <w:semiHidden/>
    <w:unhideWhenUsed/>
    <w:rsid w:val="00650C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0C35"/>
    <w:rPr>
      <w:sz w:val="20"/>
      <w:szCs w:val="20"/>
      <w:lang w:val="en-GB"/>
    </w:rPr>
  </w:style>
  <w:style w:type="character" w:styleId="FootnoteReference">
    <w:name w:val="footnote reference"/>
    <w:basedOn w:val="DefaultParagraphFont"/>
    <w:uiPriority w:val="99"/>
    <w:semiHidden/>
    <w:unhideWhenUsed/>
    <w:rsid w:val="00650C35"/>
    <w:rPr>
      <w:vertAlign w:val="superscript"/>
    </w:rPr>
  </w:style>
  <w:style w:type="character" w:styleId="Hyperlink">
    <w:name w:val="Hyperlink"/>
    <w:basedOn w:val="DefaultParagraphFont"/>
    <w:uiPriority w:val="99"/>
    <w:unhideWhenUsed/>
    <w:rsid w:val="00956FAA"/>
    <w:rPr>
      <w:color w:val="0563C1" w:themeColor="hyperlink"/>
      <w:u w:val="single"/>
    </w:rPr>
  </w:style>
  <w:style w:type="character" w:styleId="UnresolvedMention">
    <w:name w:val="Unresolved Mention"/>
    <w:basedOn w:val="DefaultParagraphFont"/>
    <w:uiPriority w:val="99"/>
    <w:semiHidden/>
    <w:unhideWhenUsed/>
    <w:rsid w:val="00956F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89866">
      <w:bodyDiv w:val="1"/>
      <w:marLeft w:val="0"/>
      <w:marRight w:val="0"/>
      <w:marTop w:val="0"/>
      <w:marBottom w:val="0"/>
      <w:divBdr>
        <w:top w:val="none" w:sz="0" w:space="0" w:color="auto"/>
        <w:left w:val="none" w:sz="0" w:space="0" w:color="auto"/>
        <w:bottom w:val="none" w:sz="0" w:space="0" w:color="auto"/>
        <w:right w:val="none" w:sz="0" w:space="0" w:color="auto"/>
      </w:divBdr>
    </w:div>
    <w:div w:id="70584185">
      <w:bodyDiv w:val="1"/>
      <w:marLeft w:val="0"/>
      <w:marRight w:val="0"/>
      <w:marTop w:val="0"/>
      <w:marBottom w:val="0"/>
      <w:divBdr>
        <w:top w:val="none" w:sz="0" w:space="0" w:color="auto"/>
        <w:left w:val="none" w:sz="0" w:space="0" w:color="auto"/>
        <w:bottom w:val="none" w:sz="0" w:space="0" w:color="auto"/>
        <w:right w:val="none" w:sz="0" w:space="0" w:color="auto"/>
      </w:divBdr>
    </w:div>
    <w:div w:id="95096387">
      <w:bodyDiv w:val="1"/>
      <w:marLeft w:val="0"/>
      <w:marRight w:val="0"/>
      <w:marTop w:val="0"/>
      <w:marBottom w:val="0"/>
      <w:divBdr>
        <w:top w:val="none" w:sz="0" w:space="0" w:color="auto"/>
        <w:left w:val="none" w:sz="0" w:space="0" w:color="auto"/>
        <w:bottom w:val="none" w:sz="0" w:space="0" w:color="auto"/>
        <w:right w:val="none" w:sz="0" w:space="0" w:color="auto"/>
      </w:divBdr>
    </w:div>
    <w:div w:id="158734355">
      <w:bodyDiv w:val="1"/>
      <w:marLeft w:val="0"/>
      <w:marRight w:val="0"/>
      <w:marTop w:val="0"/>
      <w:marBottom w:val="0"/>
      <w:divBdr>
        <w:top w:val="none" w:sz="0" w:space="0" w:color="auto"/>
        <w:left w:val="none" w:sz="0" w:space="0" w:color="auto"/>
        <w:bottom w:val="none" w:sz="0" w:space="0" w:color="auto"/>
        <w:right w:val="none" w:sz="0" w:space="0" w:color="auto"/>
      </w:divBdr>
    </w:div>
    <w:div w:id="164132180">
      <w:bodyDiv w:val="1"/>
      <w:marLeft w:val="0"/>
      <w:marRight w:val="0"/>
      <w:marTop w:val="0"/>
      <w:marBottom w:val="0"/>
      <w:divBdr>
        <w:top w:val="none" w:sz="0" w:space="0" w:color="auto"/>
        <w:left w:val="none" w:sz="0" w:space="0" w:color="auto"/>
        <w:bottom w:val="none" w:sz="0" w:space="0" w:color="auto"/>
        <w:right w:val="none" w:sz="0" w:space="0" w:color="auto"/>
      </w:divBdr>
    </w:div>
    <w:div w:id="204223067">
      <w:bodyDiv w:val="1"/>
      <w:marLeft w:val="0"/>
      <w:marRight w:val="0"/>
      <w:marTop w:val="0"/>
      <w:marBottom w:val="0"/>
      <w:divBdr>
        <w:top w:val="none" w:sz="0" w:space="0" w:color="auto"/>
        <w:left w:val="none" w:sz="0" w:space="0" w:color="auto"/>
        <w:bottom w:val="none" w:sz="0" w:space="0" w:color="auto"/>
        <w:right w:val="none" w:sz="0" w:space="0" w:color="auto"/>
      </w:divBdr>
    </w:div>
    <w:div w:id="211887608">
      <w:bodyDiv w:val="1"/>
      <w:marLeft w:val="0"/>
      <w:marRight w:val="0"/>
      <w:marTop w:val="0"/>
      <w:marBottom w:val="0"/>
      <w:divBdr>
        <w:top w:val="none" w:sz="0" w:space="0" w:color="auto"/>
        <w:left w:val="none" w:sz="0" w:space="0" w:color="auto"/>
        <w:bottom w:val="none" w:sz="0" w:space="0" w:color="auto"/>
        <w:right w:val="none" w:sz="0" w:space="0" w:color="auto"/>
      </w:divBdr>
    </w:div>
    <w:div w:id="239682256">
      <w:bodyDiv w:val="1"/>
      <w:marLeft w:val="0"/>
      <w:marRight w:val="0"/>
      <w:marTop w:val="0"/>
      <w:marBottom w:val="0"/>
      <w:divBdr>
        <w:top w:val="none" w:sz="0" w:space="0" w:color="auto"/>
        <w:left w:val="none" w:sz="0" w:space="0" w:color="auto"/>
        <w:bottom w:val="none" w:sz="0" w:space="0" w:color="auto"/>
        <w:right w:val="none" w:sz="0" w:space="0" w:color="auto"/>
      </w:divBdr>
    </w:div>
    <w:div w:id="260920953">
      <w:bodyDiv w:val="1"/>
      <w:marLeft w:val="0"/>
      <w:marRight w:val="0"/>
      <w:marTop w:val="0"/>
      <w:marBottom w:val="0"/>
      <w:divBdr>
        <w:top w:val="none" w:sz="0" w:space="0" w:color="auto"/>
        <w:left w:val="none" w:sz="0" w:space="0" w:color="auto"/>
        <w:bottom w:val="none" w:sz="0" w:space="0" w:color="auto"/>
        <w:right w:val="none" w:sz="0" w:space="0" w:color="auto"/>
      </w:divBdr>
    </w:div>
    <w:div w:id="314144565">
      <w:bodyDiv w:val="1"/>
      <w:marLeft w:val="0"/>
      <w:marRight w:val="0"/>
      <w:marTop w:val="0"/>
      <w:marBottom w:val="0"/>
      <w:divBdr>
        <w:top w:val="none" w:sz="0" w:space="0" w:color="auto"/>
        <w:left w:val="none" w:sz="0" w:space="0" w:color="auto"/>
        <w:bottom w:val="none" w:sz="0" w:space="0" w:color="auto"/>
        <w:right w:val="none" w:sz="0" w:space="0" w:color="auto"/>
      </w:divBdr>
    </w:div>
    <w:div w:id="345640474">
      <w:bodyDiv w:val="1"/>
      <w:marLeft w:val="0"/>
      <w:marRight w:val="0"/>
      <w:marTop w:val="0"/>
      <w:marBottom w:val="0"/>
      <w:divBdr>
        <w:top w:val="none" w:sz="0" w:space="0" w:color="auto"/>
        <w:left w:val="none" w:sz="0" w:space="0" w:color="auto"/>
        <w:bottom w:val="none" w:sz="0" w:space="0" w:color="auto"/>
        <w:right w:val="none" w:sz="0" w:space="0" w:color="auto"/>
      </w:divBdr>
    </w:div>
    <w:div w:id="391150943">
      <w:bodyDiv w:val="1"/>
      <w:marLeft w:val="0"/>
      <w:marRight w:val="0"/>
      <w:marTop w:val="0"/>
      <w:marBottom w:val="0"/>
      <w:divBdr>
        <w:top w:val="none" w:sz="0" w:space="0" w:color="auto"/>
        <w:left w:val="none" w:sz="0" w:space="0" w:color="auto"/>
        <w:bottom w:val="none" w:sz="0" w:space="0" w:color="auto"/>
        <w:right w:val="none" w:sz="0" w:space="0" w:color="auto"/>
      </w:divBdr>
    </w:div>
    <w:div w:id="414982361">
      <w:bodyDiv w:val="1"/>
      <w:marLeft w:val="0"/>
      <w:marRight w:val="0"/>
      <w:marTop w:val="0"/>
      <w:marBottom w:val="0"/>
      <w:divBdr>
        <w:top w:val="none" w:sz="0" w:space="0" w:color="auto"/>
        <w:left w:val="none" w:sz="0" w:space="0" w:color="auto"/>
        <w:bottom w:val="none" w:sz="0" w:space="0" w:color="auto"/>
        <w:right w:val="none" w:sz="0" w:space="0" w:color="auto"/>
      </w:divBdr>
    </w:div>
    <w:div w:id="433791691">
      <w:bodyDiv w:val="1"/>
      <w:marLeft w:val="0"/>
      <w:marRight w:val="0"/>
      <w:marTop w:val="0"/>
      <w:marBottom w:val="0"/>
      <w:divBdr>
        <w:top w:val="none" w:sz="0" w:space="0" w:color="auto"/>
        <w:left w:val="none" w:sz="0" w:space="0" w:color="auto"/>
        <w:bottom w:val="none" w:sz="0" w:space="0" w:color="auto"/>
        <w:right w:val="none" w:sz="0" w:space="0" w:color="auto"/>
      </w:divBdr>
    </w:div>
    <w:div w:id="445193867">
      <w:bodyDiv w:val="1"/>
      <w:marLeft w:val="0"/>
      <w:marRight w:val="0"/>
      <w:marTop w:val="0"/>
      <w:marBottom w:val="0"/>
      <w:divBdr>
        <w:top w:val="none" w:sz="0" w:space="0" w:color="auto"/>
        <w:left w:val="none" w:sz="0" w:space="0" w:color="auto"/>
        <w:bottom w:val="none" w:sz="0" w:space="0" w:color="auto"/>
        <w:right w:val="none" w:sz="0" w:space="0" w:color="auto"/>
      </w:divBdr>
    </w:div>
    <w:div w:id="454720847">
      <w:bodyDiv w:val="1"/>
      <w:marLeft w:val="0"/>
      <w:marRight w:val="0"/>
      <w:marTop w:val="0"/>
      <w:marBottom w:val="0"/>
      <w:divBdr>
        <w:top w:val="none" w:sz="0" w:space="0" w:color="auto"/>
        <w:left w:val="none" w:sz="0" w:space="0" w:color="auto"/>
        <w:bottom w:val="none" w:sz="0" w:space="0" w:color="auto"/>
        <w:right w:val="none" w:sz="0" w:space="0" w:color="auto"/>
      </w:divBdr>
    </w:div>
    <w:div w:id="466240788">
      <w:bodyDiv w:val="1"/>
      <w:marLeft w:val="0"/>
      <w:marRight w:val="0"/>
      <w:marTop w:val="0"/>
      <w:marBottom w:val="0"/>
      <w:divBdr>
        <w:top w:val="none" w:sz="0" w:space="0" w:color="auto"/>
        <w:left w:val="none" w:sz="0" w:space="0" w:color="auto"/>
        <w:bottom w:val="none" w:sz="0" w:space="0" w:color="auto"/>
        <w:right w:val="none" w:sz="0" w:space="0" w:color="auto"/>
      </w:divBdr>
    </w:div>
    <w:div w:id="491717625">
      <w:bodyDiv w:val="1"/>
      <w:marLeft w:val="0"/>
      <w:marRight w:val="0"/>
      <w:marTop w:val="0"/>
      <w:marBottom w:val="0"/>
      <w:divBdr>
        <w:top w:val="none" w:sz="0" w:space="0" w:color="auto"/>
        <w:left w:val="none" w:sz="0" w:space="0" w:color="auto"/>
        <w:bottom w:val="none" w:sz="0" w:space="0" w:color="auto"/>
        <w:right w:val="none" w:sz="0" w:space="0" w:color="auto"/>
      </w:divBdr>
    </w:div>
    <w:div w:id="507913000">
      <w:bodyDiv w:val="1"/>
      <w:marLeft w:val="0"/>
      <w:marRight w:val="0"/>
      <w:marTop w:val="0"/>
      <w:marBottom w:val="0"/>
      <w:divBdr>
        <w:top w:val="none" w:sz="0" w:space="0" w:color="auto"/>
        <w:left w:val="none" w:sz="0" w:space="0" w:color="auto"/>
        <w:bottom w:val="none" w:sz="0" w:space="0" w:color="auto"/>
        <w:right w:val="none" w:sz="0" w:space="0" w:color="auto"/>
      </w:divBdr>
    </w:div>
    <w:div w:id="532613480">
      <w:bodyDiv w:val="1"/>
      <w:marLeft w:val="0"/>
      <w:marRight w:val="0"/>
      <w:marTop w:val="0"/>
      <w:marBottom w:val="0"/>
      <w:divBdr>
        <w:top w:val="none" w:sz="0" w:space="0" w:color="auto"/>
        <w:left w:val="none" w:sz="0" w:space="0" w:color="auto"/>
        <w:bottom w:val="none" w:sz="0" w:space="0" w:color="auto"/>
        <w:right w:val="none" w:sz="0" w:space="0" w:color="auto"/>
      </w:divBdr>
    </w:div>
    <w:div w:id="549458891">
      <w:bodyDiv w:val="1"/>
      <w:marLeft w:val="0"/>
      <w:marRight w:val="0"/>
      <w:marTop w:val="0"/>
      <w:marBottom w:val="0"/>
      <w:divBdr>
        <w:top w:val="none" w:sz="0" w:space="0" w:color="auto"/>
        <w:left w:val="none" w:sz="0" w:space="0" w:color="auto"/>
        <w:bottom w:val="none" w:sz="0" w:space="0" w:color="auto"/>
        <w:right w:val="none" w:sz="0" w:space="0" w:color="auto"/>
      </w:divBdr>
    </w:div>
    <w:div w:id="552547357">
      <w:bodyDiv w:val="1"/>
      <w:marLeft w:val="0"/>
      <w:marRight w:val="0"/>
      <w:marTop w:val="0"/>
      <w:marBottom w:val="0"/>
      <w:divBdr>
        <w:top w:val="none" w:sz="0" w:space="0" w:color="auto"/>
        <w:left w:val="none" w:sz="0" w:space="0" w:color="auto"/>
        <w:bottom w:val="none" w:sz="0" w:space="0" w:color="auto"/>
        <w:right w:val="none" w:sz="0" w:space="0" w:color="auto"/>
      </w:divBdr>
    </w:div>
    <w:div w:id="572279349">
      <w:bodyDiv w:val="1"/>
      <w:marLeft w:val="0"/>
      <w:marRight w:val="0"/>
      <w:marTop w:val="0"/>
      <w:marBottom w:val="0"/>
      <w:divBdr>
        <w:top w:val="none" w:sz="0" w:space="0" w:color="auto"/>
        <w:left w:val="none" w:sz="0" w:space="0" w:color="auto"/>
        <w:bottom w:val="none" w:sz="0" w:space="0" w:color="auto"/>
        <w:right w:val="none" w:sz="0" w:space="0" w:color="auto"/>
      </w:divBdr>
    </w:div>
    <w:div w:id="576592316">
      <w:bodyDiv w:val="1"/>
      <w:marLeft w:val="0"/>
      <w:marRight w:val="0"/>
      <w:marTop w:val="0"/>
      <w:marBottom w:val="0"/>
      <w:divBdr>
        <w:top w:val="none" w:sz="0" w:space="0" w:color="auto"/>
        <w:left w:val="none" w:sz="0" w:space="0" w:color="auto"/>
        <w:bottom w:val="none" w:sz="0" w:space="0" w:color="auto"/>
        <w:right w:val="none" w:sz="0" w:space="0" w:color="auto"/>
      </w:divBdr>
    </w:div>
    <w:div w:id="630401924">
      <w:bodyDiv w:val="1"/>
      <w:marLeft w:val="0"/>
      <w:marRight w:val="0"/>
      <w:marTop w:val="0"/>
      <w:marBottom w:val="0"/>
      <w:divBdr>
        <w:top w:val="none" w:sz="0" w:space="0" w:color="auto"/>
        <w:left w:val="none" w:sz="0" w:space="0" w:color="auto"/>
        <w:bottom w:val="none" w:sz="0" w:space="0" w:color="auto"/>
        <w:right w:val="none" w:sz="0" w:space="0" w:color="auto"/>
      </w:divBdr>
    </w:div>
    <w:div w:id="690566204">
      <w:bodyDiv w:val="1"/>
      <w:marLeft w:val="0"/>
      <w:marRight w:val="0"/>
      <w:marTop w:val="0"/>
      <w:marBottom w:val="0"/>
      <w:divBdr>
        <w:top w:val="none" w:sz="0" w:space="0" w:color="auto"/>
        <w:left w:val="none" w:sz="0" w:space="0" w:color="auto"/>
        <w:bottom w:val="none" w:sz="0" w:space="0" w:color="auto"/>
        <w:right w:val="none" w:sz="0" w:space="0" w:color="auto"/>
      </w:divBdr>
    </w:div>
    <w:div w:id="740443913">
      <w:bodyDiv w:val="1"/>
      <w:marLeft w:val="0"/>
      <w:marRight w:val="0"/>
      <w:marTop w:val="0"/>
      <w:marBottom w:val="0"/>
      <w:divBdr>
        <w:top w:val="none" w:sz="0" w:space="0" w:color="auto"/>
        <w:left w:val="none" w:sz="0" w:space="0" w:color="auto"/>
        <w:bottom w:val="none" w:sz="0" w:space="0" w:color="auto"/>
        <w:right w:val="none" w:sz="0" w:space="0" w:color="auto"/>
      </w:divBdr>
    </w:div>
    <w:div w:id="760493237">
      <w:bodyDiv w:val="1"/>
      <w:marLeft w:val="0"/>
      <w:marRight w:val="0"/>
      <w:marTop w:val="0"/>
      <w:marBottom w:val="0"/>
      <w:divBdr>
        <w:top w:val="none" w:sz="0" w:space="0" w:color="auto"/>
        <w:left w:val="none" w:sz="0" w:space="0" w:color="auto"/>
        <w:bottom w:val="none" w:sz="0" w:space="0" w:color="auto"/>
        <w:right w:val="none" w:sz="0" w:space="0" w:color="auto"/>
      </w:divBdr>
    </w:div>
    <w:div w:id="788013971">
      <w:bodyDiv w:val="1"/>
      <w:marLeft w:val="0"/>
      <w:marRight w:val="0"/>
      <w:marTop w:val="0"/>
      <w:marBottom w:val="0"/>
      <w:divBdr>
        <w:top w:val="none" w:sz="0" w:space="0" w:color="auto"/>
        <w:left w:val="none" w:sz="0" w:space="0" w:color="auto"/>
        <w:bottom w:val="none" w:sz="0" w:space="0" w:color="auto"/>
        <w:right w:val="none" w:sz="0" w:space="0" w:color="auto"/>
      </w:divBdr>
    </w:div>
    <w:div w:id="812789929">
      <w:bodyDiv w:val="1"/>
      <w:marLeft w:val="0"/>
      <w:marRight w:val="0"/>
      <w:marTop w:val="0"/>
      <w:marBottom w:val="0"/>
      <w:divBdr>
        <w:top w:val="none" w:sz="0" w:space="0" w:color="auto"/>
        <w:left w:val="none" w:sz="0" w:space="0" w:color="auto"/>
        <w:bottom w:val="none" w:sz="0" w:space="0" w:color="auto"/>
        <w:right w:val="none" w:sz="0" w:space="0" w:color="auto"/>
      </w:divBdr>
    </w:div>
    <w:div w:id="818232481">
      <w:bodyDiv w:val="1"/>
      <w:marLeft w:val="0"/>
      <w:marRight w:val="0"/>
      <w:marTop w:val="0"/>
      <w:marBottom w:val="0"/>
      <w:divBdr>
        <w:top w:val="none" w:sz="0" w:space="0" w:color="auto"/>
        <w:left w:val="none" w:sz="0" w:space="0" w:color="auto"/>
        <w:bottom w:val="none" w:sz="0" w:space="0" w:color="auto"/>
        <w:right w:val="none" w:sz="0" w:space="0" w:color="auto"/>
      </w:divBdr>
    </w:div>
    <w:div w:id="865946838">
      <w:bodyDiv w:val="1"/>
      <w:marLeft w:val="0"/>
      <w:marRight w:val="0"/>
      <w:marTop w:val="0"/>
      <w:marBottom w:val="0"/>
      <w:divBdr>
        <w:top w:val="none" w:sz="0" w:space="0" w:color="auto"/>
        <w:left w:val="none" w:sz="0" w:space="0" w:color="auto"/>
        <w:bottom w:val="none" w:sz="0" w:space="0" w:color="auto"/>
        <w:right w:val="none" w:sz="0" w:space="0" w:color="auto"/>
      </w:divBdr>
    </w:div>
    <w:div w:id="879055951">
      <w:bodyDiv w:val="1"/>
      <w:marLeft w:val="0"/>
      <w:marRight w:val="0"/>
      <w:marTop w:val="0"/>
      <w:marBottom w:val="0"/>
      <w:divBdr>
        <w:top w:val="none" w:sz="0" w:space="0" w:color="auto"/>
        <w:left w:val="none" w:sz="0" w:space="0" w:color="auto"/>
        <w:bottom w:val="none" w:sz="0" w:space="0" w:color="auto"/>
        <w:right w:val="none" w:sz="0" w:space="0" w:color="auto"/>
      </w:divBdr>
    </w:div>
    <w:div w:id="886989745">
      <w:bodyDiv w:val="1"/>
      <w:marLeft w:val="0"/>
      <w:marRight w:val="0"/>
      <w:marTop w:val="0"/>
      <w:marBottom w:val="0"/>
      <w:divBdr>
        <w:top w:val="none" w:sz="0" w:space="0" w:color="auto"/>
        <w:left w:val="none" w:sz="0" w:space="0" w:color="auto"/>
        <w:bottom w:val="none" w:sz="0" w:space="0" w:color="auto"/>
        <w:right w:val="none" w:sz="0" w:space="0" w:color="auto"/>
      </w:divBdr>
    </w:div>
    <w:div w:id="909191071">
      <w:bodyDiv w:val="1"/>
      <w:marLeft w:val="0"/>
      <w:marRight w:val="0"/>
      <w:marTop w:val="0"/>
      <w:marBottom w:val="0"/>
      <w:divBdr>
        <w:top w:val="none" w:sz="0" w:space="0" w:color="auto"/>
        <w:left w:val="none" w:sz="0" w:space="0" w:color="auto"/>
        <w:bottom w:val="none" w:sz="0" w:space="0" w:color="auto"/>
        <w:right w:val="none" w:sz="0" w:space="0" w:color="auto"/>
      </w:divBdr>
    </w:div>
    <w:div w:id="958531741">
      <w:bodyDiv w:val="1"/>
      <w:marLeft w:val="0"/>
      <w:marRight w:val="0"/>
      <w:marTop w:val="0"/>
      <w:marBottom w:val="0"/>
      <w:divBdr>
        <w:top w:val="none" w:sz="0" w:space="0" w:color="auto"/>
        <w:left w:val="none" w:sz="0" w:space="0" w:color="auto"/>
        <w:bottom w:val="none" w:sz="0" w:space="0" w:color="auto"/>
        <w:right w:val="none" w:sz="0" w:space="0" w:color="auto"/>
      </w:divBdr>
    </w:div>
    <w:div w:id="1001398700">
      <w:bodyDiv w:val="1"/>
      <w:marLeft w:val="0"/>
      <w:marRight w:val="0"/>
      <w:marTop w:val="0"/>
      <w:marBottom w:val="0"/>
      <w:divBdr>
        <w:top w:val="none" w:sz="0" w:space="0" w:color="auto"/>
        <w:left w:val="none" w:sz="0" w:space="0" w:color="auto"/>
        <w:bottom w:val="none" w:sz="0" w:space="0" w:color="auto"/>
        <w:right w:val="none" w:sz="0" w:space="0" w:color="auto"/>
      </w:divBdr>
    </w:div>
    <w:div w:id="1014527698">
      <w:bodyDiv w:val="1"/>
      <w:marLeft w:val="0"/>
      <w:marRight w:val="0"/>
      <w:marTop w:val="0"/>
      <w:marBottom w:val="0"/>
      <w:divBdr>
        <w:top w:val="none" w:sz="0" w:space="0" w:color="auto"/>
        <w:left w:val="none" w:sz="0" w:space="0" w:color="auto"/>
        <w:bottom w:val="none" w:sz="0" w:space="0" w:color="auto"/>
        <w:right w:val="none" w:sz="0" w:space="0" w:color="auto"/>
      </w:divBdr>
    </w:div>
    <w:div w:id="1015884561">
      <w:bodyDiv w:val="1"/>
      <w:marLeft w:val="0"/>
      <w:marRight w:val="0"/>
      <w:marTop w:val="0"/>
      <w:marBottom w:val="0"/>
      <w:divBdr>
        <w:top w:val="none" w:sz="0" w:space="0" w:color="auto"/>
        <w:left w:val="none" w:sz="0" w:space="0" w:color="auto"/>
        <w:bottom w:val="none" w:sz="0" w:space="0" w:color="auto"/>
        <w:right w:val="none" w:sz="0" w:space="0" w:color="auto"/>
      </w:divBdr>
    </w:div>
    <w:div w:id="1056052280">
      <w:bodyDiv w:val="1"/>
      <w:marLeft w:val="0"/>
      <w:marRight w:val="0"/>
      <w:marTop w:val="0"/>
      <w:marBottom w:val="0"/>
      <w:divBdr>
        <w:top w:val="none" w:sz="0" w:space="0" w:color="auto"/>
        <w:left w:val="none" w:sz="0" w:space="0" w:color="auto"/>
        <w:bottom w:val="none" w:sz="0" w:space="0" w:color="auto"/>
        <w:right w:val="none" w:sz="0" w:space="0" w:color="auto"/>
      </w:divBdr>
    </w:div>
    <w:div w:id="1098673856">
      <w:bodyDiv w:val="1"/>
      <w:marLeft w:val="0"/>
      <w:marRight w:val="0"/>
      <w:marTop w:val="0"/>
      <w:marBottom w:val="0"/>
      <w:divBdr>
        <w:top w:val="none" w:sz="0" w:space="0" w:color="auto"/>
        <w:left w:val="none" w:sz="0" w:space="0" w:color="auto"/>
        <w:bottom w:val="none" w:sz="0" w:space="0" w:color="auto"/>
        <w:right w:val="none" w:sz="0" w:space="0" w:color="auto"/>
      </w:divBdr>
    </w:div>
    <w:div w:id="1099523034">
      <w:bodyDiv w:val="1"/>
      <w:marLeft w:val="0"/>
      <w:marRight w:val="0"/>
      <w:marTop w:val="0"/>
      <w:marBottom w:val="0"/>
      <w:divBdr>
        <w:top w:val="none" w:sz="0" w:space="0" w:color="auto"/>
        <w:left w:val="none" w:sz="0" w:space="0" w:color="auto"/>
        <w:bottom w:val="none" w:sz="0" w:space="0" w:color="auto"/>
        <w:right w:val="none" w:sz="0" w:space="0" w:color="auto"/>
      </w:divBdr>
    </w:div>
    <w:div w:id="1120034371">
      <w:bodyDiv w:val="1"/>
      <w:marLeft w:val="0"/>
      <w:marRight w:val="0"/>
      <w:marTop w:val="0"/>
      <w:marBottom w:val="0"/>
      <w:divBdr>
        <w:top w:val="none" w:sz="0" w:space="0" w:color="auto"/>
        <w:left w:val="none" w:sz="0" w:space="0" w:color="auto"/>
        <w:bottom w:val="none" w:sz="0" w:space="0" w:color="auto"/>
        <w:right w:val="none" w:sz="0" w:space="0" w:color="auto"/>
      </w:divBdr>
    </w:div>
    <w:div w:id="1163203236">
      <w:bodyDiv w:val="1"/>
      <w:marLeft w:val="0"/>
      <w:marRight w:val="0"/>
      <w:marTop w:val="0"/>
      <w:marBottom w:val="0"/>
      <w:divBdr>
        <w:top w:val="none" w:sz="0" w:space="0" w:color="auto"/>
        <w:left w:val="none" w:sz="0" w:space="0" w:color="auto"/>
        <w:bottom w:val="none" w:sz="0" w:space="0" w:color="auto"/>
        <w:right w:val="none" w:sz="0" w:space="0" w:color="auto"/>
      </w:divBdr>
    </w:div>
    <w:div w:id="1194611524">
      <w:bodyDiv w:val="1"/>
      <w:marLeft w:val="0"/>
      <w:marRight w:val="0"/>
      <w:marTop w:val="0"/>
      <w:marBottom w:val="0"/>
      <w:divBdr>
        <w:top w:val="none" w:sz="0" w:space="0" w:color="auto"/>
        <w:left w:val="none" w:sz="0" w:space="0" w:color="auto"/>
        <w:bottom w:val="none" w:sz="0" w:space="0" w:color="auto"/>
        <w:right w:val="none" w:sz="0" w:space="0" w:color="auto"/>
      </w:divBdr>
    </w:div>
    <w:div w:id="1228496682">
      <w:bodyDiv w:val="1"/>
      <w:marLeft w:val="0"/>
      <w:marRight w:val="0"/>
      <w:marTop w:val="0"/>
      <w:marBottom w:val="0"/>
      <w:divBdr>
        <w:top w:val="none" w:sz="0" w:space="0" w:color="auto"/>
        <w:left w:val="none" w:sz="0" w:space="0" w:color="auto"/>
        <w:bottom w:val="none" w:sz="0" w:space="0" w:color="auto"/>
        <w:right w:val="none" w:sz="0" w:space="0" w:color="auto"/>
      </w:divBdr>
    </w:div>
    <w:div w:id="1261066977">
      <w:bodyDiv w:val="1"/>
      <w:marLeft w:val="0"/>
      <w:marRight w:val="0"/>
      <w:marTop w:val="0"/>
      <w:marBottom w:val="0"/>
      <w:divBdr>
        <w:top w:val="none" w:sz="0" w:space="0" w:color="auto"/>
        <w:left w:val="none" w:sz="0" w:space="0" w:color="auto"/>
        <w:bottom w:val="none" w:sz="0" w:space="0" w:color="auto"/>
        <w:right w:val="none" w:sz="0" w:space="0" w:color="auto"/>
      </w:divBdr>
    </w:div>
    <w:div w:id="1265378038">
      <w:bodyDiv w:val="1"/>
      <w:marLeft w:val="0"/>
      <w:marRight w:val="0"/>
      <w:marTop w:val="0"/>
      <w:marBottom w:val="0"/>
      <w:divBdr>
        <w:top w:val="none" w:sz="0" w:space="0" w:color="auto"/>
        <w:left w:val="none" w:sz="0" w:space="0" w:color="auto"/>
        <w:bottom w:val="none" w:sz="0" w:space="0" w:color="auto"/>
        <w:right w:val="none" w:sz="0" w:space="0" w:color="auto"/>
      </w:divBdr>
    </w:div>
    <w:div w:id="1316647404">
      <w:bodyDiv w:val="1"/>
      <w:marLeft w:val="0"/>
      <w:marRight w:val="0"/>
      <w:marTop w:val="0"/>
      <w:marBottom w:val="0"/>
      <w:divBdr>
        <w:top w:val="none" w:sz="0" w:space="0" w:color="auto"/>
        <w:left w:val="none" w:sz="0" w:space="0" w:color="auto"/>
        <w:bottom w:val="none" w:sz="0" w:space="0" w:color="auto"/>
        <w:right w:val="none" w:sz="0" w:space="0" w:color="auto"/>
      </w:divBdr>
    </w:div>
    <w:div w:id="1333341670">
      <w:bodyDiv w:val="1"/>
      <w:marLeft w:val="0"/>
      <w:marRight w:val="0"/>
      <w:marTop w:val="0"/>
      <w:marBottom w:val="0"/>
      <w:divBdr>
        <w:top w:val="none" w:sz="0" w:space="0" w:color="auto"/>
        <w:left w:val="none" w:sz="0" w:space="0" w:color="auto"/>
        <w:bottom w:val="none" w:sz="0" w:space="0" w:color="auto"/>
        <w:right w:val="none" w:sz="0" w:space="0" w:color="auto"/>
      </w:divBdr>
    </w:div>
    <w:div w:id="1336611363">
      <w:bodyDiv w:val="1"/>
      <w:marLeft w:val="0"/>
      <w:marRight w:val="0"/>
      <w:marTop w:val="0"/>
      <w:marBottom w:val="0"/>
      <w:divBdr>
        <w:top w:val="none" w:sz="0" w:space="0" w:color="auto"/>
        <w:left w:val="none" w:sz="0" w:space="0" w:color="auto"/>
        <w:bottom w:val="none" w:sz="0" w:space="0" w:color="auto"/>
        <w:right w:val="none" w:sz="0" w:space="0" w:color="auto"/>
      </w:divBdr>
    </w:div>
    <w:div w:id="1358963620">
      <w:bodyDiv w:val="1"/>
      <w:marLeft w:val="0"/>
      <w:marRight w:val="0"/>
      <w:marTop w:val="0"/>
      <w:marBottom w:val="0"/>
      <w:divBdr>
        <w:top w:val="none" w:sz="0" w:space="0" w:color="auto"/>
        <w:left w:val="none" w:sz="0" w:space="0" w:color="auto"/>
        <w:bottom w:val="none" w:sz="0" w:space="0" w:color="auto"/>
        <w:right w:val="none" w:sz="0" w:space="0" w:color="auto"/>
      </w:divBdr>
    </w:div>
    <w:div w:id="1376350756">
      <w:bodyDiv w:val="1"/>
      <w:marLeft w:val="0"/>
      <w:marRight w:val="0"/>
      <w:marTop w:val="0"/>
      <w:marBottom w:val="0"/>
      <w:divBdr>
        <w:top w:val="none" w:sz="0" w:space="0" w:color="auto"/>
        <w:left w:val="none" w:sz="0" w:space="0" w:color="auto"/>
        <w:bottom w:val="none" w:sz="0" w:space="0" w:color="auto"/>
        <w:right w:val="none" w:sz="0" w:space="0" w:color="auto"/>
      </w:divBdr>
    </w:div>
    <w:div w:id="1406682197">
      <w:bodyDiv w:val="1"/>
      <w:marLeft w:val="0"/>
      <w:marRight w:val="0"/>
      <w:marTop w:val="0"/>
      <w:marBottom w:val="0"/>
      <w:divBdr>
        <w:top w:val="none" w:sz="0" w:space="0" w:color="auto"/>
        <w:left w:val="none" w:sz="0" w:space="0" w:color="auto"/>
        <w:bottom w:val="none" w:sz="0" w:space="0" w:color="auto"/>
        <w:right w:val="none" w:sz="0" w:space="0" w:color="auto"/>
      </w:divBdr>
    </w:div>
    <w:div w:id="1418789206">
      <w:bodyDiv w:val="1"/>
      <w:marLeft w:val="0"/>
      <w:marRight w:val="0"/>
      <w:marTop w:val="0"/>
      <w:marBottom w:val="0"/>
      <w:divBdr>
        <w:top w:val="none" w:sz="0" w:space="0" w:color="auto"/>
        <w:left w:val="none" w:sz="0" w:space="0" w:color="auto"/>
        <w:bottom w:val="none" w:sz="0" w:space="0" w:color="auto"/>
        <w:right w:val="none" w:sz="0" w:space="0" w:color="auto"/>
      </w:divBdr>
    </w:div>
    <w:div w:id="1426144934">
      <w:bodyDiv w:val="1"/>
      <w:marLeft w:val="0"/>
      <w:marRight w:val="0"/>
      <w:marTop w:val="0"/>
      <w:marBottom w:val="0"/>
      <w:divBdr>
        <w:top w:val="none" w:sz="0" w:space="0" w:color="auto"/>
        <w:left w:val="none" w:sz="0" w:space="0" w:color="auto"/>
        <w:bottom w:val="none" w:sz="0" w:space="0" w:color="auto"/>
        <w:right w:val="none" w:sz="0" w:space="0" w:color="auto"/>
      </w:divBdr>
    </w:div>
    <w:div w:id="1537084756">
      <w:bodyDiv w:val="1"/>
      <w:marLeft w:val="0"/>
      <w:marRight w:val="0"/>
      <w:marTop w:val="0"/>
      <w:marBottom w:val="0"/>
      <w:divBdr>
        <w:top w:val="none" w:sz="0" w:space="0" w:color="auto"/>
        <w:left w:val="none" w:sz="0" w:space="0" w:color="auto"/>
        <w:bottom w:val="none" w:sz="0" w:space="0" w:color="auto"/>
        <w:right w:val="none" w:sz="0" w:space="0" w:color="auto"/>
      </w:divBdr>
    </w:div>
    <w:div w:id="1548446656">
      <w:bodyDiv w:val="1"/>
      <w:marLeft w:val="0"/>
      <w:marRight w:val="0"/>
      <w:marTop w:val="0"/>
      <w:marBottom w:val="0"/>
      <w:divBdr>
        <w:top w:val="none" w:sz="0" w:space="0" w:color="auto"/>
        <w:left w:val="none" w:sz="0" w:space="0" w:color="auto"/>
        <w:bottom w:val="none" w:sz="0" w:space="0" w:color="auto"/>
        <w:right w:val="none" w:sz="0" w:space="0" w:color="auto"/>
      </w:divBdr>
    </w:div>
    <w:div w:id="1554147912">
      <w:bodyDiv w:val="1"/>
      <w:marLeft w:val="0"/>
      <w:marRight w:val="0"/>
      <w:marTop w:val="0"/>
      <w:marBottom w:val="0"/>
      <w:divBdr>
        <w:top w:val="none" w:sz="0" w:space="0" w:color="auto"/>
        <w:left w:val="none" w:sz="0" w:space="0" w:color="auto"/>
        <w:bottom w:val="none" w:sz="0" w:space="0" w:color="auto"/>
        <w:right w:val="none" w:sz="0" w:space="0" w:color="auto"/>
      </w:divBdr>
    </w:div>
    <w:div w:id="1573810630">
      <w:bodyDiv w:val="1"/>
      <w:marLeft w:val="0"/>
      <w:marRight w:val="0"/>
      <w:marTop w:val="0"/>
      <w:marBottom w:val="0"/>
      <w:divBdr>
        <w:top w:val="none" w:sz="0" w:space="0" w:color="auto"/>
        <w:left w:val="none" w:sz="0" w:space="0" w:color="auto"/>
        <w:bottom w:val="none" w:sz="0" w:space="0" w:color="auto"/>
        <w:right w:val="none" w:sz="0" w:space="0" w:color="auto"/>
      </w:divBdr>
    </w:div>
    <w:div w:id="1608539988">
      <w:bodyDiv w:val="1"/>
      <w:marLeft w:val="0"/>
      <w:marRight w:val="0"/>
      <w:marTop w:val="0"/>
      <w:marBottom w:val="0"/>
      <w:divBdr>
        <w:top w:val="none" w:sz="0" w:space="0" w:color="auto"/>
        <w:left w:val="none" w:sz="0" w:space="0" w:color="auto"/>
        <w:bottom w:val="none" w:sz="0" w:space="0" w:color="auto"/>
        <w:right w:val="none" w:sz="0" w:space="0" w:color="auto"/>
      </w:divBdr>
    </w:div>
    <w:div w:id="1617908297">
      <w:bodyDiv w:val="1"/>
      <w:marLeft w:val="0"/>
      <w:marRight w:val="0"/>
      <w:marTop w:val="0"/>
      <w:marBottom w:val="0"/>
      <w:divBdr>
        <w:top w:val="none" w:sz="0" w:space="0" w:color="auto"/>
        <w:left w:val="none" w:sz="0" w:space="0" w:color="auto"/>
        <w:bottom w:val="none" w:sz="0" w:space="0" w:color="auto"/>
        <w:right w:val="none" w:sz="0" w:space="0" w:color="auto"/>
      </w:divBdr>
    </w:div>
    <w:div w:id="1634826228">
      <w:bodyDiv w:val="1"/>
      <w:marLeft w:val="0"/>
      <w:marRight w:val="0"/>
      <w:marTop w:val="0"/>
      <w:marBottom w:val="0"/>
      <w:divBdr>
        <w:top w:val="none" w:sz="0" w:space="0" w:color="auto"/>
        <w:left w:val="none" w:sz="0" w:space="0" w:color="auto"/>
        <w:bottom w:val="none" w:sz="0" w:space="0" w:color="auto"/>
        <w:right w:val="none" w:sz="0" w:space="0" w:color="auto"/>
      </w:divBdr>
    </w:div>
    <w:div w:id="1636981322">
      <w:bodyDiv w:val="1"/>
      <w:marLeft w:val="0"/>
      <w:marRight w:val="0"/>
      <w:marTop w:val="0"/>
      <w:marBottom w:val="0"/>
      <w:divBdr>
        <w:top w:val="none" w:sz="0" w:space="0" w:color="auto"/>
        <w:left w:val="none" w:sz="0" w:space="0" w:color="auto"/>
        <w:bottom w:val="none" w:sz="0" w:space="0" w:color="auto"/>
        <w:right w:val="none" w:sz="0" w:space="0" w:color="auto"/>
      </w:divBdr>
    </w:div>
    <w:div w:id="1641838808">
      <w:bodyDiv w:val="1"/>
      <w:marLeft w:val="0"/>
      <w:marRight w:val="0"/>
      <w:marTop w:val="0"/>
      <w:marBottom w:val="0"/>
      <w:divBdr>
        <w:top w:val="none" w:sz="0" w:space="0" w:color="auto"/>
        <w:left w:val="none" w:sz="0" w:space="0" w:color="auto"/>
        <w:bottom w:val="none" w:sz="0" w:space="0" w:color="auto"/>
        <w:right w:val="none" w:sz="0" w:space="0" w:color="auto"/>
      </w:divBdr>
    </w:div>
    <w:div w:id="1686009448">
      <w:bodyDiv w:val="1"/>
      <w:marLeft w:val="0"/>
      <w:marRight w:val="0"/>
      <w:marTop w:val="0"/>
      <w:marBottom w:val="0"/>
      <w:divBdr>
        <w:top w:val="none" w:sz="0" w:space="0" w:color="auto"/>
        <w:left w:val="none" w:sz="0" w:space="0" w:color="auto"/>
        <w:bottom w:val="none" w:sz="0" w:space="0" w:color="auto"/>
        <w:right w:val="none" w:sz="0" w:space="0" w:color="auto"/>
      </w:divBdr>
    </w:div>
    <w:div w:id="1698699694">
      <w:bodyDiv w:val="1"/>
      <w:marLeft w:val="0"/>
      <w:marRight w:val="0"/>
      <w:marTop w:val="0"/>
      <w:marBottom w:val="0"/>
      <w:divBdr>
        <w:top w:val="none" w:sz="0" w:space="0" w:color="auto"/>
        <w:left w:val="none" w:sz="0" w:space="0" w:color="auto"/>
        <w:bottom w:val="none" w:sz="0" w:space="0" w:color="auto"/>
        <w:right w:val="none" w:sz="0" w:space="0" w:color="auto"/>
      </w:divBdr>
    </w:div>
    <w:div w:id="1715155965">
      <w:bodyDiv w:val="1"/>
      <w:marLeft w:val="0"/>
      <w:marRight w:val="0"/>
      <w:marTop w:val="0"/>
      <w:marBottom w:val="0"/>
      <w:divBdr>
        <w:top w:val="none" w:sz="0" w:space="0" w:color="auto"/>
        <w:left w:val="none" w:sz="0" w:space="0" w:color="auto"/>
        <w:bottom w:val="none" w:sz="0" w:space="0" w:color="auto"/>
        <w:right w:val="none" w:sz="0" w:space="0" w:color="auto"/>
      </w:divBdr>
    </w:div>
    <w:div w:id="1739280012">
      <w:bodyDiv w:val="1"/>
      <w:marLeft w:val="0"/>
      <w:marRight w:val="0"/>
      <w:marTop w:val="0"/>
      <w:marBottom w:val="0"/>
      <w:divBdr>
        <w:top w:val="none" w:sz="0" w:space="0" w:color="auto"/>
        <w:left w:val="none" w:sz="0" w:space="0" w:color="auto"/>
        <w:bottom w:val="none" w:sz="0" w:space="0" w:color="auto"/>
        <w:right w:val="none" w:sz="0" w:space="0" w:color="auto"/>
      </w:divBdr>
    </w:div>
    <w:div w:id="1743914882">
      <w:bodyDiv w:val="1"/>
      <w:marLeft w:val="0"/>
      <w:marRight w:val="0"/>
      <w:marTop w:val="0"/>
      <w:marBottom w:val="0"/>
      <w:divBdr>
        <w:top w:val="none" w:sz="0" w:space="0" w:color="auto"/>
        <w:left w:val="none" w:sz="0" w:space="0" w:color="auto"/>
        <w:bottom w:val="none" w:sz="0" w:space="0" w:color="auto"/>
        <w:right w:val="none" w:sz="0" w:space="0" w:color="auto"/>
      </w:divBdr>
    </w:div>
    <w:div w:id="1775829962">
      <w:bodyDiv w:val="1"/>
      <w:marLeft w:val="0"/>
      <w:marRight w:val="0"/>
      <w:marTop w:val="0"/>
      <w:marBottom w:val="0"/>
      <w:divBdr>
        <w:top w:val="none" w:sz="0" w:space="0" w:color="auto"/>
        <w:left w:val="none" w:sz="0" w:space="0" w:color="auto"/>
        <w:bottom w:val="none" w:sz="0" w:space="0" w:color="auto"/>
        <w:right w:val="none" w:sz="0" w:space="0" w:color="auto"/>
      </w:divBdr>
    </w:div>
    <w:div w:id="1776711835">
      <w:bodyDiv w:val="1"/>
      <w:marLeft w:val="0"/>
      <w:marRight w:val="0"/>
      <w:marTop w:val="0"/>
      <w:marBottom w:val="0"/>
      <w:divBdr>
        <w:top w:val="none" w:sz="0" w:space="0" w:color="auto"/>
        <w:left w:val="none" w:sz="0" w:space="0" w:color="auto"/>
        <w:bottom w:val="none" w:sz="0" w:space="0" w:color="auto"/>
        <w:right w:val="none" w:sz="0" w:space="0" w:color="auto"/>
      </w:divBdr>
    </w:div>
    <w:div w:id="1819419693">
      <w:bodyDiv w:val="1"/>
      <w:marLeft w:val="0"/>
      <w:marRight w:val="0"/>
      <w:marTop w:val="0"/>
      <w:marBottom w:val="0"/>
      <w:divBdr>
        <w:top w:val="none" w:sz="0" w:space="0" w:color="auto"/>
        <w:left w:val="none" w:sz="0" w:space="0" w:color="auto"/>
        <w:bottom w:val="none" w:sz="0" w:space="0" w:color="auto"/>
        <w:right w:val="none" w:sz="0" w:space="0" w:color="auto"/>
      </w:divBdr>
    </w:div>
    <w:div w:id="1821539526">
      <w:bodyDiv w:val="1"/>
      <w:marLeft w:val="0"/>
      <w:marRight w:val="0"/>
      <w:marTop w:val="0"/>
      <w:marBottom w:val="0"/>
      <w:divBdr>
        <w:top w:val="none" w:sz="0" w:space="0" w:color="auto"/>
        <w:left w:val="none" w:sz="0" w:space="0" w:color="auto"/>
        <w:bottom w:val="none" w:sz="0" w:space="0" w:color="auto"/>
        <w:right w:val="none" w:sz="0" w:space="0" w:color="auto"/>
      </w:divBdr>
    </w:div>
    <w:div w:id="1836141712">
      <w:bodyDiv w:val="1"/>
      <w:marLeft w:val="0"/>
      <w:marRight w:val="0"/>
      <w:marTop w:val="0"/>
      <w:marBottom w:val="0"/>
      <w:divBdr>
        <w:top w:val="none" w:sz="0" w:space="0" w:color="auto"/>
        <w:left w:val="none" w:sz="0" w:space="0" w:color="auto"/>
        <w:bottom w:val="none" w:sz="0" w:space="0" w:color="auto"/>
        <w:right w:val="none" w:sz="0" w:space="0" w:color="auto"/>
      </w:divBdr>
    </w:div>
    <w:div w:id="1885285024">
      <w:bodyDiv w:val="1"/>
      <w:marLeft w:val="0"/>
      <w:marRight w:val="0"/>
      <w:marTop w:val="0"/>
      <w:marBottom w:val="0"/>
      <w:divBdr>
        <w:top w:val="none" w:sz="0" w:space="0" w:color="auto"/>
        <w:left w:val="none" w:sz="0" w:space="0" w:color="auto"/>
        <w:bottom w:val="none" w:sz="0" w:space="0" w:color="auto"/>
        <w:right w:val="none" w:sz="0" w:space="0" w:color="auto"/>
      </w:divBdr>
    </w:div>
    <w:div w:id="1892499890">
      <w:bodyDiv w:val="1"/>
      <w:marLeft w:val="0"/>
      <w:marRight w:val="0"/>
      <w:marTop w:val="0"/>
      <w:marBottom w:val="0"/>
      <w:divBdr>
        <w:top w:val="none" w:sz="0" w:space="0" w:color="auto"/>
        <w:left w:val="none" w:sz="0" w:space="0" w:color="auto"/>
        <w:bottom w:val="none" w:sz="0" w:space="0" w:color="auto"/>
        <w:right w:val="none" w:sz="0" w:space="0" w:color="auto"/>
      </w:divBdr>
    </w:div>
    <w:div w:id="1935702230">
      <w:bodyDiv w:val="1"/>
      <w:marLeft w:val="0"/>
      <w:marRight w:val="0"/>
      <w:marTop w:val="0"/>
      <w:marBottom w:val="0"/>
      <w:divBdr>
        <w:top w:val="none" w:sz="0" w:space="0" w:color="auto"/>
        <w:left w:val="none" w:sz="0" w:space="0" w:color="auto"/>
        <w:bottom w:val="none" w:sz="0" w:space="0" w:color="auto"/>
        <w:right w:val="none" w:sz="0" w:space="0" w:color="auto"/>
      </w:divBdr>
    </w:div>
    <w:div w:id="1944530828">
      <w:bodyDiv w:val="1"/>
      <w:marLeft w:val="0"/>
      <w:marRight w:val="0"/>
      <w:marTop w:val="0"/>
      <w:marBottom w:val="0"/>
      <w:divBdr>
        <w:top w:val="none" w:sz="0" w:space="0" w:color="auto"/>
        <w:left w:val="none" w:sz="0" w:space="0" w:color="auto"/>
        <w:bottom w:val="none" w:sz="0" w:space="0" w:color="auto"/>
        <w:right w:val="none" w:sz="0" w:space="0" w:color="auto"/>
      </w:divBdr>
    </w:div>
    <w:div w:id="1950551511">
      <w:bodyDiv w:val="1"/>
      <w:marLeft w:val="0"/>
      <w:marRight w:val="0"/>
      <w:marTop w:val="0"/>
      <w:marBottom w:val="0"/>
      <w:divBdr>
        <w:top w:val="none" w:sz="0" w:space="0" w:color="auto"/>
        <w:left w:val="none" w:sz="0" w:space="0" w:color="auto"/>
        <w:bottom w:val="none" w:sz="0" w:space="0" w:color="auto"/>
        <w:right w:val="none" w:sz="0" w:space="0" w:color="auto"/>
      </w:divBdr>
    </w:div>
    <w:div w:id="1980720689">
      <w:bodyDiv w:val="1"/>
      <w:marLeft w:val="0"/>
      <w:marRight w:val="0"/>
      <w:marTop w:val="0"/>
      <w:marBottom w:val="0"/>
      <w:divBdr>
        <w:top w:val="none" w:sz="0" w:space="0" w:color="auto"/>
        <w:left w:val="none" w:sz="0" w:space="0" w:color="auto"/>
        <w:bottom w:val="none" w:sz="0" w:space="0" w:color="auto"/>
        <w:right w:val="none" w:sz="0" w:space="0" w:color="auto"/>
      </w:divBdr>
    </w:div>
    <w:div w:id="1990547955">
      <w:bodyDiv w:val="1"/>
      <w:marLeft w:val="0"/>
      <w:marRight w:val="0"/>
      <w:marTop w:val="0"/>
      <w:marBottom w:val="0"/>
      <w:divBdr>
        <w:top w:val="none" w:sz="0" w:space="0" w:color="auto"/>
        <w:left w:val="none" w:sz="0" w:space="0" w:color="auto"/>
        <w:bottom w:val="none" w:sz="0" w:space="0" w:color="auto"/>
        <w:right w:val="none" w:sz="0" w:space="0" w:color="auto"/>
      </w:divBdr>
    </w:div>
    <w:div w:id="2012872884">
      <w:bodyDiv w:val="1"/>
      <w:marLeft w:val="0"/>
      <w:marRight w:val="0"/>
      <w:marTop w:val="0"/>
      <w:marBottom w:val="0"/>
      <w:divBdr>
        <w:top w:val="none" w:sz="0" w:space="0" w:color="auto"/>
        <w:left w:val="none" w:sz="0" w:space="0" w:color="auto"/>
        <w:bottom w:val="none" w:sz="0" w:space="0" w:color="auto"/>
        <w:right w:val="none" w:sz="0" w:space="0" w:color="auto"/>
      </w:divBdr>
    </w:div>
    <w:div w:id="2021813675">
      <w:bodyDiv w:val="1"/>
      <w:marLeft w:val="0"/>
      <w:marRight w:val="0"/>
      <w:marTop w:val="0"/>
      <w:marBottom w:val="0"/>
      <w:divBdr>
        <w:top w:val="none" w:sz="0" w:space="0" w:color="auto"/>
        <w:left w:val="none" w:sz="0" w:space="0" w:color="auto"/>
        <w:bottom w:val="none" w:sz="0" w:space="0" w:color="auto"/>
        <w:right w:val="none" w:sz="0" w:space="0" w:color="auto"/>
      </w:divBdr>
    </w:div>
    <w:div w:id="2039888221">
      <w:bodyDiv w:val="1"/>
      <w:marLeft w:val="0"/>
      <w:marRight w:val="0"/>
      <w:marTop w:val="0"/>
      <w:marBottom w:val="0"/>
      <w:divBdr>
        <w:top w:val="none" w:sz="0" w:space="0" w:color="auto"/>
        <w:left w:val="none" w:sz="0" w:space="0" w:color="auto"/>
        <w:bottom w:val="none" w:sz="0" w:space="0" w:color="auto"/>
        <w:right w:val="none" w:sz="0" w:space="0" w:color="auto"/>
      </w:divBdr>
    </w:div>
    <w:div w:id="2058435526">
      <w:bodyDiv w:val="1"/>
      <w:marLeft w:val="0"/>
      <w:marRight w:val="0"/>
      <w:marTop w:val="0"/>
      <w:marBottom w:val="0"/>
      <w:divBdr>
        <w:top w:val="none" w:sz="0" w:space="0" w:color="auto"/>
        <w:left w:val="none" w:sz="0" w:space="0" w:color="auto"/>
        <w:bottom w:val="none" w:sz="0" w:space="0" w:color="auto"/>
        <w:right w:val="none" w:sz="0" w:space="0" w:color="auto"/>
      </w:divBdr>
    </w:div>
    <w:div w:id="2089380859">
      <w:bodyDiv w:val="1"/>
      <w:marLeft w:val="0"/>
      <w:marRight w:val="0"/>
      <w:marTop w:val="0"/>
      <w:marBottom w:val="0"/>
      <w:divBdr>
        <w:top w:val="none" w:sz="0" w:space="0" w:color="auto"/>
        <w:left w:val="none" w:sz="0" w:space="0" w:color="auto"/>
        <w:bottom w:val="none" w:sz="0" w:space="0" w:color="auto"/>
        <w:right w:val="none" w:sz="0" w:space="0" w:color="auto"/>
      </w:divBdr>
    </w:div>
    <w:div w:id="2100565067">
      <w:bodyDiv w:val="1"/>
      <w:marLeft w:val="0"/>
      <w:marRight w:val="0"/>
      <w:marTop w:val="0"/>
      <w:marBottom w:val="0"/>
      <w:divBdr>
        <w:top w:val="none" w:sz="0" w:space="0" w:color="auto"/>
        <w:left w:val="none" w:sz="0" w:space="0" w:color="auto"/>
        <w:bottom w:val="none" w:sz="0" w:space="0" w:color="auto"/>
        <w:right w:val="none" w:sz="0" w:space="0" w:color="auto"/>
      </w:divBdr>
    </w:div>
    <w:div w:id="2101290110">
      <w:bodyDiv w:val="1"/>
      <w:marLeft w:val="0"/>
      <w:marRight w:val="0"/>
      <w:marTop w:val="0"/>
      <w:marBottom w:val="0"/>
      <w:divBdr>
        <w:top w:val="none" w:sz="0" w:space="0" w:color="auto"/>
        <w:left w:val="none" w:sz="0" w:space="0" w:color="auto"/>
        <w:bottom w:val="none" w:sz="0" w:space="0" w:color="auto"/>
        <w:right w:val="none" w:sz="0" w:space="0" w:color="auto"/>
      </w:divBdr>
    </w:div>
    <w:div w:id="2109767164">
      <w:bodyDiv w:val="1"/>
      <w:marLeft w:val="0"/>
      <w:marRight w:val="0"/>
      <w:marTop w:val="0"/>
      <w:marBottom w:val="0"/>
      <w:divBdr>
        <w:top w:val="none" w:sz="0" w:space="0" w:color="auto"/>
        <w:left w:val="none" w:sz="0" w:space="0" w:color="auto"/>
        <w:bottom w:val="none" w:sz="0" w:space="0" w:color="auto"/>
        <w:right w:val="none" w:sz="0" w:space="0" w:color="auto"/>
      </w:divBdr>
    </w:div>
    <w:div w:id="2112119655">
      <w:bodyDiv w:val="1"/>
      <w:marLeft w:val="0"/>
      <w:marRight w:val="0"/>
      <w:marTop w:val="0"/>
      <w:marBottom w:val="0"/>
      <w:divBdr>
        <w:top w:val="none" w:sz="0" w:space="0" w:color="auto"/>
        <w:left w:val="none" w:sz="0" w:space="0" w:color="auto"/>
        <w:bottom w:val="none" w:sz="0" w:space="0" w:color="auto"/>
        <w:right w:val="none" w:sz="0" w:space="0" w:color="auto"/>
      </w:divBdr>
    </w:div>
    <w:div w:id="2129348718">
      <w:bodyDiv w:val="1"/>
      <w:marLeft w:val="0"/>
      <w:marRight w:val="0"/>
      <w:marTop w:val="0"/>
      <w:marBottom w:val="0"/>
      <w:divBdr>
        <w:top w:val="none" w:sz="0" w:space="0" w:color="auto"/>
        <w:left w:val="none" w:sz="0" w:space="0" w:color="auto"/>
        <w:bottom w:val="none" w:sz="0" w:space="0" w:color="auto"/>
        <w:right w:val="none" w:sz="0" w:space="0" w:color="auto"/>
      </w:divBdr>
    </w:div>
    <w:div w:id="2133208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_rels/footnotes.xml.rels><?xml version="1.0" encoding="UTF-8" standalone="yes"?>
<Relationships xmlns="http://schemas.openxmlformats.org/package/2006/relationships"><Relationship Id="rId1" Type="http://schemas.openxmlformats.org/officeDocument/2006/relationships/hyperlink" Target="https://newspapers.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Pre89</b:Tag>
    <b:SourceType>Book</b:SourceType>
    <b:Guid>{5B29C85D-F18C-45BF-AF45-29908EAFD1FD}</b:Guid>
    <b:Author>
      <b:Author>
        <b:NameList>
          <b:Person>
            <b:Last>Pretty</b:Last>
            <b:First>David</b:First>
            <b:Middle>A</b:Middle>
          </b:Person>
        </b:NameList>
      </b:Author>
    </b:Author>
    <b:Title>The Rural Revolt that Failed</b:Title>
    <b:Year>1989</b:Year>
    <b:City>Cardiff</b:City>
    <b:Publisher>University of Wales Press</b:Publisher>
    <b:RefOrder>1</b:RefOrder>
  </b:Source>
  <b:Source>
    <b:Tag>Rus051</b:Tag>
    <b:SourceType>Book</b:SourceType>
    <b:Guid>{6F8D4A59-4327-48CF-895D-C1F2C815428E}</b:Guid>
    <b:Author>
      <b:Author>
        <b:NameList>
          <b:Person>
            <b:Last>Davies</b:Last>
            <b:First>Russell</b:First>
          </b:Person>
        </b:NameList>
      </b:Author>
    </b:Author>
    <b:Title>Hope and Heartbreak</b:Title>
    <b:Year>2005</b:Year>
    <b:City>Cardiff</b:City>
    <b:Publisher>University of Wales Press</b:Publisher>
    <b:RefOrder>4</b:RefOrder>
  </b:Source>
  <b:Source>
    <b:Tag>Ang11</b:Tag>
    <b:SourceType>Book</b:SourceType>
    <b:Guid>{9113C146-AF06-4699-9EE6-763E2CAE1AAE}</b:Guid>
    <b:Author>
      <b:Author>
        <b:NameList>
          <b:Person>
            <b:Last>John</b:Last>
            <b:First>Angela</b:First>
            <b:Middle>V</b:Middle>
          </b:Person>
        </b:NameList>
      </b:Author>
    </b:Author>
    <b:Title>Our Mother's Land</b:Title>
    <b:Year>2011</b:Year>
    <b:City>Cardiff</b:City>
    <b:Publisher>university of Wales Press</b:Publisher>
    <b:RefOrder>5</b:RefOrder>
  </b:Source>
  <b:Source>
    <b:Tag>Ree</b:Tag>
    <b:SourceType>Report</b:SourceType>
    <b:Guid>{B405DBE9-DE9E-41D2-ACD4-DF7859824041}</b:Guid>
    <b:Title>Paternalism and Rural Protest: the rebecca Riots &amp; the landed gentry interest of south-west Wales</b:Title>
    <b:Author>
      <b:Author>
        <b:NameList>
          <b:Person>
            <b:Last>Rees</b:Last>
            <b:First>Lowri</b:First>
            <b:Middle>Ann</b:Middle>
          </b:Person>
        </b:NameList>
      </b:Author>
    </b:Author>
    <b:RefOrder>9</b:RefOrder>
  </b:Source>
  <b:Source>
    <b:Tag>Dav771</b:Tag>
    <b:SourceType>Book</b:SourceType>
    <b:Guid>{35C0A19A-84AB-4016-98B4-C26CA285EE64}</b:Guid>
    <b:Title>Land and People in 19th century Wales</b:Title>
    <b:Year>1977</b:Year>
    <b:Publisher>Routledge</b:Publisher>
    <b:City>London</b:City>
    <b:Author>
      <b:Author>
        <b:NameList>
          <b:Person>
            <b:Last>Howell</b:Last>
            <b:First>David</b:First>
            <b:Middle>W</b:Middle>
          </b:Person>
        </b:NameList>
      </b:Author>
    </b:Author>
    <b:RefOrder>10</b:RefOrder>
  </b:Source>
  <b:Source>
    <b:Tag>Dav892</b:Tag>
    <b:SourceType>Book</b:SourceType>
    <b:Guid>{C3D97033-F05B-4D10-8F32-7EF831B7507E}</b:Guid>
    <b:Author>
      <b:Author>
        <b:NameList>
          <b:Person>
            <b:Last>Jones</b:Last>
            <b:First>David</b:First>
            <b:Middle>J V</b:Middle>
          </b:Person>
        </b:NameList>
      </b:Author>
    </b:Author>
    <b:Title>Rebecca's Children</b:Title>
    <b:Year>1989</b:Year>
    <b:City>Oxford</b:City>
    <b:Publisher>Clarendon Press</b:Publisher>
    <b:RefOrder>11</b:RefOrder>
  </b:Source>
  <b:Source>
    <b:Tag>Jon121</b:Tag>
    <b:SourceType>Book</b:SourceType>
    <b:Guid>{A9C36311-1EF9-4D1E-BB3B-1802AA777FDA}</b:Guid>
    <b:Author>
      <b:Author>
        <b:NameList>
          <b:Person>
            <b:Last>Gower</b:Last>
            <b:First>Jon</b:First>
          </b:Person>
        </b:NameList>
      </b:Author>
    </b:Author>
    <b:Title>The Story of Wales</b:Title>
    <b:Year>2012</b:Year>
    <b:Publisher>BBC</b:Publisher>
    <b:RefOrder>14</b:RefOrder>
  </b:Source>
  <b:Source>
    <b:Tag>DGa891</b:Tag>
    <b:SourceType>Book</b:SourceType>
    <b:Guid>{0732CFA6-B71E-494E-B7DD-A13C1B1690BF}</b:Guid>
    <b:Author>
      <b:Author>
        <b:NameList>
          <b:Person>
            <b:Last>Evans</b:Last>
            <b:First>D</b:First>
            <b:Middle>Gareth</b:Middle>
          </b:Person>
        </b:NameList>
      </b:Author>
    </b:Author>
    <b:Title>A History of Wales 1815-1906</b:Title>
    <b:Year>1989</b:Year>
    <b:City>Cardiff</b:City>
    <b:Publisher>University of Wales Press</b:Publisher>
    <b:RefOrder>17</b:RefOrder>
  </b:Source>
  <b:Source>
    <b:Tag>CPH92</b:Tag>
    <b:SourceType>Book</b:SourceType>
    <b:Guid>{E28F6435-57C3-4F6B-A05D-3B949E0CA4E8}</b:Guid>
    <b:Author>
      <b:Author>
        <b:NameList>
          <b:Person>
            <b:Last>Hill</b:Last>
            <b:First>C</b:First>
            <b:Middle>P</b:Middle>
          </b:Person>
        </b:NameList>
      </b:Author>
    </b:Author>
    <b:Title>British Economic &amp; Social History 1700-1982</b:Title>
    <b:Year>1992</b:Year>
    <b:City>Sevenoaks</b:City>
    <b:Publisher>Hodder &amp; Stoughton</b:Publisher>
    <b:RefOrder>18</b:RefOrder>
  </b:Source>
  <b:Source>
    <b:Tag>Gar951</b:Tag>
    <b:SourceType>Book</b:SourceType>
    <b:Guid>{0AB662A5-459F-49F3-86ED-E70A1B990198}</b:Guid>
    <b:Author>
      <b:Author>
        <b:NameList>
          <b:Person>
            <b:Last>Jones</b:Last>
            <b:First>Gareth</b:First>
            <b:Middle>Elwyn</b:Middle>
          </b:Person>
        </b:NameList>
      </b:Author>
    </b:Author>
    <b:Title>Modern Wales</b:Title>
    <b:Year>1995</b:Year>
    <b:City>Cambridge</b:City>
    <b:Publisher>University Press</b:Publisher>
    <b:RefOrder>19</b:RefOrder>
  </b:Source>
  <b:Source>
    <b:Tag>EdB91</b:Tag>
    <b:SourceType>Book</b:SourceType>
    <b:Guid>{2C229582-31AF-472A-A127-55A8E77C7C52}</b:Guid>
    <b:Author>
      <b:Author>
        <b:NameList>
          <b:Person>
            <b:Last>Turner</b:Last>
            <b:First>Ed.</b:First>
            <b:Middle>B A Holderness &amp; Michael</b:Middle>
          </b:Person>
        </b:NameList>
      </b:Author>
    </b:Author>
    <b:Title>Land, Labour &amp; Agriculture 1700-1920</b:Title>
    <b:Year>1991</b:Year>
    <b:City>London</b:City>
    <b:Publisher>Hambledon Press</b:Publisher>
    <b:RefOrder>20</b:RefOrder>
  </b:Source>
  <b:Source>
    <b:Tag>Dav731</b:Tag>
    <b:SourceType>Book</b:SourceType>
    <b:Guid>{1B325321-4097-4834-BAFB-073CD96841E7}</b:Guid>
    <b:Author>
      <b:Author>
        <b:NameList>
          <b:Person>
            <b:Last>jones</b:Last>
            <b:First>David</b:First>
          </b:Person>
        </b:NameList>
      </b:Author>
    </b:Author>
    <b:Title>Before Rebecca - Popular Protests in Wales 1793 - 1835</b:Title>
    <b:Year>1973</b:Year>
    <b:City>Bristol</b:City>
    <b:Publisher>Allen Lane</b:Publisher>
    <b:RefOrder>21</b:RefOrder>
  </b:Source>
  <b:Source>
    <b:Tag>Dav87</b:Tag>
    <b:SourceType>Book</b:SourceType>
    <b:Guid>{BD229552-F370-4D24-986A-C371F81E2875}</b:Guid>
    <b:Author>
      <b:Author>
        <b:NameList>
          <b:Person>
            <b:Last>Egan</b:Last>
            <b:First>David</b:First>
          </b:Person>
        </b:NameList>
      </b:Author>
    </b:Author>
    <b:Title>People, Protest &amp; Politics</b:Title>
    <b:Year>1987</b:Year>
    <b:Publisher>Gower Press</b:Publisher>
    <b:RefOrder>22</b:RefOrder>
  </b:Source>
  <b:Source>
    <b:Tag>Com44</b:Tag>
    <b:SourceType>Report</b:SourceType>
    <b:Guid>{445D1BA9-EDC7-4860-A685-5D9F7C61383E}</b:Guid>
    <b:Title>Commission of inquiry</b:Title>
    <b:Year>1844</b:Year>
    <b:RefOrder>23</b:RefOrder>
  </b:Source>
  <b:Source>
    <b:Tag>Joh931</b:Tag>
    <b:SourceType>Book</b:SourceType>
    <b:Guid>{3E1AD342-B5E3-41DA-9D33-F191FE6A1023}</b:Guid>
    <b:Author>
      <b:Author>
        <b:NameList>
          <b:Person>
            <b:Last>Davies</b:Last>
            <b:First>John</b:First>
          </b:Person>
        </b:NameList>
      </b:Author>
    </b:Author>
    <b:Title>A History of Wales </b:Title>
    <b:Year>1993</b:Year>
    <b:City>London</b:City>
    <b:Publisher>Penguin</b:Publisher>
    <b:RefOrder>12</b:RefOrder>
  </b:Source>
  <b:Source>
    <b:Tag>Mic74</b:Tag>
    <b:SourceType>Book</b:SourceType>
    <b:Guid>{8B3CC5C2-9FBE-4606-8603-0BA840A1E552}</b:Guid>
    <b:Author>
      <b:Author>
        <b:NameList>
          <b:Person>
            <b:Last>Rose</b:Last>
            <b:First>Michael</b:First>
            <b:Middle>E</b:Middle>
          </b:Person>
        </b:NameList>
      </b:Author>
    </b:Author>
    <b:Title>The Relief of Poverty 1834 - 1914</b:Title>
    <b:Year>1974</b:Year>
    <b:City>London</b:City>
    <b:Publisher>Macmillan Press</b:Publisher>
    <b:RefOrder>24</b:RefOrder>
  </b:Source>
  <b:Source>
    <b:Tag>Pet99</b:Tag>
    <b:SourceType>Book</b:SourceType>
    <b:Guid>{C3AE6AB2-FF7E-4241-83C4-207D6913DF85}</b:Guid>
    <b:Author>
      <b:Author>
        <b:NameList>
          <b:Person>
            <b:Last>Murray</b:Last>
            <b:First>Peter</b:First>
          </b:Person>
        </b:NameList>
      </b:Author>
    </b:Author>
    <b:Title>Poverty and Welfare 1830- 1914</b:Title>
    <b:Year>1999</b:Year>
    <b:City>Abingdon</b:City>
    <b:Publisher>Bookpoint Ltd</b:Publisher>
    <b:RefOrder>2</b:RefOrder>
  </b:Source>
  <b:Source>
    <b:Tag>44Ma</b:Tag>
    <b:SourceType>Misc</b:SourceType>
    <b:Guid>{CB07D0DF-D0B9-4602-8647-45870C543A6C}</b:Guid>
    <b:Year>1844</b:Year>
    <b:Publisher>The Pembrokeshire Herald and General Advertiser</b:Publisher>
    <b:Month>March</b:Month>
    <b:Day>29</b:Day>
    <b:RefOrder>6</b:RefOrder>
  </b:Source>
  <b:Source>
    <b:Tag>44Ap</b:Tag>
    <b:SourceType>Misc</b:SourceType>
    <b:Guid>{E9768805-F59C-4D16-AE3C-92DD981C458B}</b:Guid>
    <b:Year>1844</b:Year>
    <b:Month>April</b:Month>
    <b:Day>05</b:Day>
    <b:Publisher>The Pembrokeshire Herald and General Advertiser</b:Publisher>
    <b:RefOrder>8</b:RefOrder>
  </b:Source>
  <b:Source>
    <b:Tag>htt18</b:Tag>
    <b:SourceType>DocumentFromInternetSite</b:SourceType>
    <b:Guid>{97E2CF10-5C2D-41E4-B1AB-AEB7077C5B31}</b:Guid>
    <b:Title>https://newspapers.library.wales</b:Title>
    <b:Year>2018</b:Year>
    <b:Month>December</b:Month>
    <b:Day>07</b:Day>
    <b:InternetSiteTitle>Newspapers Archive</b:InternetSiteTitle>
    <b:URL>https://newspapers.library.wales</b:URL>
    <b:RefOrder>13</b:RefOrder>
  </b:Source>
  <b:Source>
    <b:Tag>Wel96</b:Tag>
    <b:SourceType>DocumentFromInternetSite</b:SourceType>
    <b:Guid>{451422EB-19DB-4501-AF0D-1FBF0D995118}</b:Guid>
    <b:Title>Welsh land Commission</b:Title>
    <b:Year>1896</b:Year>
    <b:RefOrder>25</b:RefOrder>
  </b:Source>
  <b:Source>
    <b:Tag>Nat42</b:Tag>
    <b:SourceType>DocumentFromInternetSite</b:SourceType>
    <b:Guid>{672857D7-22A3-455F-A8A6-67A853545A64}</b:Guid>
    <b:Title>National Archives</b:Title>
    <b:Year>1842</b:Year>
    <b:Month>December</b:Month>
    <b:Day>16</b:Day>
    <b:YearAccessed>2018</b:YearAccessed>
    <b:MonthAccessed>December</b:MonthAccessed>
    <b:DayAccessed>24</b:DayAccessed>
    <b:URL>https://www.nationalarchives.gov.uk/education/resources/rebecca-riots/CH045/265fi</b:URL>
    <b:RefOrder>3</b:RefOrder>
  </b:Source>
  <b:Source>
    <b:Tag>The43</b:Tag>
    <b:SourceType>Report</b:SourceType>
    <b:Guid>{7B958CCA-32FB-4BBC-92B8-7B2F6AE71C68}</b:Guid>
    <b:Title>The Report of the Commissions of Inquiry for South Wales</b:Title>
    <b:Year>1843</b:Year>
    <b:RefOrder>7</b:RefOrder>
  </b:Source>
  <b:Source>
    <b:Tag>His18</b:Tag>
    <b:SourceType>DocumentFromInternetSite</b:SourceType>
    <b:Guid>{73C90947-2870-4889-9151-171BD8B876D2}</b:Guid>
    <b:Title>History of Powys</b:Title>
    <b:YearAccessed>2018</b:YearAccessed>
    <b:MonthAccessed>december</b:MonthAccessed>
    <b:DayAccessed>24</b:DayAccessed>
    <b:URL>https://www.history.powys.org.uk/history/rhaedr/rebecca.html</b:URL>
    <b:RefOrder>15</b:RefOrder>
  </b:Source>
  <b:Source>
    <b:Tag>Wel</b:Tag>
    <b:SourceType>DocumentFromInternetSite</b:SourceType>
    <b:Guid>{FB2C52AC-CE0F-49BB-B791-A1E57B863055}</b:Guid>
    <b:Title>Rebecca Riots</b:Title>
    <b:URL>https://blog.edtchnie.net/openaccess/sci-hub-and-the-rebecca-riots/</b:URL>
    <b:Author>
      <b:Author>
        <b:NameList>
          <b:Person>
            <b:Last>Weller</b:Last>
            <b:First>M</b:First>
          </b:Person>
        </b:NameList>
      </b:Author>
    </b:Author>
    <b:RefOrder>16</b:RefOrder>
  </b:Source>
</b:Sources>
</file>

<file path=customXml/itemProps1.xml><?xml version="1.0" encoding="utf-8"?>
<ds:datastoreItem xmlns:ds="http://schemas.openxmlformats.org/officeDocument/2006/customXml" ds:itemID="{70450DDD-BAE8-4FAA-9A56-175D2EC1E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5306</Words>
  <Characters>27645</Characters>
  <Application>Microsoft Office Word</Application>
  <DocSecurity>0</DocSecurity>
  <Lines>378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Ashworth (1805027)</dc:creator>
  <cp:keywords/>
  <dc:description/>
  <cp:lastModifiedBy>User</cp:lastModifiedBy>
  <cp:revision>4</cp:revision>
  <dcterms:created xsi:type="dcterms:W3CDTF">2018-12-24T13:49:00Z</dcterms:created>
  <dcterms:modified xsi:type="dcterms:W3CDTF">2018-12-24T13:52:00Z</dcterms:modified>
</cp:coreProperties>
</file>