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1CDBA78" w14:textId="08BE9EC7" w:rsidR="006B1150" w:rsidRDefault="00042138" w:rsidP="006B1150">
      <w:pPr>
        <w:jc w:val="center"/>
        <w:rPr>
          <w:rFonts w:asciiTheme="minorBidi" w:hAnsiTheme="minorBidi"/>
        </w:rPr>
      </w:pPr>
      <w:r w:rsidRPr="00764793">
        <w:rPr>
          <w:rFonts w:cstheme="majorBidi"/>
          <w:noProof/>
          <w:lang w:eastAsia="en-GB"/>
        </w:rPr>
        <w:drawing>
          <wp:anchor distT="0" distB="0" distL="114300" distR="114300" simplePos="0" relativeHeight="251660288" behindDoc="0" locked="0" layoutInCell="1" allowOverlap="1" wp14:anchorId="6B6B2DC6" wp14:editId="09C803F0">
            <wp:simplePos x="457200" y="508000"/>
            <wp:positionH relativeFrom="column">
              <wp:align>left</wp:align>
            </wp:positionH>
            <wp:positionV relativeFrom="paragraph">
              <wp:align>top</wp:align>
            </wp:positionV>
            <wp:extent cx="1816670" cy="600075"/>
            <wp:effectExtent l="0" t="0" r="0" b="0"/>
            <wp:wrapSquare wrapText="bothSides"/>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16670" cy="600075"/>
                    </a:xfrm>
                    <a:prstGeom prst="rect">
                      <a:avLst/>
                    </a:prstGeom>
                  </pic:spPr>
                </pic:pic>
              </a:graphicData>
            </a:graphic>
          </wp:anchor>
        </w:drawing>
      </w:r>
    </w:p>
    <w:p w14:paraId="4C77415E" w14:textId="77777777" w:rsidR="006B1150" w:rsidRDefault="006B1150" w:rsidP="006B1150">
      <w:pPr>
        <w:jc w:val="center"/>
        <w:rPr>
          <w:rFonts w:asciiTheme="minorBidi" w:hAnsiTheme="minorBidi"/>
        </w:rPr>
      </w:pPr>
      <w:bookmarkStart w:id="0" w:name="_GoBack"/>
      <w:bookmarkEnd w:id="0"/>
    </w:p>
    <w:p w14:paraId="1613A0B3" w14:textId="77777777" w:rsidR="006B1150" w:rsidRPr="00D61356" w:rsidRDefault="006B1150" w:rsidP="006B1150">
      <w:pPr>
        <w:jc w:val="center"/>
        <w:rPr>
          <w:rFonts w:asciiTheme="minorBidi" w:hAnsiTheme="minorBidi"/>
        </w:rPr>
      </w:pPr>
    </w:p>
    <w:p w14:paraId="0A08AC93" w14:textId="6EF7ECB8" w:rsidR="006B1150" w:rsidRDefault="006B1150" w:rsidP="006B1150">
      <w:pPr>
        <w:jc w:val="center"/>
        <w:rPr>
          <w:b/>
          <w:sz w:val="44"/>
          <w:szCs w:val="44"/>
        </w:rPr>
      </w:pPr>
      <w:r w:rsidRPr="00B92235">
        <w:rPr>
          <w:b/>
          <w:sz w:val="44"/>
          <w:szCs w:val="44"/>
        </w:rPr>
        <w:t xml:space="preserve">Name: Kumail Abbas </w:t>
      </w:r>
      <w:r>
        <w:rPr>
          <w:b/>
          <w:sz w:val="44"/>
          <w:szCs w:val="44"/>
        </w:rPr>
        <w:br/>
      </w:r>
      <w:r w:rsidRPr="00B92235">
        <w:rPr>
          <w:b/>
          <w:sz w:val="44"/>
          <w:szCs w:val="44"/>
        </w:rPr>
        <w:br/>
        <w:t>Student ID: 2436863</w:t>
      </w:r>
      <w:r>
        <w:rPr>
          <w:b/>
          <w:sz w:val="44"/>
          <w:szCs w:val="44"/>
        </w:rPr>
        <w:br/>
      </w:r>
      <w:r w:rsidRPr="00B92235">
        <w:rPr>
          <w:b/>
          <w:sz w:val="44"/>
          <w:szCs w:val="44"/>
        </w:rPr>
        <w:br/>
        <w:t xml:space="preserve">Subject: </w:t>
      </w:r>
      <w:r>
        <w:rPr>
          <w:b/>
          <w:sz w:val="44"/>
          <w:szCs w:val="44"/>
        </w:rPr>
        <w:t>Strategic Management</w:t>
      </w:r>
      <w:r>
        <w:rPr>
          <w:b/>
          <w:sz w:val="44"/>
          <w:szCs w:val="44"/>
        </w:rPr>
        <w:br/>
        <w:t>LCMB7003</w:t>
      </w:r>
      <w:r>
        <w:rPr>
          <w:b/>
          <w:sz w:val="44"/>
          <w:szCs w:val="44"/>
        </w:rPr>
        <w:br/>
      </w:r>
    </w:p>
    <w:p w14:paraId="09D14A10" w14:textId="19D0B010" w:rsidR="006B1150" w:rsidRPr="00B92235" w:rsidRDefault="006B1150" w:rsidP="006B1150">
      <w:pPr>
        <w:jc w:val="center"/>
        <w:rPr>
          <w:b/>
          <w:sz w:val="44"/>
          <w:szCs w:val="44"/>
        </w:rPr>
      </w:pPr>
      <w:r>
        <w:rPr>
          <w:b/>
          <w:sz w:val="44"/>
          <w:szCs w:val="44"/>
        </w:rPr>
        <w:t>Lecturer: Amare Desta zulf khan</w:t>
      </w:r>
    </w:p>
    <w:p w14:paraId="3D13064E" w14:textId="77777777" w:rsidR="006B1150" w:rsidRDefault="006B1150" w:rsidP="006B1150">
      <w:pPr>
        <w:jc w:val="center"/>
        <w:rPr>
          <w:rFonts w:asciiTheme="minorBidi" w:hAnsiTheme="minorBidi"/>
          <w:b/>
          <w:bCs/>
        </w:rPr>
      </w:pPr>
    </w:p>
    <w:p w14:paraId="29F07E49" w14:textId="2AA4729D" w:rsidR="00042138" w:rsidRPr="00764793" w:rsidRDefault="00042138" w:rsidP="00CD349B">
      <w:pPr>
        <w:pStyle w:val="BodyText"/>
        <w:spacing w:line="360" w:lineRule="auto"/>
        <w:ind w:left="154"/>
        <w:rPr>
          <w:rFonts w:asciiTheme="majorBidi" w:hAnsiTheme="majorBidi" w:cstheme="majorBidi"/>
          <w:sz w:val="24"/>
          <w:szCs w:val="24"/>
        </w:rPr>
      </w:pPr>
    </w:p>
    <w:p w14:paraId="20E10E0F" w14:textId="58E5F34E" w:rsidR="00766C6C" w:rsidRDefault="00766C6C" w:rsidP="00ED71FC">
      <w:pPr>
        <w:spacing w:before="240"/>
        <w:rPr>
          <w:rFonts w:cstheme="majorBidi"/>
          <w:b/>
          <w:bCs/>
        </w:rPr>
      </w:pPr>
    </w:p>
    <w:p w14:paraId="08B3DBBE" w14:textId="727EB85B" w:rsidR="006B1150" w:rsidRDefault="006B1150" w:rsidP="00ED71FC">
      <w:pPr>
        <w:spacing w:before="240"/>
        <w:rPr>
          <w:rFonts w:cstheme="majorBidi"/>
          <w:b/>
          <w:bCs/>
        </w:rPr>
      </w:pPr>
    </w:p>
    <w:p w14:paraId="027381DC" w14:textId="20F3CD1E" w:rsidR="006B1150" w:rsidRDefault="006B1150" w:rsidP="00ED71FC">
      <w:pPr>
        <w:spacing w:before="240"/>
        <w:rPr>
          <w:rFonts w:cstheme="majorBidi"/>
          <w:b/>
          <w:bCs/>
        </w:rPr>
      </w:pPr>
    </w:p>
    <w:p w14:paraId="4410B6B0" w14:textId="6C8224E8" w:rsidR="006B1150" w:rsidRDefault="006B1150" w:rsidP="00ED71FC">
      <w:pPr>
        <w:spacing w:before="240"/>
        <w:rPr>
          <w:rFonts w:cstheme="majorBidi"/>
          <w:b/>
          <w:bCs/>
        </w:rPr>
      </w:pPr>
    </w:p>
    <w:p w14:paraId="7B3D85FA" w14:textId="5D81D351" w:rsidR="006B1150" w:rsidRPr="00294001" w:rsidRDefault="006B1150" w:rsidP="00ED71FC">
      <w:pPr>
        <w:spacing w:before="240"/>
        <w:rPr>
          <w:rFonts w:cstheme="majorBidi"/>
        </w:rPr>
      </w:pPr>
    </w:p>
    <w:sdt>
      <w:sdtPr>
        <w:rPr>
          <w:rFonts w:asciiTheme="majorBidi" w:eastAsiaTheme="minorEastAsia" w:hAnsiTheme="majorBidi" w:cstheme="minorBidi"/>
          <w:color w:val="auto"/>
          <w:kern w:val="2"/>
          <w:sz w:val="24"/>
          <w:szCs w:val="24"/>
          <w:lang w:val="en-GB" w:eastAsia="zh-CN"/>
          <w14:ligatures w14:val="standardContextual"/>
        </w:rPr>
        <w:id w:val="185185127"/>
        <w:docPartObj>
          <w:docPartGallery w:val="Table of Contents"/>
          <w:docPartUnique/>
        </w:docPartObj>
      </w:sdtPr>
      <w:sdtEndPr>
        <w:rPr>
          <w:b/>
          <w:bCs/>
          <w:noProof/>
        </w:rPr>
      </w:sdtEndPr>
      <w:sdtContent>
        <w:p w14:paraId="06558CD0" w14:textId="21C6FBAB" w:rsidR="00351A86" w:rsidRPr="00E15FE1" w:rsidRDefault="003A660D" w:rsidP="009A151E">
          <w:pPr>
            <w:pStyle w:val="TOCHeading"/>
            <w:spacing w:after="240" w:line="360" w:lineRule="auto"/>
            <w:jc w:val="center"/>
            <w:rPr>
              <w:rFonts w:asciiTheme="majorBidi" w:hAnsiTheme="majorBidi"/>
              <w:b/>
              <w:bCs/>
              <w:color w:val="000000" w:themeColor="text1"/>
              <w:sz w:val="24"/>
              <w:szCs w:val="24"/>
            </w:rPr>
          </w:pPr>
          <w:r w:rsidRPr="00E15FE1">
            <w:rPr>
              <w:rFonts w:asciiTheme="majorBidi" w:hAnsiTheme="majorBidi"/>
              <w:b/>
              <w:bCs/>
              <w:color w:val="000000" w:themeColor="text1"/>
              <w:sz w:val="24"/>
              <w:szCs w:val="24"/>
            </w:rPr>
            <w:t xml:space="preserve">Table of </w:t>
          </w:r>
          <w:r w:rsidR="00351A86" w:rsidRPr="00E15FE1">
            <w:rPr>
              <w:rFonts w:asciiTheme="majorBidi" w:hAnsiTheme="majorBidi"/>
              <w:b/>
              <w:bCs/>
              <w:color w:val="000000" w:themeColor="text1"/>
              <w:sz w:val="24"/>
              <w:szCs w:val="24"/>
            </w:rPr>
            <w:t>Contents</w:t>
          </w:r>
        </w:p>
        <w:p w14:paraId="694AD4FD" w14:textId="36A2E6C9" w:rsidR="009A151E" w:rsidRDefault="00351A86" w:rsidP="009A151E">
          <w:pPr>
            <w:pStyle w:val="TOC1"/>
            <w:tabs>
              <w:tab w:val="left" w:pos="480"/>
              <w:tab w:val="right" w:leader="dot" w:pos="9350"/>
            </w:tabs>
            <w:spacing w:after="240"/>
            <w:rPr>
              <w:rFonts w:asciiTheme="minorHAnsi" w:hAnsiTheme="minorHAnsi"/>
              <w:noProof/>
              <w:lang w:val="en-US"/>
            </w:rPr>
          </w:pPr>
          <w:r>
            <w:fldChar w:fldCharType="begin"/>
          </w:r>
          <w:r>
            <w:instrText xml:space="preserve"> TOC \o "1-3" \h \z \u </w:instrText>
          </w:r>
          <w:r>
            <w:fldChar w:fldCharType="separate"/>
          </w:r>
          <w:hyperlink w:anchor="_Toc228539540" w:history="1">
            <w:r w:rsidR="009A151E" w:rsidRPr="007E3640">
              <w:rPr>
                <w:rStyle w:val="Hyperlink"/>
                <w:noProof/>
              </w:rPr>
              <w:t>1.</w:t>
            </w:r>
            <w:r w:rsidR="009A151E">
              <w:rPr>
                <w:rFonts w:asciiTheme="minorHAnsi" w:hAnsiTheme="minorHAnsi"/>
                <w:noProof/>
                <w:lang w:val="en-US"/>
              </w:rPr>
              <w:tab/>
            </w:r>
            <w:r w:rsidR="009A151E" w:rsidRPr="007E3640">
              <w:rPr>
                <w:rStyle w:val="Hyperlink"/>
                <w:noProof/>
              </w:rPr>
              <w:t>Organisational Context and Overview</w:t>
            </w:r>
            <w:r w:rsidR="009A151E">
              <w:rPr>
                <w:noProof/>
                <w:webHidden/>
              </w:rPr>
              <w:tab/>
            </w:r>
            <w:r w:rsidR="009A151E">
              <w:rPr>
                <w:noProof/>
                <w:webHidden/>
              </w:rPr>
              <w:fldChar w:fldCharType="begin"/>
            </w:r>
            <w:r w:rsidR="009A151E">
              <w:rPr>
                <w:noProof/>
                <w:webHidden/>
              </w:rPr>
              <w:instrText xml:space="preserve"> PAGEREF _Toc228539540 \h </w:instrText>
            </w:r>
            <w:r w:rsidR="009A151E">
              <w:rPr>
                <w:noProof/>
                <w:webHidden/>
              </w:rPr>
            </w:r>
            <w:r w:rsidR="009A151E">
              <w:rPr>
                <w:noProof/>
                <w:webHidden/>
              </w:rPr>
              <w:fldChar w:fldCharType="separate"/>
            </w:r>
            <w:r w:rsidR="006879D6">
              <w:rPr>
                <w:noProof/>
                <w:webHidden/>
              </w:rPr>
              <w:t>4</w:t>
            </w:r>
            <w:r w:rsidR="009A151E">
              <w:rPr>
                <w:noProof/>
                <w:webHidden/>
              </w:rPr>
              <w:fldChar w:fldCharType="end"/>
            </w:r>
          </w:hyperlink>
        </w:p>
        <w:p w14:paraId="76D9D96E" w14:textId="2AC9E400" w:rsidR="009A151E" w:rsidRDefault="00F159FE" w:rsidP="009A151E">
          <w:pPr>
            <w:pStyle w:val="TOC1"/>
            <w:tabs>
              <w:tab w:val="left" w:pos="480"/>
              <w:tab w:val="right" w:leader="dot" w:pos="9350"/>
            </w:tabs>
            <w:spacing w:after="240"/>
            <w:rPr>
              <w:rFonts w:asciiTheme="minorHAnsi" w:hAnsiTheme="minorHAnsi"/>
              <w:noProof/>
              <w:lang w:val="en-US"/>
            </w:rPr>
          </w:pPr>
          <w:hyperlink w:anchor="_Toc228539541" w:history="1">
            <w:r w:rsidR="009A151E" w:rsidRPr="007E3640">
              <w:rPr>
                <w:rStyle w:val="Hyperlink"/>
                <w:noProof/>
              </w:rPr>
              <w:t>2.</w:t>
            </w:r>
            <w:r w:rsidR="009A151E">
              <w:rPr>
                <w:rFonts w:asciiTheme="minorHAnsi" w:hAnsiTheme="minorHAnsi"/>
                <w:noProof/>
                <w:lang w:val="en-US"/>
              </w:rPr>
              <w:tab/>
            </w:r>
            <w:r w:rsidR="009A151E" w:rsidRPr="007E3640">
              <w:rPr>
                <w:rStyle w:val="Hyperlink"/>
                <w:noProof/>
              </w:rPr>
              <w:t>External and Internal Environment Analysis</w:t>
            </w:r>
            <w:r w:rsidR="009A151E">
              <w:rPr>
                <w:noProof/>
                <w:webHidden/>
              </w:rPr>
              <w:tab/>
            </w:r>
            <w:r w:rsidR="009A151E">
              <w:rPr>
                <w:noProof/>
                <w:webHidden/>
              </w:rPr>
              <w:fldChar w:fldCharType="begin"/>
            </w:r>
            <w:r w:rsidR="009A151E">
              <w:rPr>
                <w:noProof/>
                <w:webHidden/>
              </w:rPr>
              <w:instrText xml:space="preserve"> PAGEREF _Toc228539541 \h </w:instrText>
            </w:r>
            <w:r w:rsidR="009A151E">
              <w:rPr>
                <w:noProof/>
                <w:webHidden/>
              </w:rPr>
            </w:r>
            <w:r w:rsidR="009A151E">
              <w:rPr>
                <w:noProof/>
                <w:webHidden/>
              </w:rPr>
              <w:fldChar w:fldCharType="separate"/>
            </w:r>
            <w:r w:rsidR="006879D6">
              <w:rPr>
                <w:noProof/>
                <w:webHidden/>
              </w:rPr>
              <w:t>5</w:t>
            </w:r>
            <w:r w:rsidR="009A151E">
              <w:rPr>
                <w:noProof/>
                <w:webHidden/>
              </w:rPr>
              <w:fldChar w:fldCharType="end"/>
            </w:r>
          </w:hyperlink>
        </w:p>
        <w:p w14:paraId="1E7743E7" w14:textId="3B71C212" w:rsidR="009A151E" w:rsidRDefault="00F159FE" w:rsidP="009A151E">
          <w:pPr>
            <w:pStyle w:val="TOC2"/>
            <w:tabs>
              <w:tab w:val="left" w:pos="960"/>
              <w:tab w:val="right" w:leader="dot" w:pos="9350"/>
            </w:tabs>
            <w:spacing w:after="240"/>
            <w:rPr>
              <w:rFonts w:asciiTheme="minorHAnsi" w:hAnsiTheme="minorHAnsi"/>
              <w:noProof/>
              <w:lang w:val="en-US"/>
            </w:rPr>
          </w:pPr>
          <w:hyperlink w:anchor="_Toc228539542" w:history="1">
            <w:r w:rsidR="009A151E" w:rsidRPr="007E3640">
              <w:rPr>
                <w:rStyle w:val="Hyperlink"/>
                <w:noProof/>
              </w:rPr>
              <w:t>2.1.</w:t>
            </w:r>
            <w:r w:rsidR="009A151E">
              <w:rPr>
                <w:rFonts w:asciiTheme="minorHAnsi" w:hAnsiTheme="minorHAnsi"/>
                <w:noProof/>
                <w:lang w:val="en-US"/>
              </w:rPr>
              <w:tab/>
            </w:r>
            <w:r w:rsidR="009A151E" w:rsidRPr="007E3640">
              <w:rPr>
                <w:rStyle w:val="Hyperlink"/>
                <w:noProof/>
              </w:rPr>
              <w:t>External Environment: PESTEL Analysis and Strategic Impact</w:t>
            </w:r>
            <w:r w:rsidR="009A151E">
              <w:rPr>
                <w:noProof/>
                <w:webHidden/>
              </w:rPr>
              <w:tab/>
            </w:r>
            <w:r w:rsidR="009A151E">
              <w:rPr>
                <w:noProof/>
                <w:webHidden/>
              </w:rPr>
              <w:fldChar w:fldCharType="begin"/>
            </w:r>
            <w:r w:rsidR="009A151E">
              <w:rPr>
                <w:noProof/>
                <w:webHidden/>
              </w:rPr>
              <w:instrText xml:space="preserve"> PAGEREF _Toc228539542 \h </w:instrText>
            </w:r>
            <w:r w:rsidR="009A151E">
              <w:rPr>
                <w:noProof/>
                <w:webHidden/>
              </w:rPr>
            </w:r>
            <w:r w:rsidR="009A151E">
              <w:rPr>
                <w:noProof/>
                <w:webHidden/>
              </w:rPr>
              <w:fldChar w:fldCharType="separate"/>
            </w:r>
            <w:r w:rsidR="006879D6">
              <w:rPr>
                <w:noProof/>
                <w:webHidden/>
              </w:rPr>
              <w:t>5</w:t>
            </w:r>
            <w:r w:rsidR="009A151E">
              <w:rPr>
                <w:noProof/>
                <w:webHidden/>
              </w:rPr>
              <w:fldChar w:fldCharType="end"/>
            </w:r>
          </w:hyperlink>
        </w:p>
        <w:p w14:paraId="6074C0F8" w14:textId="6BAA14EE" w:rsidR="009A151E" w:rsidRDefault="00F159FE" w:rsidP="009A151E">
          <w:pPr>
            <w:pStyle w:val="TOC2"/>
            <w:tabs>
              <w:tab w:val="left" w:pos="960"/>
              <w:tab w:val="right" w:leader="dot" w:pos="9350"/>
            </w:tabs>
            <w:spacing w:after="240"/>
            <w:rPr>
              <w:rFonts w:asciiTheme="minorHAnsi" w:hAnsiTheme="minorHAnsi"/>
              <w:noProof/>
              <w:lang w:val="en-US"/>
            </w:rPr>
          </w:pPr>
          <w:hyperlink w:anchor="_Toc228539543" w:history="1">
            <w:r w:rsidR="009A151E" w:rsidRPr="007E3640">
              <w:rPr>
                <w:rStyle w:val="Hyperlink"/>
                <w:noProof/>
              </w:rPr>
              <w:t>2.2.</w:t>
            </w:r>
            <w:r w:rsidR="009A151E">
              <w:rPr>
                <w:rFonts w:asciiTheme="minorHAnsi" w:hAnsiTheme="minorHAnsi"/>
                <w:noProof/>
                <w:lang w:val="en-US"/>
              </w:rPr>
              <w:tab/>
            </w:r>
            <w:r w:rsidR="009A151E" w:rsidRPr="007E3640">
              <w:rPr>
                <w:rStyle w:val="Hyperlink"/>
                <w:noProof/>
              </w:rPr>
              <w:t>Critical Success Factors and Strategic Challenges</w:t>
            </w:r>
            <w:r w:rsidR="009A151E">
              <w:rPr>
                <w:noProof/>
                <w:webHidden/>
              </w:rPr>
              <w:tab/>
            </w:r>
            <w:r w:rsidR="009A151E">
              <w:rPr>
                <w:noProof/>
                <w:webHidden/>
              </w:rPr>
              <w:fldChar w:fldCharType="begin"/>
            </w:r>
            <w:r w:rsidR="009A151E">
              <w:rPr>
                <w:noProof/>
                <w:webHidden/>
              </w:rPr>
              <w:instrText xml:space="preserve"> PAGEREF _Toc228539543 \h </w:instrText>
            </w:r>
            <w:r w:rsidR="009A151E">
              <w:rPr>
                <w:noProof/>
                <w:webHidden/>
              </w:rPr>
            </w:r>
            <w:r w:rsidR="009A151E">
              <w:rPr>
                <w:noProof/>
                <w:webHidden/>
              </w:rPr>
              <w:fldChar w:fldCharType="separate"/>
            </w:r>
            <w:r w:rsidR="006879D6">
              <w:rPr>
                <w:noProof/>
                <w:webHidden/>
              </w:rPr>
              <w:t>7</w:t>
            </w:r>
            <w:r w:rsidR="009A151E">
              <w:rPr>
                <w:noProof/>
                <w:webHidden/>
              </w:rPr>
              <w:fldChar w:fldCharType="end"/>
            </w:r>
          </w:hyperlink>
        </w:p>
        <w:p w14:paraId="7A1BD1F1" w14:textId="0DD10384" w:rsidR="009A151E" w:rsidRDefault="00F159FE" w:rsidP="009A151E">
          <w:pPr>
            <w:pStyle w:val="TOC2"/>
            <w:tabs>
              <w:tab w:val="left" w:pos="960"/>
              <w:tab w:val="right" w:leader="dot" w:pos="9350"/>
            </w:tabs>
            <w:spacing w:after="240"/>
            <w:rPr>
              <w:rFonts w:asciiTheme="minorHAnsi" w:hAnsiTheme="minorHAnsi"/>
              <w:noProof/>
              <w:lang w:val="en-US"/>
            </w:rPr>
          </w:pPr>
          <w:hyperlink w:anchor="_Toc228539544" w:history="1">
            <w:r w:rsidR="009A151E" w:rsidRPr="007E3640">
              <w:rPr>
                <w:rStyle w:val="Hyperlink"/>
                <w:noProof/>
              </w:rPr>
              <w:t>2.3.</w:t>
            </w:r>
            <w:r w:rsidR="009A151E">
              <w:rPr>
                <w:rFonts w:asciiTheme="minorHAnsi" w:hAnsiTheme="minorHAnsi"/>
                <w:noProof/>
                <w:lang w:val="en-US"/>
              </w:rPr>
              <w:tab/>
            </w:r>
            <w:r w:rsidR="009A151E" w:rsidRPr="007E3640">
              <w:rPr>
                <w:rStyle w:val="Hyperlink"/>
                <w:noProof/>
              </w:rPr>
              <w:t>Internal Environment and VRIO Capability Assessment</w:t>
            </w:r>
            <w:r w:rsidR="009A151E">
              <w:rPr>
                <w:noProof/>
                <w:webHidden/>
              </w:rPr>
              <w:tab/>
            </w:r>
            <w:r w:rsidR="009A151E">
              <w:rPr>
                <w:noProof/>
                <w:webHidden/>
              </w:rPr>
              <w:fldChar w:fldCharType="begin"/>
            </w:r>
            <w:r w:rsidR="009A151E">
              <w:rPr>
                <w:noProof/>
                <w:webHidden/>
              </w:rPr>
              <w:instrText xml:space="preserve"> PAGEREF _Toc228539544 \h </w:instrText>
            </w:r>
            <w:r w:rsidR="009A151E">
              <w:rPr>
                <w:noProof/>
                <w:webHidden/>
              </w:rPr>
            </w:r>
            <w:r w:rsidR="009A151E">
              <w:rPr>
                <w:noProof/>
                <w:webHidden/>
              </w:rPr>
              <w:fldChar w:fldCharType="separate"/>
            </w:r>
            <w:r w:rsidR="006879D6">
              <w:rPr>
                <w:noProof/>
                <w:webHidden/>
              </w:rPr>
              <w:t>8</w:t>
            </w:r>
            <w:r w:rsidR="009A151E">
              <w:rPr>
                <w:noProof/>
                <w:webHidden/>
              </w:rPr>
              <w:fldChar w:fldCharType="end"/>
            </w:r>
          </w:hyperlink>
        </w:p>
        <w:p w14:paraId="18520151" w14:textId="6BEE34EE" w:rsidR="009A151E" w:rsidRDefault="00F159FE" w:rsidP="009A151E">
          <w:pPr>
            <w:pStyle w:val="TOC2"/>
            <w:tabs>
              <w:tab w:val="left" w:pos="960"/>
              <w:tab w:val="right" w:leader="dot" w:pos="9350"/>
            </w:tabs>
            <w:spacing w:after="240"/>
            <w:rPr>
              <w:rFonts w:asciiTheme="minorHAnsi" w:hAnsiTheme="minorHAnsi"/>
              <w:noProof/>
              <w:lang w:val="en-US"/>
            </w:rPr>
          </w:pPr>
          <w:hyperlink w:anchor="_Toc228539545" w:history="1">
            <w:r w:rsidR="009A151E" w:rsidRPr="007E3640">
              <w:rPr>
                <w:rStyle w:val="Hyperlink"/>
                <w:noProof/>
              </w:rPr>
              <w:t>2.4.</w:t>
            </w:r>
            <w:r w:rsidR="009A151E">
              <w:rPr>
                <w:rFonts w:asciiTheme="minorHAnsi" w:hAnsiTheme="minorHAnsi"/>
                <w:noProof/>
                <w:lang w:val="en-US"/>
              </w:rPr>
              <w:tab/>
            </w:r>
            <w:r w:rsidR="009A151E" w:rsidRPr="007E3640">
              <w:rPr>
                <w:rStyle w:val="Hyperlink"/>
                <w:noProof/>
              </w:rPr>
              <w:t>Internal Strengths and Competitive Advantage</w:t>
            </w:r>
            <w:r w:rsidR="009A151E">
              <w:rPr>
                <w:noProof/>
                <w:webHidden/>
              </w:rPr>
              <w:tab/>
            </w:r>
            <w:r w:rsidR="009A151E">
              <w:rPr>
                <w:noProof/>
                <w:webHidden/>
              </w:rPr>
              <w:fldChar w:fldCharType="begin"/>
            </w:r>
            <w:r w:rsidR="009A151E">
              <w:rPr>
                <w:noProof/>
                <w:webHidden/>
              </w:rPr>
              <w:instrText xml:space="preserve"> PAGEREF _Toc228539545 \h </w:instrText>
            </w:r>
            <w:r w:rsidR="009A151E">
              <w:rPr>
                <w:noProof/>
                <w:webHidden/>
              </w:rPr>
            </w:r>
            <w:r w:rsidR="009A151E">
              <w:rPr>
                <w:noProof/>
                <w:webHidden/>
              </w:rPr>
              <w:fldChar w:fldCharType="separate"/>
            </w:r>
            <w:r w:rsidR="006879D6">
              <w:rPr>
                <w:noProof/>
                <w:webHidden/>
              </w:rPr>
              <w:t>9</w:t>
            </w:r>
            <w:r w:rsidR="009A151E">
              <w:rPr>
                <w:noProof/>
                <w:webHidden/>
              </w:rPr>
              <w:fldChar w:fldCharType="end"/>
            </w:r>
          </w:hyperlink>
        </w:p>
        <w:p w14:paraId="1D093028" w14:textId="4B5F4847" w:rsidR="009A151E" w:rsidRDefault="00F159FE" w:rsidP="009A151E">
          <w:pPr>
            <w:pStyle w:val="TOC1"/>
            <w:tabs>
              <w:tab w:val="left" w:pos="480"/>
              <w:tab w:val="right" w:leader="dot" w:pos="9350"/>
            </w:tabs>
            <w:spacing w:after="240"/>
            <w:rPr>
              <w:rFonts w:asciiTheme="minorHAnsi" w:hAnsiTheme="minorHAnsi"/>
              <w:noProof/>
              <w:lang w:val="en-US"/>
            </w:rPr>
          </w:pPr>
          <w:hyperlink w:anchor="_Toc228539546" w:history="1">
            <w:r w:rsidR="009A151E" w:rsidRPr="007E3640">
              <w:rPr>
                <w:rStyle w:val="Hyperlink"/>
                <w:noProof/>
              </w:rPr>
              <w:t>3.</w:t>
            </w:r>
            <w:r w:rsidR="009A151E">
              <w:rPr>
                <w:rFonts w:asciiTheme="minorHAnsi" w:hAnsiTheme="minorHAnsi"/>
                <w:noProof/>
                <w:lang w:val="en-US"/>
              </w:rPr>
              <w:tab/>
            </w:r>
            <w:r w:rsidR="009A151E" w:rsidRPr="007E3640">
              <w:rPr>
                <w:rStyle w:val="Hyperlink"/>
                <w:noProof/>
              </w:rPr>
              <w:t>CSR and Sustainability Objectives</w:t>
            </w:r>
            <w:r w:rsidR="009A151E">
              <w:rPr>
                <w:noProof/>
                <w:webHidden/>
              </w:rPr>
              <w:tab/>
            </w:r>
            <w:r w:rsidR="009A151E">
              <w:rPr>
                <w:noProof/>
                <w:webHidden/>
              </w:rPr>
              <w:fldChar w:fldCharType="begin"/>
            </w:r>
            <w:r w:rsidR="009A151E">
              <w:rPr>
                <w:noProof/>
                <w:webHidden/>
              </w:rPr>
              <w:instrText xml:space="preserve"> PAGEREF _Toc228539546 \h </w:instrText>
            </w:r>
            <w:r w:rsidR="009A151E">
              <w:rPr>
                <w:noProof/>
                <w:webHidden/>
              </w:rPr>
            </w:r>
            <w:r w:rsidR="009A151E">
              <w:rPr>
                <w:noProof/>
                <w:webHidden/>
              </w:rPr>
              <w:fldChar w:fldCharType="separate"/>
            </w:r>
            <w:r w:rsidR="006879D6">
              <w:rPr>
                <w:noProof/>
                <w:webHidden/>
              </w:rPr>
              <w:t>10</w:t>
            </w:r>
            <w:r w:rsidR="009A151E">
              <w:rPr>
                <w:noProof/>
                <w:webHidden/>
              </w:rPr>
              <w:fldChar w:fldCharType="end"/>
            </w:r>
          </w:hyperlink>
        </w:p>
        <w:p w14:paraId="04893D0F" w14:textId="52C77117" w:rsidR="009A151E" w:rsidRDefault="00F159FE" w:rsidP="009A151E">
          <w:pPr>
            <w:pStyle w:val="TOC1"/>
            <w:tabs>
              <w:tab w:val="left" w:pos="480"/>
              <w:tab w:val="right" w:leader="dot" w:pos="9350"/>
            </w:tabs>
            <w:spacing w:after="240"/>
            <w:rPr>
              <w:rFonts w:asciiTheme="minorHAnsi" w:hAnsiTheme="minorHAnsi"/>
              <w:noProof/>
              <w:lang w:val="en-US"/>
            </w:rPr>
          </w:pPr>
          <w:hyperlink w:anchor="_Toc228539547" w:history="1">
            <w:r w:rsidR="009A151E" w:rsidRPr="007E3640">
              <w:rPr>
                <w:rStyle w:val="Hyperlink"/>
                <w:noProof/>
              </w:rPr>
              <w:t>4.</w:t>
            </w:r>
            <w:r w:rsidR="009A151E">
              <w:rPr>
                <w:rFonts w:asciiTheme="minorHAnsi" w:hAnsiTheme="minorHAnsi"/>
                <w:noProof/>
                <w:lang w:val="en-US"/>
              </w:rPr>
              <w:tab/>
            </w:r>
            <w:r w:rsidR="009A151E" w:rsidRPr="007E3640">
              <w:rPr>
                <w:rStyle w:val="Hyperlink"/>
                <w:noProof/>
              </w:rPr>
              <w:t>Comprehensive and Holistic View of the Organisation</w:t>
            </w:r>
            <w:r w:rsidR="009A151E">
              <w:rPr>
                <w:noProof/>
                <w:webHidden/>
              </w:rPr>
              <w:tab/>
            </w:r>
            <w:r w:rsidR="009A151E">
              <w:rPr>
                <w:noProof/>
                <w:webHidden/>
              </w:rPr>
              <w:fldChar w:fldCharType="begin"/>
            </w:r>
            <w:r w:rsidR="009A151E">
              <w:rPr>
                <w:noProof/>
                <w:webHidden/>
              </w:rPr>
              <w:instrText xml:space="preserve"> PAGEREF _Toc228539547 \h </w:instrText>
            </w:r>
            <w:r w:rsidR="009A151E">
              <w:rPr>
                <w:noProof/>
                <w:webHidden/>
              </w:rPr>
            </w:r>
            <w:r w:rsidR="009A151E">
              <w:rPr>
                <w:noProof/>
                <w:webHidden/>
              </w:rPr>
              <w:fldChar w:fldCharType="separate"/>
            </w:r>
            <w:r w:rsidR="006879D6">
              <w:rPr>
                <w:noProof/>
                <w:webHidden/>
              </w:rPr>
              <w:t>11</w:t>
            </w:r>
            <w:r w:rsidR="009A151E">
              <w:rPr>
                <w:noProof/>
                <w:webHidden/>
              </w:rPr>
              <w:fldChar w:fldCharType="end"/>
            </w:r>
          </w:hyperlink>
        </w:p>
        <w:p w14:paraId="1FF829B7" w14:textId="661FD428" w:rsidR="009A151E" w:rsidRDefault="00F159FE" w:rsidP="009A151E">
          <w:pPr>
            <w:pStyle w:val="TOC2"/>
            <w:tabs>
              <w:tab w:val="left" w:pos="960"/>
              <w:tab w:val="right" w:leader="dot" w:pos="9350"/>
            </w:tabs>
            <w:spacing w:after="240"/>
            <w:rPr>
              <w:rFonts w:asciiTheme="minorHAnsi" w:hAnsiTheme="minorHAnsi"/>
              <w:noProof/>
              <w:lang w:val="en-US"/>
            </w:rPr>
          </w:pPr>
          <w:hyperlink w:anchor="_Toc228539548" w:history="1">
            <w:r w:rsidR="009A151E" w:rsidRPr="007E3640">
              <w:rPr>
                <w:rStyle w:val="Hyperlink"/>
                <w:noProof/>
              </w:rPr>
              <w:t>4.1.</w:t>
            </w:r>
            <w:r w:rsidR="009A151E">
              <w:rPr>
                <w:rFonts w:asciiTheme="minorHAnsi" w:hAnsiTheme="minorHAnsi"/>
                <w:noProof/>
                <w:lang w:val="en-US"/>
              </w:rPr>
              <w:tab/>
            </w:r>
            <w:r w:rsidR="009A151E" w:rsidRPr="007E3640">
              <w:rPr>
                <w:rStyle w:val="Hyperlink"/>
                <w:noProof/>
              </w:rPr>
              <w:t>Balanced Scorecard Logic for Shell</w:t>
            </w:r>
            <w:r w:rsidR="009A151E">
              <w:rPr>
                <w:noProof/>
                <w:webHidden/>
              </w:rPr>
              <w:tab/>
            </w:r>
            <w:r w:rsidR="009A151E">
              <w:rPr>
                <w:noProof/>
                <w:webHidden/>
              </w:rPr>
              <w:fldChar w:fldCharType="begin"/>
            </w:r>
            <w:r w:rsidR="009A151E">
              <w:rPr>
                <w:noProof/>
                <w:webHidden/>
              </w:rPr>
              <w:instrText xml:space="preserve"> PAGEREF _Toc228539548 \h </w:instrText>
            </w:r>
            <w:r w:rsidR="009A151E">
              <w:rPr>
                <w:noProof/>
                <w:webHidden/>
              </w:rPr>
            </w:r>
            <w:r w:rsidR="009A151E">
              <w:rPr>
                <w:noProof/>
                <w:webHidden/>
              </w:rPr>
              <w:fldChar w:fldCharType="separate"/>
            </w:r>
            <w:r w:rsidR="006879D6">
              <w:rPr>
                <w:noProof/>
                <w:webHidden/>
              </w:rPr>
              <w:t>11</w:t>
            </w:r>
            <w:r w:rsidR="009A151E">
              <w:rPr>
                <w:noProof/>
                <w:webHidden/>
              </w:rPr>
              <w:fldChar w:fldCharType="end"/>
            </w:r>
          </w:hyperlink>
        </w:p>
        <w:p w14:paraId="0E650CFA" w14:textId="6E0A2681" w:rsidR="009A151E" w:rsidRDefault="00F159FE" w:rsidP="009A151E">
          <w:pPr>
            <w:pStyle w:val="TOC2"/>
            <w:tabs>
              <w:tab w:val="left" w:pos="960"/>
              <w:tab w:val="right" w:leader="dot" w:pos="9350"/>
            </w:tabs>
            <w:spacing w:after="240"/>
            <w:rPr>
              <w:rFonts w:asciiTheme="minorHAnsi" w:hAnsiTheme="minorHAnsi"/>
              <w:noProof/>
              <w:lang w:val="en-US"/>
            </w:rPr>
          </w:pPr>
          <w:hyperlink w:anchor="_Toc228539549" w:history="1">
            <w:r w:rsidR="009A151E" w:rsidRPr="007E3640">
              <w:rPr>
                <w:rStyle w:val="Hyperlink"/>
                <w:noProof/>
              </w:rPr>
              <w:t>4.2.</w:t>
            </w:r>
            <w:r w:rsidR="009A151E">
              <w:rPr>
                <w:rFonts w:asciiTheme="minorHAnsi" w:hAnsiTheme="minorHAnsi"/>
                <w:noProof/>
                <w:lang w:val="en-US"/>
              </w:rPr>
              <w:tab/>
            </w:r>
            <w:r w:rsidR="009A151E" w:rsidRPr="007E3640">
              <w:rPr>
                <w:rStyle w:val="Hyperlink"/>
                <w:noProof/>
              </w:rPr>
              <w:t>Financial and Customer Perspectives</w:t>
            </w:r>
            <w:r w:rsidR="009A151E">
              <w:rPr>
                <w:noProof/>
                <w:webHidden/>
              </w:rPr>
              <w:tab/>
            </w:r>
            <w:r w:rsidR="009A151E">
              <w:rPr>
                <w:noProof/>
                <w:webHidden/>
              </w:rPr>
              <w:fldChar w:fldCharType="begin"/>
            </w:r>
            <w:r w:rsidR="009A151E">
              <w:rPr>
                <w:noProof/>
                <w:webHidden/>
              </w:rPr>
              <w:instrText xml:space="preserve"> PAGEREF _Toc228539549 \h </w:instrText>
            </w:r>
            <w:r w:rsidR="009A151E">
              <w:rPr>
                <w:noProof/>
                <w:webHidden/>
              </w:rPr>
            </w:r>
            <w:r w:rsidR="009A151E">
              <w:rPr>
                <w:noProof/>
                <w:webHidden/>
              </w:rPr>
              <w:fldChar w:fldCharType="separate"/>
            </w:r>
            <w:r w:rsidR="006879D6">
              <w:rPr>
                <w:noProof/>
                <w:webHidden/>
              </w:rPr>
              <w:t>12</w:t>
            </w:r>
            <w:r w:rsidR="009A151E">
              <w:rPr>
                <w:noProof/>
                <w:webHidden/>
              </w:rPr>
              <w:fldChar w:fldCharType="end"/>
            </w:r>
          </w:hyperlink>
        </w:p>
        <w:p w14:paraId="55AF8ED6" w14:textId="04FCCBC2" w:rsidR="009A151E" w:rsidRDefault="00F159FE" w:rsidP="009A151E">
          <w:pPr>
            <w:pStyle w:val="TOC2"/>
            <w:tabs>
              <w:tab w:val="left" w:pos="960"/>
              <w:tab w:val="right" w:leader="dot" w:pos="9350"/>
            </w:tabs>
            <w:spacing w:after="240"/>
            <w:rPr>
              <w:rFonts w:asciiTheme="minorHAnsi" w:hAnsiTheme="minorHAnsi"/>
              <w:noProof/>
              <w:lang w:val="en-US"/>
            </w:rPr>
          </w:pPr>
          <w:hyperlink w:anchor="_Toc228539550" w:history="1">
            <w:r w:rsidR="009A151E" w:rsidRPr="007E3640">
              <w:rPr>
                <w:rStyle w:val="Hyperlink"/>
                <w:noProof/>
              </w:rPr>
              <w:t>4.3.</w:t>
            </w:r>
            <w:r w:rsidR="009A151E">
              <w:rPr>
                <w:rFonts w:asciiTheme="minorHAnsi" w:hAnsiTheme="minorHAnsi"/>
                <w:noProof/>
                <w:lang w:val="en-US"/>
              </w:rPr>
              <w:tab/>
            </w:r>
            <w:r w:rsidR="009A151E" w:rsidRPr="007E3640">
              <w:rPr>
                <w:rStyle w:val="Hyperlink"/>
                <w:noProof/>
              </w:rPr>
              <w:t>Internal Process and Learning-and-Growth Perspectives</w:t>
            </w:r>
            <w:r w:rsidR="009A151E">
              <w:rPr>
                <w:noProof/>
                <w:webHidden/>
              </w:rPr>
              <w:tab/>
            </w:r>
            <w:r w:rsidR="009A151E">
              <w:rPr>
                <w:noProof/>
                <w:webHidden/>
              </w:rPr>
              <w:fldChar w:fldCharType="begin"/>
            </w:r>
            <w:r w:rsidR="009A151E">
              <w:rPr>
                <w:noProof/>
                <w:webHidden/>
              </w:rPr>
              <w:instrText xml:space="preserve"> PAGEREF _Toc228539550 \h </w:instrText>
            </w:r>
            <w:r w:rsidR="009A151E">
              <w:rPr>
                <w:noProof/>
                <w:webHidden/>
              </w:rPr>
            </w:r>
            <w:r w:rsidR="009A151E">
              <w:rPr>
                <w:noProof/>
                <w:webHidden/>
              </w:rPr>
              <w:fldChar w:fldCharType="separate"/>
            </w:r>
            <w:r w:rsidR="006879D6">
              <w:rPr>
                <w:noProof/>
                <w:webHidden/>
              </w:rPr>
              <w:t>13</w:t>
            </w:r>
            <w:r w:rsidR="009A151E">
              <w:rPr>
                <w:noProof/>
                <w:webHidden/>
              </w:rPr>
              <w:fldChar w:fldCharType="end"/>
            </w:r>
          </w:hyperlink>
        </w:p>
        <w:p w14:paraId="4B07948A" w14:textId="535EA582" w:rsidR="009A151E" w:rsidRDefault="00F159FE" w:rsidP="009A151E">
          <w:pPr>
            <w:pStyle w:val="TOC1"/>
            <w:tabs>
              <w:tab w:val="left" w:pos="480"/>
              <w:tab w:val="right" w:leader="dot" w:pos="9350"/>
            </w:tabs>
            <w:spacing w:after="240"/>
            <w:rPr>
              <w:rFonts w:asciiTheme="minorHAnsi" w:hAnsiTheme="minorHAnsi"/>
              <w:noProof/>
              <w:lang w:val="en-US"/>
            </w:rPr>
          </w:pPr>
          <w:hyperlink w:anchor="_Toc228539551" w:history="1">
            <w:r w:rsidR="009A151E" w:rsidRPr="007E3640">
              <w:rPr>
                <w:rStyle w:val="Hyperlink"/>
                <w:noProof/>
              </w:rPr>
              <w:t>5.</w:t>
            </w:r>
            <w:r w:rsidR="009A151E">
              <w:rPr>
                <w:rFonts w:asciiTheme="minorHAnsi" w:hAnsiTheme="minorHAnsi"/>
                <w:noProof/>
                <w:lang w:val="en-US"/>
              </w:rPr>
              <w:tab/>
            </w:r>
            <w:r w:rsidR="009A151E" w:rsidRPr="007E3640">
              <w:rPr>
                <w:rStyle w:val="Hyperlink"/>
                <w:noProof/>
              </w:rPr>
              <w:t>Strategic Choices and Implementation</w:t>
            </w:r>
            <w:r w:rsidR="009A151E">
              <w:rPr>
                <w:noProof/>
                <w:webHidden/>
              </w:rPr>
              <w:tab/>
            </w:r>
            <w:r w:rsidR="009A151E">
              <w:rPr>
                <w:noProof/>
                <w:webHidden/>
              </w:rPr>
              <w:fldChar w:fldCharType="begin"/>
            </w:r>
            <w:r w:rsidR="009A151E">
              <w:rPr>
                <w:noProof/>
                <w:webHidden/>
              </w:rPr>
              <w:instrText xml:space="preserve"> PAGEREF _Toc228539551 \h </w:instrText>
            </w:r>
            <w:r w:rsidR="009A151E">
              <w:rPr>
                <w:noProof/>
                <w:webHidden/>
              </w:rPr>
            </w:r>
            <w:r w:rsidR="009A151E">
              <w:rPr>
                <w:noProof/>
                <w:webHidden/>
              </w:rPr>
              <w:fldChar w:fldCharType="separate"/>
            </w:r>
            <w:r w:rsidR="006879D6">
              <w:rPr>
                <w:noProof/>
                <w:webHidden/>
              </w:rPr>
              <w:t>14</w:t>
            </w:r>
            <w:r w:rsidR="009A151E">
              <w:rPr>
                <w:noProof/>
                <w:webHidden/>
              </w:rPr>
              <w:fldChar w:fldCharType="end"/>
            </w:r>
          </w:hyperlink>
        </w:p>
        <w:p w14:paraId="7CDA4214" w14:textId="7C1B44C4" w:rsidR="009A151E" w:rsidRDefault="00F159FE" w:rsidP="009A151E">
          <w:pPr>
            <w:pStyle w:val="TOC2"/>
            <w:tabs>
              <w:tab w:val="left" w:pos="960"/>
              <w:tab w:val="right" w:leader="dot" w:pos="9350"/>
            </w:tabs>
            <w:spacing w:after="240"/>
            <w:rPr>
              <w:rFonts w:asciiTheme="minorHAnsi" w:hAnsiTheme="minorHAnsi"/>
              <w:noProof/>
              <w:lang w:val="en-US"/>
            </w:rPr>
          </w:pPr>
          <w:hyperlink w:anchor="_Toc228539552" w:history="1">
            <w:r w:rsidR="009A151E" w:rsidRPr="007E3640">
              <w:rPr>
                <w:rStyle w:val="Hyperlink"/>
                <w:noProof/>
              </w:rPr>
              <w:t>5.1.</w:t>
            </w:r>
            <w:r w:rsidR="009A151E">
              <w:rPr>
                <w:rFonts w:asciiTheme="minorHAnsi" w:hAnsiTheme="minorHAnsi"/>
                <w:noProof/>
                <w:lang w:val="en-US"/>
              </w:rPr>
              <w:tab/>
            </w:r>
            <w:r w:rsidR="009A151E" w:rsidRPr="007E3640">
              <w:rPr>
                <w:rStyle w:val="Hyperlink"/>
                <w:noProof/>
              </w:rPr>
              <w:t>Business- and Corporate-Level Strategic Choices</w:t>
            </w:r>
            <w:r w:rsidR="009A151E">
              <w:rPr>
                <w:noProof/>
                <w:webHidden/>
              </w:rPr>
              <w:tab/>
            </w:r>
            <w:r w:rsidR="009A151E">
              <w:rPr>
                <w:noProof/>
                <w:webHidden/>
              </w:rPr>
              <w:fldChar w:fldCharType="begin"/>
            </w:r>
            <w:r w:rsidR="009A151E">
              <w:rPr>
                <w:noProof/>
                <w:webHidden/>
              </w:rPr>
              <w:instrText xml:space="preserve"> PAGEREF _Toc228539552 \h </w:instrText>
            </w:r>
            <w:r w:rsidR="009A151E">
              <w:rPr>
                <w:noProof/>
                <w:webHidden/>
              </w:rPr>
            </w:r>
            <w:r w:rsidR="009A151E">
              <w:rPr>
                <w:noProof/>
                <w:webHidden/>
              </w:rPr>
              <w:fldChar w:fldCharType="separate"/>
            </w:r>
            <w:r w:rsidR="006879D6">
              <w:rPr>
                <w:noProof/>
                <w:webHidden/>
              </w:rPr>
              <w:t>14</w:t>
            </w:r>
            <w:r w:rsidR="009A151E">
              <w:rPr>
                <w:noProof/>
                <w:webHidden/>
              </w:rPr>
              <w:fldChar w:fldCharType="end"/>
            </w:r>
          </w:hyperlink>
        </w:p>
        <w:p w14:paraId="5C25F233" w14:textId="7F370A9C" w:rsidR="009A151E" w:rsidRDefault="00F159FE" w:rsidP="009A151E">
          <w:pPr>
            <w:pStyle w:val="TOC2"/>
            <w:tabs>
              <w:tab w:val="left" w:pos="960"/>
              <w:tab w:val="right" w:leader="dot" w:pos="9350"/>
            </w:tabs>
            <w:spacing w:after="240"/>
            <w:rPr>
              <w:rFonts w:asciiTheme="minorHAnsi" w:hAnsiTheme="minorHAnsi"/>
              <w:noProof/>
              <w:lang w:val="en-US"/>
            </w:rPr>
          </w:pPr>
          <w:hyperlink w:anchor="_Toc228539553" w:history="1">
            <w:r w:rsidR="009A151E" w:rsidRPr="007E3640">
              <w:rPr>
                <w:rStyle w:val="Hyperlink"/>
                <w:noProof/>
              </w:rPr>
              <w:t>5.2.</w:t>
            </w:r>
            <w:r w:rsidR="009A151E">
              <w:rPr>
                <w:rFonts w:asciiTheme="minorHAnsi" w:hAnsiTheme="minorHAnsi"/>
                <w:noProof/>
                <w:lang w:val="en-US"/>
              </w:rPr>
              <w:tab/>
            </w:r>
            <w:r w:rsidR="009A151E" w:rsidRPr="007E3640">
              <w:rPr>
                <w:rStyle w:val="Hyperlink"/>
                <w:noProof/>
              </w:rPr>
              <w:t>Change Management and Strategic Implementation</w:t>
            </w:r>
            <w:r w:rsidR="009A151E">
              <w:rPr>
                <w:noProof/>
                <w:webHidden/>
              </w:rPr>
              <w:tab/>
            </w:r>
            <w:r w:rsidR="009A151E">
              <w:rPr>
                <w:noProof/>
                <w:webHidden/>
              </w:rPr>
              <w:fldChar w:fldCharType="begin"/>
            </w:r>
            <w:r w:rsidR="009A151E">
              <w:rPr>
                <w:noProof/>
                <w:webHidden/>
              </w:rPr>
              <w:instrText xml:space="preserve"> PAGEREF _Toc228539553 \h </w:instrText>
            </w:r>
            <w:r w:rsidR="009A151E">
              <w:rPr>
                <w:noProof/>
                <w:webHidden/>
              </w:rPr>
            </w:r>
            <w:r w:rsidR="009A151E">
              <w:rPr>
                <w:noProof/>
                <w:webHidden/>
              </w:rPr>
              <w:fldChar w:fldCharType="separate"/>
            </w:r>
            <w:r w:rsidR="006879D6">
              <w:rPr>
                <w:noProof/>
                <w:webHidden/>
              </w:rPr>
              <w:t>15</w:t>
            </w:r>
            <w:r w:rsidR="009A151E">
              <w:rPr>
                <w:noProof/>
                <w:webHidden/>
              </w:rPr>
              <w:fldChar w:fldCharType="end"/>
            </w:r>
          </w:hyperlink>
        </w:p>
        <w:p w14:paraId="36C96EF6" w14:textId="3EEB8D0E" w:rsidR="009A151E" w:rsidRDefault="00F159FE" w:rsidP="009A151E">
          <w:pPr>
            <w:pStyle w:val="TOC1"/>
            <w:tabs>
              <w:tab w:val="left" w:pos="480"/>
              <w:tab w:val="right" w:leader="dot" w:pos="9350"/>
            </w:tabs>
            <w:spacing w:after="240"/>
            <w:rPr>
              <w:rFonts w:asciiTheme="minorHAnsi" w:hAnsiTheme="minorHAnsi"/>
              <w:noProof/>
              <w:lang w:val="en-US"/>
            </w:rPr>
          </w:pPr>
          <w:hyperlink w:anchor="_Toc228539554" w:history="1">
            <w:r w:rsidR="009A151E" w:rsidRPr="007E3640">
              <w:rPr>
                <w:rStyle w:val="Hyperlink"/>
                <w:noProof/>
              </w:rPr>
              <w:t>6.</w:t>
            </w:r>
            <w:r w:rsidR="009A151E">
              <w:rPr>
                <w:rFonts w:asciiTheme="minorHAnsi" w:hAnsiTheme="minorHAnsi"/>
                <w:noProof/>
                <w:lang w:val="en-US"/>
              </w:rPr>
              <w:tab/>
            </w:r>
            <w:r w:rsidR="009A151E" w:rsidRPr="007E3640">
              <w:rPr>
                <w:rStyle w:val="Hyperlink"/>
                <w:noProof/>
              </w:rPr>
              <w:t>Strategic Evaluation and Recommendations</w:t>
            </w:r>
            <w:r w:rsidR="009A151E">
              <w:rPr>
                <w:noProof/>
                <w:webHidden/>
              </w:rPr>
              <w:tab/>
            </w:r>
            <w:r w:rsidR="009A151E">
              <w:rPr>
                <w:noProof/>
                <w:webHidden/>
              </w:rPr>
              <w:fldChar w:fldCharType="begin"/>
            </w:r>
            <w:r w:rsidR="009A151E">
              <w:rPr>
                <w:noProof/>
                <w:webHidden/>
              </w:rPr>
              <w:instrText xml:space="preserve"> PAGEREF _Toc228539554 \h </w:instrText>
            </w:r>
            <w:r w:rsidR="009A151E">
              <w:rPr>
                <w:noProof/>
                <w:webHidden/>
              </w:rPr>
            </w:r>
            <w:r w:rsidR="009A151E">
              <w:rPr>
                <w:noProof/>
                <w:webHidden/>
              </w:rPr>
              <w:fldChar w:fldCharType="separate"/>
            </w:r>
            <w:r w:rsidR="006879D6">
              <w:rPr>
                <w:noProof/>
                <w:webHidden/>
              </w:rPr>
              <w:t>16</w:t>
            </w:r>
            <w:r w:rsidR="009A151E">
              <w:rPr>
                <w:noProof/>
                <w:webHidden/>
              </w:rPr>
              <w:fldChar w:fldCharType="end"/>
            </w:r>
          </w:hyperlink>
        </w:p>
        <w:p w14:paraId="68B2A470" w14:textId="3AEC0014" w:rsidR="009A151E" w:rsidRDefault="00F159FE" w:rsidP="009A151E">
          <w:pPr>
            <w:pStyle w:val="TOC2"/>
            <w:tabs>
              <w:tab w:val="left" w:pos="960"/>
              <w:tab w:val="right" w:leader="dot" w:pos="9350"/>
            </w:tabs>
            <w:spacing w:after="240"/>
            <w:rPr>
              <w:rFonts w:asciiTheme="minorHAnsi" w:hAnsiTheme="minorHAnsi"/>
              <w:noProof/>
              <w:lang w:val="en-US"/>
            </w:rPr>
          </w:pPr>
          <w:hyperlink w:anchor="_Toc228539555" w:history="1">
            <w:r w:rsidR="009A151E" w:rsidRPr="007E3640">
              <w:rPr>
                <w:rStyle w:val="Hyperlink"/>
                <w:noProof/>
              </w:rPr>
              <w:t>6.1.</w:t>
            </w:r>
            <w:r w:rsidR="009A151E">
              <w:rPr>
                <w:rFonts w:asciiTheme="minorHAnsi" w:hAnsiTheme="minorHAnsi"/>
                <w:noProof/>
                <w:lang w:val="en-US"/>
              </w:rPr>
              <w:tab/>
            </w:r>
            <w:r w:rsidR="009A151E" w:rsidRPr="007E3640">
              <w:rPr>
                <w:rStyle w:val="Hyperlink"/>
                <w:noProof/>
              </w:rPr>
              <w:t>Strategic Evaluation Using SWOT</w:t>
            </w:r>
            <w:r w:rsidR="009A151E">
              <w:rPr>
                <w:noProof/>
                <w:webHidden/>
              </w:rPr>
              <w:tab/>
            </w:r>
            <w:r w:rsidR="009A151E">
              <w:rPr>
                <w:noProof/>
                <w:webHidden/>
              </w:rPr>
              <w:fldChar w:fldCharType="begin"/>
            </w:r>
            <w:r w:rsidR="009A151E">
              <w:rPr>
                <w:noProof/>
                <w:webHidden/>
              </w:rPr>
              <w:instrText xml:space="preserve"> PAGEREF _Toc228539555 \h </w:instrText>
            </w:r>
            <w:r w:rsidR="009A151E">
              <w:rPr>
                <w:noProof/>
                <w:webHidden/>
              </w:rPr>
            </w:r>
            <w:r w:rsidR="009A151E">
              <w:rPr>
                <w:noProof/>
                <w:webHidden/>
              </w:rPr>
              <w:fldChar w:fldCharType="separate"/>
            </w:r>
            <w:r w:rsidR="006879D6">
              <w:rPr>
                <w:noProof/>
                <w:webHidden/>
              </w:rPr>
              <w:t>16</w:t>
            </w:r>
            <w:r w:rsidR="009A151E">
              <w:rPr>
                <w:noProof/>
                <w:webHidden/>
              </w:rPr>
              <w:fldChar w:fldCharType="end"/>
            </w:r>
          </w:hyperlink>
        </w:p>
        <w:p w14:paraId="285B4B0F" w14:textId="70A85863" w:rsidR="009A151E" w:rsidRDefault="00F159FE" w:rsidP="009A151E">
          <w:pPr>
            <w:pStyle w:val="TOC2"/>
            <w:tabs>
              <w:tab w:val="left" w:pos="960"/>
              <w:tab w:val="right" w:leader="dot" w:pos="9350"/>
            </w:tabs>
            <w:spacing w:after="240"/>
            <w:rPr>
              <w:rFonts w:asciiTheme="minorHAnsi" w:hAnsiTheme="minorHAnsi"/>
              <w:noProof/>
              <w:lang w:val="en-US"/>
            </w:rPr>
          </w:pPr>
          <w:hyperlink w:anchor="_Toc228539556" w:history="1">
            <w:r w:rsidR="009A151E" w:rsidRPr="007E3640">
              <w:rPr>
                <w:rStyle w:val="Hyperlink"/>
                <w:noProof/>
              </w:rPr>
              <w:t>6.2.</w:t>
            </w:r>
            <w:r w:rsidR="009A151E">
              <w:rPr>
                <w:rFonts w:asciiTheme="minorHAnsi" w:hAnsiTheme="minorHAnsi"/>
                <w:noProof/>
                <w:lang w:val="en-US"/>
              </w:rPr>
              <w:tab/>
            </w:r>
            <w:r w:rsidR="009A151E" w:rsidRPr="007E3640">
              <w:rPr>
                <w:rStyle w:val="Hyperlink"/>
                <w:noProof/>
              </w:rPr>
              <w:t>Strategic Evaluation Using Ansoff’s Matrix</w:t>
            </w:r>
            <w:r w:rsidR="009A151E">
              <w:rPr>
                <w:noProof/>
                <w:webHidden/>
              </w:rPr>
              <w:tab/>
            </w:r>
            <w:r w:rsidR="009A151E">
              <w:rPr>
                <w:noProof/>
                <w:webHidden/>
              </w:rPr>
              <w:fldChar w:fldCharType="begin"/>
            </w:r>
            <w:r w:rsidR="009A151E">
              <w:rPr>
                <w:noProof/>
                <w:webHidden/>
              </w:rPr>
              <w:instrText xml:space="preserve"> PAGEREF _Toc228539556 \h </w:instrText>
            </w:r>
            <w:r w:rsidR="009A151E">
              <w:rPr>
                <w:noProof/>
                <w:webHidden/>
              </w:rPr>
            </w:r>
            <w:r w:rsidR="009A151E">
              <w:rPr>
                <w:noProof/>
                <w:webHidden/>
              </w:rPr>
              <w:fldChar w:fldCharType="separate"/>
            </w:r>
            <w:r w:rsidR="006879D6">
              <w:rPr>
                <w:noProof/>
                <w:webHidden/>
              </w:rPr>
              <w:t>17</w:t>
            </w:r>
            <w:r w:rsidR="009A151E">
              <w:rPr>
                <w:noProof/>
                <w:webHidden/>
              </w:rPr>
              <w:fldChar w:fldCharType="end"/>
            </w:r>
          </w:hyperlink>
        </w:p>
        <w:p w14:paraId="515B4747" w14:textId="2DF652E5" w:rsidR="009A151E" w:rsidRDefault="00F159FE" w:rsidP="009A151E">
          <w:pPr>
            <w:pStyle w:val="TOC2"/>
            <w:tabs>
              <w:tab w:val="left" w:pos="960"/>
              <w:tab w:val="right" w:leader="dot" w:pos="9350"/>
            </w:tabs>
            <w:spacing w:after="240"/>
            <w:rPr>
              <w:rFonts w:asciiTheme="minorHAnsi" w:hAnsiTheme="minorHAnsi"/>
              <w:noProof/>
              <w:lang w:val="en-US"/>
            </w:rPr>
          </w:pPr>
          <w:hyperlink w:anchor="_Toc228539557" w:history="1">
            <w:r w:rsidR="009A151E" w:rsidRPr="007E3640">
              <w:rPr>
                <w:rStyle w:val="Hyperlink"/>
                <w:noProof/>
              </w:rPr>
              <w:t>6.3.</w:t>
            </w:r>
            <w:r w:rsidR="009A151E">
              <w:rPr>
                <w:rFonts w:asciiTheme="minorHAnsi" w:hAnsiTheme="minorHAnsi"/>
                <w:noProof/>
                <w:lang w:val="en-US"/>
              </w:rPr>
              <w:tab/>
            </w:r>
            <w:r w:rsidR="009A151E" w:rsidRPr="007E3640">
              <w:rPr>
                <w:rStyle w:val="Hyperlink"/>
                <w:noProof/>
              </w:rPr>
              <w:t>Recommendations to Enhance Competitive Advantage</w:t>
            </w:r>
            <w:r w:rsidR="009A151E">
              <w:rPr>
                <w:noProof/>
                <w:webHidden/>
              </w:rPr>
              <w:tab/>
            </w:r>
            <w:r w:rsidR="009A151E">
              <w:rPr>
                <w:noProof/>
                <w:webHidden/>
              </w:rPr>
              <w:fldChar w:fldCharType="begin"/>
            </w:r>
            <w:r w:rsidR="009A151E">
              <w:rPr>
                <w:noProof/>
                <w:webHidden/>
              </w:rPr>
              <w:instrText xml:space="preserve"> PAGEREF _Toc228539557 \h </w:instrText>
            </w:r>
            <w:r w:rsidR="009A151E">
              <w:rPr>
                <w:noProof/>
                <w:webHidden/>
              </w:rPr>
            </w:r>
            <w:r w:rsidR="009A151E">
              <w:rPr>
                <w:noProof/>
                <w:webHidden/>
              </w:rPr>
              <w:fldChar w:fldCharType="separate"/>
            </w:r>
            <w:r w:rsidR="006879D6">
              <w:rPr>
                <w:noProof/>
                <w:webHidden/>
              </w:rPr>
              <w:t>17</w:t>
            </w:r>
            <w:r w:rsidR="009A151E">
              <w:rPr>
                <w:noProof/>
                <w:webHidden/>
              </w:rPr>
              <w:fldChar w:fldCharType="end"/>
            </w:r>
          </w:hyperlink>
        </w:p>
        <w:p w14:paraId="35CA5DEA" w14:textId="01F9F2DB" w:rsidR="009A151E" w:rsidRDefault="00F159FE" w:rsidP="009A151E">
          <w:pPr>
            <w:pStyle w:val="TOC1"/>
            <w:tabs>
              <w:tab w:val="left" w:pos="480"/>
              <w:tab w:val="right" w:leader="dot" w:pos="9350"/>
            </w:tabs>
            <w:spacing w:after="240"/>
            <w:rPr>
              <w:rFonts w:asciiTheme="minorHAnsi" w:hAnsiTheme="minorHAnsi"/>
              <w:noProof/>
              <w:lang w:val="en-US"/>
            </w:rPr>
          </w:pPr>
          <w:hyperlink w:anchor="_Toc228539558" w:history="1">
            <w:r w:rsidR="009A151E" w:rsidRPr="007E3640">
              <w:rPr>
                <w:rStyle w:val="Hyperlink"/>
                <w:noProof/>
              </w:rPr>
              <w:t>7.</w:t>
            </w:r>
            <w:r w:rsidR="009A151E">
              <w:rPr>
                <w:rFonts w:asciiTheme="minorHAnsi" w:hAnsiTheme="minorHAnsi"/>
                <w:noProof/>
                <w:lang w:val="en-US"/>
              </w:rPr>
              <w:tab/>
            </w:r>
            <w:r w:rsidR="009A151E" w:rsidRPr="007E3640">
              <w:rPr>
                <w:rStyle w:val="Hyperlink"/>
                <w:noProof/>
              </w:rPr>
              <w:t>Reflective Account Using Gibbs’ Reflective Cycle</w:t>
            </w:r>
            <w:r w:rsidR="009A151E">
              <w:rPr>
                <w:noProof/>
                <w:webHidden/>
              </w:rPr>
              <w:tab/>
            </w:r>
            <w:r w:rsidR="009A151E">
              <w:rPr>
                <w:noProof/>
                <w:webHidden/>
              </w:rPr>
              <w:fldChar w:fldCharType="begin"/>
            </w:r>
            <w:r w:rsidR="009A151E">
              <w:rPr>
                <w:noProof/>
                <w:webHidden/>
              </w:rPr>
              <w:instrText xml:space="preserve"> PAGEREF _Toc228539558 \h </w:instrText>
            </w:r>
            <w:r w:rsidR="009A151E">
              <w:rPr>
                <w:noProof/>
                <w:webHidden/>
              </w:rPr>
            </w:r>
            <w:r w:rsidR="009A151E">
              <w:rPr>
                <w:noProof/>
                <w:webHidden/>
              </w:rPr>
              <w:fldChar w:fldCharType="separate"/>
            </w:r>
            <w:r w:rsidR="006879D6">
              <w:rPr>
                <w:noProof/>
                <w:webHidden/>
              </w:rPr>
              <w:t>18</w:t>
            </w:r>
            <w:r w:rsidR="009A151E">
              <w:rPr>
                <w:noProof/>
                <w:webHidden/>
              </w:rPr>
              <w:fldChar w:fldCharType="end"/>
            </w:r>
          </w:hyperlink>
        </w:p>
        <w:p w14:paraId="2F819BCC" w14:textId="254379BF" w:rsidR="009A151E" w:rsidRDefault="00F159FE" w:rsidP="009A151E">
          <w:pPr>
            <w:pStyle w:val="TOC2"/>
            <w:tabs>
              <w:tab w:val="left" w:pos="960"/>
              <w:tab w:val="right" w:leader="dot" w:pos="9350"/>
            </w:tabs>
            <w:spacing w:after="240"/>
            <w:rPr>
              <w:rFonts w:asciiTheme="minorHAnsi" w:hAnsiTheme="minorHAnsi"/>
              <w:noProof/>
              <w:lang w:val="en-US"/>
            </w:rPr>
          </w:pPr>
          <w:hyperlink w:anchor="_Toc228539559" w:history="1">
            <w:r w:rsidR="009A151E" w:rsidRPr="007E3640">
              <w:rPr>
                <w:rStyle w:val="Hyperlink"/>
                <w:noProof/>
              </w:rPr>
              <w:t>7.1.</w:t>
            </w:r>
            <w:r w:rsidR="009A151E">
              <w:rPr>
                <w:rFonts w:asciiTheme="minorHAnsi" w:hAnsiTheme="minorHAnsi"/>
                <w:noProof/>
                <w:lang w:val="en-US"/>
              </w:rPr>
              <w:tab/>
            </w:r>
            <w:r w:rsidR="009A151E" w:rsidRPr="007E3640">
              <w:rPr>
                <w:rStyle w:val="Hyperlink"/>
                <w:noProof/>
              </w:rPr>
              <w:t>Description</w:t>
            </w:r>
            <w:r w:rsidR="009A151E">
              <w:rPr>
                <w:noProof/>
                <w:webHidden/>
              </w:rPr>
              <w:tab/>
            </w:r>
            <w:r w:rsidR="009A151E">
              <w:rPr>
                <w:noProof/>
                <w:webHidden/>
              </w:rPr>
              <w:fldChar w:fldCharType="begin"/>
            </w:r>
            <w:r w:rsidR="009A151E">
              <w:rPr>
                <w:noProof/>
                <w:webHidden/>
              </w:rPr>
              <w:instrText xml:space="preserve"> PAGEREF _Toc228539559 \h </w:instrText>
            </w:r>
            <w:r w:rsidR="009A151E">
              <w:rPr>
                <w:noProof/>
                <w:webHidden/>
              </w:rPr>
            </w:r>
            <w:r w:rsidR="009A151E">
              <w:rPr>
                <w:noProof/>
                <w:webHidden/>
              </w:rPr>
              <w:fldChar w:fldCharType="separate"/>
            </w:r>
            <w:r w:rsidR="006879D6">
              <w:rPr>
                <w:noProof/>
                <w:webHidden/>
              </w:rPr>
              <w:t>18</w:t>
            </w:r>
            <w:r w:rsidR="009A151E">
              <w:rPr>
                <w:noProof/>
                <w:webHidden/>
              </w:rPr>
              <w:fldChar w:fldCharType="end"/>
            </w:r>
          </w:hyperlink>
        </w:p>
        <w:p w14:paraId="1A42A705" w14:textId="50B5CE59" w:rsidR="009A151E" w:rsidRDefault="00F159FE" w:rsidP="009A151E">
          <w:pPr>
            <w:pStyle w:val="TOC2"/>
            <w:tabs>
              <w:tab w:val="left" w:pos="960"/>
              <w:tab w:val="right" w:leader="dot" w:pos="9350"/>
            </w:tabs>
            <w:spacing w:after="240"/>
            <w:rPr>
              <w:rFonts w:asciiTheme="minorHAnsi" w:hAnsiTheme="minorHAnsi"/>
              <w:noProof/>
              <w:lang w:val="en-US"/>
            </w:rPr>
          </w:pPr>
          <w:hyperlink w:anchor="_Toc228539560" w:history="1">
            <w:r w:rsidR="009A151E" w:rsidRPr="007E3640">
              <w:rPr>
                <w:rStyle w:val="Hyperlink"/>
                <w:noProof/>
              </w:rPr>
              <w:t>7.2.</w:t>
            </w:r>
            <w:r w:rsidR="009A151E">
              <w:rPr>
                <w:rFonts w:asciiTheme="minorHAnsi" w:hAnsiTheme="minorHAnsi"/>
                <w:noProof/>
                <w:lang w:val="en-US"/>
              </w:rPr>
              <w:tab/>
            </w:r>
            <w:r w:rsidR="009A151E" w:rsidRPr="007E3640">
              <w:rPr>
                <w:rStyle w:val="Hyperlink"/>
                <w:noProof/>
              </w:rPr>
              <w:t>Feelings</w:t>
            </w:r>
            <w:r w:rsidR="009A151E">
              <w:rPr>
                <w:noProof/>
                <w:webHidden/>
              </w:rPr>
              <w:tab/>
            </w:r>
            <w:r w:rsidR="009A151E">
              <w:rPr>
                <w:noProof/>
                <w:webHidden/>
              </w:rPr>
              <w:fldChar w:fldCharType="begin"/>
            </w:r>
            <w:r w:rsidR="009A151E">
              <w:rPr>
                <w:noProof/>
                <w:webHidden/>
              </w:rPr>
              <w:instrText xml:space="preserve"> PAGEREF _Toc228539560 \h </w:instrText>
            </w:r>
            <w:r w:rsidR="009A151E">
              <w:rPr>
                <w:noProof/>
                <w:webHidden/>
              </w:rPr>
            </w:r>
            <w:r w:rsidR="009A151E">
              <w:rPr>
                <w:noProof/>
                <w:webHidden/>
              </w:rPr>
              <w:fldChar w:fldCharType="separate"/>
            </w:r>
            <w:r w:rsidR="006879D6">
              <w:rPr>
                <w:noProof/>
                <w:webHidden/>
              </w:rPr>
              <w:t>19</w:t>
            </w:r>
            <w:r w:rsidR="009A151E">
              <w:rPr>
                <w:noProof/>
                <w:webHidden/>
              </w:rPr>
              <w:fldChar w:fldCharType="end"/>
            </w:r>
          </w:hyperlink>
        </w:p>
        <w:p w14:paraId="0A0E305A" w14:textId="498F1939" w:rsidR="009A151E" w:rsidRDefault="00F159FE" w:rsidP="009A151E">
          <w:pPr>
            <w:pStyle w:val="TOC2"/>
            <w:tabs>
              <w:tab w:val="left" w:pos="960"/>
              <w:tab w:val="right" w:leader="dot" w:pos="9350"/>
            </w:tabs>
            <w:spacing w:after="240"/>
            <w:rPr>
              <w:rFonts w:asciiTheme="minorHAnsi" w:hAnsiTheme="minorHAnsi"/>
              <w:noProof/>
              <w:lang w:val="en-US"/>
            </w:rPr>
          </w:pPr>
          <w:hyperlink w:anchor="_Toc228539561" w:history="1">
            <w:r w:rsidR="009A151E" w:rsidRPr="007E3640">
              <w:rPr>
                <w:rStyle w:val="Hyperlink"/>
                <w:noProof/>
              </w:rPr>
              <w:t>7.3.</w:t>
            </w:r>
            <w:r w:rsidR="009A151E">
              <w:rPr>
                <w:rFonts w:asciiTheme="minorHAnsi" w:hAnsiTheme="minorHAnsi"/>
                <w:noProof/>
                <w:lang w:val="en-US"/>
              </w:rPr>
              <w:tab/>
            </w:r>
            <w:r w:rsidR="009A151E" w:rsidRPr="007E3640">
              <w:rPr>
                <w:rStyle w:val="Hyperlink"/>
                <w:noProof/>
              </w:rPr>
              <w:t>Evaluation</w:t>
            </w:r>
            <w:r w:rsidR="009A151E">
              <w:rPr>
                <w:noProof/>
                <w:webHidden/>
              </w:rPr>
              <w:tab/>
            </w:r>
            <w:r w:rsidR="009A151E">
              <w:rPr>
                <w:noProof/>
                <w:webHidden/>
              </w:rPr>
              <w:fldChar w:fldCharType="begin"/>
            </w:r>
            <w:r w:rsidR="009A151E">
              <w:rPr>
                <w:noProof/>
                <w:webHidden/>
              </w:rPr>
              <w:instrText xml:space="preserve"> PAGEREF _Toc228539561 \h </w:instrText>
            </w:r>
            <w:r w:rsidR="009A151E">
              <w:rPr>
                <w:noProof/>
                <w:webHidden/>
              </w:rPr>
            </w:r>
            <w:r w:rsidR="009A151E">
              <w:rPr>
                <w:noProof/>
                <w:webHidden/>
              </w:rPr>
              <w:fldChar w:fldCharType="separate"/>
            </w:r>
            <w:r w:rsidR="006879D6">
              <w:rPr>
                <w:noProof/>
                <w:webHidden/>
              </w:rPr>
              <w:t>19</w:t>
            </w:r>
            <w:r w:rsidR="009A151E">
              <w:rPr>
                <w:noProof/>
                <w:webHidden/>
              </w:rPr>
              <w:fldChar w:fldCharType="end"/>
            </w:r>
          </w:hyperlink>
        </w:p>
        <w:p w14:paraId="5D61B5C0" w14:textId="23E5D88E" w:rsidR="009A151E" w:rsidRDefault="00F159FE" w:rsidP="009A151E">
          <w:pPr>
            <w:pStyle w:val="TOC2"/>
            <w:tabs>
              <w:tab w:val="left" w:pos="960"/>
              <w:tab w:val="right" w:leader="dot" w:pos="9350"/>
            </w:tabs>
            <w:spacing w:after="240"/>
            <w:rPr>
              <w:rFonts w:asciiTheme="minorHAnsi" w:hAnsiTheme="minorHAnsi"/>
              <w:noProof/>
              <w:lang w:val="en-US"/>
            </w:rPr>
          </w:pPr>
          <w:hyperlink w:anchor="_Toc228539562" w:history="1">
            <w:r w:rsidR="009A151E" w:rsidRPr="007E3640">
              <w:rPr>
                <w:rStyle w:val="Hyperlink"/>
                <w:noProof/>
              </w:rPr>
              <w:t>7.4.</w:t>
            </w:r>
            <w:r w:rsidR="009A151E">
              <w:rPr>
                <w:rFonts w:asciiTheme="minorHAnsi" w:hAnsiTheme="minorHAnsi"/>
                <w:noProof/>
                <w:lang w:val="en-US"/>
              </w:rPr>
              <w:tab/>
            </w:r>
            <w:r w:rsidR="009A151E" w:rsidRPr="007E3640">
              <w:rPr>
                <w:rStyle w:val="Hyperlink"/>
                <w:noProof/>
              </w:rPr>
              <w:t>Analysis</w:t>
            </w:r>
            <w:r w:rsidR="009A151E">
              <w:rPr>
                <w:noProof/>
                <w:webHidden/>
              </w:rPr>
              <w:tab/>
            </w:r>
            <w:r w:rsidR="009A151E">
              <w:rPr>
                <w:noProof/>
                <w:webHidden/>
              </w:rPr>
              <w:fldChar w:fldCharType="begin"/>
            </w:r>
            <w:r w:rsidR="009A151E">
              <w:rPr>
                <w:noProof/>
                <w:webHidden/>
              </w:rPr>
              <w:instrText xml:space="preserve"> PAGEREF _Toc228539562 \h </w:instrText>
            </w:r>
            <w:r w:rsidR="009A151E">
              <w:rPr>
                <w:noProof/>
                <w:webHidden/>
              </w:rPr>
            </w:r>
            <w:r w:rsidR="009A151E">
              <w:rPr>
                <w:noProof/>
                <w:webHidden/>
              </w:rPr>
              <w:fldChar w:fldCharType="separate"/>
            </w:r>
            <w:r w:rsidR="006879D6">
              <w:rPr>
                <w:noProof/>
                <w:webHidden/>
              </w:rPr>
              <w:t>20</w:t>
            </w:r>
            <w:r w:rsidR="009A151E">
              <w:rPr>
                <w:noProof/>
                <w:webHidden/>
              </w:rPr>
              <w:fldChar w:fldCharType="end"/>
            </w:r>
          </w:hyperlink>
        </w:p>
        <w:p w14:paraId="0886646A" w14:textId="7276FBBD" w:rsidR="009A151E" w:rsidRDefault="00F159FE" w:rsidP="009A151E">
          <w:pPr>
            <w:pStyle w:val="TOC2"/>
            <w:tabs>
              <w:tab w:val="left" w:pos="960"/>
              <w:tab w:val="right" w:leader="dot" w:pos="9350"/>
            </w:tabs>
            <w:spacing w:after="240"/>
            <w:rPr>
              <w:rFonts w:asciiTheme="minorHAnsi" w:hAnsiTheme="minorHAnsi"/>
              <w:noProof/>
              <w:lang w:val="en-US"/>
            </w:rPr>
          </w:pPr>
          <w:hyperlink w:anchor="_Toc228539563" w:history="1">
            <w:r w:rsidR="009A151E" w:rsidRPr="007E3640">
              <w:rPr>
                <w:rStyle w:val="Hyperlink"/>
                <w:noProof/>
              </w:rPr>
              <w:t>7.5.</w:t>
            </w:r>
            <w:r w:rsidR="009A151E">
              <w:rPr>
                <w:rFonts w:asciiTheme="minorHAnsi" w:hAnsiTheme="minorHAnsi"/>
                <w:noProof/>
                <w:lang w:val="en-US"/>
              </w:rPr>
              <w:tab/>
            </w:r>
            <w:r w:rsidR="009A151E" w:rsidRPr="007E3640">
              <w:rPr>
                <w:rStyle w:val="Hyperlink"/>
                <w:noProof/>
              </w:rPr>
              <w:t>Conclusion</w:t>
            </w:r>
            <w:r w:rsidR="009A151E">
              <w:rPr>
                <w:noProof/>
                <w:webHidden/>
              </w:rPr>
              <w:tab/>
            </w:r>
            <w:r w:rsidR="009A151E">
              <w:rPr>
                <w:noProof/>
                <w:webHidden/>
              </w:rPr>
              <w:fldChar w:fldCharType="begin"/>
            </w:r>
            <w:r w:rsidR="009A151E">
              <w:rPr>
                <w:noProof/>
                <w:webHidden/>
              </w:rPr>
              <w:instrText xml:space="preserve"> PAGEREF _Toc228539563 \h </w:instrText>
            </w:r>
            <w:r w:rsidR="009A151E">
              <w:rPr>
                <w:noProof/>
                <w:webHidden/>
              </w:rPr>
            </w:r>
            <w:r w:rsidR="009A151E">
              <w:rPr>
                <w:noProof/>
                <w:webHidden/>
              </w:rPr>
              <w:fldChar w:fldCharType="separate"/>
            </w:r>
            <w:r w:rsidR="006879D6">
              <w:rPr>
                <w:noProof/>
                <w:webHidden/>
              </w:rPr>
              <w:t>21</w:t>
            </w:r>
            <w:r w:rsidR="009A151E">
              <w:rPr>
                <w:noProof/>
                <w:webHidden/>
              </w:rPr>
              <w:fldChar w:fldCharType="end"/>
            </w:r>
          </w:hyperlink>
        </w:p>
        <w:p w14:paraId="26C6EBEF" w14:textId="74A2721D" w:rsidR="009A151E" w:rsidRDefault="00F159FE" w:rsidP="009A151E">
          <w:pPr>
            <w:pStyle w:val="TOC2"/>
            <w:tabs>
              <w:tab w:val="left" w:pos="960"/>
              <w:tab w:val="right" w:leader="dot" w:pos="9350"/>
            </w:tabs>
            <w:spacing w:after="240"/>
            <w:rPr>
              <w:rFonts w:asciiTheme="minorHAnsi" w:hAnsiTheme="minorHAnsi"/>
              <w:noProof/>
              <w:lang w:val="en-US"/>
            </w:rPr>
          </w:pPr>
          <w:hyperlink w:anchor="_Toc228539564" w:history="1">
            <w:r w:rsidR="009A151E" w:rsidRPr="007E3640">
              <w:rPr>
                <w:rStyle w:val="Hyperlink"/>
                <w:noProof/>
              </w:rPr>
              <w:t>7.6.</w:t>
            </w:r>
            <w:r w:rsidR="009A151E">
              <w:rPr>
                <w:rFonts w:asciiTheme="minorHAnsi" w:hAnsiTheme="minorHAnsi"/>
                <w:noProof/>
                <w:lang w:val="en-US"/>
              </w:rPr>
              <w:tab/>
            </w:r>
            <w:r w:rsidR="009A151E" w:rsidRPr="007E3640">
              <w:rPr>
                <w:rStyle w:val="Hyperlink"/>
                <w:noProof/>
              </w:rPr>
              <w:t>Action Plan</w:t>
            </w:r>
            <w:r w:rsidR="009A151E">
              <w:rPr>
                <w:noProof/>
                <w:webHidden/>
              </w:rPr>
              <w:tab/>
            </w:r>
            <w:r w:rsidR="009A151E">
              <w:rPr>
                <w:noProof/>
                <w:webHidden/>
              </w:rPr>
              <w:fldChar w:fldCharType="begin"/>
            </w:r>
            <w:r w:rsidR="009A151E">
              <w:rPr>
                <w:noProof/>
                <w:webHidden/>
              </w:rPr>
              <w:instrText xml:space="preserve"> PAGEREF _Toc228539564 \h </w:instrText>
            </w:r>
            <w:r w:rsidR="009A151E">
              <w:rPr>
                <w:noProof/>
                <w:webHidden/>
              </w:rPr>
            </w:r>
            <w:r w:rsidR="009A151E">
              <w:rPr>
                <w:noProof/>
                <w:webHidden/>
              </w:rPr>
              <w:fldChar w:fldCharType="separate"/>
            </w:r>
            <w:r w:rsidR="006879D6">
              <w:rPr>
                <w:noProof/>
                <w:webHidden/>
              </w:rPr>
              <w:t>21</w:t>
            </w:r>
            <w:r w:rsidR="009A151E">
              <w:rPr>
                <w:noProof/>
                <w:webHidden/>
              </w:rPr>
              <w:fldChar w:fldCharType="end"/>
            </w:r>
          </w:hyperlink>
        </w:p>
        <w:p w14:paraId="3855F6DB" w14:textId="4F99424E" w:rsidR="009A151E" w:rsidRDefault="00F159FE" w:rsidP="009A151E">
          <w:pPr>
            <w:pStyle w:val="TOC1"/>
            <w:tabs>
              <w:tab w:val="right" w:leader="dot" w:pos="9350"/>
            </w:tabs>
            <w:spacing w:after="240"/>
            <w:rPr>
              <w:rFonts w:asciiTheme="minorHAnsi" w:hAnsiTheme="minorHAnsi"/>
              <w:noProof/>
              <w:lang w:val="en-US"/>
            </w:rPr>
          </w:pPr>
          <w:hyperlink w:anchor="_Toc228539565" w:history="1">
            <w:r w:rsidR="009A151E" w:rsidRPr="007E3640">
              <w:rPr>
                <w:rStyle w:val="Hyperlink"/>
                <w:noProof/>
              </w:rPr>
              <w:t>References</w:t>
            </w:r>
            <w:r w:rsidR="009A151E">
              <w:rPr>
                <w:noProof/>
                <w:webHidden/>
              </w:rPr>
              <w:tab/>
            </w:r>
            <w:r w:rsidR="009A151E">
              <w:rPr>
                <w:noProof/>
                <w:webHidden/>
              </w:rPr>
              <w:fldChar w:fldCharType="begin"/>
            </w:r>
            <w:r w:rsidR="009A151E">
              <w:rPr>
                <w:noProof/>
                <w:webHidden/>
              </w:rPr>
              <w:instrText xml:space="preserve"> PAGEREF _Toc228539565 \h </w:instrText>
            </w:r>
            <w:r w:rsidR="009A151E">
              <w:rPr>
                <w:noProof/>
                <w:webHidden/>
              </w:rPr>
            </w:r>
            <w:r w:rsidR="009A151E">
              <w:rPr>
                <w:noProof/>
                <w:webHidden/>
              </w:rPr>
              <w:fldChar w:fldCharType="separate"/>
            </w:r>
            <w:r w:rsidR="006879D6">
              <w:rPr>
                <w:noProof/>
                <w:webHidden/>
              </w:rPr>
              <w:t>22</w:t>
            </w:r>
            <w:r w:rsidR="009A151E">
              <w:rPr>
                <w:noProof/>
                <w:webHidden/>
              </w:rPr>
              <w:fldChar w:fldCharType="end"/>
            </w:r>
          </w:hyperlink>
        </w:p>
        <w:p w14:paraId="1B07B9FE" w14:textId="54EC10E4" w:rsidR="00351A86" w:rsidRDefault="00351A86" w:rsidP="009A151E">
          <w:pPr>
            <w:spacing w:after="240"/>
          </w:pPr>
          <w:r>
            <w:rPr>
              <w:b/>
              <w:bCs/>
              <w:noProof/>
            </w:rPr>
            <w:fldChar w:fldCharType="end"/>
          </w:r>
        </w:p>
      </w:sdtContent>
    </w:sdt>
    <w:p w14:paraId="1687E4BD" w14:textId="77777777" w:rsidR="00766C6C" w:rsidRPr="00294001" w:rsidRDefault="00766C6C" w:rsidP="00ED71FC">
      <w:pPr>
        <w:spacing w:before="240"/>
        <w:rPr>
          <w:rFonts w:cstheme="majorBidi"/>
        </w:rPr>
      </w:pPr>
    </w:p>
    <w:p w14:paraId="336F9985" w14:textId="77777777" w:rsidR="00766C6C" w:rsidRPr="00294001" w:rsidRDefault="00766C6C" w:rsidP="00ED71FC">
      <w:pPr>
        <w:spacing w:before="240"/>
        <w:rPr>
          <w:rFonts w:cstheme="majorBidi"/>
        </w:rPr>
      </w:pPr>
    </w:p>
    <w:p w14:paraId="41849619" w14:textId="77777777" w:rsidR="00766C6C" w:rsidRPr="00294001" w:rsidRDefault="00766C6C" w:rsidP="00ED71FC">
      <w:pPr>
        <w:spacing w:before="240"/>
        <w:rPr>
          <w:rFonts w:cstheme="majorBidi"/>
        </w:rPr>
      </w:pPr>
    </w:p>
    <w:p w14:paraId="26FAD240" w14:textId="77777777" w:rsidR="00766C6C" w:rsidRPr="00294001" w:rsidRDefault="00766C6C" w:rsidP="00ED71FC">
      <w:pPr>
        <w:spacing w:before="240"/>
        <w:rPr>
          <w:rFonts w:cstheme="majorBidi"/>
        </w:rPr>
      </w:pPr>
    </w:p>
    <w:p w14:paraId="39AED8CB" w14:textId="77777777" w:rsidR="00766C6C" w:rsidRPr="00294001" w:rsidRDefault="00766C6C" w:rsidP="00ED71FC">
      <w:pPr>
        <w:spacing w:before="240"/>
        <w:rPr>
          <w:rFonts w:cstheme="majorBidi"/>
        </w:rPr>
      </w:pPr>
    </w:p>
    <w:p w14:paraId="6A2A1F95" w14:textId="77777777" w:rsidR="00766C6C" w:rsidRPr="00294001" w:rsidRDefault="00766C6C" w:rsidP="00ED71FC">
      <w:pPr>
        <w:spacing w:before="240"/>
        <w:rPr>
          <w:rFonts w:cstheme="majorBidi"/>
        </w:rPr>
      </w:pPr>
    </w:p>
    <w:p w14:paraId="45E45D06" w14:textId="77777777" w:rsidR="00766C6C" w:rsidRPr="00294001" w:rsidRDefault="00766C6C" w:rsidP="00ED71FC">
      <w:pPr>
        <w:spacing w:before="240"/>
        <w:rPr>
          <w:rFonts w:cstheme="majorBidi"/>
        </w:rPr>
      </w:pPr>
    </w:p>
    <w:p w14:paraId="5406E78F" w14:textId="77777777" w:rsidR="00766C6C" w:rsidRPr="00294001" w:rsidRDefault="00766C6C" w:rsidP="00ED71FC">
      <w:pPr>
        <w:spacing w:before="240"/>
        <w:rPr>
          <w:rFonts w:cstheme="majorBidi"/>
        </w:rPr>
      </w:pPr>
    </w:p>
    <w:p w14:paraId="791675EE" w14:textId="77777777" w:rsidR="00766C6C" w:rsidRPr="00294001" w:rsidRDefault="00766C6C" w:rsidP="00ED71FC">
      <w:pPr>
        <w:spacing w:before="240"/>
        <w:rPr>
          <w:rFonts w:cstheme="majorBidi"/>
        </w:rPr>
      </w:pPr>
    </w:p>
    <w:p w14:paraId="25A2FB0F" w14:textId="77777777" w:rsidR="00766C6C" w:rsidRPr="00294001" w:rsidRDefault="00766C6C" w:rsidP="00ED71FC">
      <w:pPr>
        <w:spacing w:before="240"/>
        <w:rPr>
          <w:rFonts w:cstheme="majorBidi"/>
        </w:rPr>
      </w:pPr>
    </w:p>
    <w:p w14:paraId="521D15BA" w14:textId="77777777" w:rsidR="00766C6C" w:rsidRPr="00294001" w:rsidRDefault="00766C6C" w:rsidP="00ED71FC">
      <w:pPr>
        <w:spacing w:before="240"/>
        <w:rPr>
          <w:rFonts w:cstheme="majorBidi"/>
        </w:rPr>
      </w:pPr>
    </w:p>
    <w:p w14:paraId="04E6C354" w14:textId="77777777" w:rsidR="00E15FE1" w:rsidRPr="00294001" w:rsidRDefault="00E15FE1" w:rsidP="00ED71FC">
      <w:pPr>
        <w:spacing w:before="240"/>
        <w:rPr>
          <w:rFonts w:cstheme="majorBidi"/>
        </w:rPr>
      </w:pPr>
    </w:p>
    <w:p w14:paraId="49E77EE2" w14:textId="162461DC" w:rsidR="00766C6C" w:rsidRPr="00294001" w:rsidRDefault="00766C6C" w:rsidP="00ED71FC">
      <w:pPr>
        <w:pStyle w:val="Heading1"/>
        <w:numPr>
          <w:ilvl w:val="0"/>
          <w:numId w:val="1"/>
        </w:numPr>
        <w:spacing w:before="240" w:after="160"/>
      </w:pPr>
      <w:bookmarkStart w:id="1" w:name="_Toc228539540"/>
      <w:r w:rsidRPr="00294001">
        <w:lastRenderedPageBreak/>
        <w:t>Organisational Context and Overview</w:t>
      </w:r>
      <w:bookmarkEnd w:id="1"/>
    </w:p>
    <w:p w14:paraId="1310D8D9" w14:textId="76ECCF78" w:rsidR="00496B6E" w:rsidRDefault="005C5F92" w:rsidP="00ED71FC">
      <w:pPr>
        <w:spacing w:before="240"/>
        <w:ind w:firstLine="720"/>
        <w:rPr>
          <w:rFonts w:cstheme="majorBidi"/>
        </w:rPr>
      </w:pPr>
      <w:r w:rsidRPr="00294001">
        <w:rPr>
          <w:rFonts w:cstheme="majorBidi"/>
        </w:rPr>
        <w:t xml:space="preserve">Shell plc is an integrated energy and petrochemical group that is headquartered in the United Kingdom and has strategic relevance in the tension between the profitability of hydrocarbons and the </w:t>
      </w:r>
      <w:r w:rsidR="00292E45">
        <w:rPr>
          <w:rFonts w:cstheme="majorBidi"/>
        </w:rPr>
        <w:t>pressure of the energy transition</w:t>
      </w:r>
      <w:r w:rsidRPr="00294001">
        <w:rPr>
          <w:rFonts w:cstheme="majorBidi"/>
        </w:rPr>
        <w:t>. In the past</w:t>
      </w:r>
      <w:r w:rsidR="00292E45">
        <w:rPr>
          <w:rFonts w:cstheme="majorBidi"/>
        </w:rPr>
        <w:t>,</w:t>
      </w:r>
      <w:r w:rsidRPr="00294001">
        <w:rPr>
          <w:rFonts w:cstheme="majorBidi"/>
        </w:rPr>
        <w:t xml:space="preserve"> Shell has grown into a major </w:t>
      </w:r>
      <w:r w:rsidR="00292E45">
        <w:rPr>
          <w:rFonts w:cstheme="majorBidi"/>
        </w:rPr>
        <w:t xml:space="preserve">player </w:t>
      </w:r>
      <w:r w:rsidRPr="00294001">
        <w:rPr>
          <w:rFonts w:cstheme="majorBidi"/>
        </w:rPr>
        <w:t>in the energy industry with operations in Integrated Gas, Upstream, Marketing, Chemicals and Products, Renewables and Energy Solutions and Corporate sectors, out of a trading-based company. Its mission is to drive progress collectively</w:t>
      </w:r>
      <w:r w:rsidR="00292E45">
        <w:rPr>
          <w:rFonts w:cstheme="majorBidi"/>
        </w:rPr>
        <w:t>,</w:t>
      </w:r>
      <w:r w:rsidRPr="00294001">
        <w:rPr>
          <w:rFonts w:cstheme="majorBidi"/>
        </w:rPr>
        <w:t xml:space="preserve"> and its vision is to be the best integrated energy company in the world in terms of its ability to bring energy and people together and balance supply and demand. This objective is operationalised by means of implementing a strategy of more value with less emissions, which means that Shell</w:t>
      </w:r>
      <w:r w:rsidR="00292E45">
        <w:rPr>
          <w:rFonts w:cstheme="majorBidi"/>
        </w:rPr>
        <w:t>'s</w:t>
      </w:r>
      <w:r w:rsidRPr="00294001">
        <w:rPr>
          <w:rFonts w:cstheme="majorBidi"/>
        </w:rPr>
        <w:t xml:space="preserve"> business model will continue to be cash-generative, but it will be framed more around the requirements of portfolio discipline, decarbonisation and customer transition (Shell plc, 202</w:t>
      </w:r>
      <w:r w:rsidR="00594059">
        <w:rPr>
          <w:rFonts w:cstheme="majorBidi"/>
        </w:rPr>
        <w:t>5</w:t>
      </w:r>
      <w:r w:rsidRPr="00294001">
        <w:rPr>
          <w:rFonts w:cstheme="majorBidi"/>
        </w:rPr>
        <w:t>).</w:t>
      </w:r>
    </w:p>
    <w:p w14:paraId="61F503C3" w14:textId="014607C4" w:rsidR="000C39CC" w:rsidRDefault="004377B6" w:rsidP="000C39CC">
      <w:pPr>
        <w:keepNext/>
        <w:spacing w:before="240"/>
      </w:pPr>
      <w:r w:rsidRPr="00136A33">
        <w:rPr>
          <w:rFonts w:cstheme="majorBidi"/>
          <w:noProof/>
          <w:lang w:eastAsia="en-GB"/>
        </w:rPr>
        <w:drawing>
          <wp:inline distT="0" distB="0" distL="0" distR="0" wp14:anchorId="76A4A684" wp14:editId="0EEA6EC4">
            <wp:extent cx="5943600" cy="4414520"/>
            <wp:effectExtent l="0" t="0" r="0" b="5080"/>
            <wp:docPr id="1805090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090386" name=""/>
                    <pic:cNvPicPr/>
                  </pic:nvPicPr>
                  <pic:blipFill>
                    <a:blip r:embed="rId9">
                      <a:extLst>
                        <a:ext uri="{28A0092B-C50C-407E-A947-70E740481C1C}">
                          <a14:useLocalDpi xmlns:a14="http://schemas.microsoft.com/office/drawing/2010/main" val="0"/>
                        </a:ext>
                      </a:extLst>
                    </a:blip>
                    <a:stretch>
                      <a:fillRect/>
                    </a:stretch>
                  </pic:blipFill>
                  <pic:spPr>
                    <a:xfrm>
                      <a:off x="0" y="0"/>
                      <a:ext cx="5943600" cy="4414520"/>
                    </a:xfrm>
                    <a:prstGeom prst="rect">
                      <a:avLst/>
                    </a:prstGeom>
                  </pic:spPr>
                </pic:pic>
              </a:graphicData>
            </a:graphic>
          </wp:inline>
        </w:drawing>
      </w:r>
    </w:p>
    <w:p w14:paraId="7166902D" w14:textId="2A02411F" w:rsidR="00136A33" w:rsidRPr="00FC3202" w:rsidRDefault="000C39CC" w:rsidP="004377B6">
      <w:pPr>
        <w:pStyle w:val="Caption"/>
        <w:jc w:val="center"/>
        <w:rPr>
          <w:rFonts w:cstheme="majorBidi"/>
          <w:b/>
          <w:bCs/>
          <w:i w:val="0"/>
          <w:iCs w:val="0"/>
          <w:color w:val="000000" w:themeColor="text1"/>
        </w:rPr>
      </w:pPr>
      <w:r w:rsidRPr="00FC3202">
        <w:rPr>
          <w:b/>
          <w:bCs/>
          <w:i w:val="0"/>
          <w:iCs w:val="0"/>
          <w:color w:val="000000" w:themeColor="text1"/>
        </w:rPr>
        <w:t xml:space="preserve">Figure </w:t>
      </w:r>
      <w:r w:rsidRPr="00FC3202">
        <w:rPr>
          <w:b/>
          <w:bCs/>
          <w:i w:val="0"/>
          <w:iCs w:val="0"/>
          <w:color w:val="000000" w:themeColor="text1"/>
        </w:rPr>
        <w:fldChar w:fldCharType="begin"/>
      </w:r>
      <w:r w:rsidRPr="00FC3202">
        <w:rPr>
          <w:b/>
          <w:bCs/>
          <w:i w:val="0"/>
          <w:iCs w:val="0"/>
          <w:color w:val="000000" w:themeColor="text1"/>
        </w:rPr>
        <w:instrText xml:space="preserve"> SEQ Figure \* ARABIC </w:instrText>
      </w:r>
      <w:r w:rsidRPr="00FC3202">
        <w:rPr>
          <w:b/>
          <w:bCs/>
          <w:i w:val="0"/>
          <w:iCs w:val="0"/>
          <w:color w:val="000000" w:themeColor="text1"/>
        </w:rPr>
        <w:fldChar w:fldCharType="separate"/>
      </w:r>
      <w:r w:rsidRPr="00FC3202">
        <w:rPr>
          <w:b/>
          <w:bCs/>
          <w:i w:val="0"/>
          <w:iCs w:val="0"/>
          <w:noProof/>
          <w:color w:val="000000" w:themeColor="text1"/>
        </w:rPr>
        <w:t>1</w:t>
      </w:r>
      <w:r w:rsidRPr="00FC3202">
        <w:rPr>
          <w:b/>
          <w:bCs/>
          <w:i w:val="0"/>
          <w:iCs w:val="0"/>
          <w:color w:val="000000" w:themeColor="text1"/>
        </w:rPr>
        <w:fldChar w:fldCharType="end"/>
      </w:r>
      <w:r w:rsidRPr="00FC3202">
        <w:rPr>
          <w:b/>
          <w:bCs/>
          <w:i w:val="0"/>
          <w:iCs w:val="0"/>
          <w:color w:val="000000" w:themeColor="text1"/>
          <w:lang w:val="en-US"/>
        </w:rPr>
        <w:t xml:space="preserve">: Shell </w:t>
      </w:r>
      <w:r w:rsidR="004377B6" w:rsidRPr="00FC3202">
        <w:rPr>
          <w:b/>
          <w:bCs/>
          <w:i w:val="0"/>
          <w:iCs w:val="0"/>
          <w:color w:val="000000" w:themeColor="text1"/>
          <w:lang w:val="en-US"/>
        </w:rPr>
        <w:t xml:space="preserve">plc </w:t>
      </w:r>
      <w:r w:rsidRPr="00FC3202">
        <w:rPr>
          <w:b/>
          <w:bCs/>
          <w:i w:val="0"/>
          <w:iCs w:val="0"/>
          <w:color w:val="000000" w:themeColor="text1"/>
          <w:lang w:val="en-US"/>
        </w:rPr>
        <w:t>Logo</w:t>
      </w:r>
    </w:p>
    <w:p w14:paraId="41A4CD59" w14:textId="02CE9C99" w:rsidR="007D535A" w:rsidRDefault="005C5F92" w:rsidP="00ED71FC">
      <w:pPr>
        <w:spacing w:before="240"/>
        <w:ind w:firstLine="720"/>
        <w:rPr>
          <w:rFonts w:cstheme="majorBidi"/>
        </w:rPr>
      </w:pPr>
      <w:r w:rsidRPr="00294001">
        <w:rPr>
          <w:rFonts w:cstheme="majorBidi"/>
        </w:rPr>
        <w:lastRenderedPageBreak/>
        <w:t>Shell is a vertically integrated company. It is an oil and gas producer and explorer, liquid and natural gas trader, fuel and lubricant trader, chemicals and products trader, selective renewable power, hydrogen, and carbon capture and storage investor, and carbon credit and venture investments. This depth provides resilience since the earnings do not hinge on one activity, but it also puts Shell at odds with the expectations of conflicting stakeholders. Shell has a significant financial potential as in 2025, it reported income of 18.1 billion, adjusted earnings of 18.5 billion and operating cash flow of 42.9 billion, which is impressive despite a volatile environment in commodities (Shell plc, 202</w:t>
      </w:r>
      <w:r w:rsidR="00594059">
        <w:rPr>
          <w:rFonts w:cstheme="majorBidi"/>
        </w:rPr>
        <w:t>5</w:t>
      </w:r>
      <w:r w:rsidRPr="00294001">
        <w:rPr>
          <w:rFonts w:cstheme="majorBidi"/>
        </w:rPr>
        <w:t xml:space="preserve">). However, the same model poses the transition risk since a high percentage of capital spending is retained to be associated with Integrated Gas and Upstream. </w:t>
      </w:r>
    </w:p>
    <w:p w14:paraId="75059AC8" w14:textId="5110021A" w:rsidR="00766C6C" w:rsidRPr="00294001" w:rsidRDefault="005C5F92" w:rsidP="00ED71FC">
      <w:pPr>
        <w:spacing w:before="240"/>
        <w:ind w:firstLine="720"/>
        <w:rPr>
          <w:rFonts w:cstheme="majorBidi"/>
        </w:rPr>
      </w:pPr>
      <w:r w:rsidRPr="00294001">
        <w:rPr>
          <w:rFonts w:cstheme="majorBidi"/>
        </w:rPr>
        <w:t xml:space="preserve">Shell is in the international energy business, competing with </w:t>
      </w:r>
      <w:r w:rsidR="00292E45">
        <w:rPr>
          <w:rFonts w:cstheme="majorBidi"/>
        </w:rPr>
        <w:t>BP</w:t>
      </w:r>
      <w:r w:rsidR="00A77FE2">
        <w:rPr>
          <w:rFonts w:cstheme="majorBidi"/>
        </w:rPr>
        <w:t xml:space="preserve"> plc (2025)</w:t>
      </w:r>
      <w:r w:rsidRPr="00294001">
        <w:rPr>
          <w:rFonts w:cstheme="majorBidi"/>
        </w:rPr>
        <w:t xml:space="preserve"> and Chevron, Exxon</w:t>
      </w:r>
      <w:r w:rsidR="00A00AA3">
        <w:rPr>
          <w:rFonts w:cstheme="majorBidi"/>
        </w:rPr>
        <w:t xml:space="preserve"> </w:t>
      </w:r>
      <w:r w:rsidRPr="00294001">
        <w:rPr>
          <w:rFonts w:cstheme="majorBidi"/>
        </w:rPr>
        <w:t>Mobil</w:t>
      </w:r>
      <w:r w:rsidR="000341E0">
        <w:rPr>
          <w:rFonts w:cstheme="majorBidi"/>
        </w:rPr>
        <w:t xml:space="preserve"> </w:t>
      </w:r>
      <w:r w:rsidR="000341E0" w:rsidRPr="00294001">
        <w:rPr>
          <w:rFonts w:cstheme="majorBidi"/>
        </w:rPr>
        <w:t>Corporation</w:t>
      </w:r>
      <w:r w:rsidR="009C64E7">
        <w:rPr>
          <w:rFonts w:cstheme="majorBidi"/>
        </w:rPr>
        <w:t xml:space="preserve"> (2025)</w:t>
      </w:r>
      <w:r w:rsidRPr="00294001">
        <w:rPr>
          <w:rFonts w:cstheme="majorBidi"/>
        </w:rPr>
        <w:t xml:space="preserve"> and Total</w:t>
      </w:r>
      <w:r w:rsidR="00FD7090">
        <w:rPr>
          <w:rFonts w:cstheme="majorBidi"/>
        </w:rPr>
        <w:t xml:space="preserve"> </w:t>
      </w:r>
      <w:r w:rsidRPr="00294001">
        <w:rPr>
          <w:rFonts w:cstheme="majorBidi"/>
        </w:rPr>
        <w:t>Energies</w:t>
      </w:r>
      <w:r w:rsidR="0077255B">
        <w:rPr>
          <w:rFonts w:cstheme="majorBidi"/>
        </w:rPr>
        <w:t xml:space="preserve"> (2025)</w:t>
      </w:r>
      <w:r w:rsidRPr="00294001">
        <w:rPr>
          <w:rFonts w:cstheme="majorBidi"/>
        </w:rPr>
        <w:t>, and is in tension with state-owned hydrocarbons companies, utilities and low-carbon energy experts. It has a good market standing due to its</w:t>
      </w:r>
      <w:r w:rsidR="00F46927">
        <w:rPr>
          <w:rFonts w:cstheme="majorBidi"/>
        </w:rPr>
        <w:t xml:space="preserve"> </w:t>
      </w:r>
      <w:r w:rsidR="00F46927">
        <w:t>Liquefied Natural Gas</w:t>
      </w:r>
      <w:r w:rsidRPr="00294001">
        <w:rPr>
          <w:rFonts w:cstheme="majorBidi"/>
        </w:rPr>
        <w:t xml:space="preserve"> </w:t>
      </w:r>
      <w:r w:rsidR="00F46927">
        <w:rPr>
          <w:rFonts w:cstheme="majorBidi"/>
        </w:rPr>
        <w:t>(</w:t>
      </w:r>
      <w:r w:rsidRPr="00294001">
        <w:rPr>
          <w:rFonts w:cstheme="majorBidi"/>
        </w:rPr>
        <w:t>LNG</w:t>
      </w:r>
      <w:r w:rsidR="00F46927">
        <w:rPr>
          <w:rFonts w:cstheme="majorBidi"/>
        </w:rPr>
        <w:t>)</w:t>
      </w:r>
      <w:r w:rsidRPr="00294001">
        <w:rPr>
          <w:rFonts w:cstheme="majorBidi"/>
        </w:rPr>
        <w:t xml:space="preserve"> size, international trading capacity, brand, technical know-how and mobility/lubricants platforms. But this stand is tactically challenged. Cherepovitsyn and Rutenko (2022) insist that oil and gas companies should restructure strategic planning in such a way that decarbonisation is the focus of strategy, instead of viewing climate policy as a compliance matter. On the same note, Halttunen, Slade and Staffell (2023) find that the oil majors have an existential problem of diversifying as the existing efforts of transition might not be adequate to change into </w:t>
      </w:r>
      <w:r w:rsidR="00352AF8">
        <w:rPr>
          <w:rFonts w:cstheme="majorBidi"/>
        </w:rPr>
        <w:t xml:space="preserve">a </w:t>
      </w:r>
      <w:r w:rsidRPr="00294001">
        <w:rPr>
          <w:rFonts w:cstheme="majorBidi"/>
        </w:rPr>
        <w:t>climate-aligned transformation. Consequently, the organisational environment of Shell can be seen as a duality: it is financially strong and operationally diversified</w:t>
      </w:r>
      <w:r w:rsidR="00352AF8">
        <w:rPr>
          <w:rFonts w:cstheme="majorBidi"/>
        </w:rPr>
        <w:t>,</w:t>
      </w:r>
      <w:r w:rsidRPr="00294001">
        <w:rPr>
          <w:rFonts w:cstheme="majorBidi"/>
        </w:rPr>
        <w:t xml:space="preserve"> but its long-term competitive advantage </w:t>
      </w:r>
      <w:r w:rsidR="00352AF8">
        <w:rPr>
          <w:rFonts w:cstheme="majorBidi"/>
        </w:rPr>
        <w:t>lies in</w:t>
      </w:r>
      <w:r w:rsidRPr="00294001">
        <w:rPr>
          <w:rFonts w:cstheme="majorBidi"/>
        </w:rPr>
        <w:t xml:space="preserve"> whether it can turn legacy hydrocarbon competencies into plausible, scalable and profitable development of low-carbon development.</w:t>
      </w:r>
    </w:p>
    <w:p w14:paraId="7FAFC483" w14:textId="7B82505D" w:rsidR="00553553" w:rsidRPr="00294001" w:rsidRDefault="00553553" w:rsidP="00ED71FC">
      <w:pPr>
        <w:pStyle w:val="Heading1"/>
        <w:numPr>
          <w:ilvl w:val="0"/>
          <w:numId w:val="1"/>
        </w:numPr>
        <w:spacing w:before="240" w:after="160"/>
      </w:pPr>
      <w:bookmarkStart w:id="2" w:name="_Toc228539541"/>
      <w:r w:rsidRPr="00294001">
        <w:t>External and Internal Environment Analysis</w:t>
      </w:r>
      <w:bookmarkEnd w:id="2"/>
    </w:p>
    <w:p w14:paraId="1512E54E" w14:textId="7CCB9F92" w:rsidR="00553553" w:rsidRPr="00294001" w:rsidRDefault="00E81D93" w:rsidP="00ED71FC">
      <w:pPr>
        <w:pStyle w:val="Heading2"/>
        <w:numPr>
          <w:ilvl w:val="1"/>
          <w:numId w:val="1"/>
        </w:numPr>
        <w:spacing w:before="240" w:after="160"/>
      </w:pPr>
      <w:r>
        <w:t xml:space="preserve"> </w:t>
      </w:r>
      <w:bookmarkStart w:id="3" w:name="_Toc228539542"/>
      <w:r w:rsidR="00553553" w:rsidRPr="00294001">
        <w:t>External Environment: PESTEL Analysis and Strategic Impact</w:t>
      </w:r>
      <w:bookmarkEnd w:id="3"/>
    </w:p>
    <w:p w14:paraId="6DDFA75E" w14:textId="4EF88E8A" w:rsidR="00553553" w:rsidRPr="00294001" w:rsidRDefault="005E7EBB" w:rsidP="00ED71FC">
      <w:pPr>
        <w:spacing w:before="240"/>
        <w:ind w:firstLine="720"/>
        <w:rPr>
          <w:rFonts w:cstheme="majorBidi"/>
        </w:rPr>
      </w:pPr>
      <w:r w:rsidRPr="00294001">
        <w:rPr>
          <w:rFonts w:cstheme="majorBidi"/>
        </w:rPr>
        <w:t xml:space="preserve">The external environment that Shell plc is operating within is volatile, </w:t>
      </w:r>
      <w:r w:rsidR="00352AF8">
        <w:rPr>
          <w:rFonts w:cstheme="majorBidi"/>
        </w:rPr>
        <w:t xml:space="preserve">with </w:t>
      </w:r>
      <w:r w:rsidRPr="00294001">
        <w:rPr>
          <w:rFonts w:cstheme="majorBidi"/>
        </w:rPr>
        <w:t xml:space="preserve">decarbonisation pressure and geopolitical fragmentation. </w:t>
      </w:r>
      <w:r w:rsidR="00352AF8">
        <w:rPr>
          <w:rFonts w:cstheme="majorBidi"/>
        </w:rPr>
        <w:t>The p</w:t>
      </w:r>
      <w:r w:rsidRPr="00294001">
        <w:rPr>
          <w:rFonts w:cstheme="majorBidi"/>
        </w:rPr>
        <w:t xml:space="preserve">olitical environment has turned out to be materialistic </w:t>
      </w:r>
      <w:r w:rsidR="00352AF8">
        <w:rPr>
          <w:rFonts w:cstheme="majorBidi"/>
        </w:rPr>
        <w:t>because</w:t>
      </w:r>
      <w:r w:rsidRPr="00294001">
        <w:rPr>
          <w:rFonts w:cstheme="majorBidi"/>
        </w:rPr>
        <w:t xml:space="preserve"> energy security has moved to the centre of government policy due to the Russia</w:t>
      </w:r>
      <w:r w:rsidR="00352AF8">
        <w:rPr>
          <w:rFonts w:cstheme="majorBidi"/>
        </w:rPr>
        <w:t>-</w:t>
      </w:r>
      <w:r w:rsidRPr="00294001">
        <w:rPr>
          <w:rFonts w:cstheme="majorBidi"/>
        </w:rPr>
        <w:t xml:space="preserve">Ukraine war and the unrest in </w:t>
      </w:r>
      <w:r w:rsidR="00352AF8">
        <w:rPr>
          <w:rFonts w:cstheme="majorBidi"/>
        </w:rPr>
        <w:t xml:space="preserve">the </w:t>
      </w:r>
      <w:r w:rsidRPr="00294001">
        <w:rPr>
          <w:rFonts w:cstheme="majorBidi"/>
        </w:rPr>
        <w:t xml:space="preserve">Middle East. According to the Annual Report by Shell, regional conflicts, sanctions, fiscal regulation and political intervention are some of the factors that </w:t>
      </w:r>
      <w:r w:rsidRPr="00294001">
        <w:rPr>
          <w:rFonts w:cstheme="majorBidi"/>
        </w:rPr>
        <w:lastRenderedPageBreak/>
        <w:t>can impact operations, investment approvals and profitability (Shell plc, 202</w:t>
      </w:r>
      <w:r w:rsidR="00594059">
        <w:rPr>
          <w:rFonts w:cstheme="majorBidi"/>
        </w:rPr>
        <w:t>5</w:t>
      </w:r>
      <w:r w:rsidRPr="00294001">
        <w:rPr>
          <w:rFonts w:cstheme="majorBidi"/>
        </w:rPr>
        <w:t>). This affects the strategic choices of Shell in terms of geographic portfolio discipline, selective investment in politically stable assets, and growth in LNG, where governments are turning to gas as a transition</w:t>
      </w:r>
      <w:r w:rsidR="00352AF8">
        <w:rPr>
          <w:rFonts w:cstheme="majorBidi"/>
        </w:rPr>
        <w:t xml:space="preserve"> and</w:t>
      </w:r>
      <w:r w:rsidRPr="00294001">
        <w:rPr>
          <w:rFonts w:cstheme="majorBidi"/>
        </w:rPr>
        <w:t xml:space="preserve"> security fuel. This</w:t>
      </w:r>
      <w:r w:rsidR="00352AF8">
        <w:rPr>
          <w:rFonts w:cstheme="majorBidi"/>
        </w:rPr>
        <w:t>,</w:t>
      </w:r>
      <w:r w:rsidRPr="00294001">
        <w:rPr>
          <w:rFonts w:cstheme="majorBidi"/>
        </w:rPr>
        <w:t xml:space="preserve"> however</w:t>
      </w:r>
      <w:r w:rsidR="00352AF8">
        <w:rPr>
          <w:rFonts w:cstheme="majorBidi"/>
        </w:rPr>
        <w:t>,</w:t>
      </w:r>
      <w:r w:rsidRPr="00294001">
        <w:rPr>
          <w:rFonts w:cstheme="majorBidi"/>
        </w:rPr>
        <w:t xml:space="preserve"> also puts Shell in a position to be criticised </w:t>
      </w:r>
      <w:r w:rsidR="00352AF8">
        <w:rPr>
          <w:rFonts w:cstheme="majorBidi"/>
        </w:rPr>
        <w:t>for</w:t>
      </w:r>
      <w:r w:rsidRPr="00294001">
        <w:rPr>
          <w:rFonts w:cstheme="majorBidi"/>
        </w:rPr>
        <w:t xml:space="preserve"> energy-security arguments</w:t>
      </w:r>
      <w:r w:rsidR="00352AF8">
        <w:rPr>
          <w:rFonts w:cstheme="majorBidi"/>
        </w:rPr>
        <w:t>, which</w:t>
      </w:r>
      <w:r w:rsidRPr="00294001">
        <w:rPr>
          <w:rFonts w:cstheme="majorBidi"/>
        </w:rPr>
        <w:t xml:space="preserve"> can slow down the process of deeper decarbonisation</w:t>
      </w:r>
      <w:r w:rsidR="00B43DA1" w:rsidRPr="00294001">
        <w:rPr>
          <w:rFonts w:cstheme="majorBidi"/>
        </w:rPr>
        <w:t>.</w:t>
      </w:r>
    </w:p>
    <w:p w14:paraId="5106EAED" w14:textId="1EBC988D" w:rsidR="00F11A88" w:rsidRDefault="00F11A88" w:rsidP="00ED71FC">
      <w:pPr>
        <w:pStyle w:val="Caption"/>
        <w:keepNext/>
        <w:spacing w:before="240" w:after="160" w:line="360" w:lineRule="auto"/>
        <w:rPr>
          <w:b/>
          <w:bCs/>
          <w:i w:val="0"/>
          <w:iCs w:val="0"/>
          <w:color w:val="000000" w:themeColor="text1"/>
          <w:lang w:val="en-US"/>
        </w:rPr>
      </w:pPr>
      <w:r w:rsidRPr="00B737E1">
        <w:rPr>
          <w:b/>
          <w:bCs/>
          <w:i w:val="0"/>
          <w:iCs w:val="0"/>
          <w:color w:val="000000" w:themeColor="text1"/>
        </w:rPr>
        <w:t xml:space="preserve">Table </w:t>
      </w:r>
      <w:r w:rsidRPr="00B737E1">
        <w:rPr>
          <w:b/>
          <w:bCs/>
          <w:i w:val="0"/>
          <w:iCs w:val="0"/>
          <w:color w:val="000000" w:themeColor="text1"/>
        </w:rPr>
        <w:fldChar w:fldCharType="begin"/>
      </w:r>
      <w:r w:rsidRPr="00B737E1">
        <w:rPr>
          <w:b/>
          <w:bCs/>
          <w:i w:val="0"/>
          <w:iCs w:val="0"/>
          <w:color w:val="000000" w:themeColor="text1"/>
        </w:rPr>
        <w:instrText xml:space="preserve"> SEQ Table \* ARABIC </w:instrText>
      </w:r>
      <w:r w:rsidRPr="00B737E1">
        <w:rPr>
          <w:b/>
          <w:bCs/>
          <w:i w:val="0"/>
          <w:iCs w:val="0"/>
          <w:color w:val="000000" w:themeColor="text1"/>
        </w:rPr>
        <w:fldChar w:fldCharType="separate"/>
      </w:r>
      <w:r w:rsidR="00B35E70">
        <w:rPr>
          <w:b/>
          <w:bCs/>
          <w:i w:val="0"/>
          <w:iCs w:val="0"/>
          <w:noProof/>
          <w:color w:val="000000" w:themeColor="text1"/>
        </w:rPr>
        <w:t>1</w:t>
      </w:r>
      <w:r w:rsidRPr="00B737E1">
        <w:rPr>
          <w:b/>
          <w:bCs/>
          <w:i w:val="0"/>
          <w:iCs w:val="0"/>
          <w:color w:val="000000" w:themeColor="text1"/>
        </w:rPr>
        <w:fldChar w:fldCharType="end"/>
      </w:r>
      <w:r w:rsidRPr="00B737E1">
        <w:rPr>
          <w:b/>
          <w:bCs/>
          <w:i w:val="0"/>
          <w:iCs w:val="0"/>
          <w:color w:val="000000" w:themeColor="text1"/>
          <w:lang w:val="en-US"/>
        </w:rPr>
        <w:t>: PESTEL Analysis of Shell plc</w:t>
      </w:r>
    </w:p>
    <w:p w14:paraId="71292F8D" w14:textId="5C7451F9" w:rsidR="000C37FA" w:rsidRPr="000C37FA" w:rsidRDefault="000C37FA" w:rsidP="00ED71FC">
      <w:pPr>
        <w:spacing w:before="240"/>
        <w:rPr>
          <w:lang w:val="en-US"/>
        </w:rPr>
      </w:pPr>
      <w:r w:rsidRPr="000C37FA">
        <w:rPr>
          <w:noProof/>
          <w:lang w:eastAsia="en-GB"/>
        </w:rPr>
        <w:drawing>
          <wp:inline distT="0" distB="0" distL="0" distR="0" wp14:anchorId="7579ACB9" wp14:editId="6DEF959B">
            <wp:extent cx="5943600" cy="2518410"/>
            <wp:effectExtent l="0" t="0" r="0" b="0"/>
            <wp:docPr id="146536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36014" name=""/>
                    <pic:cNvPicPr/>
                  </pic:nvPicPr>
                  <pic:blipFill>
                    <a:blip r:embed="rId10"/>
                    <a:stretch>
                      <a:fillRect/>
                    </a:stretch>
                  </pic:blipFill>
                  <pic:spPr>
                    <a:xfrm>
                      <a:off x="0" y="0"/>
                      <a:ext cx="5943600" cy="2518410"/>
                    </a:xfrm>
                    <a:prstGeom prst="rect">
                      <a:avLst/>
                    </a:prstGeom>
                  </pic:spPr>
                </pic:pic>
              </a:graphicData>
            </a:graphic>
          </wp:inline>
        </w:drawing>
      </w:r>
    </w:p>
    <w:p w14:paraId="32ED03E2" w14:textId="3932147A" w:rsidR="00842077" w:rsidRDefault="001C44BE" w:rsidP="00ED71FC">
      <w:pPr>
        <w:spacing w:before="240"/>
        <w:ind w:firstLine="720"/>
        <w:rPr>
          <w:rFonts w:cstheme="majorBidi"/>
        </w:rPr>
      </w:pPr>
      <w:r w:rsidRPr="00294001">
        <w:rPr>
          <w:rFonts w:cstheme="majorBidi"/>
        </w:rPr>
        <w:t>On the economic front</w:t>
      </w:r>
      <w:r w:rsidR="00352AF8">
        <w:rPr>
          <w:rFonts w:cstheme="majorBidi"/>
        </w:rPr>
        <w:t>,</w:t>
      </w:r>
      <w:r w:rsidRPr="00294001">
        <w:rPr>
          <w:rFonts w:cstheme="majorBidi"/>
        </w:rPr>
        <w:t xml:space="preserve"> Shell is also very vulnerable to the oil and gas price cycles, refining margins</w:t>
      </w:r>
      <w:r w:rsidR="00352AF8">
        <w:rPr>
          <w:rFonts w:cstheme="majorBidi"/>
        </w:rPr>
        <w:t>,</w:t>
      </w:r>
      <w:r w:rsidRPr="00294001">
        <w:rPr>
          <w:rFonts w:cstheme="majorBidi"/>
        </w:rPr>
        <w:t xml:space="preserve"> a</w:t>
      </w:r>
      <w:r w:rsidR="00352AF8">
        <w:rPr>
          <w:rFonts w:cstheme="majorBidi"/>
        </w:rPr>
        <w:t>nd</w:t>
      </w:r>
      <w:r w:rsidRPr="00294001">
        <w:rPr>
          <w:rFonts w:cstheme="majorBidi"/>
        </w:rPr>
        <w:t xml:space="preserve"> exchange rate movements. Despite the company reporting an income of $18.1 billion and cash flow of operating activities of 42.9 billion in 2025, its adjusted earnings declined in comparison to 2024, which shows that the scale fails to eliminate a commodity-cycle risk (Shell plc, 202</w:t>
      </w:r>
      <w:r w:rsidR="00594059">
        <w:rPr>
          <w:rFonts w:cstheme="majorBidi"/>
        </w:rPr>
        <w:t>5</w:t>
      </w:r>
      <w:r w:rsidRPr="00294001">
        <w:rPr>
          <w:rFonts w:cstheme="majorBidi"/>
        </w:rPr>
        <w:t>). This</w:t>
      </w:r>
      <w:r w:rsidR="00352AF8">
        <w:rPr>
          <w:rFonts w:cstheme="majorBidi"/>
        </w:rPr>
        <w:t>,</w:t>
      </w:r>
      <w:r w:rsidRPr="00294001">
        <w:rPr>
          <w:rFonts w:cstheme="majorBidi"/>
        </w:rPr>
        <w:t xml:space="preserve"> in effect</w:t>
      </w:r>
      <w:r w:rsidR="00352AF8">
        <w:rPr>
          <w:rFonts w:cstheme="majorBidi"/>
        </w:rPr>
        <w:t>,</w:t>
      </w:r>
      <w:r w:rsidRPr="00294001">
        <w:rPr>
          <w:rFonts w:cstheme="majorBidi"/>
        </w:rPr>
        <w:t xml:space="preserve"> strategically forces Shell to capital discipline, cost cutting and short-payback or advantaged margin projects. However, prioriti</w:t>
      </w:r>
      <w:r w:rsidR="00352AF8">
        <w:rPr>
          <w:rFonts w:cstheme="majorBidi"/>
        </w:rPr>
        <w:t>s</w:t>
      </w:r>
      <w:r w:rsidRPr="00294001">
        <w:rPr>
          <w:rFonts w:cstheme="majorBidi"/>
        </w:rPr>
        <w:t>ing the short-term returns might harm long-term positioning in case low-carbon markets deliver higher returns at a faster rate than foreseen.</w:t>
      </w:r>
    </w:p>
    <w:p w14:paraId="23858808" w14:textId="5C731765" w:rsidR="00B5527F" w:rsidRDefault="001C44BE" w:rsidP="00ED71FC">
      <w:pPr>
        <w:spacing w:before="240"/>
        <w:ind w:firstLine="720"/>
        <w:rPr>
          <w:rFonts w:cstheme="majorBidi"/>
        </w:rPr>
      </w:pPr>
      <w:r w:rsidRPr="00294001">
        <w:rPr>
          <w:rFonts w:cstheme="majorBidi"/>
        </w:rPr>
        <w:t>Social and environmental pressures are also very important. Financial performance is not the only way oil majors are evaluated</w:t>
      </w:r>
      <w:r w:rsidR="00352AF8">
        <w:rPr>
          <w:rFonts w:cstheme="majorBidi"/>
        </w:rPr>
        <w:t>,</w:t>
      </w:r>
      <w:r w:rsidRPr="00294001">
        <w:rPr>
          <w:rFonts w:cstheme="majorBidi"/>
        </w:rPr>
        <w:t xml:space="preserve"> but </w:t>
      </w:r>
      <w:r w:rsidR="00352AF8">
        <w:rPr>
          <w:rFonts w:cstheme="majorBidi"/>
        </w:rPr>
        <w:t xml:space="preserve">also </w:t>
      </w:r>
      <w:r w:rsidRPr="00294001">
        <w:rPr>
          <w:rFonts w:cstheme="majorBidi"/>
        </w:rPr>
        <w:t>the plausibility of transition strategies. Cherepovitsyn and Rutenko (2022) assert that decarbonisation has become central to strategic planning in oil and gas</w:t>
      </w:r>
      <w:r w:rsidR="00352AF8">
        <w:rPr>
          <w:rFonts w:cstheme="majorBidi"/>
        </w:rPr>
        <w:t>,</w:t>
      </w:r>
      <w:r w:rsidRPr="00294001">
        <w:rPr>
          <w:rFonts w:cstheme="majorBidi"/>
        </w:rPr>
        <w:t xml:space="preserve"> and Halttunen, Slade and Staffell (2023) indicate that oil majors have a strategic decision to make of either resisting, hedging or materially diversifying in the energy </w:t>
      </w:r>
      <w:r w:rsidRPr="00294001">
        <w:rPr>
          <w:rFonts w:cstheme="majorBidi"/>
        </w:rPr>
        <w:lastRenderedPageBreak/>
        <w:t>transition. In the case of Shell, this poses a two-fold strategic issue: Shell needs to continue to generate hydrocarbon cash flows at the same time demonstrating that its transitioning portfolio is commercially viable. Green et al. (2022) caution that the transition activity of many oil majors is not a full transition but a form of hedging, which applies directly to Shell, or its current reliance on Integrated Gas and Upstream.</w:t>
      </w:r>
    </w:p>
    <w:p w14:paraId="44FD8A17" w14:textId="55089730" w:rsidR="00553553" w:rsidRPr="00294001" w:rsidRDefault="001C44BE" w:rsidP="00ED71FC">
      <w:pPr>
        <w:spacing w:before="240"/>
        <w:ind w:firstLine="720"/>
        <w:rPr>
          <w:rFonts w:cstheme="majorBidi"/>
        </w:rPr>
      </w:pPr>
      <w:r w:rsidRPr="00294001">
        <w:rPr>
          <w:rFonts w:cstheme="majorBidi"/>
        </w:rPr>
        <w:t>LNG expertise, trading analytics, carbon capture and storage, hydrogen, EV charging and digital optimisation enhance the strategic options of Shell in terms of technology. Technological opportunity is lopsided, however. LNG and trading are already profitable</w:t>
      </w:r>
      <w:r w:rsidR="00352AF8">
        <w:rPr>
          <w:rFonts w:cstheme="majorBidi"/>
        </w:rPr>
        <w:t>,</w:t>
      </w:r>
      <w:r w:rsidRPr="00294001">
        <w:rPr>
          <w:rFonts w:cstheme="majorBidi"/>
        </w:rPr>
        <w:t xml:space="preserve"> but hydrogen, CCS and EV infrastructure need policy backing, customer uptake and economies of scale. According to Pickl (2019), the strategies of renewables adopted by oil majors vary, in part, due to the transition behaviour being determined by the legacy reserves and current asset base. This is the reason why Shell does not switch to renewables, as its technological approach is not comprehensive.</w:t>
      </w:r>
    </w:p>
    <w:p w14:paraId="4DA76C78" w14:textId="0B4C1FC8" w:rsidR="00553553" w:rsidRPr="00294001" w:rsidRDefault="000917BF" w:rsidP="00ED71FC">
      <w:pPr>
        <w:pStyle w:val="Heading2"/>
        <w:numPr>
          <w:ilvl w:val="1"/>
          <w:numId w:val="1"/>
        </w:numPr>
        <w:spacing w:before="240" w:after="160"/>
      </w:pPr>
      <w:r>
        <w:t xml:space="preserve"> </w:t>
      </w:r>
      <w:bookmarkStart w:id="4" w:name="_Toc228539543"/>
      <w:r w:rsidR="00553553" w:rsidRPr="00294001">
        <w:t>Critical Success Factors and Strategic Challenges</w:t>
      </w:r>
      <w:bookmarkEnd w:id="4"/>
    </w:p>
    <w:p w14:paraId="71CEF934" w14:textId="2A6A31F4" w:rsidR="00C273BE" w:rsidRDefault="00DF0CBF" w:rsidP="007C157F">
      <w:pPr>
        <w:spacing w:before="240"/>
        <w:ind w:firstLine="720"/>
        <w:rPr>
          <w:rFonts w:cstheme="majorBidi"/>
        </w:rPr>
      </w:pPr>
      <w:r w:rsidRPr="00294001">
        <w:rPr>
          <w:rFonts w:cstheme="majorBidi"/>
        </w:rPr>
        <w:t>Financial resilience, quality of the portfolio, safety of operations, LNG size, trading abilities, technological competence</w:t>
      </w:r>
      <w:r w:rsidR="00352AF8">
        <w:rPr>
          <w:rFonts w:cstheme="majorBidi"/>
        </w:rPr>
        <w:t>,</w:t>
      </w:r>
      <w:r w:rsidRPr="00294001">
        <w:rPr>
          <w:rFonts w:cstheme="majorBidi"/>
        </w:rPr>
        <w:t xml:space="preserve"> as well as regulatory legitimacy and stakeholders</w:t>
      </w:r>
      <w:r w:rsidR="00352AF8">
        <w:rPr>
          <w:rFonts w:cstheme="majorBidi"/>
        </w:rPr>
        <w:t>'</w:t>
      </w:r>
      <w:r w:rsidRPr="00294001">
        <w:rPr>
          <w:rFonts w:cstheme="majorBidi"/>
        </w:rPr>
        <w:t xml:space="preserve"> trust are several of the critical success factors associated with Shell. The short</w:t>
      </w:r>
      <w:r w:rsidR="00352AF8">
        <w:rPr>
          <w:rFonts w:cstheme="majorBidi"/>
        </w:rPr>
        <w:t>-</w:t>
      </w:r>
      <w:r w:rsidRPr="00294001">
        <w:rPr>
          <w:rFonts w:cstheme="majorBidi"/>
        </w:rPr>
        <w:t xml:space="preserve">term success criteria </w:t>
      </w:r>
      <w:r w:rsidR="00352AF8">
        <w:rPr>
          <w:rFonts w:cstheme="majorBidi"/>
        </w:rPr>
        <w:t>are</w:t>
      </w:r>
      <w:r w:rsidRPr="00294001">
        <w:rPr>
          <w:rFonts w:cstheme="majorBidi"/>
        </w:rPr>
        <w:t xml:space="preserve"> being able to make money on commodity cycles. Other rivals like Exxon</w:t>
      </w:r>
      <w:r w:rsidR="0006468B">
        <w:rPr>
          <w:rFonts w:cstheme="majorBidi"/>
        </w:rPr>
        <w:t xml:space="preserve"> </w:t>
      </w:r>
      <w:r w:rsidRPr="00294001">
        <w:rPr>
          <w:rFonts w:cstheme="majorBidi"/>
        </w:rPr>
        <w:t>Mobil</w:t>
      </w:r>
      <w:r w:rsidR="000341E0">
        <w:rPr>
          <w:rFonts w:cstheme="majorBidi"/>
        </w:rPr>
        <w:t xml:space="preserve"> </w:t>
      </w:r>
      <w:r w:rsidR="000341E0" w:rsidRPr="00294001">
        <w:rPr>
          <w:rFonts w:cstheme="majorBidi"/>
        </w:rPr>
        <w:t>Corporation</w:t>
      </w:r>
      <w:r w:rsidR="00953EFA">
        <w:rPr>
          <w:rFonts w:cstheme="majorBidi"/>
        </w:rPr>
        <w:t xml:space="preserve"> (2025)</w:t>
      </w:r>
      <w:r w:rsidRPr="00294001">
        <w:rPr>
          <w:rFonts w:cstheme="majorBidi"/>
        </w:rPr>
        <w:t xml:space="preserve">, </w:t>
      </w:r>
      <w:r w:rsidR="00352AF8">
        <w:rPr>
          <w:rFonts w:cstheme="majorBidi"/>
        </w:rPr>
        <w:t>BP</w:t>
      </w:r>
      <w:r w:rsidR="00991F4D">
        <w:rPr>
          <w:rFonts w:cstheme="majorBidi"/>
        </w:rPr>
        <w:t xml:space="preserve"> plc (2025)</w:t>
      </w:r>
      <w:r w:rsidR="00352AF8">
        <w:rPr>
          <w:rFonts w:cstheme="majorBidi"/>
        </w:rPr>
        <w:t>,</w:t>
      </w:r>
      <w:r w:rsidRPr="00294001">
        <w:rPr>
          <w:rFonts w:cstheme="majorBidi"/>
        </w:rPr>
        <w:t xml:space="preserve"> and Total</w:t>
      </w:r>
      <w:r w:rsidR="002E49F5">
        <w:rPr>
          <w:rFonts w:cstheme="majorBidi"/>
        </w:rPr>
        <w:t xml:space="preserve"> </w:t>
      </w:r>
      <w:r w:rsidRPr="00294001">
        <w:rPr>
          <w:rFonts w:cstheme="majorBidi"/>
        </w:rPr>
        <w:t xml:space="preserve">Energies </w:t>
      </w:r>
      <w:r w:rsidR="002E49F5">
        <w:rPr>
          <w:rFonts w:cstheme="majorBidi"/>
        </w:rPr>
        <w:t xml:space="preserve">(2025) </w:t>
      </w:r>
      <w:r w:rsidRPr="00294001">
        <w:rPr>
          <w:rFonts w:cstheme="majorBidi"/>
        </w:rPr>
        <w:t>also focus on advantaged portfolios, cash generation and lower-carbon solutions, indicating that Shell cannot afford to rely solely on size</w:t>
      </w:r>
      <w:r w:rsidR="00775C72">
        <w:rPr>
          <w:rFonts w:cstheme="majorBidi"/>
        </w:rPr>
        <w:t>,</w:t>
      </w:r>
      <w:r w:rsidRPr="00294001">
        <w:rPr>
          <w:rFonts w:cstheme="majorBidi"/>
        </w:rPr>
        <w:t xml:space="preserve"> but it should be more efficient, more reliable, and better-positioned in the market</w:t>
      </w:r>
      <w:r w:rsidR="00775C72">
        <w:rPr>
          <w:rFonts w:cstheme="majorBidi"/>
        </w:rPr>
        <w:t>,</w:t>
      </w:r>
      <w:r w:rsidRPr="00294001">
        <w:rPr>
          <w:rFonts w:cstheme="majorBidi"/>
        </w:rPr>
        <w:t xml:space="preserve"> such as LNG and mobility</w:t>
      </w:r>
      <w:r w:rsidR="00C273BE">
        <w:rPr>
          <w:rFonts w:cstheme="majorBidi"/>
        </w:rPr>
        <w:t>.</w:t>
      </w:r>
    </w:p>
    <w:p w14:paraId="339F78A6" w14:textId="369980B7" w:rsidR="00553553" w:rsidRPr="00294001" w:rsidRDefault="00DF0CBF" w:rsidP="00ED71FC">
      <w:pPr>
        <w:spacing w:before="240"/>
        <w:ind w:firstLine="720"/>
        <w:rPr>
          <w:rFonts w:cstheme="majorBidi"/>
        </w:rPr>
      </w:pPr>
      <w:r w:rsidRPr="00294001">
        <w:rPr>
          <w:rFonts w:cstheme="majorBidi"/>
        </w:rPr>
        <w:t>The contradiction between the creation of values and the reduction of emissions is the main strategic challenge. The idea of Shell providing more value by not causing all the emissions is commercially sound, but it is strategically weak in case the interested parties think that the concept of less emissions is a step forward</w:t>
      </w:r>
      <w:r w:rsidR="00775C72">
        <w:rPr>
          <w:rFonts w:cstheme="majorBidi"/>
        </w:rPr>
        <w:t>,</w:t>
      </w:r>
      <w:r w:rsidRPr="00294001">
        <w:rPr>
          <w:rFonts w:cstheme="majorBidi"/>
        </w:rPr>
        <w:t xml:space="preserve"> as opposed to a radical change. Morgunova and Shaton (2022) posit that the rhetoric of transition by oil and gas incumbent firms tend</w:t>
      </w:r>
      <w:r w:rsidR="00775C72">
        <w:rPr>
          <w:rFonts w:cstheme="majorBidi"/>
        </w:rPr>
        <w:t>s</w:t>
      </w:r>
      <w:r w:rsidRPr="00294001">
        <w:rPr>
          <w:rFonts w:cstheme="majorBidi"/>
        </w:rPr>
        <w:t xml:space="preserve"> to be supportive, but guard</w:t>
      </w:r>
      <w:r w:rsidR="00775C72">
        <w:rPr>
          <w:rFonts w:cstheme="majorBidi"/>
        </w:rPr>
        <w:t>ed</w:t>
      </w:r>
      <w:r w:rsidRPr="00294001">
        <w:rPr>
          <w:rFonts w:cstheme="majorBidi"/>
        </w:rPr>
        <w:t xml:space="preserve"> with regard to the business models at hand. This provides a risk of implementation to Shell: it needs to legitimi</w:t>
      </w:r>
      <w:r w:rsidR="00775C72">
        <w:rPr>
          <w:rFonts w:cstheme="majorBidi"/>
        </w:rPr>
        <w:t>s</w:t>
      </w:r>
      <w:r w:rsidRPr="00294001">
        <w:rPr>
          <w:rFonts w:cstheme="majorBidi"/>
        </w:rPr>
        <w:t xml:space="preserve">e its operations by decreasing operational emissions and assisting in decarbonisation of its customers, yet profiteering will continue to rely on hydrocarbons. This </w:t>
      </w:r>
      <w:r w:rsidRPr="00294001">
        <w:rPr>
          <w:rFonts w:cstheme="majorBidi"/>
        </w:rPr>
        <w:lastRenderedPageBreak/>
        <w:t>challenge is intensified by legal and regulatory pressure since compliance costs and future investment options are restricted due to climate disclosure, litigation and carbon-pricing regimes. As Sharfman and Fernando (2008) demonstrate, environmental risk management can also enhance the cost of capital</w:t>
      </w:r>
      <w:r w:rsidR="00775C72">
        <w:rPr>
          <w:rFonts w:cstheme="majorBidi"/>
        </w:rPr>
        <w:t>,</w:t>
      </w:r>
      <w:r w:rsidRPr="00294001">
        <w:rPr>
          <w:rFonts w:cstheme="majorBidi"/>
        </w:rPr>
        <w:t xml:space="preserve"> hence implying that credible climate governance is </w:t>
      </w:r>
      <w:r w:rsidR="00775C72">
        <w:rPr>
          <w:rFonts w:cstheme="majorBidi"/>
        </w:rPr>
        <w:t xml:space="preserve">not only economically tactical </w:t>
      </w:r>
      <w:r w:rsidRPr="00294001">
        <w:rPr>
          <w:rFonts w:cstheme="majorBidi"/>
        </w:rPr>
        <w:t>but also e</w:t>
      </w:r>
      <w:r w:rsidR="00775C72">
        <w:rPr>
          <w:rFonts w:cstheme="majorBidi"/>
        </w:rPr>
        <w:t>thically tact</w:t>
      </w:r>
      <w:r w:rsidRPr="00294001">
        <w:rPr>
          <w:rFonts w:cstheme="majorBidi"/>
        </w:rPr>
        <w:t xml:space="preserve">ical. </w:t>
      </w:r>
      <w:r w:rsidR="00553553" w:rsidRPr="00294001">
        <w:rPr>
          <w:rFonts w:eastAsia="Times New Roman" w:cstheme="majorBidi"/>
          <w:kern w:val="0"/>
          <w14:ligatures w14:val="none"/>
        </w:rPr>
        <w:t xml:space="preserve"> </w:t>
      </w:r>
    </w:p>
    <w:p w14:paraId="07E43DEB" w14:textId="7BF6F71E" w:rsidR="00553553" w:rsidRPr="00294001" w:rsidRDefault="00EF1665" w:rsidP="00ED71FC">
      <w:pPr>
        <w:pStyle w:val="Heading2"/>
        <w:numPr>
          <w:ilvl w:val="1"/>
          <w:numId w:val="1"/>
        </w:numPr>
        <w:spacing w:before="240" w:after="160"/>
      </w:pPr>
      <w:r>
        <w:t xml:space="preserve"> </w:t>
      </w:r>
      <w:bookmarkStart w:id="5" w:name="_Toc228539544"/>
      <w:r w:rsidR="00553553" w:rsidRPr="00294001">
        <w:t>Internal Environment and VRIO Capability Assessment</w:t>
      </w:r>
      <w:bookmarkEnd w:id="5"/>
    </w:p>
    <w:p w14:paraId="30FEA280" w14:textId="030E8A2A" w:rsidR="000A389E" w:rsidRPr="00274C92" w:rsidRDefault="002C6561" w:rsidP="00ED71FC">
      <w:pPr>
        <w:spacing w:before="240"/>
        <w:ind w:firstLine="720"/>
        <w:rPr>
          <w:rFonts w:cstheme="majorBidi"/>
        </w:rPr>
      </w:pPr>
      <w:r w:rsidRPr="00294001">
        <w:rPr>
          <w:rFonts w:cstheme="majorBidi"/>
        </w:rPr>
        <w:t>Competitive advantage internally is based on a collection of tangible and intangible resources</w:t>
      </w:r>
      <w:r w:rsidR="00775C72">
        <w:rPr>
          <w:rFonts w:cstheme="majorBidi"/>
        </w:rPr>
        <w:t>:</w:t>
      </w:r>
      <w:r w:rsidRPr="00294001">
        <w:rPr>
          <w:rFonts w:cstheme="majorBidi"/>
        </w:rPr>
        <w:t xml:space="preserve"> global reserves and infrastructure, LNG assets, trading capability, brand equity, technical know-how, capital allocation discipline, safety systems and relations with governments and industrial consumers. In terms of </w:t>
      </w:r>
      <w:r w:rsidR="00775C72">
        <w:rPr>
          <w:rFonts w:cstheme="majorBidi"/>
        </w:rPr>
        <w:t xml:space="preserve">the </w:t>
      </w:r>
      <w:r w:rsidRPr="00294001">
        <w:rPr>
          <w:rFonts w:cstheme="majorBidi"/>
        </w:rPr>
        <w:t>resource-based perspective, sustainable advantage relies on such resources that are valuable, rare, hard to replicate and embedded in an organisation (Barney, 1991; Peteraf, 1993). The core competencies of Shell are not separate entities but are bundled together: upstream production, LNG liquefaction, shipping, trading, customer access and risk management.</w:t>
      </w:r>
    </w:p>
    <w:p w14:paraId="1DC8490E" w14:textId="202960EF" w:rsidR="00663E8F" w:rsidRDefault="00663E8F" w:rsidP="00ED71FC">
      <w:pPr>
        <w:pStyle w:val="Caption"/>
        <w:keepNext/>
        <w:spacing w:before="240" w:after="160" w:line="360" w:lineRule="auto"/>
        <w:rPr>
          <w:rFonts w:eastAsia="Times New Roman" w:cstheme="majorBidi"/>
          <w:b/>
          <w:bCs/>
          <w:i w:val="0"/>
          <w:iCs w:val="0"/>
          <w:color w:val="000000" w:themeColor="text1"/>
          <w:kern w:val="0"/>
          <w:sz w:val="16"/>
          <w:szCs w:val="16"/>
          <w14:ligatures w14:val="none"/>
        </w:rPr>
      </w:pPr>
      <w:r w:rsidRPr="001A57E2">
        <w:rPr>
          <w:b/>
          <w:bCs/>
          <w:i w:val="0"/>
          <w:iCs w:val="0"/>
          <w:color w:val="000000" w:themeColor="text1"/>
          <w:sz w:val="16"/>
          <w:szCs w:val="16"/>
        </w:rPr>
        <w:t xml:space="preserve">Table </w:t>
      </w:r>
      <w:r w:rsidRPr="001A57E2">
        <w:rPr>
          <w:b/>
          <w:bCs/>
          <w:i w:val="0"/>
          <w:iCs w:val="0"/>
          <w:color w:val="000000" w:themeColor="text1"/>
          <w:sz w:val="16"/>
          <w:szCs w:val="16"/>
        </w:rPr>
        <w:fldChar w:fldCharType="begin"/>
      </w:r>
      <w:r w:rsidRPr="001A57E2">
        <w:rPr>
          <w:b/>
          <w:bCs/>
          <w:i w:val="0"/>
          <w:iCs w:val="0"/>
          <w:color w:val="000000" w:themeColor="text1"/>
          <w:sz w:val="16"/>
          <w:szCs w:val="16"/>
        </w:rPr>
        <w:instrText xml:space="preserve"> SEQ Table \* ARABIC </w:instrText>
      </w:r>
      <w:r w:rsidRPr="001A57E2">
        <w:rPr>
          <w:b/>
          <w:bCs/>
          <w:i w:val="0"/>
          <w:iCs w:val="0"/>
          <w:color w:val="000000" w:themeColor="text1"/>
          <w:sz w:val="16"/>
          <w:szCs w:val="16"/>
        </w:rPr>
        <w:fldChar w:fldCharType="separate"/>
      </w:r>
      <w:r w:rsidR="00B35E70">
        <w:rPr>
          <w:b/>
          <w:bCs/>
          <w:i w:val="0"/>
          <w:iCs w:val="0"/>
          <w:noProof/>
          <w:color w:val="000000" w:themeColor="text1"/>
          <w:sz w:val="16"/>
          <w:szCs w:val="16"/>
        </w:rPr>
        <w:t>2</w:t>
      </w:r>
      <w:r w:rsidRPr="001A57E2">
        <w:rPr>
          <w:b/>
          <w:bCs/>
          <w:i w:val="0"/>
          <w:iCs w:val="0"/>
          <w:color w:val="000000" w:themeColor="text1"/>
          <w:sz w:val="16"/>
          <w:szCs w:val="16"/>
        </w:rPr>
        <w:fldChar w:fldCharType="end"/>
      </w:r>
      <w:r w:rsidRPr="001A57E2">
        <w:rPr>
          <w:b/>
          <w:bCs/>
          <w:i w:val="0"/>
          <w:iCs w:val="0"/>
          <w:color w:val="000000" w:themeColor="text1"/>
          <w:sz w:val="16"/>
          <w:szCs w:val="16"/>
          <w:lang w:val="en-US"/>
        </w:rPr>
        <w:t>:</w:t>
      </w:r>
      <w:r w:rsidRPr="001A57E2">
        <w:rPr>
          <w:rFonts w:eastAsia="Times New Roman" w:cstheme="majorBidi"/>
          <w:b/>
          <w:bCs/>
          <w:i w:val="0"/>
          <w:iCs w:val="0"/>
          <w:color w:val="000000" w:themeColor="text1"/>
          <w:kern w:val="0"/>
          <w:sz w:val="16"/>
          <w:szCs w:val="16"/>
          <w14:ligatures w14:val="none"/>
        </w:rPr>
        <w:t xml:space="preserve"> VRIO Assessment of Shell’s Strategic Capabilities</w:t>
      </w:r>
    </w:p>
    <w:p w14:paraId="57AFF4B8" w14:textId="14B96426" w:rsidR="005E13F9" w:rsidRPr="005E13F9" w:rsidRDefault="005E13F9" w:rsidP="00ED71FC">
      <w:pPr>
        <w:spacing w:before="240"/>
      </w:pPr>
      <w:r w:rsidRPr="005E13F9">
        <w:rPr>
          <w:noProof/>
          <w:lang w:eastAsia="en-GB"/>
        </w:rPr>
        <w:drawing>
          <wp:inline distT="0" distB="0" distL="0" distR="0" wp14:anchorId="2743C246" wp14:editId="08480333">
            <wp:extent cx="5943600" cy="3072765"/>
            <wp:effectExtent l="0" t="0" r="0" b="0"/>
            <wp:docPr id="11787361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736132" name=""/>
                    <pic:cNvPicPr/>
                  </pic:nvPicPr>
                  <pic:blipFill>
                    <a:blip r:embed="rId11"/>
                    <a:stretch>
                      <a:fillRect/>
                    </a:stretch>
                  </pic:blipFill>
                  <pic:spPr>
                    <a:xfrm>
                      <a:off x="0" y="0"/>
                      <a:ext cx="5943600" cy="3072765"/>
                    </a:xfrm>
                    <a:prstGeom prst="rect">
                      <a:avLst/>
                    </a:prstGeom>
                  </pic:spPr>
                </pic:pic>
              </a:graphicData>
            </a:graphic>
          </wp:inline>
        </w:drawing>
      </w:r>
    </w:p>
    <w:p w14:paraId="2B88AD6E" w14:textId="678BE0C9" w:rsidR="00F72AE1" w:rsidRDefault="00187F5C" w:rsidP="00ED71FC">
      <w:pPr>
        <w:spacing w:before="240"/>
        <w:ind w:firstLine="720"/>
        <w:rPr>
          <w:rFonts w:cstheme="majorBidi"/>
        </w:rPr>
      </w:pPr>
      <w:r w:rsidRPr="00294001">
        <w:rPr>
          <w:rFonts w:cstheme="majorBidi"/>
        </w:rPr>
        <w:t xml:space="preserve">According to the VRIO analysis, the LNG and trading capabilities of Shell are the strongest sources of advantage that can be defended by the company. The value of LNG lies in the fact that </w:t>
      </w:r>
      <w:r w:rsidRPr="00294001">
        <w:rPr>
          <w:rFonts w:cstheme="majorBidi"/>
        </w:rPr>
        <w:lastRenderedPageBreak/>
        <w:t xml:space="preserve">gas is still the heart of energy security and the decarbonisation of industries in most markets; the small number of companies that have integrated LNG value chains; and the fact that it is hard to replicate due to its capital requirements, infrastructure, technical ability, access to shipping, and established customer relationships. Shell also structures itself to capitalise on this capacity </w:t>
      </w:r>
      <w:r w:rsidR="00775C72">
        <w:rPr>
          <w:rFonts w:cstheme="majorBidi"/>
        </w:rPr>
        <w:t>through</w:t>
      </w:r>
      <w:r w:rsidRPr="00294001">
        <w:rPr>
          <w:rFonts w:cstheme="majorBidi"/>
        </w:rPr>
        <w:t xml:space="preserve"> its Integrated Gas business segment and global trading model. This complements the dynamic capabilities argument of Teece (2007) that states that firms maintain performance by feeling the changes in the market, grabbing opportunities and restructuring assets.</w:t>
      </w:r>
    </w:p>
    <w:p w14:paraId="6F1E2590" w14:textId="637FDFA6" w:rsidR="00553553" w:rsidRPr="00294001" w:rsidRDefault="00187F5C" w:rsidP="00ED71FC">
      <w:pPr>
        <w:spacing w:before="240"/>
        <w:ind w:firstLine="720"/>
        <w:rPr>
          <w:rFonts w:cstheme="majorBidi"/>
        </w:rPr>
      </w:pPr>
      <w:r w:rsidRPr="00294001">
        <w:rPr>
          <w:rFonts w:cstheme="majorBidi"/>
        </w:rPr>
        <w:t>The Shell brand, mobility platform and technical expertise are also a source of competitive advantage, but are more vulnerable. Other energy majors can emulate retail fuel networks, and EV charging and convenience retailing are becoming competitive by utilities, technology companies and special</w:t>
      </w:r>
      <w:r w:rsidR="00775C72">
        <w:rPr>
          <w:rFonts w:cstheme="majorBidi"/>
        </w:rPr>
        <w:t>-</w:t>
      </w:r>
      <w:r w:rsidRPr="00294001">
        <w:rPr>
          <w:rFonts w:cstheme="majorBidi"/>
        </w:rPr>
        <w:t>purpose infrastructure providers. Hence, the latter resources will be beneficial only in case Shell incorporates them with the customer data, location quality and supply of low-carbon energy. Low-carbon solutions like CCS</w:t>
      </w:r>
      <w:r w:rsidR="00775C72">
        <w:rPr>
          <w:rFonts w:cstheme="majorBidi"/>
        </w:rPr>
        <w:t xml:space="preserve"> and</w:t>
      </w:r>
      <w:r w:rsidRPr="00294001">
        <w:rPr>
          <w:rFonts w:cstheme="majorBidi"/>
        </w:rPr>
        <w:t xml:space="preserve"> hydrogen are also not yet rare and profitable. According to the natural-resource</w:t>
      </w:r>
      <w:r w:rsidR="00775C72">
        <w:rPr>
          <w:rFonts w:cstheme="majorBidi"/>
        </w:rPr>
        <w:t>-</w:t>
      </w:r>
      <w:r w:rsidRPr="00294001">
        <w:rPr>
          <w:rFonts w:cstheme="majorBidi"/>
        </w:rPr>
        <w:t>based perspective of Hart (1995), the environmental capabilities might shift to a source of advantage when they no longer focus on compliance but pollution prevention, product stewardship</w:t>
      </w:r>
      <w:r w:rsidR="00775C72">
        <w:rPr>
          <w:rFonts w:cstheme="majorBidi"/>
        </w:rPr>
        <w:t>,</w:t>
      </w:r>
      <w:r w:rsidRPr="00294001">
        <w:rPr>
          <w:rFonts w:cstheme="majorBidi"/>
        </w:rPr>
        <w:t xml:space="preserve"> a</w:t>
      </w:r>
      <w:r w:rsidR="00775C72">
        <w:rPr>
          <w:rFonts w:cstheme="majorBidi"/>
        </w:rPr>
        <w:t>nd</w:t>
      </w:r>
      <w:r w:rsidRPr="00294001">
        <w:rPr>
          <w:rFonts w:cstheme="majorBidi"/>
        </w:rPr>
        <w:t xml:space="preserve"> sustainable development. Shell has the opportunity then to transform environmental capability into commercial differentiation</w:t>
      </w:r>
      <w:r w:rsidR="00775C72">
        <w:rPr>
          <w:rFonts w:cstheme="majorBidi"/>
        </w:rPr>
        <w:t>,</w:t>
      </w:r>
      <w:r w:rsidRPr="00294001">
        <w:rPr>
          <w:rFonts w:cstheme="majorBidi"/>
        </w:rPr>
        <w:t xml:space="preserve"> but at present</w:t>
      </w:r>
      <w:r w:rsidR="00775C72">
        <w:rPr>
          <w:rFonts w:cstheme="majorBidi"/>
        </w:rPr>
        <w:t>,</w:t>
      </w:r>
      <w:r w:rsidRPr="00294001">
        <w:rPr>
          <w:rFonts w:cstheme="majorBidi"/>
        </w:rPr>
        <w:t xml:space="preserve"> the evidence points towards this being still in developmental mode as opposed to the mode of being fully established.</w:t>
      </w:r>
    </w:p>
    <w:p w14:paraId="7293E957" w14:textId="01F7C6A5" w:rsidR="00553553" w:rsidRPr="00294001" w:rsidRDefault="00127BBD" w:rsidP="00ED71FC">
      <w:pPr>
        <w:pStyle w:val="Heading2"/>
        <w:numPr>
          <w:ilvl w:val="1"/>
          <w:numId w:val="1"/>
        </w:numPr>
        <w:spacing w:before="240" w:after="160"/>
      </w:pPr>
      <w:r>
        <w:t xml:space="preserve"> </w:t>
      </w:r>
      <w:bookmarkStart w:id="6" w:name="_Toc228539545"/>
      <w:r w:rsidR="00553553" w:rsidRPr="00294001">
        <w:t>Internal Strengths and Competitive Advantage</w:t>
      </w:r>
      <w:bookmarkEnd w:id="6"/>
    </w:p>
    <w:p w14:paraId="0D7429F6" w14:textId="03872C28" w:rsidR="001C4B1B" w:rsidRDefault="005678BD" w:rsidP="00ED71FC">
      <w:pPr>
        <w:spacing w:before="240"/>
        <w:ind w:firstLine="720"/>
        <w:rPr>
          <w:rFonts w:cstheme="majorBidi"/>
        </w:rPr>
      </w:pPr>
      <w:r w:rsidRPr="00294001">
        <w:rPr>
          <w:rFonts w:cstheme="majorBidi"/>
        </w:rPr>
        <w:t xml:space="preserve">Internal strengths at Shell bring about a competitive advantage by facilitating integration, options and resilience. Through integration, Shell can gain value in the exploration, production, LNG, refining, chemicals, trading and retail. The optionality will enable the company to flow capital across business lines when the market conditions vary. Operating cash flow, disciplined investment and global risk management will help to support resilience. Russo and Fouts (1997) suggest that the environmental performance can be additive </w:t>
      </w:r>
      <w:r w:rsidR="00775C72">
        <w:rPr>
          <w:rFonts w:cstheme="majorBidi"/>
        </w:rPr>
        <w:t>to</w:t>
      </w:r>
      <w:r w:rsidRPr="00294001">
        <w:rPr>
          <w:rFonts w:cstheme="majorBidi"/>
        </w:rPr>
        <w:t xml:space="preserve"> the profitability in </w:t>
      </w:r>
      <w:r w:rsidR="00775C72">
        <w:rPr>
          <w:rFonts w:cstheme="majorBidi"/>
        </w:rPr>
        <w:t xml:space="preserve">the </w:t>
      </w:r>
      <w:r w:rsidRPr="00294001">
        <w:rPr>
          <w:rFonts w:cstheme="majorBidi"/>
        </w:rPr>
        <w:t>case of being embedded in the firm</w:t>
      </w:r>
      <w:r w:rsidR="00775C72">
        <w:rPr>
          <w:rFonts w:cstheme="majorBidi"/>
        </w:rPr>
        <w:t>-</w:t>
      </w:r>
      <w:r w:rsidRPr="00294001">
        <w:rPr>
          <w:rFonts w:cstheme="majorBidi"/>
        </w:rPr>
        <w:t xml:space="preserve">specific capabilities, </w:t>
      </w:r>
      <w:r w:rsidR="00775C72">
        <w:rPr>
          <w:rFonts w:cstheme="majorBidi"/>
        </w:rPr>
        <w:t>which</w:t>
      </w:r>
      <w:r w:rsidRPr="00294001">
        <w:rPr>
          <w:rFonts w:cstheme="majorBidi"/>
        </w:rPr>
        <w:t xml:space="preserve"> means that the long</w:t>
      </w:r>
      <w:r w:rsidR="00775C72">
        <w:rPr>
          <w:rFonts w:cstheme="majorBidi"/>
        </w:rPr>
        <w:t>-</w:t>
      </w:r>
      <w:r w:rsidRPr="00294001">
        <w:rPr>
          <w:rFonts w:cstheme="majorBidi"/>
        </w:rPr>
        <w:t xml:space="preserve">term advantage of Shell will be determined by the extent to which transition capabilities are operationally embedded </w:t>
      </w:r>
      <w:r w:rsidR="00775C72">
        <w:rPr>
          <w:rFonts w:cstheme="majorBidi"/>
        </w:rPr>
        <w:t>in</w:t>
      </w:r>
      <w:r w:rsidRPr="00294001">
        <w:rPr>
          <w:rFonts w:cstheme="majorBidi"/>
        </w:rPr>
        <w:t xml:space="preserve"> the LNG and trading capabilities. </w:t>
      </w:r>
    </w:p>
    <w:p w14:paraId="17DFA583" w14:textId="52D0DF74" w:rsidR="00A5362E" w:rsidRPr="0025277F" w:rsidRDefault="005678BD" w:rsidP="00ED71FC">
      <w:pPr>
        <w:spacing w:before="240"/>
        <w:ind w:firstLine="720"/>
        <w:rPr>
          <w:rFonts w:cstheme="majorBidi"/>
        </w:rPr>
      </w:pPr>
      <w:r w:rsidRPr="00294001">
        <w:rPr>
          <w:rFonts w:cstheme="majorBidi"/>
        </w:rPr>
        <w:lastRenderedPageBreak/>
        <w:t>Shell has a good yet competitive position. Its scale of LNG, its sophistication and platform of trade ha</w:t>
      </w:r>
      <w:r w:rsidR="00775C72">
        <w:rPr>
          <w:rFonts w:cstheme="majorBidi"/>
        </w:rPr>
        <w:t>ve</w:t>
      </w:r>
      <w:r w:rsidRPr="00294001">
        <w:rPr>
          <w:rFonts w:cstheme="majorBidi"/>
        </w:rPr>
        <w:t xml:space="preserve"> defensible advantages</w:t>
      </w:r>
      <w:r w:rsidR="00775C72">
        <w:rPr>
          <w:rFonts w:cstheme="majorBidi"/>
        </w:rPr>
        <w:t>,</w:t>
      </w:r>
      <w:r w:rsidRPr="00294001">
        <w:rPr>
          <w:rFonts w:cstheme="majorBidi"/>
        </w:rPr>
        <w:t xml:space="preserve"> though this long-term strategy is subject to a structural challenge: can the company retain returns as it lowers its emissions and builds scalable low-carbon businesses? Environmental forces do not then pose a mere threat to Shell; they reshape the concept of strategic advantage. Historically, the benefits were primarily due to reserves, scale and operational efficiency. </w:t>
      </w:r>
      <w:r w:rsidR="00775C72">
        <w:rPr>
          <w:rFonts w:cstheme="majorBidi"/>
        </w:rPr>
        <w:t>A c</w:t>
      </w:r>
      <w:r w:rsidRPr="00294001">
        <w:rPr>
          <w:rFonts w:cstheme="majorBidi"/>
        </w:rPr>
        <w:t>ombination of those legacy strengths with believable decarbonisation, technological adaptation and stakeholder legitimacy will become an asset of Shell in the future.</w:t>
      </w:r>
    </w:p>
    <w:p w14:paraId="0BD33C81" w14:textId="7CDBB4DF" w:rsidR="006C4EC4" w:rsidRPr="00294001" w:rsidRDefault="006C4EC4" w:rsidP="00ED71FC">
      <w:pPr>
        <w:pStyle w:val="Heading1"/>
        <w:numPr>
          <w:ilvl w:val="0"/>
          <w:numId w:val="1"/>
        </w:numPr>
        <w:spacing w:before="240" w:after="160"/>
      </w:pPr>
      <w:bookmarkStart w:id="7" w:name="_Toc228539546"/>
      <w:r w:rsidRPr="00294001">
        <w:t>CSR and Sustainability Objectives</w:t>
      </w:r>
      <w:bookmarkEnd w:id="7"/>
    </w:p>
    <w:p w14:paraId="1624AF6F" w14:textId="7D06BF55" w:rsidR="00886964" w:rsidRDefault="00DC1FAE" w:rsidP="00ED71FC">
      <w:pPr>
        <w:spacing w:before="240"/>
        <w:ind w:firstLine="720"/>
        <w:rPr>
          <w:rFonts w:cstheme="majorBidi"/>
        </w:rPr>
      </w:pPr>
      <w:r w:rsidRPr="00294001">
        <w:rPr>
          <w:rFonts w:cstheme="majorBidi"/>
        </w:rPr>
        <w:t>The Shell CSR and sustainability strategy is anchored on the claim that the company can create more value using less emissions</w:t>
      </w:r>
      <w:r w:rsidR="00775C72">
        <w:rPr>
          <w:rFonts w:cstheme="majorBidi"/>
        </w:rPr>
        <w:t>,</w:t>
      </w:r>
      <w:r w:rsidRPr="00294001">
        <w:rPr>
          <w:rFonts w:cstheme="majorBidi"/>
        </w:rPr>
        <w:t xml:space="preserve"> that help to connect the shareholder returns, energy security and decarbonisation in a single strategic story (Shell plc, 202</w:t>
      </w:r>
      <w:r w:rsidR="00833DA9">
        <w:rPr>
          <w:rFonts w:cstheme="majorBidi"/>
        </w:rPr>
        <w:t>5</w:t>
      </w:r>
      <w:r w:rsidRPr="00294001">
        <w:rPr>
          <w:rFonts w:cstheme="majorBidi"/>
        </w:rPr>
        <w:t xml:space="preserve">). This convergence is business-wise rational as long-term legitimacy of Shell will rely on its ability to sustain profitable energy provision and react to climate controls, shareholder examination and </w:t>
      </w:r>
      <w:r w:rsidR="00775C72">
        <w:rPr>
          <w:rFonts w:cstheme="majorBidi"/>
        </w:rPr>
        <w:t>expectation</w:t>
      </w:r>
      <w:r w:rsidRPr="00294001">
        <w:rPr>
          <w:rFonts w:cstheme="majorBidi"/>
        </w:rPr>
        <w:t xml:space="preserve">s of stakeholders. The sustainability goals of the company are also implementing a net-zero emission target by 2050, cutting down operational emissions, developing lower-carbon energy options, enhancing safety performance, and social investing in the communities in which it functions (Shell plc, 2024). Nonetheless, the plan is still disputed since Shell still over depends on oil, gas and LNG as </w:t>
      </w:r>
      <w:r w:rsidR="00775C72">
        <w:rPr>
          <w:rFonts w:cstheme="majorBidi"/>
        </w:rPr>
        <w:t>its</w:t>
      </w:r>
      <w:r w:rsidRPr="00294001">
        <w:rPr>
          <w:rFonts w:cstheme="majorBidi"/>
        </w:rPr>
        <w:t xml:space="preserve"> primary profit drivers. As such, its CSR is not an isolated act of charity; it is a management tool of reputational risk control, regulatory risk and pressure to transition to alternative markets.</w:t>
      </w:r>
    </w:p>
    <w:p w14:paraId="07C4C41C" w14:textId="691A7627" w:rsidR="00E16886" w:rsidRDefault="00DC1FAE" w:rsidP="00ED71FC">
      <w:pPr>
        <w:spacing w:before="240"/>
        <w:ind w:firstLine="720"/>
        <w:rPr>
          <w:rFonts w:cstheme="majorBidi"/>
        </w:rPr>
      </w:pPr>
      <w:r w:rsidRPr="00294001">
        <w:rPr>
          <w:rFonts w:cstheme="majorBidi"/>
        </w:rPr>
        <w:t xml:space="preserve">Critically, the CSR strategy of Shell shows both partiality to its business goals and also exposes a structural contradiction. Cherepovitsyn and Rutenko (2022) note that decarbonisation needs to be maintained as part of oil and gas strategic planning as opposed to an attempt at compliance, so the idea of Shell trying to incorporate a set of emissions targets into corporate strategy is not in vain. However, Halttunen, Slade and Staffell (2023) caution that these diversification efforts by oil majors cannot be currently climate-appropriate to </w:t>
      </w:r>
      <w:r w:rsidR="00801482" w:rsidRPr="00294001">
        <w:rPr>
          <w:rFonts w:cstheme="majorBidi"/>
        </w:rPr>
        <w:t>transform and</w:t>
      </w:r>
      <w:r w:rsidRPr="00294001">
        <w:rPr>
          <w:rFonts w:cstheme="majorBidi"/>
        </w:rPr>
        <w:t xml:space="preserve"> point out that low-carbon investments by Shell might not be as large as its hydrocarbon reliance. This gives a gap of credibility between ambition and </w:t>
      </w:r>
      <w:r w:rsidR="00775C72">
        <w:rPr>
          <w:rFonts w:cstheme="majorBidi"/>
        </w:rPr>
        <w:t xml:space="preserve">the </w:t>
      </w:r>
      <w:r w:rsidRPr="00294001">
        <w:rPr>
          <w:rFonts w:cstheme="majorBidi"/>
        </w:rPr>
        <w:t xml:space="preserve">reality of </w:t>
      </w:r>
      <w:r w:rsidR="00775C72">
        <w:rPr>
          <w:rFonts w:cstheme="majorBidi"/>
        </w:rPr>
        <w:t xml:space="preserve">the </w:t>
      </w:r>
      <w:r w:rsidRPr="00294001">
        <w:rPr>
          <w:rFonts w:cstheme="majorBidi"/>
        </w:rPr>
        <w:t>sustainability portfolio.</w:t>
      </w:r>
    </w:p>
    <w:p w14:paraId="7243A1F8" w14:textId="0409624F" w:rsidR="006C4EC4" w:rsidRPr="00294001" w:rsidRDefault="00DC1FAE" w:rsidP="00ED71FC">
      <w:pPr>
        <w:spacing w:before="240"/>
        <w:ind w:firstLine="720"/>
        <w:rPr>
          <w:rFonts w:cstheme="majorBidi"/>
        </w:rPr>
      </w:pPr>
      <w:r w:rsidRPr="00294001">
        <w:rPr>
          <w:rFonts w:cstheme="majorBidi"/>
        </w:rPr>
        <w:t>On the whole, Shell</w:t>
      </w:r>
      <w:r w:rsidR="00775C72">
        <w:rPr>
          <w:rFonts w:cstheme="majorBidi"/>
        </w:rPr>
        <w:t>'s</w:t>
      </w:r>
      <w:r w:rsidRPr="00294001">
        <w:rPr>
          <w:rFonts w:cstheme="majorBidi"/>
        </w:rPr>
        <w:t xml:space="preserve"> CSR strategy is not transformational but is rather sophisticated. It assists in achieving business goals by </w:t>
      </w:r>
      <w:r w:rsidR="00775C72">
        <w:rPr>
          <w:rFonts w:cstheme="majorBidi"/>
        </w:rPr>
        <w:t>ensuring a</w:t>
      </w:r>
      <w:r w:rsidRPr="00294001">
        <w:rPr>
          <w:rFonts w:cstheme="majorBidi"/>
        </w:rPr>
        <w:t xml:space="preserve"> licence to operate, enhancing stakeholder </w:t>
      </w:r>
      <w:r w:rsidRPr="00294001">
        <w:rPr>
          <w:rFonts w:cstheme="majorBidi"/>
        </w:rPr>
        <w:lastRenderedPageBreak/>
        <w:t>confidence and the ability to capitali</w:t>
      </w:r>
      <w:r w:rsidR="00910A76">
        <w:rPr>
          <w:rFonts w:cstheme="majorBidi"/>
        </w:rPr>
        <w:t>s</w:t>
      </w:r>
      <w:r w:rsidRPr="00294001">
        <w:rPr>
          <w:rFonts w:cstheme="majorBidi"/>
        </w:rPr>
        <w:t xml:space="preserve">e on energy-transition opportunities. However, by adhering to the natural-resource-based perspective of sustainability as proposed by Hart (1995), Shell can only attain sustainable sustainability-led benefit when environmental capabilities start shifting beyond the risk management context, but rather form embedded sources of innovation, product stewardship and </w:t>
      </w:r>
      <w:r w:rsidR="00801482" w:rsidRPr="00294001">
        <w:rPr>
          <w:rFonts w:cstheme="majorBidi"/>
        </w:rPr>
        <w:t>long-term</w:t>
      </w:r>
      <w:r w:rsidRPr="00294001">
        <w:rPr>
          <w:rFonts w:cstheme="majorBidi"/>
        </w:rPr>
        <w:t xml:space="preserve"> competitive differentiation.</w:t>
      </w:r>
    </w:p>
    <w:p w14:paraId="35CF568A" w14:textId="1F52FB11" w:rsidR="008B217B" w:rsidRPr="00294001" w:rsidRDefault="008B217B" w:rsidP="00ED71FC">
      <w:pPr>
        <w:pStyle w:val="Heading1"/>
        <w:numPr>
          <w:ilvl w:val="0"/>
          <w:numId w:val="1"/>
        </w:numPr>
        <w:spacing w:before="240" w:after="160"/>
      </w:pPr>
      <w:bookmarkStart w:id="8" w:name="_Toc228539547"/>
      <w:r w:rsidRPr="00294001">
        <w:t>Comprehensive and Holistic View of the Organisation</w:t>
      </w:r>
      <w:bookmarkEnd w:id="8"/>
    </w:p>
    <w:p w14:paraId="6E37AF57" w14:textId="64B209BD" w:rsidR="008B217B" w:rsidRPr="00294001" w:rsidRDefault="00755351" w:rsidP="00ED71FC">
      <w:pPr>
        <w:pStyle w:val="Heading2"/>
        <w:numPr>
          <w:ilvl w:val="1"/>
          <w:numId w:val="1"/>
        </w:numPr>
        <w:spacing w:before="240" w:after="160"/>
      </w:pPr>
      <w:r>
        <w:t xml:space="preserve"> </w:t>
      </w:r>
      <w:bookmarkStart w:id="9" w:name="_Toc228539548"/>
      <w:r w:rsidR="008B217B" w:rsidRPr="00294001">
        <w:t>Balanced Scorecard Logic for Shell</w:t>
      </w:r>
      <w:bookmarkEnd w:id="9"/>
    </w:p>
    <w:p w14:paraId="077DE767" w14:textId="57CE4695" w:rsidR="008B217B" w:rsidRPr="000179BD" w:rsidRDefault="00D11009" w:rsidP="00ED71FC">
      <w:pPr>
        <w:spacing w:before="240"/>
        <w:ind w:firstLine="720"/>
        <w:rPr>
          <w:rFonts w:cstheme="majorBidi"/>
        </w:rPr>
      </w:pPr>
      <w:r w:rsidRPr="00294001">
        <w:rPr>
          <w:rFonts w:cstheme="majorBidi"/>
        </w:rPr>
        <w:t>Balanced Scorecard suits Shell since it does not allow the strategy analysis to be narrowed down to the immediate financial results. The model by Kaplan and Norton</w:t>
      </w:r>
      <w:r w:rsidR="00A5708B">
        <w:rPr>
          <w:rFonts w:cstheme="majorBidi"/>
        </w:rPr>
        <w:t xml:space="preserve"> (2005)</w:t>
      </w:r>
      <w:r w:rsidRPr="00294001">
        <w:rPr>
          <w:rFonts w:cstheme="majorBidi"/>
        </w:rPr>
        <w:t xml:space="preserve"> connects the relationship between strategy and the vision with the financial and non-financial output indicators to enable managers to evaluate how the current outcome is reinforced by customer value, quality of internal processes and organisational learning. It is specifically applicable to Shell since its strategy aims at providing more with less emissions</w:t>
      </w:r>
      <w:r w:rsidR="00775C72">
        <w:rPr>
          <w:rFonts w:cstheme="majorBidi"/>
        </w:rPr>
        <w:t>,</w:t>
      </w:r>
      <w:r w:rsidRPr="00294001">
        <w:rPr>
          <w:rFonts w:cstheme="majorBidi"/>
        </w:rPr>
        <w:t xml:space="preserve"> i.e. performance should be evaluated not only by profitability but also by safety, reduction of emissions, reliability and transition ability in its operations. The Shell 2025 Annual Report is an annual report covering the financial, operational, strategic, and sustainability performance, as of 31 December 2025, which is why it can be evaluated based on the assessment of a balanced performance.</w:t>
      </w:r>
    </w:p>
    <w:p w14:paraId="1E3D70F1" w14:textId="0286BBF2" w:rsidR="000179BD" w:rsidRDefault="000179BD" w:rsidP="00ED71FC">
      <w:pPr>
        <w:pStyle w:val="Caption"/>
        <w:keepNext/>
        <w:spacing w:before="240" w:after="160" w:line="360" w:lineRule="auto"/>
        <w:rPr>
          <w:b/>
          <w:bCs/>
          <w:i w:val="0"/>
          <w:iCs w:val="0"/>
          <w:color w:val="000000" w:themeColor="text1"/>
          <w:lang w:val="en-US"/>
        </w:rPr>
      </w:pPr>
      <w:r w:rsidRPr="00745543">
        <w:rPr>
          <w:b/>
          <w:bCs/>
          <w:i w:val="0"/>
          <w:iCs w:val="0"/>
          <w:color w:val="000000" w:themeColor="text1"/>
        </w:rPr>
        <w:lastRenderedPageBreak/>
        <w:t xml:space="preserve">Table </w:t>
      </w:r>
      <w:r w:rsidRPr="00745543">
        <w:rPr>
          <w:b/>
          <w:bCs/>
          <w:i w:val="0"/>
          <w:iCs w:val="0"/>
          <w:color w:val="000000" w:themeColor="text1"/>
        </w:rPr>
        <w:fldChar w:fldCharType="begin"/>
      </w:r>
      <w:r w:rsidRPr="00745543">
        <w:rPr>
          <w:b/>
          <w:bCs/>
          <w:i w:val="0"/>
          <w:iCs w:val="0"/>
          <w:color w:val="000000" w:themeColor="text1"/>
        </w:rPr>
        <w:instrText xml:space="preserve"> SEQ Table \* ARABIC </w:instrText>
      </w:r>
      <w:r w:rsidRPr="00745543">
        <w:rPr>
          <w:b/>
          <w:bCs/>
          <w:i w:val="0"/>
          <w:iCs w:val="0"/>
          <w:color w:val="000000" w:themeColor="text1"/>
        </w:rPr>
        <w:fldChar w:fldCharType="separate"/>
      </w:r>
      <w:r w:rsidR="00B35E70">
        <w:rPr>
          <w:b/>
          <w:bCs/>
          <w:i w:val="0"/>
          <w:iCs w:val="0"/>
          <w:noProof/>
          <w:color w:val="000000" w:themeColor="text1"/>
        </w:rPr>
        <w:t>3</w:t>
      </w:r>
      <w:r w:rsidRPr="00745543">
        <w:rPr>
          <w:b/>
          <w:bCs/>
          <w:i w:val="0"/>
          <w:iCs w:val="0"/>
          <w:color w:val="000000" w:themeColor="text1"/>
        </w:rPr>
        <w:fldChar w:fldCharType="end"/>
      </w:r>
      <w:r w:rsidRPr="00745543">
        <w:rPr>
          <w:b/>
          <w:bCs/>
          <w:i w:val="0"/>
          <w:iCs w:val="0"/>
          <w:color w:val="000000" w:themeColor="text1"/>
          <w:lang w:val="en-US"/>
        </w:rPr>
        <w:t>: Balanced Scorecard for Shell plc</w:t>
      </w:r>
    </w:p>
    <w:p w14:paraId="4A7F0C7C" w14:textId="2D4D0F06" w:rsidR="00D83EA7" w:rsidRPr="00D83EA7" w:rsidRDefault="00D83EA7" w:rsidP="00ED71FC">
      <w:pPr>
        <w:spacing w:before="240"/>
        <w:rPr>
          <w:lang w:val="en-US"/>
        </w:rPr>
      </w:pPr>
      <w:r w:rsidRPr="00D83EA7">
        <w:rPr>
          <w:noProof/>
          <w:lang w:eastAsia="en-GB"/>
        </w:rPr>
        <w:drawing>
          <wp:inline distT="0" distB="0" distL="0" distR="0" wp14:anchorId="00463379" wp14:editId="056BD915">
            <wp:extent cx="5943600" cy="4273550"/>
            <wp:effectExtent l="0" t="0" r="0" b="0"/>
            <wp:docPr id="293445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445526" name=""/>
                    <pic:cNvPicPr/>
                  </pic:nvPicPr>
                  <pic:blipFill>
                    <a:blip r:embed="rId12"/>
                    <a:stretch>
                      <a:fillRect/>
                    </a:stretch>
                  </pic:blipFill>
                  <pic:spPr>
                    <a:xfrm>
                      <a:off x="0" y="0"/>
                      <a:ext cx="5943600" cy="4273550"/>
                    </a:xfrm>
                    <a:prstGeom prst="rect">
                      <a:avLst/>
                    </a:prstGeom>
                  </pic:spPr>
                </pic:pic>
              </a:graphicData>
            </a:graphic>
          </wp:inline>
        </w:drawing>
      </w:r>
    </w:p>
    <w:p w14:paraId="52BC8F76" w14:textId="143488DB" w:rsidR="008B217B" w:rsidRPr="00294001" w:rsidRDefault="00C2148D" w:rsidP="00ED71FC">
      <w:pPr>
        <w:pStyle w:val="Heading2"/>
        <w:numPr>
          <w:ilvl w:val="1"/>
          <w:numId w:val="1"/>
        </w:numPr>
        <w:spacing w:before="240" w:after="160"/>
      </w:pPr>
      <w:r>
        <w:t xml:space="preserve"> </w:t>
      </w:r>
      <w:bookmarkStart w:id="10" w:name="_Toc228539549"/>
      <w:r w:rsidR="008B217B" w:rsidRPr="00294001">
        <w:t>Financial and Customer Perspectives</w:t>
      </w:r>
      <w:bookmarkEnd w:id="10"/>
    </w:p>
    <w:p w14:paraId="693545C4" w14:textId="3AD88253" w:rsidR="00585D71" w:rsidRDefault="00E13E99" w:rsidP="00ED71FC">
      <w:pPr>
        <w:spacing w:before="240"/>
        <w:ind w:firstLine="720"/>
        <w:rPr>
          <w:rFonts w:cstheme="majorBidi"/>
        </w:rPr>
      </w:pPr>
      <w:r w:rsidRPr="00294001">
        <w:rPr>
          <w:rFonts w:cstheme="majorBidi"/>
        </w:rPr>
        <w:t xml:space="preserve">In financial terms, Shell has the goal of creating a high cash flow and being capital disciplined. Shell had reported 2025 incomes of </w:t>
      </w:r>
      <w:r w:rsidR="005B37DC">
        <w:rPr>
          <w:rFonts w:cstheme="majorBidi"/>
        </w:rPr>
        <w:t>$</w:t>
      </w:r>
      <w:r w:rsidRPr="00294001">
        <w:rPr>
          <w:rFonts w:cstheme="majorBidi"/>
        </w:rPr>
        <w:t xml:space="preserve">18.1 billion, adjusted earnings of </w:t>
      </w:r>
      <w:r w:rsidR="005B37DC">
        <w:rPr>
          <w:rFonts w:cstheme="majorBidi"/>
        </w:rPr>
        <w:t>$</w:t>
      </w:r>
      <w:r w:rsidRPr="00294001">
        <w:rPr>
          <w:rFonts w:cstheme="majorBidi"/>
        </w:rPr>
        <w:t xml:space="preserve">18.5 billion, operating cash flow of </w:t>
      </w:r>
      <w:r w:rsidR="005B37DC">
        <w:rPr>
          <w:rFonts w:cstheme="majorBidi"/>
        </w:rPr>
        <w:t>$</w:t>
      </w:r>
      <w:r w:rsidRPr="00294001">
        <w:rPr>
          <w:rFonts w:cstheme="majorBidi"/>
        </w:rPr>
        <w:t xml:space="preserve">42.9 billion, free cash flow of </w:t>
      </w:r>
      <w:r w:rsidR="005B37DC">
        <w:rPr>
          <w:rFonts w:cstheme="majorBidi"/>
        </w:rPr>
        <w:t>$</w:t>
      </w:r>
      <w:r w:rsidRPr="00294001">
        <w:rPr>
          <w:rFonts w:cstheme="majorBidi"/>
        </w:rPr>
        <w:t xml:space="preserve">26.1 billion and capital expenditure of </w:t>
      </w:r>
      <w:r w:rsidR="005B37DC">
        <w:rPr>
          <w:rFonts w:cstheme="majorBidi"/>
        </w:rPr>
        <w:t>$</w:t>
      </w:r>
      <w:r w:rsidRPr="00294001">
        <w:rPr>
          <w:rFonts w:cstheme="majorBidi"/>
        </w:rPr>
        <w:t>18.9 billion. This demonstrates high financial strength, although it also indicates that there is pressure due to reduced adjusted earnings relative to 2024. Thus, a financial scorecard of Shell must not just be able to reward profit and shareholder distributions like its own $13.9 billion share buyback programme, but it must also challenge the ability of capital allocation to promote long-term competitiveness and not the short-term investor appeasement.</w:t>
      </w:r>
    </w:p>
    <w:p w14:paraId="5C78A49F" w14:textId="1F6E9588" w:rsidR="008B217B" w:rsidRPr="00294001" w:rsidRDefault="00E13E99" w:rsidP="00ED71FC">
      <w:pPr>
        <w:spacing w:before="240"/>
        <w:ind w:firstLine="720"/>
        <w:rPr>
          <w:rFonts w:cstheme="majorBidi"/>
        </w:rPr>
      </w:pPr>
      <w:r w:rsidRPr="00294001">
        <w:rPr>
          <w:rFonts w:cstheme="majorBidi"/>
        </w:rPr>
        <w:t>The customer viewpoint must be evaluated in terms of Shell</w:t>
      </w:r>
      <w:r w:rsidR="00775C72">
        <w:rPr>
          <w:rFonts w:cstheme="majorBidi"/>
        </w:rPr>
        <w:t>'s</w:t>
      </w:r>
      <w:r w:rsidRPr="00294001">
        <w:rPr>
          <w:rFonts w:cstheme="majorBidi"/>
        </w:rPr>
        <w:t xml:space="preserve"> capability of providing dependable energy as well as assisting customers in their transition requirements. This is in</w:t>
      </w:r>
      <w:r w:rsidR="00775C72">
        <w:rPr>
          <w:rFonts w:cstheme="majorBidi"/>
        </w:rPr>
        <w:t xml:space="preserve"> </w:t>
      </w:r>
      <w:r w:rsidRPr="00294001">
        <w:rPr>
          <w:rFonts w:cstheme="majorBidi"/>
        </w:rPr>
        <w:t xml:space="preserve">line </w:t>
      </w:r>
      <w:r w:rsidRPr="00294001">
        <w:rPr>
          <w:rFonts w:cstheme="majorBidi"/>
        </w:rPr>
        <w:lastRenderedPageBreak/>
        <w:t>with the vision of Shell to assist in fulfilling energy demand in a fractured and intricate world and reduce emissions in the long run. Nonetheless, the customer value is no longer based on the availability of fuel or the convenience of the brand</w:t>
      </w:r>
      <w:r w:rsidR="00775C72">
        <w:rPr>
          <w:rFonts w:cstheme="majorBidi"/>
        </w:rPr>
        <w:t>;</w:t>
      </w:r>
      <w:r w:rsidRPr="00294001">
        <w:rPr>
          <w:rFonts w:cstheme="majorBidi"/>
        </w:rPr>
        <w:t xml:space="preserve"> it is now encompassing lower-carbon products, open climate promises and low costs. According to Shell</w:t>
      </w:r>
      <w:r w:rsidR="00775C72">
        <w:rPr>
          <w:rFonts w:cstheme="majorBidi"/>
        </w:rPr>
        <w:t>'s</w:t>
      </w:r>
      <w:r w:rsidRPr="00294001">
        <w:rPr>
          <w:rFonts w:cstheme="majorBidi"/>
        </w:rPr>
        <w:t xml:space="preserve"> Energy Transition Strategy 2024, the company intends to make its operations and energy products net-zero in terms of emissions by 2050, and actively facilitate the interim shift towards low-carbon energy solutions, which is expected to support the idea of balanced transition. This renders net carbon intensity, customer decarbonisation solutions, LNG reliability, and EV charging access and mobility service quality to be pertinent customer KPIs. </w:t>
      </w:r>
      <w:r w:rsidR="008B217B" w:rsidRPr="00294001">
        <w:rPr>
          <w:rFonts w:eastAsia="Times New Roman" w:cstheme="majorBidi"/>
          <w:kern w:val="0"/>
          <w14:ligatures w14:val="none"/>
        </w:rPr>
        <w:t xml:space="preserve"> </w:t>
      </w:r>
    </w:p>
    <w:p w14:paraId="1B503D7B" w14:textId="5B7B7408" w:rsidR="008B217B" w:rsidRPr="00294001" w:rsidRDefault="00613F34" w:rsidP="00ED71FC">
      <w:pPr>
        <w:pStyle w:val="Heading2"/>
        <w:numPr>
          <w:ilvl w:val="1"/>
          <w:numId w:val="1"/>
        </w:numPr>
        <w:spacing w:before="240" w:after="160"/>
      </w:pPr>
      <w:r>
        <w:t xml:space="preserve"> </w:t>
      </w:r>
      <w:bookmarkStart w:id="11" w:name="_Toc228539550"/>
      <w:r w:rsidR="008B217B" w:rsidRPr="00294001">
        <w:t>Internal Process and Learning-and-Growth Perspectives</w:t>
      </w:r>
      <w:bookmarkEnd w:id="11"/>
    </w:p>
    <w:p w14:paraId="3B3B8D0F" w14:textId="74529257" w:rsidR="008A323C" w:rsidRDefault="007F618D" w:rsidP="00ED71FC">
      <w:pPr>
        <w:spacing w:before="240"/>
        <w:ind w:firstLine="720"/>
        <w:rPr>
          <w:rFonts w:cstheme="majorBidi"/>
        </w:rPr>
      </w:pPr>
      <w:r w:rsidRPr="00294001">
        <w:rPr>
          <w:rFonts w:cstheme="majorBidi"/>
        </w:rPr>
        <w:t xml:space="preserve">The internal process school of thought is important since the competitive advantage of Shell lies </w:t>
      </w:r>
      <w:r w:rsidR="00775C72">
        <w:rPr>
          <w:rFonts w:cstheme="majorBidi"/>
        </w:rPr>
        <w:t>i</w:t>
      </w:r>
      <w:r w:rsidRPr="00294001">
        <w:rPr>
          <w:rFonts w:cstheme="majorBidi"/>
        </w:rPr>
        <w:t>n safe, efficient and reliable operations. Shell reported a rate of 2.1 fatalit</w:t>
      </w:r>
      <w:r w:rsidR="00775C72">
        <w:rPr>
          <w:rFonts w:cstheme="majorBidi"/>
        </w:rPr>
        <w:t>ies</w:t>
      </w:r>
      <w:r w:rsidRPr="00294001">
        <w:rPr>
          <w:rFonts w:cstheme="majorBidi"/>
        </w:rPr>
        <w:t xml:space="preserve"> and permanent impairment in 2025</w:t>
      </w:r>
      <w:r w:rsidR="00775C72">
        <w:rPr>
          <w:rFonts w:cstheme="majorBidi"/>
        </w:rPr>
        <w:t>,</w:t>
      </w:r>
      <w:r w:rsidRPr="00294001">
        <w:rPr>
          <w:rFonts w:cstheme="majorBidi"/>
        </w:rPr>
        <w:t xml:space="preserve"> compared to 89 in 2024</w:t>
      </w:r>
      <w:r w:rsidR="00775C72">
        <w:rPr>
          <w:rFonts w:cstheme="majorBidi"/>
        </w:rPr>
        <w:t>,</w:t>
      </w:r>
      <w:r w:rsidRPr="00294001">
        <w:rPr>
          <w:rFonts w:cstheme="majorBidi"/>
        </w:rPr>
        <w:t xml:space="preserve"> and Tier 1 and Tier 2 incidents of process safety were 62 in 2025 compared to 89 in 2024. This is a sign of operational improvements, and yet this sign does not exclude serious safety threats, so the process excellence should stay at the core of strategy implementation. Indicators of environmental processes are also significant: Shell has 53 million tonnes of Scope 1 and 2 emissions in 2025, compared to 58 million tonnes in 2024, and its net carbon intensity stood at 71 gCO2e/MJ.</w:t>
      </w:r>
    </w:p>
    <w:p w14:paraId="52E761D2" w14:textId="1EC4FAC9" w:rsidR="009C2D02" w:rsidRPr="0079786D" w:rsidRDefault="007F618D" w:rsidP="00ED71FC">
      <w:pPr>
        <w:spacing w:before="240"/>
        <w:ind w:firstLine="720"/>
        <w:rPr>
          <w:rFonts w:cstheme="majorBidi"/>
        </w:rPr>
      </w:pPr>
      <w:r w:rsidRPr="00294001">
        <w:rPr>
          <w:rFonts w:cstheme="majorBidi"/>
        </w:rPr>
        <w:t>The learning-and-growth perspective will measure the ability of Shell to develop capabilities that could provide it with an advantage in the future. Figge et al. (2002) posit that a sustainability balanced scorecard links non-financial activities of sustainability to long-term strategy</w:t>
      </w:r>
      <w:r w:rsidR="00775C72">
        <w:rPr>
          <w:rFonts w:cstheme="majorBidi"/>
        </w:rPr>
        <w:t>,</w:t>
      </w:r>
      <w:r w:rsidRPr="00294001">
        <w:rPr>
          <w:rFonts w:cstheme="majorBidi"/>
        </w:rPr>
        <w:t xml:space="preserve"> and Mooraj, Oyon and Hostettler (1999) see the scorecard as a strategic control tool, but not a mere measuring device. In the case of Shell, it entails reskilling of the workforce, digital analytics, CCS, hydrogen, EV infrastructure, trading intelligence and low-carbon partnerships should be considered as strategic capability indicators. In general, the Balanced Scorecard used by Shell must gauge the ability of today to transform the cash flows of hydrocarbons into the ability to transition into the future. In the absence of such a connection, good financial performance can mask strategic under-preparedness.</w:t>
      </w:r>
    </w:p>
    <w:p w14:paraId="2243515D" w14:textId="6DBB8730" w:rsidR="00A13E3E" w:rsidRPr="00294001" w:rsidRDefault="00A13E3E" w:rsidP="00ED71FC">
      <w:pPr>
        <w:pStyle w:val="Heading1"/>
        <w:numPr>
          <w:ilvl w:val="0"/>
          <w:numId w:val="1"/>
        </w:numPr>
        <w:spacing w:before="240" w:after="160"/>
      </w:pPr>
      <w:bookmarkStart w:id="12" w:name="_Toc228539551"/>
      <w:r w:rsidRPr="00294001">
        <w:lastRenderedPageBreak/>
        <w:t>Strategic Choices and Implementation</w:t>
      </w:r>
      <w:bookmarkEnd w:id="12"/>
    </w:p>
    <w:p w14:paraId="0B952146" w14:textId="649934B9" w:rsidR="00A13E3E" w:rsidRPr="00294001" w:rsidRDefault="00025C2B" w:rsidP="00ED71FC">
      <w:pPr>
        <w:pStyle w:val="Heading2"/>
        <w:numPr>
          <w:ilvl w:val="1"/>
          <w:numId w:val="1"/>
        </w:numPr>
        <w:spacing w:before="240" w:after="160"/>
      </w:pPr>
      <w:r>
        <w:t xml:space="preserve"> </w:t>
      </w:r>
      <w:bookmarkStart w:id="13" w:name="_Toc228539552"/>
      <w:r w:rsidR="00A13E3E" w:rsidRPr="00294001">
        <w:t>Business- and Corporate-Level Strategic Choices</w:t>
      </w:r>
      <w:bookmarkEnd w:id="13"/>
    </w:p>
    <w:p w14:paraId="344CADA9" w14:textId="2D4F20AC" w:rsidR="00A13E3E" w:rsidRPr="00460693" w:rsidRDefault="00E34FA8" w:rsidP="00ED71FC">
      <w:pPr>
        <w:spacing w:before="240"/>
        <w:ind w:firstLine="720"/>
        <w:rPr>
          <w:rFonts w:cstheme="majorBidi"/>
        </w:rPr>
      </w:pPr>
      <w:r w:rsidRPr="00294001">
        <w:rPr>
          <w:rFonts w:cstheme="majorBidi"/>
        </w:rPr>
        <w:t xml:space="preserve">The strategic decisions by Shell should be tested in terms of maintaining hydrocarbon cash </w:t>
      </w:r>
      <w:r w:rsidR="00EF3A24" w:rsidRPr="00294001">
        <w:rPr>
          <w:rFonts w:cstheme="majorBidi"/>
        </w:rPr>
        <w:t>flows and</w:t>
      </w:r>
      <w:r w:rsidRPr="00294001">
        <w:rPr>
          <w:rFonts w:cstheme="majorBidi"/>
        </w:rPr>
        <w:t xml:space="preserve"> developing credibility in the energy transition. On the business level, Shell would be able to seek cost leadership by means of efficient operation, rigorous capital management and portfolio streamlining. This is a strategic requirement since the markets of oil and gas are cyclical and price-sensitive; the 2025 Annual Report of Shell focuses on competitiveness, resilience and value creation in a fragmented energy environment (Shell plc, 202</w:t>
      </w:r>
      <w:r w:rsidR="002151B5">
        <w:rPr>
          <w:rFonts w:cstheme="majorBidi"/>
        </w:rPr>
        <w:t>5</w:t>
      </w:r>
      <w:r w:rsidRPr="00294001">
        <w:rPr>
          <w:rFonts w:cstheme="majorBidi"/>
        </w:rPr>
        <w:t xml:space="preserve">). Nevertheless, a cost-leadership approach alone would be inadequate since Shell is competing with other integrated major and national oil companies that </w:t>
      </w:r>
      <w:r w:rsidR="00775C72">
        <w:rPr>
          <w:rFonts w:cstheme="majorBidi"/>
        </w:rPr>
        <w:t>can also</w:t>
      </w:r>
      <w:r w:rsidRPr="00294001">
        <w:rPr>
          <w:rFonts w:cstheme="majorBidi"/>
        </w:rPr>
        <w:t xml:space="preserve"> seek scale efficiencies. Porter (1996) states that strategic fit and trade-offs </w:t>
      </w:r>
      <w:r w:rsidR="00775C72">
        <w:rPr>
          <w:rFonts w:cstheme="majorBidi"/>
        </w:rPr>
        <w:t>are</w:t>
      </w:r>
      <w:r w:rsidRPr="00294001">
        <w:rPr>
          <w:rFonts w:cstheme="majorBidi"/>
        </w:rPr>
        <w:t xml:space="preserve"> a determinant of competitive advantage, instead of operational effectiveness by itself; cost discipline should, then, be treated as enabling capability, not as a strategy, by Shell.</w:t>
      </w:r>
    </w:p>
    <w:p w14:paraId="7A62CDD1" w14:textId="2A91BBEF" w:rsidR="000F534C" w:rsidRDefault="000F534C" w:rsidP="00ED71FC">
      <w:pPr>
        <w:pStyle w:val="Caption"/>
        <w:keepNext/>
        <w:spacing w:before="240" w:after="160" w:line="360" w:lineRule="auto"/>
        <w:rPr>
          <w:b/>
          <w:bCs/>
          <w:i w:val="0"/>
          <w:iCs w:val="0"/>
          <w:color w:val="000000" w:themeColor="text1"/>
          <w:lang w:val="en-US"/>
        </w:rPr>
      </w:pPr>
      <w:r w:rsidRPr="001648A8">
        <w:rPr>
          <w:b/>
          <w:bCs/>
          <w:i w:val="0"/>
          <w:iCs w:val="0"/>
          <w:color w:val="000000" w:themeColor="text1"/>
        </w:rPr>
        <w:t xml:space="preserve">Table </w:t>
      </w:r>
      <w:r w:rsidRPr="001648A8">
        <w:rPr>
          <w:b/>
          <w:bCs/>
          <w:i w:val="0"/>
          <w:iCs w:val="0"/>
          <w:color w:val="000000" w:themeColor="text1"/>
        </w:rPr>
        <w:fldChar w:fldCharType="begin"/>
      </w:r>
      <w:r w:rsidRPr="001648A8">
        <w:rPr>
          <w:b/>
          <w:bCs/>
          <w:i w:val="0"/>
          <w:iCs w:val="0"/>
          <w:color w:val="000000" w:themeColor="text1"/>
        </w:rPr>
        <w:instrText xml:space="preserve"> SEQ Table \* ARABIC </w:instrText>
      </w:r>
      <w:r w:rsidRPr="001648A8">
        <w:rPr>
          <w:b/>
          <w:bCs/>
          <w:i w:val="0"/>
          <w:iCs w:val="0"/>
          <w:color w:val="000000" w:themeColor="text1"/>
        </w:rPr>
        <w:fldChar w:fldCharType="separate"/>
      </w:r>
      <w:r w:rsidR="00B35E70">
        <w:rPr>
          <w:b/>
          <w:bCs/>
          <w:i w:val="0"/>
          <w:iCs w:val="0"/>
          <w:noProof/>
          <w:color w:val="000000" w:themeColor="text1"/>
        </w:rPr>
        <w:t>4</w:t>
      </w:r>
      <w:r w:rsidRPr="001648A8">
        <w:rPr>
          <w:b/>
          <w:bCs/>
          <w:i w:val="0"/>
          <w:iCs w:val="0"/>
          <w:color w:val="000000" w:themeColor="text1"/>
        </w:rPr>
        <w:fldChar w:fldCharType="end"/>
      </w:r>
      <w:r w:rsidRPr="001648A8">
        <w:rPr>
          <w:b/>
          <w:bCs/>
          <w:i w:val="0"/>
          <w:iCs w:val="0"/>
          <w:color w:val="000000" w:themeColor="text1"/>
          <w:lang w:val="en-US"/>
        </w:rPr>
        <w:t>: Strategic Choices Available to Shell plc</w:t>
      </w:r>
    </w:p>
    <w:p w14:paraId="29E87239" w14:textId="4661690B" w:rsidR="00753911" w:rsidRPr="00753911" w:rsidRDefault="00753911" w:rsidP="00ED71FC">
      <w:pPr>
        <w:spacing w:before="240"/>
        <w:rPr>
          <w:lang w:val="en-US"/>
        </w:rPr>
      </w:pPr>
      <w:r w:rsidRPr="00753911">
        <w:rPr>
          <w:noProof/>
          <w:lang w:eastAsia="en-GB"/>
        </w:rPr>
        <w:drawing>
          <wp:inline distT="0" distB="0" distL="0" distR="0" wp14:anchorId="2207A822" wp14:editId="4C843714">
            <wp:extent cx="5943600" cy="2691765"/>
            <wp:effectExtent l="0" t="0" r="0" b="0"/>
            <wp:docPr id="1496894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894394" name=""/>
                    <pic:cNvPicPr/>
                  </pic:nvPicPr>
                  <pic:blipFill>
                    <a:blip r:embed="rId13"/>
                    <a:stretch>
                      <a:fillRect/>
                    </a:stretch>
                  </pic:blipFill>
                  <pic:spPr>
                    <a:xfrm>
                      <a:off x="0" y="0"/>
                      <a:ext cx="5943600" cy="2691765"/>
                    </a:xfrm>
                    <a:prstGeom prst="rect">
                      <a:avLst/>
                    </a:prstGeom>
                  </pic:spPr>
                </pic:pic>
              </a:graphicData>
            </a:graphic>
          </wp:inline>
        </w:drawing>
      </w:r>
    </w:p>
    <w:p w14:paraId="6170DE1C" w14:textId="0D26956E" w:rsidR="009B4183" w:rsidRDefault="008B69EC" w:rsidP="00ED71FC">
      <w:pPr>
        <w:spacing w:before="240"/>
        <w:ind w:firstLine="720"/>
        <w:rPr>
          <w:rFonts w:cstheme="majorBidi"/>
        </w:rPr>
      </w:pPr>
      <w:r w:rsidRPr="00294001">
        <w:rPr>
          <w:rFonts w:cstheme="majorBidi"/>
        </w:rPr>
        <w:t xml:space="preserve">The better business level option is differentiation since the business strengths of Shell hinge on the integrated LNG capacity, international trading, brand presence, technical skills and energy solutions to customers. According to the Energy Transition Strategy 2024, Shell considers that by 2050, the company will deliver secure and affordable energy and become a net-zero emissions </w:t>
      </w:r>
      <w:r w:rsidRPr="00294001">
        <w:rPr>
          <w:rFonts w:cstheme="majorBidi"/>
        </w:rPr>
        <w:lastRenderedPageBreak/>
        <w:t>energy business; it will invest in low-carbon energy solutions and expand LNG ( Shell plc, 2024). This helps in a differentiated position in terms of reliability, scale and transition capability. However, differentiation should be plausible: Halttunen, Slade and Staffell (2023) caution that oil majors are under pressure to shift to further diversification</w:t>
      </w:r>
      <w:r w:rsidR="00775C72">
        <w:rPr>
          <w:rFonts w:cstheme="majorBidi"/>
        </w:rPr>
        <w:t>,</w:t>
      </w:r>
      <w:r w:rsidRPr="00294001">
        <w:rPr>
          <w:rFonts w:cstheme="majorBidi"/>
        </w:rPr>
        <w:t xml:space="preserve"> otherwise they are likely to become unsustainable in a sustainable energy shift.</w:t>
      </w:r>
    </w:p>
    <w:p w14:paraId="627171CD" w14:textId="58698CE5" w:rsidR="00A13E3E" w:rsidRPr="00294001" w:rsidRDefault="00775C72" w:rsidP="00ED71FC">
      <w:pPr>
        <w:spacing w:before="240"/>
        <w:ind w:firstLine="720"/>
        <w:rPr>
          <w:rFonts w:cstheme="majorBidi"/>
        </w:rPr>
      </w:pPr>
      <w:r>
        <w:rPr>
          <w:rFonts w:cstheme="majorBidi"/>
        </w:rPr>
        <w:t>At</w:t>
      </w:r>
      <w:r w:rsidR="008B69EC" w:rsidRPr="00294001">
        <w:rPr>
          <w:rFonts w:cstheme="majorBidi"/>
        </w:rPr>
        <w:t xml:space="preserve"> the corporate level, Shell ought to engage in the related diversification, rather than unrelated expansion. Pickl (2019) demonstrates that the choice of renewable strategies of oil majors depends on their legacy assets, reserves and pre-existing capabilities, i.e. it is easier to change successfully when new activity is developed based on their existing strengths. In the case of Shell, it would be a priority of LNG, biofuels, EV charging, carbon capture and storage, hydrogen, and customer decarbonisation services in which it can leverage trading, project management and industrial-customer relations. Another approach to international expansion would also not be a scale-based expansion but selective on advantaged LNG markets and politically manageable upstream assets, as opposed to high-risk geographic expansion. This is in line with the dynamic capabilities logic of Teece (2007): Shell needs to feel the transition opportunity, respond to commercially viable opportunities and re-arrange assets without demolishing its cash</w:t>
      </w:r>
      <w:r>
        <w:rPr>
          <w:rFonts w:cstheme="majorBidi"/>
        </w:rPr>
        <w:t>-</w:t>
      </w:r>
      <w:r w:rsidR="008B69EC" w:rsidRPr="00294001">
        <w:rPr>
          <w:rFonts w:cstheme="majorBidi"/>
        </w:rPr>
        <w:t>generating foundation.</w:t>
      </w:r>
    </w:p>
    <w:p w14:paraId="35279F16" w14:textId="1580FA36" w:rsidR="00A13E3E" w:rsidRPr="00294001" w:rsidRDefault="005E44C2" w:rsidP="00ED71FC">
      <w:pPr>
        <w:pStyle w:val="Heading2"/>
        <w:numPr>
          <w:ilvl w:val="1"/>
          <w:numId w:val="1"/>
        </w:numPr>
        <w:spacing w:before="240" w:after="160"/>
      </w:pPr>
      <w:r>
        <w:t xml:space="preserve"> </w:t>
      </w:r>
      <w:bookmarkStart w:id="14" w:name="_Toc228539553"/>
      <w:r w:rsidR="00A13E3E" w:rsidRPr="00294001">
        <w:t>Change Management and Strategic Implementation</w:t>
      </w:r>
      <w:bookmarkEnd w:id="14"/>
    </w:p>
    <w:p w14:paraId="5F72C9C4" w14:textId="49403363" w:rsidR="00AD6757" w:rsidRDefault="00BE59B5" w:rsidP="00ED71FC">
      <w:pPr>
        <w:spacing w:before="240"/>
        <w:ind w:firstLine="720"/>
        <w:rPr>
          <w:rFonts w:cstheme="majorBidi"/>
        </w:rPr>
      </w:pPr>
      <w:r w:rsidRPr="00294001">
        <w:rPr>
          <w:rFonts w:cstheme="majorBidi"/>
        </w:rPr>
        <w:t>Shell has been fairly successful in strategically changing financially and organisationally, but not conclusively in terms of transformation. Its performance, discipline and simplification have enhanced the focus of the strategy through lessening the complexity and prioritising high-return activities. This facilitates implementation since change implementation is more likely to be successful in cases where strategic decisions are converted to capital, operating targets and portfolio decisions. The 2025 financial and operational performance that Shell reported shows that the company still has the potential to create a massive amount of cash in the process of shifting its portfolio (Shell plc, 202</w:t>
      </w:r>
      <w:r w:rsidR="00761401">
        <w:rPr>
          <w:rFonts w:cstheme="majorBidi"/>
        </w:rPr>
        <w:t>5</w:t>
      </w:r>
      <w:r w:rsidRPr="00294001">
        <w:rPr>
          <w:rFonts w:cstheme="majorBidi"/>
        </w:rPr>
        <w:t>).</w:t>
      </w:r>
    </w:p>
    <w:p w14:paraId="7B1D27E7" w14:textId="7965A338" w:rsidR="00BA6A0E" w:rsidRPr="00852E4D" w:rsidRDefault="00BE59B5" w:rsidP="00ED71FC">
      <w:pPr>
        <w:spacing w:before="240"/>
        <w:ind w:firstLine="720"/>
        <w:rPr>
          <w:rFonts w:cstheme="majorBidi"/>
        </w:rPr>
      </w:pPr>
      <w:r w:rsidRPr="00294001">
        <w:rPr>
          <w:rFonts w:cstheme="majorBidi"/>
        </w:rPr>
        <w:t>The change management in Shell</w:t>
      </w:r>
      <w:r w:rsidR="00775C72">
        <w:rPr>
          <w:rFonts w:cstheme="majorBidi"/>
        </w:rPr>
        <w:t>,</w:t>
      </w:r>
      <w:r w:rsidRPr="00294001">
        <w:rPr>
          <w:rFonts w:cstheme="majorBidi"/>
        </w:rPr>
        <w:t xml:space="preserve"> however</w:t>
      </w:r>
      <w:r w:rsidR="00775C72">
        <w:rPr>
          <w:rFonts w:cstheme="majorBidi"/>
        </w:rPr>
        <w:t>,</w:t>
      </w:r>
      <w:r w:rsidRPr="00294001">
        <w:rPr>
          <w:rFonts w:cstheme="majorBidi"/>
        </w:rPr>
        <w:t xml:space="preserve"> is a contested area. The transition strategy of the company is business-realistic and business-disciplined, yet could be considered incremental since oil, gas and LNG continue to be the nexus of revenues. According to Cherepovitsyn and </w:t>
      </w:r>
      <w:r w:rsidRPr="00294001">
        <w:rPr>
          <w:rFonts w:cstheme="majorBidi"/>
        </w:rPr>
        <w:lastRenderedPageBreak/>
        <w:t xml:space="preserve">Rutenko (2022), oil and gas strategic planning should be prepared </w:t>
      </w:r>
      <w:r w:rsidR="00775C72">
        <w:rPr>
          <w:rFonts w:cstheme="majorBidi"/>
        </w:rPr>
        <w:t>for</w:t>
      </w:r>
      <w:r w:rsidRPr="00294001">
        <w:rPr>
          <w:rFonts w:cstheme="majorBidi"/>
        </w:rPr>
        <w:t xml:space="preserve"> decarbonisation as a component of the strategic plan, and not an additional compliance concern. Shell has started this embedding by setting emissions targets, low-carbon investment and portfolio decisions, but there is </w:t>
      </w:r>
      <w:r w:rsidR="00775C72">
        <w:rPr>
          <w:rFonts w:cstheme="majorBidi"/>
        </w:rPr>
        <w:t>a</w:t>
      </w:r>
      <w:r w:rsidRPr="00294001">
        <w:rPr>
          <w:rFonts w:cstheme="majorBidi"/>
        </w:rPr>
        <w:t xml:space="preserve"> risk of implementation</w:t>
      </w:r>
      <w:r w:rsidR="00775C72">
        <w:rPr>
          <w:rFonts w:cstheme="majorBidi"/>
        </w:rPr>
        <w:t>.</w:t>
      </w:r>
      <w:r w:rsidRPr="00294001">
        <w:rPr>
          <w:rFonts w:cstheme="majorBidi"/>
        </w:rPr>
        <w:t xml:space="preserve"> Shell risk: unless low-carbon businesses can scale profitably, this may continue to give Shell short-term returns at the cost of undermining long-term legitimacy. Hence, the strategic course of action, which is recommended, is </w:t>
      </w:r>
      <w:r w:rsidR="00775C72">
        <w:rPr>
          <w:rFonts w:cstheme="majorBidi"/>
        </w:rPr>
        <w:t xml:space="preserve">a </w:t>
      </w:r>
      <w:r w:rsidRPr="00294001">
        <w:rPr>
          <w:rFonts w:cstheme="majorBidi"/>
        </w:rPr>
        <w:t>differentiated transition-oriented energy strategy that is anchored by cost discipline, selective related diversification and strict change governance.</w:t>
      </w:r>
    </w:p>
    <w:p w14:paraId="2474BAEE" w14:textId="14F6B1DE" w:rsidR="00686125" w:rsidRPr="00294001" w:rsidRDefault="00686125" w:rsidP="00ED71FC">
      <w:pPr>
        <w:pStyle w:val="Heading1"/>
        <w:numPr>
          <w:ilvl w:val="0"/>
          <w:numId w:val="1"/>
        </w:numPr>
        <w:spacing w:before="240" w:after="160"/>
      </w:pPr>
      <w:bookmarkStart w:id="15" w:name="_Toc228539554"/>
      <w:r w:rsidRPr="00294001">
        <w:t>Strategic Evaluation and Recommendations</w:t>
      </w:r>
      <w:bookmarkEnd w:id="15"/>
    </w:p>
    <w:p w14:paraId="2D340A50" w14:textId="36D62A95" w:rsidR="00686125" w:rsidRPr="00294001" w:rsidRDefault="00616B39" w:rsidP="00ED71FC">
      <w:pPr>
        <w:pStyle w:val="Heading2"/>
        <w:numPr>
          <w:ilvl w:val="1"/>
          <w:numId w:val="1"/>
        </w:numPr>
        <w:spacing w:before="240" w:after="160"/>
      </w:pPr>
      <w:r>
        <w:t xml:space="preserve"> </w:t>
      </w:r>
      <w:bookmarkStart w:id="16" w:name="_Toc228539555"/>
      <w:r w:rsidR="00686125" w:rsidRPr="00294001">
        <w:t>Strategic Evaluation Using SWOT</w:t>
      </w:r>
      <w:bookmarkEnd w:id="16"/>
    </w:p>
    <w:p w14:paraId="00A1B9D4" w14:textId="412522B6" w:rsidR="00686125" w:rsidRPr="00DD478C" w:rsidRDefault="00EE6EDA" w:rsidP="00ED71FC">
      <w:pPr>
        <w:spacing w:before="240"/>
        <w:ind w:firstLine="720"/>
        <w:rPr>
          <w:rFonts w:cstheme="majorBidi"/>
        </w:rPr>
      </w:pPr>
      <w:r w:rsidRPr="00294001">
        <w:rPr>
          <w:rFonts w:cstheme="majorBidi"/>
        </w:rPr>
        <w:t>The present strategy of Shell is strategically consistent yet vulnerable to a two-level paradox of transition, where Shell has to reap the best out of hydrocarbons and develop plausible low-carbon development.</w:t>
      </w:r>
    </w:p>
    <w:p w14:paraId="0194EABB" w14:textId="6A1B9F46" w:rsidR="00DD478C" w:rsidRDefault="00DD478C" w:rsidP="00ED71FC">
      <w:pPr>
        <w:pStyle w:val="Caption"/>
        <w:keepNext/>
        <w:spacing w:before="240" w:after="160" w:line="360" w:lineRule="auto"/>
        <w:rPr>
          <w:b/>
          <w:bCs/>
          <w:i w:val="0"/>
          <w:iCs w:val="0"/>
          <w:color w:val="000000" w:themeColor="text1"/>
          <w:lang w:val="en-US"/>
        </w:rPr>
      </w:pPr>
      <w:r w:rsidRPr="00DD478C">
        <w:rPr>
          <w:b/>
          <w:bCs/>
          <w:i w:val="0"/>
          <w:iCs w:val="0"/>
          <w:color w:val="000000" w:themeColor="text1"/>
        </w:rPr>
        <w:t xml:space="preserve">Table </w:t>
      </w:r>
      <w:r w:rsidRPr="00DD478C">
        <w:rPr>
          <w:b/>
          <w:bCs/>
          <w:i w:val="0"/>
          <w:iCs w:val="0"/>
          <w:color w:val="000000" w:themeColor="text1"/>
        </w:rPr>
        <w:fldChar w:fldCharType="begin"/>
      </w:r>
      <w:r w:rsidRPr="00DD478C">
        <w:rPr>
          <w:b/>
          <w:bCs/>
          <w:i w:val="0"/>
          <w:iCs w:val="0"/>
          <w:color w:val="000000" w:themeColor="text1"/>
        </w:rPr>
        <w:instrText xml:space="preserve"> SEQ Table \* ARABIC </w:instrText>
      </w:r>
      <w:r w:rsidRPr="00DD478C">
        <w:rPr>
          <w:b/>
          <w:bCs/>
          <w:i w:val="0"/>
          <w:iCs w:val="0"/>
          <w:color w:val="000000" w:themeColor="text1"/>
        </w:rPr>
        <w:fldChar w:fldCharType="separate"/>
      </w:r>
      <w:r w:rsidR="00B35E70">
        <w:rPr>
          <w:b/>
          <w:bCs/>
          <w:i w:val="0"/>
          <w:iCs w:val="0"/>
          <w:noProof/>
          <w:color w:val="000000" w:themeColor="text1"/>
        </w:rPr>
        <w:t>5</w:t>
      </w:r>
      <w:r w:rsidRPr="00DD478C">
        <w:rPr>
          <w:b/>
          <w:bCs/>
          <w:i w:val="0"/>
          <w:iCs w:val="0"/>
          <w:color w:val="000000" w:themeColor="text1"/>
        </w:rPr>
        <w:fldChar w:fldCharType="end"/>
      </w:r>
      <w:r w:rsidRPr="00DD478C">
        <w:rPr>
          <w:b/>
          <w:bCs/>
          <w:i w:val="0"/>
          <w:iCs w:val="0"/>
          <w:color w:val="000000" w:themeColor="text1"/>
          <w:lang w:val="en-US"/>
        </w:rPr>
        <w:t>: Strategic Evaluation of Shell Using SWOT</w:t>
      </w:r>
    </w:p>
    <w:p w14:paraId="4DC0D0F7" w14:textId="1A39BA7E" w:rsidR="00084017" w:rsidRPr="00084017" w:rsidRDefault="00084017" w:rsidP="00ED71FC">
      <w:pPr>
        <w:spacing w:before="240"/>
        <w:rPr>
          <w:lang w:val="en-US"/>
        </w:rPr>
      </w:pPr>
      <w:r w:rsidRPr="00084017">
        <w:rPr>
          <w:noProof/>
          <w:lang w:eastAsia="en-GB"/>
        </w:rPr>
        <w:drawing>
          <wp:inline distT="0" distB="0" distL="0" distR="0" wp14:anchorId="33B435F0" wp14:editId="63C284FD">
            <wp:extent cx="5943600" cy="2362200"/>
            <wp:effectExtent l="0" t="0" r="0" b="0"/>
            <wp:docPr id="923985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985610" name=""/>
                    <pic:cNvPicPr/>
                  </pic:nvPicPr>
                  <pic:blipFill>
                    <a:blip r:embed="rId14"/>
                    <a:stretch>
                      <a:fillRect/>
                    </a:stretch>
                  </pic:blipFill>
                  <pic:spPr>
                    <a:xfrm>
                      <a:off x="0" y="0"/>
                      <a:ext cx="5943600" cy="2362200"/>
                    </a:xfrm>
                    <a:prstGeom prst="rect">
                      <a:avLst/>
                    </a:prstGeom>
                  </pic:spPr>
                </pic:pic>
              </a:graphicData>
            </a:graphic>
          </wp:inline>
        </w:drawing>
      </w:r>
    </w:p>
    <w:p w14:paraId="40F6864C" w14:textId="5307EED4" w:rsidR="00DD478C" w:rsidRDefault="00F37597" w:rsidP="00ED71FC">
      <w:pPr>
        <w:spacing w:before="240"/>
        <w:ind w:firstLine="720"/>
        <w:rPr>
          <w:rFonts w:cstheme="majorBidi"/>
        </w:rPr>
      </w:pPr>
      <w:r w:rsidRPr="00294001">
        <w:rPr>
          <w:rFonts w:cstheme="majorBidi"/>
        </w:rPr>
        <w:t xml:space="preserve">SWOT analysis reveals that Shell has the best opportunities on the basis of its LNG volume, worldwide trading, unified asset foundation, financial power and technical skills. By 2025, Shell had reported a revenue of 18.1 billion and an operating cash flow of 42.9 billion, which depicts a high financial power to pay back shareholder dividends, renewal and transition investments of the </w:t>
      </w:r>
      <w:r w:rsidRPr="00294001">
        <w:rPr>
          <w:rFonts w:cstheme="majorBidi"/>
        </w:rPr>
        <w:lastRenderedPageBreak/>
        <w:t xml:space="preserve">portfolio. But this strength is also </w:t>
      </w:r>
      <w:r w:rsidR="00775C72">
        <w:rPr>
          <w:rFonts w:cstheme="majorBidi"/>
        </w:rPr>
        <w:t xml:space="preserve">a </w:t>
      </w:r>
      <w:r w:rsidRPr="00294001">
        <w:rPr>
          <w:rFonts w:cstheme="majorBidi"/>
        </w:rPr>
        <w:t>weakness as Shell is still substantially reliant on oil, gas and LNG</w:t>
      </w:r>
      <w:r w:rsidR="00775C72">
        <w:rPr>
          <w:rFonts w:cstheme="majorBidi"/>
        </w:rPr>
        <w:t>,</w:t>
      </w:r>
      <w:r w:rsidRPr="00294001">
        <w:rPr>
          <w:rFonts w:cstheme="majorBidi"/>
        </w:rPr>
        <w:t xml:space="preserve"> and its approach is subject to carbon regulation, climate litigation and stakeholder scepticism.</w:t>
      </w:r>
    </w:p>
    <w:p w14:paraId="7466C080" w14:textId="02B1DF33" w:rsidR="006B7F7A" w:rsidRDefault="009D2479" w:rsidP="00ED71FC">
      <w:pPr>
        <w:pStyle w:val="Heading2"/>
        <w:numPr>
          <w:ilvl w:val="1"/>
          <w:numId w:val="1"/>
        </w:numPr>
        <w:spacing w:before="240" w:after="160"/>
      </w:pPr>
      <w:r>
        <w:t xml:space="preserve"> </w:t>
      </w:r>
      <w:bookmarkStart w:id="17" w:name="_Toc228539556"/>
      <w:r w:rsidR="006B7F7A" w:rsidRPr="00294001">
        <w:t>Strategic Evaluation Using Ansoff’s Matrix</w:t>
      </w:r>
      <w:bookmarkEnd w:id="17"/>
    </w:p>
    <w:p w14:paraId="6A2941EE" w14:textId="3A30EB6D" w:rsidR="00164184" w:rsidRPr="00164184" w:rsidRDefault="00164184" w:rsidP="00ED71FC">
      <w:pPr>
        <w:spacing w:before="240"/>
        <w:ind w:firstLine="720"/>
      </w:pPr>
      <w:r w:rsidRPr="00294001">
        <w:rPr>
          <w:rFonts w:cstheme="majorBidi"/>
        </w:rPr>
        <w:t>According to the Matrix developed by Ansoff</w:t>
      </w:r>
      <w:r>
        <w:rPr>
          <w:rFonts w:cstheme="majorBidi"/>
        </w:rPr>
        <w:t xml:space="preserve"> (1957)</w:t>
      </w:r>
      <w:r w:rsidRPr="00294001">
        <w:rPr>
          <w:rFonts w:cstheme="majorBidi"/>
        </w:rPr>
        <w:t xml:space="preserve">, Shell cannot afford to do random diversification but rather develop related products and </w:t>
      </w:r>
      <w:r w:rsidR="00775C72">
        <w:rPr>
          <w:rFonts w:cstheme="majorBidi"/>
        </w:rPr>
        <w:t xml:space="preserve">a </w:t>
      </w:r>
      <w:r w:rsidRPr="00294001">
        <w:rPr>
          <w:rFonts w:cstheme="majorBidi"/>
        </w:rPr>
        <w:t>selective market. Its Energy Transition Strategy 2024 will facilitate a balanced transition, with both secure energy supply and lower-carbon products and a 2050 net-zero ambition. However, it is not that Shell has transition language that is the critical matter, but that it has scalable transition economics.</w:t>
      </w:r>
    </w:p>
    <w:p w14:paraId="12D875B6" w14:textId="7EF27470" w:rsidR="00B35E70" w:rsidRDefault="00B35E70" w:rsidP="00ED71FC">
      <w:pPr>
        <w:pStyle w:val="Caption"/>
        <w:keepNext/>
        <w:spacing w:before="240" w:after="160" w:line="360" w:lineRule="auto"/>
        <w:rPr>
          <w:b/>
          <w:bCs/>
          <w:i w:val="0"/>
          <w:iCs w:val="0"/>
          <w:color w:val="000000" w:themeColor="text1"/>
          <w:lang w:val="en-US"/>
        </w:rPr>
      </w:pPr>
      <w:r w:rsidRPr="000545B1">
        <w:rPr>
          <w:b/>
          <w:bCs/>
          <w:i w:val="0"/>
          <w:iCs w:val="0"/>
          <w:color w:val="000000" w:themeColor="text1"/>
        </w:rPr>
        <w:t xml:space="preserve">Table </w:t>
      </w:r>
      <w:r w:rsidRPr="000545B1">
        <w:rPr>
          <w:b/>
          <w:bCs/>
          <w:i w:val="0"/>
          <w:iCs w:val="0"/>
          <w:color w:val="000000" w:themeColor="text1"/>
        </w:rPr>
        <w:fldChar w:fldCharType="begin"/>
      </w:r>
      <w:r w:rsidRPr="000545B1">
        <w:rPr>
          <w:b/>
          <w:bCs/>
          <w:i w:val="0"/>
          <w:iCs w:val="0"/>
          <w:color w:val="000000" w:themeColor="text1"/>
        </w:rPr>
        <w:instrText xml:space="preserve"> SEQ Table \* ARABIC </w:instrText>
      </w:r>
      <w:r w:rsidRPr="000545B1">
        <w:rPr>
          <w:b/>
          <w:bCs/>
          <w:i w:val="0"/>
          <w:iCs w:val="0"/>
          <w:color w:val="000000" w:themeColor="text1"/>
        </w:rPr>
        <w:fldChar w:fldCharType="separate"/>
      </w:r>
      <w:r w:rsidRPr="000545B1">
        <w:rPr>
          <w:b/>
          <w:bCs/>
          <w:i w:val="0"/>
          <w:iCs w:val="0"/>
          <w:noProof/>
          <w:color w:val="000000" w:themeColor="text1"/>
        </w:rPr>
        <w:t>6</w:t>
      </w:r>
      <w:r w:rsidRPr="000545B1">
        <w:rPr>
          <w:b/>
          <w:bCs/>
          <w:i w:val="0"/>
          <w:iCs w:val="0"/>
          <w:color w:val="000000" w:themeColor="text1"/>
        </w:rPr>
        <w:fldChar w:fldCharType="end"/>
      </w:r>
      <w:r w:rsidRPr="000545B1">
        <w:rPr>
          <w:b/>
          <w:bCs/>
          <w:i w:val="0"/>
          <w:iCs w:val="0"/>
          <w:color w:val="000000" w:themeColor="text1"/>
          <w:lang w:val="en-US"/>
        </w:rPr>
        <w:t>: Strategic Evaluation of Shell Using Ansoff’s Matrix</w:t>
      </w:r>
    </w:p>
    <w:p w14:paraId="305E83EB" w14:textId="0B90D140" w:rsidR="001230E7" w:rsidRPr="001230E7" w:rsidRDefault="001230E7" w:rsidP="00ED71FC">
      <w:pPr>
        <w:spacing w:before="240"/>
        <w:rPr>
          <w:lang w:val="en-US"/>
        </w:rPr>
      </w:pPr>
      <w:r w:rsidRPr="001230E7">
        <w:rPr>
          <w:noProof/>
          <w:lang w:eastAsia="en-GB"/>
        </w:rPr>
        <w:drawing>
          <wp:inline distT="0" distB="0" distL="0" distR="0" wp14:anchorId="4DB83241" wp14:editId="0F17102F">
            <wp:extent cx="5943600" cy="1652905"/>
            <wp:effectExtent l="0" t="0" r="0" b="4445"/>
            <wp:docPr id="15069435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943510" name=""/>
                    <pic:cNvPicPr/>
                  </pic:nvPicPr>
                  <pic:blipFill>
                    <a:blip r:embed="rId15"/>
                    <a:stretch>
                      <a:fillRect/>
                    </a:stretch>
                  </pic:blipFill>
                  <pic:spPr>
                    <a:xfrm>
                      <a:off x="0" y="0"/>
                      <a:ext cx="5943600" cy="1652905"/>
                    </a:xfrm>
                    <a:prstGeom prst="rect">
                      <a:avLst/>
                    </a:prstGeom>
                  </pic:spPr>
                </pic:pic>
              </a:graphicData>
            </a:graphic>
          </wp:inline>
        </w:drawing>
      </w:r>
    </w:p>
    <w:p w14:paraId="35F5D98F" w14:textId="06BBE91C" w:rsidR="00686125" w:rsidRPr="00294001" w:rsidRDefault="00EB5C44" w:rsidP="00ED71FC">
      <w:pPr>
        <w:spacing w:before="240"/>
        <w:ind w:firstLine="720"/>
        <w:rPr>
          <w:rFonts w:cstheme="majorBidi"/>
        </w:rPr>
      </w:pPr>
      <w:r w:rsidRPr="00294001">
        <w:rPr>
          <w:rFonts w:cstheme="majorBidi"/>
        </w:rPr>
        <w:t xml:space="preserve">Halttunen, Slade and </w:t>
      </w:r>
      <w:r w:rsidR="00A809A8" w:rsidRPr="00294001">
        <w:rPr>
          <w:rFonts w:cstheme="majorBidi"/>
        </w:rPr>
        <w:t>Staffel</w:t>
      </w:r>
      <w:r w:rsidR="003E0038">
        <w:rPr>
          <w:rFonts w:cstheme="majorBidi"/>
        </w:rPr>
        <w:t xml:space="preserve"> (2023)</w:t>
      </w:r>
      <w:r w:rsidRPr="00294001">
        <w:rPr>
          <w:rFonts w:cstheme="majorBidi"/>
        </w:rPr>
        <w:t xml:space="preserve"> believe that oil majors must diversify </w:t>
      </w:r>
      <w:r w:rsidR="00775C72">
        <w:rPr>
          <w:rFonts w:cstheme="majorBidi"/>
        </w:rPr>
        <w:t>more convincingl</w:t>
      </w:r>
      <w:r w:rsidRPr="00294001">
        <w:rPr>
          <w:rFonts w:cstheme="majorBidi"/>
        </w:rPr>
        <w:t>y in the sustainable energy transition</w:t>
      </w:r>
      <w:r w:rsidR="00775C72">
        <w:rPr>
          <w:rFonts w:cstheme="majorBidi"/>
        </w:rPr>
        <w:t>.</w:t>
      </w:r>
      <w:r w:rsidRPr="00294001">
        <w:rPr>
          <w:rFonts w:cstheme="majorBidi"/>
        </w:rPr>
        <w:t xml:space="preserve"> Pickl</w:t>
      </w:r>
      <w:r w:rsidR="00831308">
        <w:rPr>
          <w:rFonts w:cstheme="majorBidi"/>
        </w:rPr>
        <w:t xml:space="preserve"> (2019)</w:t>
      </w:r>
      <w:r w:rsidRPr="00294001">
        <w:rPr>
          <w:rFonts w:cstheme="majorBidi"/>
        </w:rPr>
        <w:t xml:space="preserve"> demonstrates that in the renewable strategies of oil majors, it is the current asset base and capabilities that play a key role. This justifies a targeted approach: Shell needs to diversify where it has an advantage rather than pursue trends in renewables in general. </w:t>
      </w:r>
      <w:r w:rsidR="00686125" w:rsidRPr="00294001">
        <w:rPr>
          <w:rFonts w:eastAsia="Times New Roman" w:cstheme="majorBidi"/>
          <w:kern w:val="0"/>
          <w14:ligatures w14:val="none"/>
        </w:rPr>
        <w:t xml:space="preserve"> </w:t>
      </w:r>
    </w:p>
    <w:p w14:paraId="33A82242" w14:textId="2916FA3B" w:rsidR="00686125" w:rsidRPr="00294001" w:rsidRDefault="003C1045" w:rsidP="00ED71FC">
      <w:pPr>
        <w:pStyle w:val="Heading2"/>
        <w:numPr>
          <w:ilvl w:val="1"/>
          <w:numId w:val="1"/>
        </w:numPr>
        <w:spacing w:before="240" w:after="160"/>
      </w:pPr>
      <w:r>
        <w:t xml:space="preserve"> </w:t>
      </w:r>
      <w:bookmarkStart w:id="18" w:name="_Toc228539557"/>
      <w:r w:rsidR="00686125" w:rsidRPr="00294001">
        <w:t>Recommendations to Enhance Competitive Advantage</w:t>
      </w:r>
      <w:bookmarkEnd w:id="18"/>
    </w:p>
    <w:p w14:paraId="2150AA99" w14:textId="28B79A3B" w:rsidR="001630F0" w:rsidRDefault="00562EAD" w:rsidP="00ED71FC">
      <w:pPr>
        <w:spacing w:before="240"/>
        <w:ind w:firstLine="720"/>
        <w:rPr>
          <w:rFonts w:cstheme="majorBidi"/>
        </w:rPr>
      </w:pPr>
      <w:r w:rsidRPr="00294001">
        <w:rPr>
          <w:rFonts w:cstheme="majorBidi"/>
        </w:rPr>
        <w:t>To begin with, Shell needs to concentrate on its energy-transition strategy that is differentiated towards LNG, carbon capture and storage, biofuels, EV charging and industrial decarbonisation, instead of diversifying capital in unrelated low-carbon markets. It is based on the resource-based perspective (Barney</w:t>
      </w:r>
      <w:r w:rsidR="00607235">
        <w:rPr>
          <w:rFonts w:cstheme="majorBidi"/>
        </w:rPr>
        <w:t>, 1991</w:t>
      </w:r>
      <w:r w:rsidRPr="00294001">
        <w:rPr>
          <w:rFonts w:cstheme="majorBidi"/>
        </w:rPr>
        <w:t>): sustainable advantage is founded on resources and capabilities which are valuable, rare, imitable</w:t>
      </w:r>
      <w:r w:rsidR="00775C72">
        <w:rPr>
          <w:rFonts w:cstheme="majorBidi"/>
        </w:rPr>
        <w:t>,</w:t>
      </w:r>
      <w:r w:rsidRPr="00294001">
        <w:rPr>
          <w:rFonts w:cstheme="majorBidi"/>
        </w:rPr>
        <w:t xml:space="preserve"> but organisationally embedded. The best way Shell </w:t>
      </w:r>
      <w:r w:rsidRPr="00294001">
        <w:rPr>
          <w:rFonts w:cstheme="majorBidi"/>
        </w:rPr>
        <w:lastRenderedPageBreak/>
        <w:t xml:space="preserve">can go, however, is not a sudden dumping of hydrocarbons, but changing LNG, the trading, project-management and customer-access into </w:t>
      </w:r>
      <w:r w:rsidR="00775C72">
        <w:rPr>
          <w:rFonts w:cstheme="majorBidi"/>
        </w:rPr>
        <w:t xml:space="preserve">a </w:t>
      </w:r>
      <w:r w:rsidRPr="00294001">
        <w:rPr>
          <w:rFonts w:cstheme="majorBidi"/>
        </w:rPr>
        <w:t>transition-oriented competitive advantage.</w:t>
      </w:r>
    </w:p>
    <w:p w14:paraId="54321138" w14:textId="63C743B2" w:rsidR="00DD16DD" w:rsidRDefault="00562EAD" w:rsidP="00ED71FC">
      <w:pPr>
        <w:spacing w:before="240"/>
        <w:ind w:firstLine="720"/>
        <w:rPr>
          <w:rFonts w:cstheme="majorBidi"/>
        </w:rPr>
      </w:pPr>
      <w:r w:rsidRPr="00294001">
        <w:rPr>
          <w:rFonts w:cstheme="majorBidi"/>
        </w:rPr>
        <w:t xml:space="preserve">Second, Shell needs to make its sustainability strategy more credible by more transparently aligning executive compensation, capital allocation and divisional KPIs with </w:t>
      </w:r>
      <w:r w:rsidR="00775C72">
        <w:rPr>
          <w:rFonts w:cstheme="majorBidi"/>
        </w:rPr>
        <w:t xml:space="preserve">the </w:t>
      </w:r>
      <w:r w:rsidRPr="00294001">
        <w:rPr>
          <w:rFonts w:cstheme="majorBidi"/>
        </w:rPr>
        <w:t>reduction of emissions and low-carbon profitability. According to Cherepovitsyn and Rutenko</w:t>
      </w:r>
      <w:r w:rsidR="003B1059">
        <w:rPr>
          <w:rFonts w:cstheme="majorBidi"/>
        </w:rPr>
        <w:t xml:space="preserve"> (2022)</w:t>
      </w:r>
      <w:r w:rsidRPr="00294001">
        <w:rPr>
          <w:rFonts w:cstheme="majorBidi"/>
        </w:rPr>
        <w:t xml:space="preserve">, decarbonisation should not be isolated </w:t>
      </w:r>
      <w:r w:rsidR="00775C72">
        <w:rPr>
          <w:rFonts w:cstheme="majorBidi"/>
        </w:rPr>
        <w:t>from</w:t>
      </w:r>
      <w:r w:rsidRPr="00294001">
        <w:rPr>
          <w:rFonts w:cstheme="majorBidi"/>
        </w:rPr>
        <w:t xml:space="preserve"> the oil and gas strategic planning process and should be incorporated into it. In the case of Shell, this implies that sustainability metrics could not be placed next to strategy, but must discipline investment decisions, project approval and portfolio exits.</w:t>
      </w:r>
    </w:p>
    <w:p w14:paraId="58FAA890" w14:textId="77AF842E" w:rsidR="00A21220" w:rsidRPr="00294001" w:rsidRDefault="00562EAD" w:rsidP="00ED71FC">
      <w:pPr>
        <w:spacing w:before="240"/>
        <w:ind w:firstLine="720"/>
        <w:rPr>
          <w:rFonts w:cstheme="majorBidi"/>
        </w:rPr>
      </w:pPr>
      <w:r w:rsidRPr="00294001">
        <w:rPr>
          <w:rFonts w:cstheme="majorBidi"/>
        </w:rPr>
        <w:t>Third, Shell ought to keep tight cost and portfolio discipline, yet not to operational efficiency as a strategy per se. Porter</w:t>
      </w:r>
      <w:r w:rsidR="00AE47CD">
        <w:rPr>
          <w:rFonts w:cstheme="majorBidi"/>
        </w:rPr>
        <w:t xml:space="preserve"> (1996)</w:t>
      </w:r>
      <w:r w:rsidRPr="00294001">
        <w:rPr>
          <w:rFonts w:cstheme="majorBidi"/>
        </w:rPr>
        <w:t xml:space="preserve"> makes the argument that operational effectiveness is required and does not replace a unique strategic position. The future benefit of Shell ought to then be based on a simple strategic trade-off - focus upon high returns integrated energy businesses and transition technologies where Shell can be structurally advantaged, and get out of areas where it is not scale advantaged, differentiated or getting satisfactory returns. This would safeguard the existing competitiveness as well as optimi</w:t>
      </w:r>
      <w:r w:rsidR="00775C72">
        <w:rPr>
          <w:rFonts w:cstheme="majorBidi"/>
        </w:rPr>
        <w:t>se long-</w:t>
      </w:r>
      <w:r w:rsidRPr="00294001">
        <w:rPr>
          <w:rFonts w:cstheme="majorBidi"/>
        </w:rPr>
        <w:t>term strategic legitimacy.</w:t>
      </w:r>
      <w:r w:rsidR="00686125" w:rsidRPr="00294001">
        <w:rPr>
          <w:rFonts w:eastAsia="Times New Roman" w:cstheme="majorBidi"/>
          <w:kern w:val="0"/>
          <w14:ligatures w14:val="none"/>
        </w:rPr>
        <w:t xml:space="preserve"> </w:t>
      </w:r>
    </w:p>
    <w:p w14:paraId="79FF0D13" w14:textId="16A68D94" w:rsidR="00B969B1" w:rsidRPr="00294001" w:rsidRDefault="00B969B1" w:rsidP="00ED71FC">
      <w:pPr>
        <w:pStyle w:val="Heading1"/>
        <w:numPr>
          <w:ilvl w:val="0"/>
          <w:numId w:val="1"/>
        </w:numPr>
        <w:spacing w:before="240" w:after="160"/>
      </w:pPr>
      <w:bookmarkStart w:id="19" w:name="_Toc228539558"/>
      <w:r w:rsidRPr="00294001">
        <w:t>Reflective Account Using Gibbs’ Reflective Cycle</w:t>
      </w:r>
      <w:bookmarkEnd w:id="19"/>
    </w:p>
    <w:p w14:paraId="48A58405" w14:textId="139854C5" w:rsidR="00B969B1" w:rsidRPr="00294001" w:rsidRDefault="004509AF" w:rsidP="00ED71FC">
      <w:pPr>
        <w:pStyle w:val="Heading2"/>
        <w:numPr>
          <w:ilvl w:val="1"/>
          <w:numId w:val="1"/>
        </w:numPr>
        <w:spacing w:before="240" w:after="160"/>
      </w:pPr>
      <w:r>
        <w:t xml:space="preserve"> </w:t>
      </w:r>
      <w:bookmarkStart w:id="20" w:name="_Toc228539559"/>
      <w:r w:rsidR="00B969B1" w:rsidRPr="00294001">
        <w:t>Description</w:t>
      </w:r>
      <w:bookmarkEnd w:id="20"/>
    </w:p>
    <w:p w14:paraId="10C67FDF" w14:textId="24062F36" w:rsidR="00B969B1" w:rsidRPr="00294001" w:rsidRDefault="00CF2907" w:rsidP="00ED71FC">
      <w:pPr>
        <w:spacing w:before="240"/>
        <w:ind w:firstLine="720"/>
        <w:rPr>
          <w:rFonts w:cstheme="majorBidi"/>
        </w:rPr>
      </w:pPr>
      <w:r w:rsidRPr="00294001">
        <w:rPr>
          <w:rFonts w:cstheme="majorBidi"/>
        </w:rPr>
        <w:t>This reflection paper is an assessment of the method used in the research, analysis and writing of the strategic analysis of Shell plc. The reflective cycle of Gibbs was chosen as it is a well-organi</w:t>
      </w:r>
      <w:r w:rsidR="00775C72">
        <w:rPr>
          <w:rFonts w:cstheme="majorBidi"/>
        </w:rPr>
        <w:t>s</w:t>
      </w:r>
      <w:r w:rsidRPr="00294001">
        <w:rPr>
          <w:rFonts w:cstheme="majorBidi"/>
        </w:rPr>
        <w:t>ed method of analy</w:t>
      </w:r>
      <w:r w:rsidR="00775C72">
        <w:rPr>
          <w:rFonts w:cstheme="majorBidi"/>
        </w:rPr>
        <w:t>s</w:t>
      </w:r>
      <w:r w:rsidRPr="00294001">
        <w:rPr>
          <w:rFonts w:cstheme="majorBidi"/>
        </w:rPr>
        <w:t>ing experience by description, feelings, evaluation, analysis, conclusion and action plan (Gibbs, 1988). The evaluation needed a Level 7 strategic management report that had to synthesise the external and internal environment, critically assess the competitive and development strategies, and evaluat</w:t>
      </w:r>
      <w:r w:rsidR="00775C72">
        <w:rPr>
          <w:rFonts w:cstheme="majorBidi"/>
        </w:rPr>
        <w:t>e</w:t>
      </w:r>
      <w:r w:rsidRPr="00294001">
        <w:rPr>
          <w:rFonts w:cstheme="majorBidi"/>
        </w:rPr>
        <w:t xml:space="preserve"> elements of implementation. Thus, my procedure started with understanding the short passage thoroughly</w:t>
      </w:r>
      <w:r w:rsidR="00775C72">
        <w:rPr>
          <w:rFonts w:cstheme="majorBidi"/>
        </w:rPr>
        <w:t>,</w:t>
      </w:r>
      <w:r w:rsidRPr="00294001">
        <w:rPr>
          <w:rFonts w:cstheme="majorBidi"/>
        </w:rPr>
        <w:t xml:space="preserve"> locating the frameworks needed and making sure that the process was not purely descriptive. Shell was chosen due to the fact that it provided enough data to be used in PESTEL, VRIO, CSR, Balanced Scorecard, strategic options, implementation and recommendations. The primary sources of evidence were the official Annual Report and </w:t>
      </w:r>
      <w:r w:rsidRPr="00294001">
        <w:rPr>
          <w:rFonts w:cstheme="majorBidi"/>
        </w:rPr>
        <w:lastRenderedPageBreak/>
        <w:t>Accounts 2025 of Shell, Shell Energy Transition Strategy 2024, and scholarly literature on strategic management that relates to resource-based advantage, dynamic capabilities, sustainability and oil-major transition strategy.</w:t>
      </w:r>
      <w:r w:rsidR="00B969B1" w:rsidRPr="00294001">
        <w:rPr>
          <w:rFonts w:eastAsia="Times New Roman" w:cstheme="majorBidi"/>
          <w:kern w:val="0"/>
          <w14:ligatures w14:val="none"/>
        </w:rPr>
        <w:t xml:space="preserve"> </w:t>
      </w:r>
    </w:p>
    <w:p w14:paraId="2A244F80" w14:textId="4195DC43" w:rsidR="00B969B1" w:rsidRPr="00294001" w:rsidRDefault="00145808" w:rsidP="00ED71FC">
      <w:pPr>
        <w:pStyle w:val="Heading2"/>
        <w:numPr>
          <w:ilvl w:val="1"/>
          <w:numId w:val="1"/>
        </w:numPr>
        <w:spacing w:before="240" w:after="160"/>
      </w:pPr>
      <w:r>
        <w:t xml:space="preserve"> </w:t>
      </w:r>
      <w:bookmarkStart w:id="21" w:name="_Toc228539560"/>
      <w:r w:rsidR="00B969B1" w:rsidRPr="00294001">
        <w:t>Feelings</w:t>
      </w:r>
      <w:bookmarkEnd w:id="21"/>
    </w:p>
    <w:p w14:paraId="4E0AB1E6" w14:textId="7E226C9E" w:rsidR="00B969B1" w:rsidRPr="00294001" w:rsidRDefault="003807EA" w:rsidP="00ED71FC">
      <w:pPr>
        <w:spacing w:before="240"/>
        <w:ind w:firstLine="720"/>
        <w:rPr>
          <w:rFonts w:cstheme="majorBidi"/>
        </w:rPr>
      </w:pPr>
      <w:r w:rsidRPr="00294001">
        <w:rPr>
          <w:rFonts w:cstheme="majorBidi"/>
        </w:rPr>
        <w:t>Initially, I found the task challenging as Shell is a complicated organisation which works in the fields of hydrocarbons, LNG, marketing, chemicals, trading and low-carbon energy. I knew that a shallow report might so easily be a general overview of Shell activities, as opposed to a critical strategic review. I also had some doubts concerning the balancing between the good financial performance and the controversial sustainability situation of Shell. But it was this complexity that proved beneficial since it enabled the report to respond to the strategic contradiction: Shell is financially robust and capable on a global scale, but it cannot legitimi</w:t>
      </w:r>
      <w:r w:rsidR="00775C72">
        <w:rPr>
          <w:rFonts w:cstheme="majorBidi"/>
        </w:rPr>
        <w:t>s</w:t>
      </w:r>
      <w:r w:rsidRPr="00294001">
        <w:rPr>
          <w:rFonts w:cstheme="majorBidi"/>
        </w:rPr>
        <w:t>e itself in the long run in the manner in which it is persuasive with regard to the energy transition. This assisted me in getting out of the high and low praise or criticism and form</w:t>
      </w:r>
      <w:r w:rsidR="00775C72">
        <w:rPr>
          <w:rFonts w:cstheme="majorBidi"/>
        </w:rPr>
        <w:t>ing</w:t>
      </w:r>
      <w:r w:rsidRPr="00294001">
        <w:rPr>
          <w:rFonts w:cstheme="majorBidi"/>
        </w:rPr>
        <w:t xml:space="preserve"> a more balanced academic assessment.</w:t>
      </w:r>
    </w:p>
    <w:p w14:paraId="0B579A93" w14:textId="75A46F36" w:rsidR="00B969B1" w:rsidRPr="00294001" w:rsidRDefault="00013480" w:rsidP="00ED71FC">
      <w:pPr>
        <w:pStyle w:val="Heading2"/>
        <w:numPr>
          <w:ilvl w:val="1"/>
          <w:numId w:val="1"/>
        </w:numPr>
        <w:spacing w:before="240" w:after="160"/>
      </w:pPr>
      <w:r>
        <w:t xml:space="preserve"> </w:t>
      </w:r>
      <w:bookmarkStart w:id="22" w:name="_Toc228539561"/>
      <w:r w:rsidR="00B969B1" w:rsidRPr="00294001">
        <w:t>Evaluation</w:t>
      </w:r>
      <w:bookmarkEnd w:id="22"/>
    </w:p>
    <w:p w14:paraId="3AD1C0F6" w14:textId="3DE48CE2" w:rsidR="00B969B1" w:rsidRPr="00294001" w:rsidRDefault="00114D7F" w:rsidP="00ED71FC">
      <w:pPr>
        <w:spacing w:before="240"/>
        <w:ind w:firstLine="720"/>
        <w:rPr>
          <w:rFonts w:cstheme="majorBidi"/>
        </w:rPr>
      </w:pPr>
      <w:r w:rsidRPr="00294001">
        <w:rPr>
          <w:rFonts w:cstheme="majorBidi"/>
        </w:rPr>
        <w:t>The best aspect of the process was the applied integrated evidence. The data presented in the annual report by Shell gave us current data about the organisation</w:t>
      </w:r>
      <w:r w:rsidR="00775C72">
        <w:rPr>
          <w:rFonts w:cstheme="majorBidi"/>
        </w:rPr>
        <w:t>,</w:t>
      </w:r>
      <w:r w:rsidRPr="00294001">
        <w:rPr>
          <w:rFonts w:cstheme="majorBidi"/>
        </w:rPr>
        <w:t xml:space="preserve"> whereas the theoretical perspective </w:t>
      </w:r>
      <w:r w:rsidR="00775C72">
        <w:rPr>
          <w:rFonts w:cstheme="majorBidi"/>
        </w:rPr>
        <w:t>on</w:t>
      </w:r>
      <w:r w:rsidRPr="00294001">
        <w:rPr>
          <w:rFonts w:cstheme="majorBidi"/>
        </w:rPr>
        <w:t xml:space="preserve"> the data was given by the academic sources. As </w:t>
      </w:r>
      <w:r w:rsidR="00775C72">
        <w:rPr>
          <w:rFonts w:cstheme="majorBidi"/>
        </w:rPr>
        <w:t xml:space="preserve">an </w:t>
      </w:r>
      <w:r w:rsidRPr="00294001">
        <w:rPr>
          <w:rFonts w:cstheme="majorBidi"/>
        </w:rPr>
        <w:t>illustration, the resource</w:t>
      </w:r>
      <w:r w:rsidR="00775C72">
        <w:rPr>
          <w:rFonts w:cstheme="majorBidi"/>
        </w:rPr>
        <w:t>-</w:t>
      </w:r>
      <w:r w:rsidRPr="00294001">
        <w:rPr>
          <w:rFonts w:cstheme="majorBidi"/>
        </w:rPr>
        <w:t>based view, as formulated by Barney (1991)</w:t>
      </w:r>
      <w:r w:rsidR="00775C72">
        <w:rPr>
          <w:rFonts w:cstheme="majorBidi"/>
        </w:rPr>
        <w:t>,</w:t>
      </w:r>
      <w:r w:rsidRPr="00294001">
        <w:rPr>
          <w:rFonts w:cstheme="majorBidi"/>
        </w:rPr>
        <w:t xml:space="preserve"> was useful in the assessment of the Shell LNG, trading and technical capabilities</w:t>
      </w:r>
      <w:r w:rsidR="00775C72">
        <w:rPr>
          <w:rFonts w:cstheme="majorBidi"/>
        </w:rPr>
        <w:t>,</w:t>
      </w:r>
      <w:r w:rsidRPr="00294001">
        <w:rPr>
          <w:rFonts w:cstheme="majorBidi"/>
        </w:rPr>
        <w:t xml:space="preserve"> whereas the dynamic capabilities framework by Teece (2007) was valuable in the analysis of how Shell needs to sense and seize and reconfigure opportunities in evolving energy markets. The Balanced Scorecard created by Kaplan and Norton (</w:t>
      </w:r>
      <w:r w:rsidR="000133D9">
        <w:rPr>
          <w:rFonts w:cstheme="majorBidi"/>
        </w:rPr>
        <w:t>2005</w:t>
      </w:r>
      <w:r w:rsidRPr="00294001">
        <w:rPr>
          <w:rFonts w:cstheme="majorBidi"/>
        </w:rPr>
        <w:t xml:space="preserve">) also assisted in expanding the aspects of performance assessment beyond the financial outcomes by incorporating customer value, internal process quality and learning-and-growth ability. This was significant due to the fact that the strategy of Shell cannot be evaluated solely in terms of income or cash flow: the safety levels, emissions, innovation and transition preparedness are also pertinent. One of the weaknesses of the process was the control of word limits. The critical discussion in each section had to be of a high level, yet the word count was an issue that had to be prioritised. Other areas </w:t>
      </w:r>
      <w:r w:rsidRPr="00294001">
        <w:rPr>
          <w:rFonts w:cstheme="majorBidi"/>
        </w:rPr>
        <w:lastRenderedPageBreak/>
        <w:t>that might have been useful</w:t>
      </w:r>
      <w:r w:rsidR="00775C72">
        <w:rPr>
          <w:rFonts w:cstheme="majorBidi"/>
        </w:rPr>
        <w:t>,</w:t>
      </w:r>
      <w:r w:rsidRPr="00294001">
        <w:rPr>
          <w:rFonts w:cstheme="majorBidi"/>
        </w:rPr>
        <w:t xml:space="preserve"> like competitor benchmarking on a region-by-region basis and regional market analysis</w:t>
      </w:r>
      <w:r w:rsidR="00775C72">
        <w:rPr>
          <w:rFonts w:cstheme="majorBidi"/>
        </w:rPr>
        <w:t>,</w:t>
      </w:r>
      <w:r w:rsidRPr="00294001">
        <w:rPr>
          <w:rFonts w:cstheme="majorBidi"/>
        </w:rPr>
        <w:t xml:space="preserve"> had to be eliminated to secure focus.</w:t>
      </w:r>
    </w:p>
    <w:p w14:paraId="1BE462C1" w14:textId="45050190" w:rsidR="00B969B1" w:rsidRPr="00294001" w:rsidRDefault="00C65D68" w:rsidP="00ED71FC">
      <w:pPr>
        <w:pStyle w:val="Heading2"/>
        <w:numPr>
          <w:ilvl w:val="1"/>
          <w:numId w:val="1"/>
        </w:numPr>
        <w:spacing w:before="240" w:after="160"/>
      </w:pPr>
      <w:r>
        <w:t xml:space="preserve"> </w:t>
      </w:r>
      <w:bookmarkStart w:id="23" w:name="_Toc228539562"/>
      <w:r w:rsidR="00B969B1" w:rsidRPr="00294001">
        <w:t>Analysis</w:t>
      </w:r>
      <w:bookmarkEnd w:id="23"/>
    </w:p>
    <w:p w14:paraId="178BA37F" w14:textId="0565888F" w:rsidR="000F2263" w:rsidRDefault="001C51C1" w:rsidP="00ED71FC">
      <w:pPr>
        <w:spacing w:before="240"/>
        <w:ind w:firstLine="720"/>
        <w:rPr>
          <w:rFonts w:cstheme="majorBidi"/>
        </w:rPr>
      </w:pPr>
      <w:r w:rsidRPr="00294001">
        <w:rPr>
          <w:rFonts w:cstheme="majorBidi"/>
        </w:rPr>
        <w:t>The experiment revealed that Level 7 strategic analysis demands a synthesis and not an independent model use. PESTEL was beneficial in the identification of political, economic, social, technological, environmental and legal pressures</w:t>
      </w:r>
      <w:r w:rsidR="00775C72">
        <w:rPr>
          <w:rFonts w:cstheme="majorBidi"/>
        </w:rPr>
        <w:t>,</w:t>
      </w:r>
      <w:r w:rsidRPr="00294001">
        <w:rPr>
          <w:rFonts w:cstheme="majorBidi"/>
        </w:rPr>
        <w:t xml:space="preserve"> but its true worth was found in the connection of the pressures to strategic decisions of Shell. As an example, the geopolitical instability and energy-security issues justified another investment in LNG by Shell, whereas the regulation of climate and pressure </w:t>
      </w:r>
      <w:r w:rsidR="00775C72">
        <w:rPr>
          <w:rFonts w:cstheme="majorBidi"/>
        </w:rPr>
        <w:t>from</w:t>
      </w:r>
      <w:r w:rsidRPr="00294001">
        <w:rPr>
          <w:rFonts w:cstheme="majorBidi"/>
        </w:rPr>
        <w:t xml:space="preserve"> the stakeholders questioned the plausibility of its hydrocarbon addiction. This proved right an assertion made by Moon (20</w:t>
      </w:r>
      <w:r w:rsidR="005D7CF1">
        <w:rPr>
          <w:rFonts w:cstheme="majorBidi"/>
        </w:rPr>
        <w:t>13</w:t>
      </w:r>
      <w:r w:rsidRPr="00294001">
        <w:rPr>
          <w:rFonts w:cstheme="majorBidi"/>
        </w:rPr>
        <w:t>) that reflection enhances learning when the experience is linked to conceptual learning as opposed to being narrated.</w:t>
      </w:r>
    </w:p>
    <w:p w14:paraId="15B4AC6D" w14:textId="3779085C" w:rsidR="00F65C08" w:rsidRDefault="001C51C1" w:rsidP="00ED71FC">
      <w:pPr>
        <w:spacing w:before="240"/>
        <w:ind w:firstLine="720"/>
        <w:rPr>
          <w:rFonts w:cstheme="majorBidi"/>
        </w:rPr>
      </w:pPr>
      <w:r w:rsidRPr="00294001">
        <w:rPr>
          <w:rFonts w:cstheme="majorBidi"/>
        </w:rPr>
        <w:t>There was also the internal analysis</w:t>
      </w:r>
      <w:r w:rsidR="00775C72">
        <w:rPr>
          <w:rFonts w:cstheme="majorBidi"/>
        </w:rPr>
        <w:t>,</w:t>
      </w:r>
      <w:r w:rsidRPr="00294001">
        <w:rPr>
          <w:rFonts w:cstheme="majorBidi"/>
        </w:rPr>
        <w:t xml:space="preserve"> which had to be considered. VRIO could have been applied mechanically</w:t>
      </w:r>
      <w:r w:rsidR="00775C72">
        <w:rPr>
          <w:rFonts w:cstheme="majorBidi"/>
        </w:rPr>
        <w:t>,</w:t>
      </w:r>
      <w:r w:rsidRPr="00294001">
        <w:rPr>
          <w:rFonts w:cstheme="majorBidi"/>
        </w:rPr>
        <w:t xml:space="preserve"> but </w:t>
      </w:r>
      <w:r w:rsidR="00775C72">
        <w:rPr>
          <w:rFonts w:cstheme="majorBidi"/>
        </w:rPr>
        <w:t>a</w:t>
      </w:r>
      <w:r w:rsidRPr="00294001">
        <w:rPr>
          <w:rFonts w:cstheme="majorBidi"/>
        </w:rPr>
        <w:t xml:space="preserve"> more powerful way was to evaluate whether the resources of Shell were actually valuable, rare, inimitable and embedded in the organisation. This disclosed that Shell does not have </w:t>
      </w:r>
      <w:r w:rsidR="00775C72">
        <w:rPr>
          <w:rFonts w:cstheme="majorBidi"/>
        </w:rPr>
        <w:t xml:space="preserve">a </w:t>
      </w:r>
      <w:r w:rsidRPr="00294001">
        <w:rPr>
          <w:rFonts w:cstheme="majorBidi"/>
        </w:rPr>
        <w:t>single asset as its strongest strength but rather is a conglomeration of systems: LNG, trading, global infrastructure, technical expertise and capital allocation. Nonetheless, using the natural-resource-based perspective of Hart (1995) demonstrated that environmental capability only turns into a source of competitive advantage when it transcends into compliance and is integrated into innovation, product stewardship and sustainable development. This was among the major lessons</w:t>
      </w:r>
      <w:r w:rsidR="00775C72">
        <w:rPr>
          <w:rFonts w:cstheme="majorBidi"/>
        </w:rPr>
        <w:t>,</w:t>
      </w:r>
      <w:r w:rsidRPr="00294001">
        <w:rPr>
          <w:rFonts w:cstheme="majorBidi"/>
        </w:rPr>
        <w:t xml:space="preserve"> as it brought to the fore the reality that Shell</w:t>
      </w:r>
      <w:r w:rsidR="00775C72">
        <w:rPr>
          <w:rFonts w:cstheme="majorBidi"/>
        </w:rPr>
        <w:t>'s</w:t>
      </w:r>
      <w:r w:rsidRPr="00294001">
        <w:rPr>
          <w:rFonts w:cstheme="majorBidi"/>
        </w:rPr>
        <w:t xml:space="preserve"> sustainability strategy is not yet transformational enough</w:t>
      </w:r>
      <w:r w:rsidR="00775C72">
        <w:rPr>
          <w:rFonts w:cstheme="majorBidi"/>
        </w:rPr>
        <w:t>,</w:t>
      </w:r>
      <w:r w:rsidRPr="00294001">
        <w:rPr>
          <w:rFonts w:cstheme="majorBidi"/>
        </w:rPr>
        <w:t xml:space="preserve"> but </w:t>
      </w:r>
      <w:r w:rsidR="00775C72">
        <w:rPr>
          <w:rFonts w:cstheme="majorBidi"/>
        </w:rPr>
        <w:t xml:space="preserve">is </w:t>
      </w:r>
      <w:r w:rsidRPr="00294001">
        <w:rPr>
          <w:rFonts w:cstheme="majorBidi"/>
        </w:rPr>
        <w:t>considered to be strategic.</w:t>
      </w:r>
    </w:p>
    <w:p w14:paraId="17127048" w14:textId="5B192B54" w:rsidR="00B969B1" w:rsidRPr="00294001" w:rsidRDefault="001C51C1" w:rsidP="00ED71FC">
      <w:pPr>
        <w:spacing w:before="240"/>
        <w:ind w:firstLine="720"/>
        <w:rPr>
          <w:rFonts w:cstheme="majorBidi"/>
        </w:rPr>
      </w:pPr>
      <w:r w:rsidRPr="00294001">
        <w:rPr>
          <w:rFonts w:cstheme="majorBidi"/>
        </w:rPr>
        <w:t>The judgment was also necessary in the strategic choices part. The difference between operational effectiveness and strategy that Porter (1996) made came in handy as the cost discipline at Shell helps the company become more competitive, but not necessarily occup</w:t>
      </w:r>
      <w:r w:rsidR="00775C72">
        <w:rPr>
          <w:rFonts w:cstheme="majorBidi"/>
        </w:rPr>
        <w:t>y</w:t>
      </w:r>
      <w:r w:rsidRPr="00294001">
        <w:rPr>
          <w:rFonts w:cstheme="majorBidi"/>
        </w:rPr>
        <w:t xml:space="preserve"> a unique strategic niche. Thus, the suggested course was distinguished, gradual development with the aid of selective close diversification. The energy-transition literature supported this conclusion by indicating that the pressure charged to oil majors to diversify is </w:t>
      </w:r>
      <w:r w:rsidR="00775C72">
        <w:rPr>
          <w:rFonts w:cstheme="majorBidi"/>
        </w:rPr>
        <w:t>not</w:t>
      </w:r>
      <w:r w:rsidRPr="00294001">
        <w:rPr>
          <w:rFonts w:cstheme="majorBidi"/>
        </w:rPr>
        <w:t xml:space="preserve"> that </w:t>
      </w:r>
      <w:r w:rsidR="00775C72">
        <w:rPr>
          <w:rFonts w:cstheme="majorBidi"/>
        </w:rPr>
        <w:t>they</w:t>
      </w:r>
      <w:r w:rsidRPr="00294001">
        <w:rPr>
          <w:rFonts w:cstheme="majorBidi"/>
        </w:rPr>
        <w:t xml:space="preserve"> should do so </w:t>
      </w:r>
      <w:r w:rsidR="00775C72">
        <w:rPr>
          <w:rFonts w:cstheme="majorBidi"/>
        </w:rPr>
        <w:t xml:space="preserve">in </w:t>
      </w:r>
      <w:r w:rsidRPr="00294001">
        <w:rPr>
          <w:rFonts w:cstheme="majorBidi"/>
        </w:rPr>
        <w:t>ways consistent with their capacity, as opposed to expanding without focus on low carbon (Pickl, 2019; Halttunen, Slade and Staffell, 2023).</w:t>
      </w:r>
    </w:p>
    <w:p w14:paraId="396A483B" w14:textId="7826F13A" w:rsidR="00B969B1" w:rsidRPr="00294001" w:rsidRDefault="007B4846" w:rsidP="00ED71FC">
      <w:pPr>
        <w:pStyle w:val="Heading2"/>
        <w:numPr>
          <w:ilvl w:val="1"/>
          <w:numId w:val="1"/>
        </w:numPr>
        <w:spacing w:before="240" w:after="160"/>
      </w:pPr>
      <w:r>
        <w:lastRenderedPageBreak/>
        <w:t xml:space="preserve"> </w:t>
      </w:r>
      <w:bookmarkStart w:id="24" w:name="_Toc228539563"/>
      <w:r w:rsidR="00B969B1" w:rsidRPr="00294001">
        <w:t>Conclusion</w:t>
      </w:r>
      <w:bookmarkEnd w:id="24"/>
    </w:p>
    <w:p w14:paraId="3D61E39D" w14:textId="0B08D0EA" w:rsidR="00B969B1" w:rsidRPr="00294001" w:rsidRDefault="00FB0A9A" w:rsidP="00ED71FC">
      <w:pPr>
        <w:spacing w:before="240"/>
        <w:ind w:firstLine="720"/>
        <w:rPr>
          <w:rFonts w:cstheme="majorBidi"/>
        </w:rPr>
      </w:pPr>
      <w:r w:rsidRPr="00294001">
        <w:rPr>
          <w:rFonts w:cstheme="majorBidi"/>
        </w:rPr>
        <w:t>In general, the process of research and writing helped me to enhance my knowledge o</w:t>
      </w:r>
      <w:r w:rsidR="00775C72">
        <w:rPr>
          <w:rFonts w:cstheme="majorBidi"/>
        </w:rPr>
        <w:t>f</w:t>
      </w:r>
      <w:r w:rsidRPr="00294001">
        <w:rPr>
          <w:rFonts w:cstheme="majorBidi"/>
        </w:rPr>
        <w:t xml:space="preserve"> strategic management as an evidence-based and integrati</w:t>
      </w:r>
      <w:r w:rsidR="00775C72">
        <w:rPr>
          <w:rFonts w:cstheme="majorBidi"/>
        </w:rPr>
        <w:t>ve</w:t>
      </w:r>
      <w:r w:rsidRPr="00294001">
        <w:rPr>
          <w:rFonts w:cstheme="majorBidi"/>
        </w:rPr>
        <w:t xml:space="preserve"> field. The key takeaway was that models like PESTEL, VRIO, Balanced Scorecard, Ansoff</w:t>
      </w:r>
      <w:r w:rsidR="00775C72">
        <w:rPr>
          <w:rFonts w:cstheme="majorBidi"/>
        </w:rPr>
        <w:t>,</w:t>
      </w:r>
      <w:r w:rsidRPr="00294001">
        <w:rPr>
          <w:rFonts w:cstheme="majorBidi"/>
        </w:rPr>
        <w:t xml:space="preserve"> and SWOT in themselves are not helpful, and that is, until they are applied to produce judgment. The case of Shell showed that competitive advantage is dynamic, rather than fixed. Its existing strengths are high</w:t>
      </w:r>
      <w:r w:rsidR="00775C72">
        <w:rPr>
          <w:rFonts w:cstheme="majorBidi"/>
        </w:rPr>
        <w:t>,</w:t>
      </w:r>
      <w:r w:rsidRPr="00294001">
        <w:rPr>
          <w:rFonts w:cstheme="majorBidi"/>
        </w:rPr>
        <w:t xml:space="preserve"> and the same will determine how the company will be in the future</w:t>
      </w:r>
      <w:r w:rsidR="00775C72">
        <w:rPr>
          <w:rFonts w:cstheme="majorBidi"/>
        </w:rPr>
        <w:t>,</w:t>
      </w:r>
      <w:r w:rsidRPr="00294001">
        <w:rPr>
          <w:rFonts w:cstheme="majorBidi"/>
        </w:rPr>
        <w:t xml:space="preserve"> as it will be dependent on whether or not the company will be able to transform its hydrocarbon cash flows to support credible transition capabilities. Another lesson of the process was paying much attention to the quality of the sources since the official reports were up-to-date sources of information, whereas the peer-reviewed literature allowed </w:t>
      </w:r>
      <w:r w:rsidR="00775C72">
        <w:rPr>
          <w:rFonts w:cstheme="majorBidi"/>
        </w:rPr>
        <w:t xml:space="preserve">for </w:t>
      </w:r>
      <w:r w:rsidRPr="00294001">
        <w:rPr>
          <w:rFonts w:cstheme="majorBidi"/>
        </w:rPr>
        <w:t>interpreting the data critically.</w:t>
      </w:r>
    </w:p>
    <w:p w14:paraId="6F65D241" w14:textId="2C537AA5" w:rsidR="00B969B1" w:rsidRPr="00294001" w:rsidRDefault="002E767B" w:rsidP="00ED71FC">
      <w:pPr>
        <w:pStyle w:val="Heading2"/>
        <w:numPr>
          <w:ilvl w:val="1"/>
          <w:numId w:val="1"/>
        </w:numPr>
        <w:spacing w:before="240" w:after="160"/>
      </w:pPr>
      <w:r>
        <w:t xml:space="preserve"> </w:t>
      </w:r>
      <w:bookmarkStart w:id="25" w:name="_Toc228539564"/>
      <w:r w:rsidR="00B969B1" w:rsidRPr="00294001">
        <w:t>Action Plan</w:t>
      </w:r>
      <w:bookmarkEnd w:id="25"/>
    </w:p>
    <w:p w14:paraId="704FEA65" w14:textId="4BA52404" w:rsidR="00945621" w:rsidRDefault="00127FF1" w:rsidP="00ED71FC">
      <w:pPr>
        <w:spacing w:before="240"/>
        <w:ind w:firstLine="720"/>
        <w:rPr>
          <w:rFonts w:cstheme="majorBidi"/>
        </w:rPr>
      </w:pPr>
      <w:r w:rsidRPr="00294001">
        <w:rPr>
          <w:rFonts w:cstheme="majorBidi"/>
        </w:rPr>
        <w:t>When writing a future strategic report, I would start by making my source matrix that would distinguish official company evidence, academic theory, competitor reports and critical commentary. This would facilitate easier synthesis and help lessen the chances of over</w:t>
      </w:r>
      <w:r w:rsidR="00775C72">
        <w:rPr>
          <w:rFonts w:cstheme="majorBidi"/>
        </w:rPr>
        <w:t>-dependence</w:t>
      </w:r>
      <w:r w:rsidRPr="00294001">
        <w:rPr>
          <w:rFonts w:cstheme="majorBidi"/>
        </w:rPr>
        <w:t xml:space="preserve"> on a single type of source. Another thing I would </w:t>
      </w:r>
      <w:r w:rsidR="00775C72">
        <w:rPr>
          <w:rFonts w:cstheme="majorBidi"/>
        </w:rPr>
        <w:t xml:space="preserve">do is to </w:t>
      </w:r>
      <w:r w:rsidRPr="00294001">
        <w:rPr>
          <w:rFonts w:cstheme="majorBidi"/>
        </w:rPr>
        <w:t>set the central strategic tension earlier in the process</w:t>
      </w:r>
      <w:r w:rsidR="00775C72">
        <w:rPr>
          <w:rFonts w:cstheme="majorBidi"/>
        </w:rPr>
        <w:t>,</w:t>
      </w:r>
      <w:r w:rsidRPr="00294001">
        <w:rPr>
          <w:rFonts w:cstheme="majorBidi"/>
        </w:rPr>
        <w:t xml:space="preserve"> </w:t>
      </w:r>
      <w:r w:rsidR="00775C72">
        <w:rPr>
          <w:rFonts w:cstheme="majorBidi"/>
        </w:rPr>
        <w:t>which</w:t>
      </w:r>
      <w:r w:rsidRPr="00294001">
        <w:rPr>
          <w:rFonts w:cstheme="majorBidi"/>
        </w:rPr>
        <w:t xml:space="preserve"> would enable me to have a consistent argument throughout the various sections. Lastly, I would also consider the allocation of the word stricter at the planning phase with a sufficient amount of space left to evaluation and recommendations, as opposed to letting the descriptive background take preeminence. This would help to enhance stronger Level 7 performance through </w:t>
      </w:r>
      <w:r w:rsidR="00775C72">
        <w:rPr>
          <w:rFonts w:cstheme="majorBidi"/>
        </w:rPr>
        <w:t xml:space="preserve">the </w:t>
      </w:r>
      <w:r w:rsidRPr="00294001">
        <w:rPr>
          <w:rFonts w:cstheme="majorBidi"/>
        </w:rPr>
        <w:t>enhancement of clarity, criticality and strategic focus.</w:t>
      </w:r>
    </w:p>
    <w:p w14:paraId="649E2640" w14:textId="77777777" w:rsidR="00945621" w:rsidRDefault="00945621" w:rsidP="00ED71FC">
      <w:pPr>
        <w:spacing w:before="240"/>
        <w:ind w:firstLine="720"/>
        <w:rPr>
          <w:rFonts w:cstheme="majorBidi"/>
        </w:rPr>
      </w:pPr>
    </w:p>
    <w:p w14:paraId="67A693F1" w14:textId="77777777" w:rsidR="00945621" w:rsidRDefault="00945621" w:rsidP="00ED71FC">
      <w:pPr>
        <w:spacing w:before="240"/>
        <w:ind w:firstLine="720"/>
        <w:rPr>
          <w:rFonts w:cstheme="majorBidi"/>
        </w:rPr>
      </w:pPr>
    </w:p>
    <w:p w14:paraId="4D132F24" w14:textId="77777777" w:rsidR="00945621" w:rsidRDefault="00945621" w:rsidP="00BB5E54">
      <w:pPr>
        <w:spacing w:before="240"/>
        <w:rPr>
          <w:rFonts w:cstheme="majorBidi"/>
        </w:rPr>
      </w:pPr>
    </w:p>
    <w:p w14:paraId="1AC67BFE" w14:textId="77777777" w:rsidR="00BB5E54" w:rsidRDefault="00BB5E54" w:rsidP="00BB5E54">
      <w:pPr>
        <w:spacing w:before="240"/>
        <w:rPr>
          <w:rFonts w:cstheme="majorBidi"/>
        </w:rPr>
      </w:pPr>
    </w:p>
    <w:p w14:paraId="68B35249" w14:textId="77777777" w:rsidR="00BB5E54" w:rsidRPr="00294001" w:rsidRDefault="00BB5E54" w:rsidP="00BB5E54">
      <w:pPr>
        <w:spacing w:before="240"/>
        <w:rPr>
          <w:rFonts w:cstheme="majorBidi"/>
        </w:rPr>
      </w:pPr>
    </w:p>
    <w:p w14:paraId="194F3E5F" w14:textId="77777777" w:rsidR="00C06E44" w:rsidRDefault="00C06E44" w:rsidP="00ED71FC">
      <w:pPr>
        <w:pStyle w:val="Heading1"/>
        <w:spacing w:before="240" w:after="160"/>
      </w:pPr>
      <w:bookmarkStart w:id="26" w:name="_Toc228539565"/>
      <w:r w:rsidRPr="00294001">
        <w:lastRenderedPageBreak/>
        <w:t>References</w:t>
      </w:r>
      <w:bookmarkEnd w:id="26"/>
    </w:p>
    <w:p w14:paraId="31019462" w14:textId="77777777" w:rsidR="00D82D8A" w:rsidRPr="00541714" w:rsidRDefault="00D82D8A" w:rsidP="00ED71FC">
      <w:pPr>
        <w:spacing w:before="240"/>
        <w:ind w:left="720" w:hanging="720"/>
        <w:rPr>
          <w:rFonts w:eastAsia="Times New Roman" w:cstheme="majorBidi"/>
          <w:kern w:val="0"/>
          <w:sz w:val="32"/>
          <w:szCs w:val="32"/>
          <w14:ligatures w14:val="none"/>
        </w:rPr>
      </w:pPr>
      <w:r w:rsidRPr="00541714">
        <w:rPr>
          <w:rFonts w:cstheme="majorBidi"/>
          <w:color w:val="222222"/>
          <w:shd w:val="clear" w:color="auto" w:fill="FFFFFF"/>
        </w:rPr>
        <w:t>Ansoff, H. I. (1957). Strategies for diversification. </w:t>
      </w:r>
      <w:r w:rsidRPr="00541714">
        <w:rPr>
          <w:rFonts w:cstheme="majorBidi"/>
          <w:i/>
          <w:iCs/>
          <w:color w:val="222222"/>
          <w:shd w:val="clear" w:color="auto" w:fill="FFFFFF"/>
        </w:rPr>
        <w:t>Harvard business review</w:t>
      </w:r>
      <w:r w:rsidRPr="00541714">
        <w:rPr>
          <w:rFonts w:cstheme="majorBidi"/>
          <w:color w:val="222222"/>
          <w:shd w:val="clear" w:color="auto" w:fill="FFFFFF"/>
        </w:rPr>
        <w:t>, </w:t>
      </w:r>
      <w:r w:rsidRPr="00541714">
        <w:rPr>
          <w:rFonts w:cstheme="majorBidi"/>
          <w:i/>
          <w:iCs/>
          <w:color w:val="222222"/>
          <w:shd w:val="clear" w:color="auto" w:fill="FFFFFF"/>
        </w:rPr>
        <w:t>35</w:t>
      </w:r>
      <w:r w:rsidRPr="00541714">
        <w:rPr>
          <w:rFonts w:cstheme="majorBidi"/>
          <w:color w:val="222222"/>
          <w:shd w:val="clear" w:color="auto" w:fill="FFFFFF"/>
        </w:rPr>
        <w:t>(5), 113-124.</w:t>
      </w:r>
    </w:p>
    <w:p w14:paraId="24A62ECC" w14:textId="1B808BF4" w:rsidR="00D82D8A" w:rsidRPr="003D19C8" w:rsidRDefault="00D82D8A" w:rsidP="00ED71FC">
      <w:pPr>
        <w:spacing w:before="240"/>
        <w:ind w:left="720" w:hanging="720"/>
        <w:rPr>
          <w:rFonts w:cstheme="majorBidi"/>
          <w:color w:val="222222"/>
          <w:shd w:val="clear" w:color="auto" w:fill="FFFFFF"/>
        </w:rPr>
      </w:pPr>
      <w:r w:rsidRPr="00E22BDD">
        <w:rPr>
          <w:rFonts w:cstheme="majorBidi"/>
          <w:color w:val="222222"/>
          <w:shd w:val="clear" w:color="auto" w:fill="FFFFFF"/>
        </w:rPr>
        <w:t>Barney, J. (1991). Firm resources and sustained competitive advantage. </w:t>
      </w:r>
      <w:r w:rsidRPr="00E22BDD">
        <w:rPr>
          <w:rFonts w:cstheme="majorBidi"/>
          <w:i/>
          <w:iCs/>
          <w:color w:val="222222"/>
          <w:shd w:val="clear" w:color="auto" w:fill="FFFFFF"/>
        </w:rPr>
        <w:t xml:space="preserve">Journal of </w:t>
      </w:r>
      <w:r w:rsidR="00775C72">
        <w:rPr>
          <w:rFonts w:cstheme="majorBidi"/>
          <w:i/>
          <w:iCs/>
          <w:color w:val="222222"/>
          <w:shd w:val="clear" w:color="auto" w:fill="FFFFFF"/>
        </w:rPr>
        <w:t>M</w:t>
      </w:r>
      <w:r w:rsidRPr="00E22BDD">
        <w:rPr>
          <w:rFonts w:cstheme="majorBidi"/>
          <w:i/>
          <w:iCs/>
          <w:color w:val="222222"/>
          <w:shd w:val="clear" w:color="auto" w:fill="FFFFFF"/>
        </w:rPr>
        <w:t>anagement</w:t>
      </w:r>
      <w:r w:rsidRPr="00E22BDD">
        <w:rPr>
          <w:rFonts w:cstheme="majorBidi"/>
          <w:color w:val="222222"/>
          <w:shd w:val="clear" w:color="auto" w:fill="FFFFFF"/>
        </w:rPr>
        <w:t>, </w:t>
      </w:r>
      <w:r w:rsidRPr="00E22BDD">
        <w:rPr>
          <w:rFonts w:cstheme="majorBidi"/>
          <w:i/>
          <w:iCs/>
          <w:color w:val="222222"/>
          <w:shd w:val="clear" w:color="auto" w:fill="FFFFFF"/>
        </w:rPr>
        <w:t>17</w:t>
      </w:r>
      <w:r w:rsidRPr="00E22BDD">
        <w:rPr>
          <w:rFonts w:cstheme="majorBidi"/>
          <w:color w:val="222222"/>
          <w:shd w:val="clear" w:color="auto" w:fill="FFFFFF"/>
        </w:rPr>
        <w:t>(1), 99-120.</w:t>
      </w:r>
    </w:p>
    <w:p w14:paraId="165E0E9F" w14:textId="65CD15B3" w:rsidR="00D82D8A" w:rsidRDefault="00775C72" w:rsidP="00ED71FC">
      <w:pPr>
        <w:spacing w:before="240"/>
        <w:ind w:left="720" w:hanging="720"/>
        <w:rPr>
          <w:rFonts w:eastAsia="Times New Roman" w:cstheme="majorBidi"/>
          <w:kern w:val="0"/>
          <w14:ligatures w14:val="none"/>
        </w:rPr>
      </w:pPr>
      <w:r>
        <w:rPr>
          <w:rFonts w:eastAsia="Times New Roman" w:cstheme="majorBidi"/>
          <w:kern w:val="0"/>
          <w14:ligatures w14:val="none"/>
        </w:rPr>
        <w:t>BP</w:t>
      </w:r>
      <w:r w:rsidR="00D82D8A" w:rsidRPr="00294001">
        <w:rPr>
          <w:rFonts w:eastAsia="Times New Roman" w:cstheme="majorBidi"/>
          <w:kern w:val="0"/>
          <w14:ligatures w14:val="none"/>
        </w:rPr>
        <w:t xml:space="preserve"> plc. (202</w:t>
      </w:r>
      <w:r w:rsidR="00D82D8A">
        <w:rPr>
          <w:rFonts w:eastAsia="Times New Roman" w:cstheme="majorBidi"/>
          <w:kern w:val="0"/>
          <w14:ligatures w14:val="none"/>
        </w:rPr>
        <w:t>5</w:t>
      </w:r>
      <w:r w:rsidR="00D82D8A" w:rsidRPr="00294001">
        <w:rPr>
          <w:rFonts w:eastAsia="Times New Roman" w:cstheme="majorBidi"/>
          <w:kern w:val="0"/>
          <w14:ligatures w14:val="none"/>
        </w:rPr>
        <w:t xml:space="preserve">) </w:t>
      </w:r>
      <w:r w:rsidR="00D82D8A" w:rsidRPr="00294001">
        <w:rPr>
          <w:rFonts w:eastAsia="Times New Roman" w:cstheme="majorBidi"/>
          <w:i/>
          <w:iCs/>
          <w:kern w:val="0"/>
          <w14:ligatures w14:val="none"/>
        </w:rPr>
        <w:t>Annual Report and Form 20-F 2025</w:t>
      </w:r>
      <w:r w:rsidR="00D82D8A" w:rsidRPr="00294001">
        <w:rPr>
          <w:rFonts w:eastAsia="Times New Roman" w:cstheme="majorBidi"/>
          <w:kern w:val="0"/>
          <w14:ligatures w14:val="none"/>
        </w:rPr>
        <w:t>.</w:t>
      </w:r>
      <w:r w:rsidR="0010505C">
        <w:rPr>
          <w:rFonts w:eastAsia="Times New Roman" w:cstheme="majorBidi"/>
          <w:kern w:val="0"/>
          <w14:ligatures w14:val="none"/>
        </w:rPr>
        <w:t xml:space="preserve"> </w:t>
      </w:r>
      <w:hyperlink r:id="rId16" w:tgtFrame="_new" w:history="1">
        <w:r w:rsidR="00D82D8A" w:rsidRPr="00294001">
          <w:rPr>
            <w:rFonts w:eastAsia="Times New Roman" w:cstheme="majorBidi"/>
            <w:color w:val="0000FF"/>
            <w:kern w:val="0"/>
            <w:u w:val="single"/>
            <w14:ligatures w14:val="none"/>
          </w:rPr>
          <w:t>https://www.bp.com/content/dam/bp/business-sites/en/global/corporate/pdfs/investors/bp-annual-report-and-form-20f-2025.pdf</w:t>
        </w:r>
      </w:hyperlink>
      <w:r w:rsidR="00D82D8A">
        <w:rPr>
          <w:rFonts w:eastAsia="Times New Roman" w:cstheme="majorBidi"/>
          <w:kern w:val="0"/>
          <w14:ligatures w14:val="none"/>
        </w:rPr>
        <w:t>.</w:t>
      </w:r>
    </w:p>
    <w:p w14:paraId="31639A51" w14:textId="4EAB127E" w:rsidR="00D82D8A" w:rsidRDefault="00D82D8A" w:rsidP="00ED71FC">
      <w:pPr>
        <w:spacing w:before="240"/>
        <w:ind w:left="720" w:hanging="720"/>
        <w:rPr>
          <w:rFonts w:cstheme="majorBidi"/>
          <w:color w:val="222222"/>
          <w:shd w:val="clear" w:color="auto" w:fill="FFFFFF"/>
        </w:rPr>
      </w:pPr>
      <w:r w:rsidRPr="00BE48D3">
        <w:rPr>
          <w:rFonts w:cstheme="majorBidi"/>
          <w:color w:val="222222"/>
          <w:shd w:val="clear" w:color="auto" w:fill="FFFFFF"/>
        </w:rPr>
        <w:t xml:space="preserve">Cherepovitsyn, A., </w:t>
      </w:r>
      <w:r w:rsidR="00DB4792">
        <w:rPr>
          <w:rFonts w:cstheme="majorBidi"/>
          <w:color w:val="222222"/>
          <w:shd w:val="clear" w:color="auto" w:fill="FFFFFF"/>
        </w:rPr>
        <w:t>and</w:t>
      </w:r>
      <w:r w:rsidRPr="00BE48D3">
        <w:rPr>
          <w:rFonts w:cstheme="majorBidi"/>
          <w:color w:val="222222"/>
          <w:shd w:val="clear" w:color="auto" w:fill="FFFFFF"/>
        </w:rPr>
        <w:t xml:space="preserve"> Rutenko, E. (2022). Strategic planning of oil and gas companies: the decarbonization transition. </w:t>
      </w:r>
      <w:r w:rsidRPr="00BE48D3">
        <w:rPr>
          <w:rFonts w:cstheme="majorBidi"/>
          <w:i/>
          <w:iCs/>
          <w:color w:val="222222"/>
          <w:shd w:val="clear" w:color="auto" w:fill="FFFFFF"/>
        </w:rPr>
        <w:t>Energies</w:t>
      </w:r>
      <w:r w:rsidRPr="00BE48D3">
        <w:rPr>
          <w:rFonts w:cstheme="majorBidi"/>
          <w:color w:val="222222"/>
          <w:shd w:val="clear" w:color="auto" w:fill="FFFFFF"/>
        </w:rPr>
        <w:t>, </w:t>
      </w:r>
      <w:r w:rsidRPr="00BE48D3">
        <w:rPr>
          <w:rFonts w:cstheme="majorBidi"/>
          <w:i/>
          <w:iCs/>
          <w:color w:val="222222"/>
          <w:shd w:val="clear" w:color="auto" w:fill="FFFFFF"/>
        </w:rPr>
        <w:t>15</w:t>
      </w:r>
      <w:r w:rsidRPr="00BE48D3">
        <w:rPr>
          <w:rFonts w:cstheme="majorBidi"/>
          <w:color w:val="222222"/>
          <w:shd w:val="clear" w:color="auto" w:fill="FFFFFF"/>
        </w:rPr>
        <w:t>(17), 6163.</w:t>
      </w:r>
    </w:p>
    <w:p w14:paraId="5523E3E0" w14:textId="4AD7D674" w:rsidR="00D82D8A" w:rsidRDefault="00D82D8A" w:rsidP="00ED71FC">
      <w:pPr>
        <w:spacing w:before="240"/>
        <w:ind w:left="720" w:hanging="720"/>
        <w:rPr>
          <w:rFonts w:eastAsia="Times New Roman" w:cstheme="majorBidi"/>
          <w:kern w:val="0"/>
          <w14:ligatures w14:val="none"/>
        </w:rPr>
      </w:pPr>
      <w:r w:rsidRPr="00294001">
        <w:rPr>
          <w:rFonts w:eastAsia="Times New Roman" w:cstheme="majorBidi"/>
          <w:kern w:val="0"/>
          <w14:ligatures w14:val="none"/>
        </w:rPr>
        <w:t xml:space="preserve">Exxon Mobil Corporation (2026) </w:t>
      </w:r>
      <w:r w:rsidRPr="00294001">
        <w:rPr>
          <w:rFonts w:eastAsia="Times New Roman" w:cstheme="majorBidi"/>
          <w:i/>
          <w:iCs/>
          <w:kern w:val="0"/>
          <w14:ligatures w14:val="none"/>
        </w:rPr>
        <w:t>Form 10-K / Annual Report 2025</w:t>
      </w:r>
      <w:r w:rsidRPr="00294001">
        <w:rPr>
          <w:rFonts w:eastAsia="Times New Roman" w:cstheme="majorBidi"/>
          <w:kern w:val="0"/>
          <w14:ligatures w14:val="none"/>
        </w:rPr>
        <w:t>.</w:t>
      </w:r>
      <w:r w:rsidR="001E3C25">
        <w:rPr>
          <w:rFonts w:eastAsia="Times New Roman" w:cstheme="majorBidi"/>
          <w:kern w:val="0"/>
          <w14:ligatures w14:val="none"/>
        </w:rPr>
        <w:t xml:space="preserve"> </w:t>
      </w:r>
      <w:hyperlink r:id="rId17" w:tgtFrame="_new" w:history="1">
        <w:r w:rsidRPr="00294001">
          <w:rPr>
            <w:rFonts w:eastAsia="Times New Roman" w:cstheme="majorBidi"/>
            <w:color w:val="0000FF"/>
            <w:kern w:val="0"/>
            <w:u w:val="single"/>
            <w14:ligatures w14:val="none"/>
          </w:rPr>
          <w:t>https://investor.exxonmobil.com/sec-filings/annual-reports</w:t>
        </w:r>
      </w:hyperlink>
      <w:r>
        <w:rPr>
          <w:rFonts w:eastAsia="Times New Roman" w:cstheme="majorBidi"/>
          <w:kern w:val="0"/>
          <w14:ligatures w14:val="none"/>
        </w:rPr>
        <w:t>.</w:t>
      </w:r>
    </w:p>
    <w:p w14:paraId="5CE9E908" w14:textId="1B5DBCCD" w:rsidR="00D82D8A" w:rsidRDefault="00D82D8A" w:rsidP="00ED71FC">
      <w:pPr>
        <w:spacing w:before="240"/>
        <w:ind w:left="720" w:hanging="720"/>
        <w:rPr>
          <w:rFonts w:cstheme="majorBidi"/>
          <w:color w:val="222222"/>
          <w:shd w:val="clear" w:color="auto" w:fill="FFFFFF"/>
        </w:rPr>
      </w:pPr>
      <w:r w:rsidRPr="00607235">
        <w:rPr>
          <w:rFonts w:cstheme="majorBidi"/>
          <w:color w:val="222222"/>
          <w:shd w:val="clear" w:color="auto" w:fill="FFFFFF"/>
          <w:lang w:val="en-US"/>
        </w:rPr>
        <w:t xml:space="preserve">Figge, F., Hahn, T., Schaltegger, S., </w:t>
      </w:r>
      <w:r w:rsidR="00DB4792">
        <w:rPr>
          <w:rFonts w:cstheme="majorBidi"/>
          <w:color w:val="222222"/>
          <w:shd w:val="clear" w:color="auto" w:fill="FFFFFF"/>
        </w:rPr>
        <w:t>and</w:t>
      </w:r>
      <w:r w:rsidR="00DB4792" w:rsidRPr="00607235">
        <w:rPr>
          <w:rFonts w:cstheme="majorBidi"/>
          <w:color w:val="222222"/>
          <w:shd w:val="clear" w:color="auto" w:fill="FFFFFF"/>
          <w:lang w:val="en-US"/>
        </w:rPr>
        <w:t xml:space="preserve"> </w:t>
      </w:r>
      <w:r w:rsidRPr="00607235">
        <w:rPr>
          <w:rFonts w:cstheme="majorBidi"/>
          <w:color w:val="222222"/>
          <w:shd w:val="clear" w:color="auto" w:fill="FFFFFF"/>
          <w:lang w:val="en-US"/>
        </w:rPr>
        <w:t xml:space="preserve">Wagner, M. (2002). </w:t>
      </w:r>
      <w:r w:rsidRPr="004929DA">
        <w:rPr>
          <w:rFonts w:cstheme="majorBidi"/>
          <w:color w:val="222222"/>
          <w:shd w:val="clear" w:color="auto" w:fill="FFFFFF"/>
        </w:rPr>
        <w:t>The sustainability balanced scorecard–linking sustainability management to business strategy. </w:t>
      </w:r>
      <w:r w:rsidRPr="004929DA">
        <w:rPr>
          <w:rFonts w:cstheme="majorBidi"/>
          <w:i/>
          <w:iCs/>
          <w:color w:val="222222"/>
          <w:shd w:val="clear" w:color="auto" w:fill="FFFFFF"/>
        </w:rPr>
        <w:t>Business strategy and the Environment</w:t>
      </w:r>
      <w:r w:rsidRPr="004929DA">
        <w:rPr>
          <w:rFonts w:cstheme="majorBidi"/>
          <w:color w:val="222222"/>
          <w:shd w:val="clear" w:color="auto" w:fill="FFFFFF"/>
        </w:rPr>
        <w:t>, </w:t>
      </w:r>
      <w:r w:rsidRPr="004929DA">
        <w:rPr>
          <w:rFonts w:cstheme="majorBidi"/>
          <w:i/>
          <w:iCs/>
          <w:color w:val="222222"/>
          <w:shd w:val="clear" w:color="auto" w:fill="FFFFFF"/>
        </w:rPr>
        <w:t>11</w:t>
      </w:r>
      <w:r w:rsidRPr="004929DA">
        <w:rPr>
          <w:rFonts w:cstheme="majorBidi"/>
          <w:color w:val="222222"/>
          <w:shd w:val="clear" w:color="auto" w:fill="FFFFFF"/>
        </w:rPr>
        <w:t>(5), 269-284.</w:t>
      </w:r>
    </w:p>
    <w:p w14:paraId="149DBDE3" w14:textId="77777777" w:rsidR="00D82D8A" w:rsidRDefault="00D82D8A" w:rsidP="00ED71FC">
      <w:pPr>
        <w:spacing w:before="240"/>
        <w:ind w:left="720" w:hanging="720"/>
        <w:rPr>
          <w:rFonts w:eastAsia="Times New Roman" w:cstheme="majorBidi"/>
          <w:kern w:val="0"/>
          <w14:ligatures w14:val="none"/>
        </w:rPr>
      </w:pPr>
      <w:r w:rsidRPr="00FA10AE">
        <w:rPr>
          <w:rFonts w:cstheme="majorBidi"/>
          <w:color w:val="222222"/>
          <w:shd w:val="clear" w:color="auto" w:fill="FFFFFF"/>
        </w:rPr>
        <w:t>Gibbs, G. (1988). Learning by doing: A guide to teaching and learning methods. </w:t>
      </w:r>
      <w:r w:rsidRPr="00FA10AE">
        <w:rPr>
          <w:rFonts w:cstheme="majorBidi"/>
          <w:i/>
          <w:iCs/>
          <w:color w:val="222222"/>
          <w:shd w:val="clear" w:color="auto" w:fill="FFFFFF"/>
        </w:rPr>
        <w:t>Further Education Unit</w:t>
      </w:r>
      <w:r w:rsidRPr="00FA10AE">
        <w:rPr>
          <w:rFonts w:cstheme="majorBidi"/>
          <w:color w:val="222222"/>
          <w:shd w:val="clear" w:color="auto" w:fill="FFFFFF"/>
        </w:rPr>
        <w:t>.</w:t>
      </w:r>
    </w:p>
    <w:p w14:paraId="028A691D" w14:textId="3A04D035" w:rsidR="00D82D8A" w:rsidRDefault="00D82D8A" w:rsidP="00ED71FC">
      <w:pPr>
        <w:spacing w:before="240"/>
        <w:ind w:left="720" w:hanging="720"/>
        <w:rPr>
          <w:rFonts w:cstheme="majorBidi"/>
          <w:color w:val="222222"/>
          <w:shd w:val="clear" w:color="auto" w:fill="FFFFFF"/>
        </w:rPr>
      </w:pPr>
      <w:r w:rsidRPr="007E1AC2">
        <w:rPr>
          <w:rFonts w:cstheme="majorBidi"/>
          <w:color w:val="222222"/>
          <w:shd w:val="clear" w:color="auto" w:fill="FFFFFF"/>
        </w:rPr>
        <w:t xml:space="preserve">Green, J., Hadden, J., Hale, T., </w:t>
      </w:r>
      <w:r w:rsidR="00DB4792">
        <w:rPr>
          <w:rFonts w:cstheme="majorBidi"/>
          <w:color w:val="222222"/>
          <w:shd w:val="clear" w:color="auto" w:fill="FFFFFF"/>
        </w:rPr>
        <w:t>and</w:t>
      </w:r>
      <w:r w:rsidR="00DB4792" w:rsidRPr="007E1AC2">
        <w:rPr>
          <w:rFonts w:cstheme="majorBidi"/>
          <w:color w:val="222222"/>
          <w:shd w:val="clear" w:color="auto" w:fill="FFFFFF"/>
        </w:rPr>
        <w:t xml:space="preserve"> </w:t>
      </w:r>
      <w:r w:rsidRPr="007E1AC2">
        <w:rPr>
          <w:rFonts w:cstheme="majorBidi"/>
          <w:color w:val="222222"/>
          <w:shd w:val="clear" w:color="auto" w:fill="FFFFFF"/>
        </w:rPr>
        <w:t>Mahdavi, P. (2022). Transition, hedge, or resist? Understanding political and economic behavio</w:t>
      </w:r>
      <w:r w:rsidR="00C4574F">
        <w:rPr>
          <w:rFonts w:cstheme="majorBidi"/>
          <w:color w:val="222222"/>
          <w:shd w:val="clear" w:color="auto" w:fill="FFFFFF"/>
        </w:rPr>
        <w:t>u</w:t>
      </w:r>
      <w:r w:rsidRPr="007E1AC2">
        <w:rPr>
          <w:rFonts w:cstheme="majorBidi"/>
          <w:color w:val="222222"/>
          <w:shd w:val="clear" w:color="auto" w:fill="FFFFFF"/>
        </w:rPr>
        <w:t>r toward decarbonization in the oil and gas industry. </w:t>
      </w:r>
      <w:r w:rsidRPr="007E1AC2">
        <w:rPr>
          <w:rFonts w:cstheme="majorBidi"/>
          <w:i/>
          <w:iCs/>
          <w:color w:val="222222"/>
          <w:shd w:val="clear" w:color="auto" w:fill="FFFFFF"/>
        </w:rPr>
        <w:t>Review of international political economy</w:t>
      </w:r>
      <w:r w:rsidRPr="007E1AC2">
        <w:rPr>
          <w:rFonts w:cstheme="majorBidi"/>
          <w:color w:val="222222"/>
          <w:shd w:val="clear" w:color="auto" w:fill="FFFFFF"/>
        </w:rPr>
        <w:t>, </w:t>
      </w:r>
      <w:r w:rsidRPr="007E1AC2">
        <w:rPr>
          <w:rFonts w:cstheme="majorBidi"/>
          <w:i/>
          <w:iCs/>
          <w:color w:val="222222"/>
          <w:shd w:val="clear" w:color="auto" w:fill="FFFFFF"/>
        </w:rPr>
        <w:t>29</w:t>
      </w:r>
      <w:r w:rsidRPr="007E1AC2">
        <w:rPr>
          <w:rFonts w:cstheme="majorBidi"/>
          <w:color w:val="222222"/>
          <w:shd w:val="clear" w:color="auto" w:fill="FFFFFF"/>
        </w:rPr>
        <w:t>(6), 2036-2063.</w:t>
      </w:r>
    </w:p>
    <w:p w14:paraId="12EF2121" w14:textId="6805F5C3" w:rsidR="00D82D8A" w:rsidRDefault="00D82D8A" w:rsidP="00ED71FC">
      <w:pPr>
        <w:spacing w:before="240"/>
        <w:ind w:left="720" w:hanging="720"/>
        <w:rPr>
          <w:rFonts w:eastAsia="Times New Roman" w:cstheme="majorBidi"/>
          <w:b/>
          <w:bCs/>
          <w:kern w:val="0"/>
          <w:sz w:val="40"/>
          <w:szCs w:val="40"/>
          <w14:ligatures w14:val="none"/>
        </w:rPr>
      </w:pPr>
      <w:r w:rsidRPr="00BF716D">
        <w:rPr>
          <w:rFonts w:cstheme="majorBidi"/>
          <w:color w:val="222222"/>
          <w:shd w:val="clear" w:color="auto" w:fill="FFFFFF"/>
        </w:rPr>
        <w:t xml:space="preserve">Halttunen, K., Slade, R., </w:t>
      </w:r>
      <w:r w:rsidR="00DB4792">
        <w:rPr>
          <w:rFonts w:cstheme="majorBidi"/>
          <w:color w:val="222222"/>
          <w:shd w:val="clear" w:color="auto" w:fill="FFFFFF"/>
        </w:rPr>
        <w:t>and</w:t>
      </w:r>
      <w:r w:rsidR="00DB4792" w:rsidRPr="00BF716D">
        <w:rPr>
          <w:rFonts w:cstheme="majorBidi"/>
          <w:color w:val="222222"/>
          <w:shd w:val="clear" w:color="auto" w:fill="FFFFFF"/>
        </w:rPr>
        <w:t xml:space="preserve"> </w:t>
      </w:r>
      <w:r w:rsidRPr="00BF716D">
        <w:rPr>
          <w:rFonts w:cstheme="majorBidi"/>
          <w:color w:val="222222"/>
          <w:shd w:val="clear" w:color="auto" w:fill="FFFFFF"/>
        </w:rPr>
        <w:t>Staffell, I. (2023). Diversify or die: Strategy options for oil majors in the sustainable energy transition. </w:t>
      </w:r>
      <w:r w:rsidRPr="00BF716D">
        <w:rPr>
          <w:rFonts w:cstheme="majorBidi"/>
          <w:i/>
          <w:iCs/>
          <w:color w:val="222222"/>
          <w:shd w:val="clear" w:color="auto" w:fill="FFFFFF"/>
        </w:rPr>
        <w:t>Energy Research &amp; Social Science</w:t>
      </w:r>
      <w:r w:rsidRPr="00BF716D">
        <w:rPr>
          <w:rFonts w:cstheme="majorBidi"/>
          <w:color w:val="222222"/>
          <w:shd w:val="clear" w:color="auto" w:fill="FFFFFF"/>
        </w:rPr>
        <w:t>, </w:t>
      </w:r>
      <w:r w:rsidRPr="00BF716D">
        <w:rPr>
          <w:rFonts w:cstheme="majorBidi"/>
          <w:i/>
          <w:iCs/>
          <w:color w:val="222222"/>
          <w:shd w:val="clear" w:color="auto" w:fill="FFFFFF"/>
        </w:rPr>
        <w:t>104</w:t>
      </w:r>
      <w:r w:rsidRPr="00BF716D">
        <w:rPr>
          <w:rFonts w:cstheme="majorBidi"/>
          <w:color w:val="222222"/>
          <w:shd w:val="clear" w:color="auto" w:fill="FFFFFF"/>
        </w:rPr>
        <w:t>, 103253.</w:t>
      </w:r>
    </w:p>
    <w:p w14:paraId="7AD6AD2E" w14:textId="6610122E" w:rsidR="00D82D8A" w:rsidRDefault="00D82D8A" w:rsidP="00ED71FC">
      <w:pPr>
        <w:spacing w:before="240"/>
        <w:ind w:left="720" w:hanging="720"/>
        <w:rPr>
          <w:rFonts w:cstheme="majorBidi"/>
          <w:color w:val="222222"/>
          <w:shd w:val="clear" w:color="auto" w:fill="FFFFFF"/>
        </w:rPr>
      </w:pPr>
      <w:r w:rsidRPr="00DE56C0">
        <w:rPr>
          <w:rFonts w:cstheme="majorBidi"/>
          <w:color w:val="222222"/>
          <w:shd w:val="clear" w:color="auto" w:fill="FFFFFF"/>
        </w:rPr>
        <w:t>Hart, S. L. (1995). A natural-resource-based view of the firm. </w:t>
      </w:r>
      <w:r w:rsidRPr="00DE56C0">
        <w:rPr>
          <w:rFonts w:cstheme="majorBidi"/>
          <w:i/>
          <w:iCs/>
          <w:color w:val="222222"/>
          <w:shd w:val="clear" w:color="auto" w:fill="FFFFFF"/>
        </w:rPr>
        <w:t xml:space="preserve">Academy of </w:t>
      </w:r>
      <w:r w:rsidR="00C4574F">
        <w:rPr>
          <w:rFonts w:cstheme="majorBidi"/>
          <w:i/>
          <w:iCs/>
          <w:color w:val="222222"/>
          <w:shd w:val="clear" w:color="auto" w:fill="FFFFFF"/>
        </w:rPr>
        <w:t>Management R</w:t>
      </w:r>
      <w:r w:rsidRPr="00DE56C0">
        <w:rPr>
          <w:rFonts w:cstheme="majorBidi"/>
          <w:i/>
          <w:iCs/>
          <w:color w:val="222222"/>
          <w:shd w:val="clear" w:color="auto" w:fill="FFFFFF"/>
        </w:rPr>
        <w:t>eview</w:t>
      </w:r>
      <w:r w:rsidRPr="00DE56C0">
        <w:rPr>
          <w:rFonts w:cstheme="majorBidi"/>
          <w:color w:val="222222"/>
          <w:shd w:val="clear" w:color="auto" w:fill="FFFFFF"/>
        </w:rPr>
        <w:t>, </w:t>
      </w:r>
      <w:r w:rsidRPr="00DE56C0">
        <w:rPr>
          <w:rFonts w:cstheme="majorBidi"/>
          <w:i/>
          <w:iCs/>
          <w:color w:val="222222"/>
          <w:shd w:val="clear" w:color="auto" w:fill="FFFFFF"/>
        </w:rPr>
        <w:t>20</w:t>
      </w:r>
      <w:r w:rsidRPr="00DE56C0">
        <w:rPr>
          <w:rFonts w:cstheme="majorBidi"/>
          <w:color w:val="222222"/>
          <w:shd w:val="clear" w:color="auto" w:fill="FFFFFF"/>
        </w:rPr>
        <w:t>(4), 986-1014.</w:t>
      </w:r>
    </w:p>
    <w:p w14:paraId="18BEA56A" w14:textId="287F4B4D" w:rsidR="00D82D8A" w:rsidRPr="00C51B8E" w:rsidRDefault="00D82D8A" w:rsidP="00ED71FC">
      <w:pPr>
        <w:spacing w:before="240"/>
        <w:ind w:left="720" w:hanging="720"/>
        <w:rPr>
          <w:rFonts w:eastAsia="Times New Roman" w:cstheme="majorBidi"/>
          <w:b/>
          <w:bCs/>
          <w:kern w:val="0"/>
          <w:sz w:val="40"/>
          <w:szCs w:val="40"/>
          <w14:ligatures w14:val="none"/>
        </w:rPr>
      </w:pPr>
      <w:r w:rsidRPr="00C51B8E">
        <w:rPr>
          <w:rFonts w:cstheme="majorBidi"/>
          <w:color w:val="222222"/>
          <w:shd w:val="clear" w:color="auto" w:fill="FFFFFF"/>
        </w:rPr>
        <w:t xml:space="preserve">Kaplan, R. S., </w:t>
      </w:r>
      <w:r w:rsidR="00DB4792">
        <w:rPr>
          <w:rFonts w:cstheme="majorBidi"/>
          <w:color w:val="222222"/>
          <w:shd w:val="clear" w:color="auto" w:fill="FFFFFF"/>
        </w:rPr>
        <w:t xml:space="preserve">and </w:t>
      </w:r>
      <w:r w:rsidRPr="00C51B8E">
        <w:rPr>
          <w:rFonts w:cstheme="majorBidi"/>
          <w:color w:val="222222"/>
          <w:shd w:val="clear" w:color="auto" w:fill="FFFFFF"/>
        </w:rPr>
        <w:t>Norton, D. P. (2005). </w:t>
      </w:r>
      <w:r w:rsidRPr="00C51B8E">
        <w:rPr>
          <w:rFonts w:cstheme="majorBidi"/>
          <w:i/>
          <w:iCs/>
          <w:color w:val="222222"/>
          <w:shd w:val="clear" w:color="auto" w:fill="FFFFFF"/>
        </w:rPr>
        <w:t>The balanced scorecard: measures that drive performance</w:t>
      </w:r>
      <w:r w:rsidRPr="00C51B8E">
        <w:rPr>
          <w:rFonts w:cstheme="majorBidi"/>
          <w:color w:val="222222"/>
          <w:shd w:val="clear" w:color="auto" w:fill="FFFFFF"/>
        </w:rPr>
        <w:t> (Vol. 70, pp. 71-79). Boston, MA, USA: Harvard Business Review.</w:t>
      </w:r>
    </w:p>
    <w:p w14:paraId="64DC95F8" w14:textId="77777777" w:rsidR="00D82D8A" w:rsidRPr="00CF668D" w:rsidRDefault="00D82D8A" w:rsidP="00ED71FC">
      <w:pPr>
        <w:spacing w:before="240"/>
        <w:ind w:left="720" w:hanging="720"/>
        <w:rPr>
          <w:rFonts w:eastAsia="Times New Roman" w:cstheme="majorBidi"/>
          <w:kern w:val="0"/>
          <w14:ligatures w14:val="none"/>
        </w:rPr>
      </w:pPr>
      <w:r w:rsidRPr="005D7CF1">
        <w:rPr>
          <w:rFonts w:cstheme="majorBidi"/>
          <w:color w:val="222222"/>
          <w:shd w:val="clear" w:color="auto" w:fill="FFFFFF"/>
        </w:rPr>
        <w:lastRenderedPageBreak/>
        <w:t>Moon, J. A. (2013). </w:t>
      </w:r>
      <w:r w:rsidRPr="005D7CF1">
        <w:rPr>
          <w:rFonts w:cstheme="majorBidi"/>
          <w:i/>
          <w:iCs/>
          <w:color w:val="222222"/>
          <w:shd w:val="clear" w:color="auto" w:fill="FFFFFF"/>
        </w:rPr>
        <w:t>A handbook of reflective and experiential learning: Theory and practice</w:t>
      </w:r>
      <w:r w:rsidRPr="005D7CF1">
        <w:rPr>
          <w:rFonts w:cstheme="majorBidi"/>
          <w:color w:val="222222"/>
          <w:shd w:val="clear" w:color="auto" w:fill="FFFFFF"/>
        </w:rPr>
        <w:t>. Routledge.</w:t>
      </w:r>
    </w:p>
    <w:p w14:paraId="7D72295A" w14:textId="1A8D05D4" w:rsidR="00D82D8A" w:rsidRDefault="00D82D8A" w:rsidP="00ED71FC">
      <w:pPr>
        <w:spacing w:before="240"/>
        <w:ind w:left="720" w:hanging="720"/>
        <w:rPr>
          <w:rFonts w:eastAsia="Times New Roman" w:cstheme="majorBidi"/>
          <w:kern w:val="0"/>
          <w:sz w:val="32"/>
          <w:szCs w:val="32"/>
          <w14:ligatures w14:val="none"/>
        </w:rPr>
      </w:pPr>
      <w:r w:rsidRPr="00607235">
        <w:rPr>
          <w:rFonts w:cstheme="majorBidi"/>
          <w:color w:val="222222"/>
          <w:shd w:val="clear" w:color="auto" w:fill="FFFFFF"/>
          <w:lang w:val="en-US"/>
        </w:rPr>
        <w:t xml:space="preserve">Mooraj, S., Oyon, D., </w:t>
      </w:r>
      <w:r w:rsidR="00766EF3">
        <w:rPr>
          <w:rFonts w:cstheme="majorBidi"/>
          <w:color w:val="222222"/>
          <w:shd w:val="clear" w:color="auto" w:fill="FFFFFF"/>
        </w:rPr>
        <w:t>and</w:t>
      </w:r>
      <w:r w:rsidR="00766EF3" w:rsidRPr="00607235">
        <w:rPr>
          <w:rFonts w:cstheme="majorBidi"/>
          <w:color w:val="222222"/>
          <w:shd w:val="clear" w:color="auto" w:fill="FFFFFF"/>
          <w:lang w:val="en-US"/>
        </w:rPr>
        <w:t xml:space="preserve"> </w:t>
      </w:r>
      <w:r w:rsidRPr="00607235">
        <w:rPr>
          <w:rFonts w:cstheme="majorBidi"/>
          <w:color w:val="222222"/>
          <w:shd w:val="clear" w:color="auto" w:fill="FFFFFF"/>
          <w:lang w:val="en-US"/>
        </w:rPr>
        <w:t xml:space="preserve">Hostettler, D. (1999). </w:t>
      </w:r>
      <w:r w:rsidRPr="00FB5BAB">
        <w:rPr>
          <w:rFonts w:cstheme="majorBidi"/>
          <w:color w:val="222222"/>
          <w:shd w:val="clear" w:color="auto" w:fill="FFFFFF"/>
        </w:rPr>
        <w:t>The balanced scorecard: a necessary good or an unnecessary evil?. </w:t>
      </w:r>
      <w:r w:rsidRPr="00FB5BAB">
        <w:rPr>
          <w:rFonts w:cstheme="majorBidi"/>
          <w:i/>
          <w:iCs/>
          <w:color w:val="222222"/>
          <w:shd w:val="clear" w:color="auto" w:fill="FFFFFF"/>
        </w:rPr>
        <w:t>European Management Journal</w:t>
      </w:r>
      <w:r w:rsidRPr="00FB5BAB">
        <w:rPr>
          <w:rFonts w:cstheme="majorBidi"/>
          <w:color w:val="222222"/>
          <w:shd w:val="clear" w:color="auto" w:fill="FFFFFF"/>
        </w:rPr>
        <w:t>, </w:t>
      </w:r>
      <w:r w:rsidRPr="00FB5BAB">
        <w:rPr>
          <w:rFonts w:cstheme="majorBidi"/>
          <w:i/>
          <w:iCs/>
          <w:color w:val="222222"/>
          <w:shd w:val="clear" w:color="auto" w:fill="FFFFFF"/>
        </w:rPr>
        <w:t>17</w:t>
      </w:r>
      <w:r w:rsidRPr="00FB5BAB">
        <w:rPr>
          <w:rFonts w:cstheme="majorBidi"/>
          <w:color w:val="222222"/>
          <w:shd w:val="clear" w:color="auto" w:fill="FFFFFF"/>
        </w:rPr>
        <w:t>(5), 481-491.</w:t>
      </w:r>
    </w:p>
    <w:p w14:paraId="1FA94EDE" w14:textId="25B1B1C2" w:rsidR="00D82D8A" w:rsidRDefault="00D82D8A" w:rsidP="00ED71FC">
      <w:pPr>
        <w:spacing w:before="240"/>
        <w:ind w:left="720" w:hanging="720"/>
        <w:rPr>
          <w:rFonts w:cstheme="majorBidi"/>
          <w:color w:val="222222"/>
          <w:shd w:val="clear" w:color="auto" w:fill="FFFFFF"/>
        </w:rPr>
      </w:pPr>
      <w:r w:rsidRPr="002C1A81">
        <w:rPr>
          <w:rFonts w:cstheme="majorBidi"/>
          <w:color w:val="222222"/>
          <w:shd w:val="clear" w:color="auto" w:fill="FFFFFF"/>
        </w:rPr>
        <w:t xml:space="preserve">Morgunova, M., </w:t>
      </w:r>
      <w:r w:rsidR="00766EF3">
        <w:rPr>
          <w:rFonts w:cstheme="majorBidi"/>
          <w:color w:val="222222"/>
          <w:shd w:val="clear" w:color="auto" w:fill="FFFFFF"/>
        </w:rPr>
        <w:t>and</w:t>
      </w:r>
      <w:r w:rsidR="00766EF3" w:rsidRPr="002C1A81">
        <w:rPr>
          <w:rFonts w:cstheme="majorBidi"/>
          <w:color w:val="222222"/>
          <w:shd w:val="clear" w:color="auto" w:fill="FFFFFF"/>
        </w:rPr>
        <w:t xml:space="preserve"> </w:t>
      </w:r>
      <w:r w:rsidRPr="002C1A81">
        <w:rPr>
          <w:rFonts w:cstheme="majorBidi"/>
          <w:color w:val="222222"/>
          <w:shd w:val="clear" w:color="auto" w:fill="FFFFFF"/>
        </w:rPr>
        <w:t>Shaton, K. (2022). The role of incumbents in energy transitions: Investigating the perceptions and strategies of the oil and gas industry. </w:t>
      </w:r>
      <w:r w:rsidRPr="002C1A81">
        <w:rPr>
          <w:rFonts w:cstheme="majorBidi"/>
          <w:i/>
          <w:iCs/>
          <w:color w:val="222222"/>
          <w:shd w:val="clear" w:color="auto" w:fill="FFFFFF"/>
        </w:rPr>
        <w:t>Energy Research &amp; Social Science</w:t>
      </w:r>
      <w:r w:rsidRPr="002C1A81">
        <w:rPr>
          <w:rFonts w:cstheme="majorBidi"/>
          <w:color w:val="222222"/>
          <w:shd w:val="clear" w:color="auto" w:fill="FFFFFF"/>
        </w:rPr>
        <w:t>, </w:t>
      </w:r>
      <w:r w:rsidRPr="002C1A81">
        <w:rPr>
          <w:rFonts w:cstheme="majorBidi"/>
          <w:i/>
          <w:iCs/>
          <w:color w:val="222222"/>
          <w:shd w:val="clear" w:color="auto" w:fill="FFFFFF"/>
        </w:rPr>
        <w:t>89</w:t>
      </w:r>
      <w:r w:rsidRPr="002C1A81">
        <w:rPr>
          <w:rFonts w:cstheme="majorBidi"/>
          <w:color w:val="222222"/>
          <w:shd w:val="clear" w:color="auto" w:fill="FFFFFF"/>
        </w:rPr>
        <w:t>, 102573.</w:t>
      </w:r>
    </w:p>
    <w:p w14:paraId="3D436727" w14:textId="77777777" w:rsidR="00D82D8A" w:rsidRDefault="00D82D8A" w:rsidP="00ED71FC">
      <w:pPr>
        <w:spacing w:before="240"/>
        <w:ind w:left="720" w:hanging="720"/>
        <w:rPr>
          <w:rFonts w:cstheme="majorBidi"/>
          <w:color w:val="222222"/>
          <w:shd w:val="clear" w:color="auto" w:fill="FFFFFF"/>
        </w:rPr>
      </w:pPr>
      <w:r w:rsidRPr="00076958">
        <w:rPr>
          <w:rFonts w:cstheme="majorBidi"/>
          <w:color w:val="222222"/>
          <w:shd w:val="clear" w:color="auto" w:fill="FFFFFF"/>
        </w:rPr>
        <w:t>Peteraf, M. A. (1993). The cornerstones of competitive advantage: a resource‐based view. </w:t>
      </w:r>
      <w:r w:rsidRPr="00076958">
        <w:rPr>
          <w:rFonts w:cstheme="majorBidi"/>
          <w:i/>
          <w:iCs/>
          <w:color w:val="222222"/>
          <w:shd w:val="clear" w:color="auto" w:fill="FFFFFF"/>
        </w:rPr>
        <w:t>Strategic management journal</w:t>
      </w:r>
      <w:r w:rsidRPr="00076958">
        <w:rPr>
          <w:rFonts w:cstheme="majorBidi"/>
          <w:color w:val="222222"/>
          <w:shd w:val="clear" w:color="auto" w:fill="FFFFFF"/>
        </w:rPr>
        <w:t>, </w:t>
      </w:r>
      <w:r w:rsidRPr="00076958">
        <w:rPr>
          <w:rFonts w:cstheme="majorBidi"/>
          <w:i/>
          <w:iCs/>
          <w:color w:val="222222"/>
          <w:shd w:val="clear" w:color="auto" w:fill="FFFFFF"/>
        </w:rPr>
        <w:t>14</w:t>
      </w:r>
      <w:r w:rsidRPr="00076958">
        <w:rPr>
          <w:rFonts w:cstheme="majorBidi"/>
          <w:color w:val="222222"/>
          <w:shd w:val="clear" w:color="auto" w:fill="FFFFFF"/>
        </w:rPr>
        <w:t>(3), 179-191.</w:t>
      </w:r>
    </w:p>
    <w:p w14:paraId="5DD9081A" w14:textId="77777777" w:rsidR="00D82D8A" w:rsidRDefault="00D82D8A" w:rsidP="00ED71FC">
      <w:pPr>
        <w:spacing w:before="240"/>
        <w:ind w:left="720" w:hanging="720"/>
        <w:rPr>
          <w:rFonts w:cstheme="majorBidi"/>
          <w:color w:val="222222"/>
          <w:shd w:val="clear" w:color="auto" w:fill="FFFFFF"/>
        </w:rPr>
      </w:pPr>
      <w:r w:rsidRPr="00763A05">
        <w:rPr>
          <w:rFonts w:cstheme="majorBidi"/>
          <w:color w:val="222222"/>
          <w:shd w:val="clear" w:color="auto" w:fill="FFFFFF"/>
        </w:rPr>
        <w:t>Pickl, M. J. (2019). The renewable energy strategies of oil majors–From oil to energy?. </w:t>
      </w:r>
      <w:r w:rsidRPr="00763A05">
        <w:rPr>
          <w:rFonts w:cstheme="majorBidi"/>
          <w:i/>
          <w:iCs/>
          <w:color w:val="222222"/>
          <w:shd w:val="clear" w:color="auto" w:fill="FFFFFF"/>
        </w:rPr>
        <w:t>Energy Strategy Reviews</w:t>
      </w:r>
      <w:r w:rsidRPr="00763A05">
        <w:rPr>
          <w:rFonts w:cstheme="majorBidi"/>
          <w:color w:val="222222"/>
          <w:shd w:val="clear" w:color="auto" w:fill="FFFFFF"/>
        </w:rPr>
        <w:t>, </w:t>
      </w:r>
      <w:r w:rsidRPr="00763A05">
        <w:rPr>
          <w:rFonts w:cstheme="majorBidi"/>
          <w:i/>
          <w:iCs/>
          <w:color w:val="222222"/>
          <w:shd w:val="clear" w:color="auto" w:fill="FFFFFF"/>
        </w:rPr>
        <w:t>26</w:t>
      </w:r>
      <w:r w:rsidRPr="00763A05">
        <w:rPr>
          <w:rFonts w:cstheme="majorBidi"/>
          <w:color w:val="222222"/>
          <w:shd w:val="clear" w:color="auto" w:fill="FFFFFF"/>
        </w:rPr>
        <w:t>, 100370.</w:t>
      </w:r>
    </w:p>
    <w:p w14:paraId="6A18AB7A" w14:textId="43FF75FD" w:rsidR="00D82D8A" w:rsidRPr="007D754F" w:rsidRDefault="00D82D8A" w:rsidP="00ED71FC">
      <w:pPr>
        <w:spacing w:before="240"/>
        <w:ind w:left="720" w:hanging="720"/>
        <w:rPr>
          <w:rFonts w:eastAsia="Times New Roman" w:cstheme="majorBidi"/>
          <w:kern w:val="0"/>
          <w:sz w:val="32"/>
          <w:szCs w:val="32"/>
          <w14:ligatures w14:val="none"/>
        </w:rPr>
      </w:pPr>
      <w:r w:rsidRPr="00B712A1">
        <w:rPr>
          <w:rFonts w:cstheme="majorBidi"/>
          <w:color w:val="222222"/>
          <w:shd w:val="clear" w:color="auto" w:fill="FFFFFF"/>
        </w:rPr>
        <w:t xml:space="preserve">Porter, M. E. (1996). What is </w:t>
      </w:r>
      <w:r w:rsidR="00C4574F">
        <w:rPr>
          <w:rFonts w:cstheme="majorBidi"/>
          <w:color w:val="222222"/>
          <w:shd w:val="clear" w:color="auto" w:fill="FFFFFF"/>
        </w:rPr>
        <w:t xml:space="preserve">a </w:t>
      </w:r>
      <w:r w:rsidRPr="00B712A1">
        <w:rPr>
          <w:rFonts w:cstheme="majorBidi"/>
          <w:color w:val="222222"/>
          <w:shd w:val="clear" w:color="auto" w:fill="FFFFFF"/>
        </w:rPr>
        <w:t>strategy</w:t>
      </w:r>
      <w:r w:rsidR="00C4574F">
        <w:rPr>
          <w:rFonts w:cstheme="majorBidi"/>
          <w:color w:val="222222"/>
          <w:shd w:val="clear" w:color="auto" w:fill="FFFFFF"/>
        </w:rPr>
        <w:t>?</w:t>
      </w:r>
      <w:r w:rsidRPr="00B712A1">
        <w:rPr>
          <w:rFonts w:cstheme="majorBidi"/>
          <w:color w:val="222222"/>
          <w:shd w:val="clear" w:color="auto" w:fill="FFFFFF"/>
        </w:rPr>
        <w:t> </w:t>
      </w:r>
      <w:r w:rsidRPr="00B712A1">
        <w:rPr>
          <w:rFonts w:cstheme="majorBidi"/>
          <w:i/>
          <w:iCs/>
          <w:color w:val="222222"/>
          <w:shd w:val="clear" w:color="auto" w:fill="FFFFFF"/>
        </w:rPr>
        <w:t>Published November</w:t>
      </w:r>
      <w:r w:rsidRPr="00B712A1">
        <w:rPr>
          <w:rFonts w:cstheme="majorBidi"/>
          <w:color w:val="222222"/>
          <w:shd w:val="clear" w:color="auto" w:fill="FFFFFF"/>
        </w:rPr>
        <w:t>, </w:t>
      </w:r>
      <w:r w:rsidRPr="00B712A1">
        <w:rPr>
          <w:rFonts w:cstheme="majorBidi"/>
          <w:i/>
          <w:iCs/>
          <w:color w:val="222222"/>
          <w:shd w:val="clear" w:color="auto" w:fill="FFFFFF"/>
        </w:rPr>
        <w:t>74</w:t>
      </w:r>
      <w:r w:rsidRPr="00B712A1">
        <w:rPr>
          <w:rFonts w:cstheme="majorBidi"/>
          <w:color w:val="222222"/>
          <w:shd w:val="clear" w:color="auto" w:fill="FFFFFF"/>
        </w:rPr>
        <w:t>(6), 61-78.</w:t>
      </w:r>
    </w:p>
    <w:p w14:paraId="4F7765F3" w14:textId="00B425AD" w:rsidR="00D82D8A" w:rsidRDefault="00D82D8A" w:rsidP="00ED71FC">
      <w:pPr>
        <w:spacing w:before="240"/>
        <w:ind w:left="720" w:hanging="720"/>
        <w:rPr>
          <w:rFonts w:cstheme="majorBidi"/>
          <w:color w:val="222222"/>
          <w:shd w:val="clear" w:color="auto" w:fill="FFFFFF"/>
        </w:rPr>
      </w:pPr>
      <w:r w:rsidRPr="00FB69FA">
        <w:rPr>
          <w:rFonts w:cstheme="majorBidi"/>
          <w:color w:val="222222"/>
          <w:shd w:val="clear" w:color="auto" w:fill="FFFFFF"/>
        </w:rPr>
        <w:t>Russo, M. V.,</w:t>
      </w:r>
      <w:r w:rsidR="00766EF3">
        <w:rPr>
          <w:rFonts w:cstheme="majorBidi"/>
          <w:color w:val="222222"/>
          <w:shd w:val="clear" w:color="auto" w:fill="FFFFFF"/>
        </w:rPr>
        <w:t xml:space="preserve"> and </w:t>
      </w:r>
      <w:r w:rsidRPr="00FB69FA">
        <w:rPr>
          <w:rFonts w:cstheme="majorBidi"/>
          <w:color w:val="222222"/>
          <w:shd w:val="clear" w:color="auto" w:fill="FFFFFF"/>
        </w:rPr>
        <w:t>Fouts, P. A. (1997). A resource-based perspective on corporate environmental performance and profitability. </w:t>
      </w:r>
      <w:r w:rsidRPr="00FB69FA">
        <w:rPr>
          <w:rFonts w:cstheme="majorBidi"/>
          <w:i/>
          <w:iCs/>
          <w:color w:val="222222"/>
          <w:shd w:val="clear" w:color="auto" w:fill="FFFFFF"/>
        </w:rPr>
        <w:t xml:space="preserve">Academy of </w:t>
      </w:r>
      <w:r w:rsidR="00C4574F">
        <w:rPr>
          <w:rFonts w:cstheme="majorBidi"/>
          <w:i/>
          <w:iCs/>
          <w:color w:val="222222"/>
          <w:shd w:val="clear" w:color="auto" w:fill="FFFFFF"/>
        </w:rPr>
        <w:t>M</w:t>
      </w:r>
      <w:r w:rsidRPr="00FB69FA">
        <w:rPr>
          <w:rFonts w:cstheme="majorBidi"/>
          <w:i/>
          <w:iCs/>
          <w:color w:val="222222"/>
          <w:shd w:val="clear" w:color="auto" w:fill="FFFFFF"/>
        </w:rPr>
        <w:t>anagement Journal</w:t>
      </w:r>
      <w:r w:rsidRPr="00FB69FA">
        <w:rPr>
          <w:rFonts w:cstheme="majorBidi"/>
          <w:color w:val="222222"/>
          <w:shd w:val="clear" w:color="auto" w:fill="FFFFFF"/>
        </w:rPr>
        <w:t>, </w:t>
      </w:r>
      <w:r w:rsidRPr="00FB69FA">
        <w:rPr>
          <w:rFonts w:cstheme="majorBidi"/>
          <w:i/>
          <w:iCs/>
          <w:color w:val="222222"/>
          <w:shd w:val="clear" w:color="auto" w:fill="FFFFFF"/>
        </w:rPr>
        <w:t>40</w:t>
      </w:r>
      <w:r w:rsidRPr="00FB69FA">
        <w:rPr>
          <w:rFonts w:cstheme="majorBidi"/>
          <w:color w:val="222222"/>
          <w:shd w:val="clear" w:color="auto" w:fill="FFFFFF"/>
        </w:rPr>
        <w:t>(3), 534-559.</w:t>
      </w:r>
    </w:p>
    <w:p w14:paraId="328EF412" w14:textId="27582294" w:rsidR="00D82D8A" w:rsidRDefault="00D82D8A" w:rsidP="00ED71FC">
      <w:pPr>
        <w:spacing w:before="240"/>
        <w:ind w:left="720" w:hanging="720"/>
        <w:rPr>
          <w:rFonts w:cstheme="majorBidi"/>
          <w:color w:val="222222"/>
          <w:shd w:val="clear" w:color="auto" w:fill="FFFFFF"/>
        </w:rPr>
      </w:pPr>
      <w:r w:rsidRPr="006539F6">
        <w:rPr>
          <w:rFonts w:cstheme="majorBidi"/>
          <w:color w:val="222222"/>
          <w:shd w:val="clear" w:color="auto" w:fill="FFFFFF"/>
          <w:lang w:val="en-US"/>
        </w:rPr>
        <w:t xml:space="preserve">Sharfman, M. P., </w:t>
      </w:r>
      <w:r w:rsidR="00766EF3">
        <w:rPr>
          <w:rFonts w:cstheme="majorBidi"/>
          <w:color w:val="222222"/>
          <w:shd w:val="clear" w:color="auto" w:fill="FFFFFF"/>
        </w:rPr>
        <w:t>and</w:t>
      </w:r>
      <w:r w:rsidR="00766EF3" w:rsidRPr="006539F6">
        <w:rPr>
          <w:rFonts w:cstheme="majorBidi"/>
          <w:color w:val="222222"/>
          <w:shd w:val="clear" w:color="auto" w:fill="FFFFFF"/>
          <w:lang w:val="en-US"/>
        </w:rPr>
        <w:t xml:space="preserve"> </w:t>
      </w:r>
      <w:r w:rsidRPr="006539F6">
        <w:rPr>
          <w:rFonts w:cstheme="majorBidi"/>
          <w:color w:val="222222"/>
          <w:shd w:val="clear" w:color="auto" w:fill="FFFFFF"/>
          <w:lang w:val="en-US"/>
        </w:rPr>
        <w:t xml:space="preserve">Fernando, C. S. (2008). </w:t>
      </w:r>
      <w:r w:rsidRPr="005E74F2">
        <w:rPr>
          <w:rFonts w:cstheme="majorBidi"/>
          <w:color w:val="222222"/>
          <w:shd w:val="clear" w:color="auto" w:fill="FFFFFF"/>
        </w:rPr>
        <w:t>Environmental risk management and the cost of capital. </w:t>
      </w:r>
      <w:r w:rsidRPr="005E74F2">
        <w:rPr>
          <w:rFonts w:cstheme="majorBidi"/>
          <w:i/>
          <w:iCs/>
          <w:color w:val="222222"/>
          <w:shd w:val="clear" w:color="auto" w:fill="FFFFFF"/>
        </w:rPr>
        <w:t>Strategic management journal</w:t>
      </w:r>
      <w:r w:rsidRPr="005E74F2">
        <w:rPr>
          <w:rFonts w:cstheme="majorBidi"/>
          <w:color w:val="222222"/>
          <w:shd w:val="clear" w:color="auto" w:fill="FFFFFF"/>
        </w:rPr>
        <w:t>, </w:t>
      </w:r>
      <w:r w:rsidRPr="005E74F2">
        <w:rPr>
          <w:rFonts w:cstheme="majorBidi"/>
          <w:i/>
          <w:iCs/>
          <w:color w:val="222222"/>
          <w:shd w:val="clear" w:color="auto" w:fill="FFFFFF"/>
        </w:rPr>
        <w:t>29</w:t>
      </w:r>
      <w:r w:rsidRPr="005E74F2">
        <w:rPr>
          <w:rFonts w:cstheme="majorBidi"/>
          <w:color w:val="222222"/>
          <w:shd w:val="clear" w:color="auto" w:fill="FFFFFF"/>
        </w:rPr>
        <w:t>(6), 569-592.</w:t>
      </w:r>
    </w:p>
    <w:p w14:paraId="31361362" w14:textId="095080D4" w:rsidR="00D82D8A" w:rsidRPr="00294001" w:rsidRDefault="00D82D8A" w:rsidP="00ED71FC">
      <w:pPr>
        <w:spacing w:before="240"/>
        <w:ind w:left="720" w:hanging="720"/>
        <w:rPr>
          <w:rFonts w:eastAsia="Times New Roman" w:cstheme="majorBidi"/>
          <w:kern w:val="0"/>
          <w14:ligatures w14:val="none"/>
        </w:rPr>
      </w:pPr>
      <w:r w:rsidRPr="00294001">
        <w:rPr>
          <w:rFonts w:eastAsia="Times New Roman" w:cstheme="majorBidi"/>
          <w:kern w:val="0"/>
          <w14:ligatures w14:val="none"/>
        </w:rPr>
        <w:t xml:space="preserve">Shell plc (2024) </w:t>
      </w:r>
      <w:r w:rsidRPr="00294001">
        <w:rPr>
          <w:rFonts w:eastAsia="Times New Roman" w:cstheme="majorBidi"/>
          <w:i/>
          <w:iCs/>
          <w:kern w:val="0"/>
          <w14:ligatures w14:val="none"/>
        </w:rPr>
        <w:t>Shell Energy Transition Strategy 2024</w:t>
      </w:r>
      <w:r w:rsidRPr="00294001">
        <w:rPr>
          <w:rFonts w:eastAsia="Times New Roman" w:cstheme="majorBidi"/>
          <w:kern w:val="0"/>
          <w14:ligatures w14:val="none"/>
        </w:rPr>
        <w:t>.</w:t>
      </w:r>
      <w:r w:rsidR="00FA0CC0">
        <w:rPr>
          <w:rFonts w:eastAsia="Times New Roman" w:cstheme="majorBidi"/>
          <w:kern w:val="0"/>
          <w14:ligatures w14:val="none"/>
        </w:rPr>
        <w:t xml:space="preserve"> </w:t>
      </w:r>
      <w:hyperlink r:id="rId18" w:tgtFrame="_new" w:history="1">
        <w:r w:rsidRPr="00294001">
          <w:rPr>
            <w:rFonts w:eastAsia="Times New Roman" w:cstheme="majorBidi"/>
            <w:color w:val="0000FF"/>
            <w:kern w:val="0"/>
            <w:u w:val="single"/>
            <w14:ligatures w14:val="none"/>
          </w:rPr>
          <w:t>https://www.shell.com/sustainability/climate/shell-energy-transition-strategy.html</w:t>
        </w:r>
      </w:hyperlink>
      <w:r>
        <w:rPr>
          <w:rFonts w:eastAsia="Times New Roman" w:cstheme="majorBidi"/>
          <w:kern w:val="0"/>
          <w14:ligatures w14:val="none"/>
        </w:rPr>
        <w:t>.</w:t>
      </w:r>
    </w:p>
    <w:p w14:paraId="02925CF7" w14:textId="29BBBD43" w:rsidR="00D82D8A" w:rsidRDefault="00D82D8A" w:rsidP="00ED71FC">
      <w:pPr>
        <w:spacing w:before="240"/>
        <w:ind w:left="720" w:hanging="720"/>
        <w:rPr>
          <w:rFonts w:eastAsia="Times New Roman" w:cstheme="majorBidi"/>
          <w:b/>
          <w:bCs/>
          <w:kern w:val="0"/>
          <w:sz w:val="40"/>
          <w:szCs w:val="40"/>
          <w14:ligatures w14:val="none"/>
        </w:rPr>
      </w:pPr>
      <w:r w:rsidRPr="00294001">
        <w:rPr>
          <w:rFonts w:eastAsia="Times New Roman" w:cstheme="majorBidi"/>
          <w:kern w:val="0"/>
          <w14:ligatures w14:val="none"/>
        </w:rPr>
        <w:t>Shell plc (202</w:t>
      </w:r>
      <w:r>
        <w:rPr>
          <w:rFonts w:eastAsia="Times New Roman" w:cstheme="majorBidi"/>
          <w:kern w:val="0"/>
          <w14:ligatures w14:val="none"/>
        </w:rPr>
        <w:t>5</w:t>
      </w:r>
      <w:r w:rsidRPr="00294001">
        <w:rPr>
          <w:rFonts w:eastAsia="Times New Roman" w:cstheme="majorBidi"/>
          <w:kern w:val="0"/>
          <w14:ligatures w14:val="none"/>
        </w:rPr>
        <w:t>)</w:t>
      </w:r>
      <w:r>
        <w:rPr>
          <w:rFonts w:eastAsia="Times New Roman" w:cstheme="majorBidi"/>
          <w:kern w:val="0"/>
          <w14:ligatures w14:val="none"/>
        </w:rPr>
        <w:t>.</w:t>
      </w:r>
      <w:r w:rsidRPr="00294001">
        <w:rPr>
          <w:rFonts w:eastAsia="Times New Roman" w:cstheme="majorBidi"/>
          <w:kern w:val="0"/>
          <w14:ligatures w14:val="none"/>
        </w:rPr>
        <w:t xml:space="preserve"> </w:t>
      </w:r>
      <w:r w:rsidRPr="00294001">
        <w:rPr>
          <w:rFonts w:eastAsia="Times New Roman" w:cstheme="majorBidi"/>
          <w:i/>
          <w:iCs/>
          <w:kern w:val="0"/>
          <w14:ligatures w14:val="none"/>
        </w:rPr>
        <w:t>Annual Report and Accounts 2025</w:t>
      </w:r>
      <w:r w:rsidRPr="00294001">
        <w:rPr>
          <w:rFonts w:eastAsia="Times New Roman" w:cstheme="majorBidi"/>
          <w:kern w:val="0"/>
          <w14:ligatures w14:val="none"/>
        </w:rPr>
        <w:t>. London: Shell plc.</w:t>
      </w:r>
      <w:r w:rsidR="00680EB3">
        <w:rPr>
          <w:rFonts w:eastAsia="Times New Roman" w:cstheme="majorBidi"/>
          <w:kern w:val="0"/>
          <w14:ligatures w14:val="none"/>
        </w:rPr>
        <w:t xml:space="preserve"> </w:t>
      </w:r>
      <w:hyperlink r:id="rId19" w:history="1">
        <w:r w:rsidRPr="00A548D7">
          <w:rPr>
            <w:rStyle w:val="Hyperlink"/>
            <w:rFonts w:eastAsia="Times New Roman" w:cstheme="majorBidi"/>
            <w:kern w:val="0"/>
            <w14:ligatures w14:val="none"/>
          </w:rPr>
          <w:t>https://www.shell.com/investors/results-and-reporting/annual-report/_jcr_content/root/main/section/promo/links/item0.stream/1774544186011/5727c329a58b5eb7a54442c0a03f562a5aef1159/shell-annual-report-2025-interactive.pdf</w:t>
        </w:r>
      </w:hyperlink>
      <w:r>
        <w:rPr>
          <w:rFonts w:eastAsia="Times New Roman" w:cstheme="majorBidi"/>
          <w:kern w:val="0"/>
          <w14:ligatures w14:val="none"/>
        </w:rPr>
        <w:t>.</w:t>
      </w:r>
    </w:p>
    <w:p w14:paraId="44051259" w14:textId="77777777" w:rsidR="00D82D8A" w:rsidRPr="00054008" w:rsidRDefault="00D82D8A" w:rsidP="00ED71FC">
      <w:pPr>
        <w:spacing w:before="240"/>
        <w:ind w:left="720" w:hanging="720"/>
        <w:rPr>
          <w:rFonts w:eastAsia="Times New Roman" w:cstheme="majorBidi"/>
          <w:kern w:val="0"/>
          <w:sz w:val="240"/>
          <w:szCs w:val="240"/>
          <w14:ligatures w14:val="none"/>
        </w:rPr>
      </w:pPr>
      <w:r w:rsidRPr="002E6174">
        <w:rPr>
          <w:rFonts w:cstheme="majorBidi"/>
          <w:color w:val="222222"/>
          <w:shd w:val="clear" w:color="auto" w:fill="FFFFFF"/>
        </w:rPr>
        <w:t>Teece, D. J. (2007). Explicating dynamic capabilities: the nature and microfoundations of (sustainable) enterprise performance. </w:t>
      </w:r>
      <w:r w:rsidRPr="002E6174">
        <w:rPr>
          <w:rFonts w:cstheme="majorBidi"/>
          <w:i/>
          <w:iCs/>
          <w:color w:val="222222"/>
          <w:shd w:val="clear" w:color="auto" w:fill="FFFFFF"/>
        </w:rPr>
        <w:t>Strategic management journal</w:t>
      </w:r>
      <w:r w:rsidRPr="002E6174">
        <w:rPr>
          <w:rFonts w:cstheme="majorBidi"/>
          <w:color w:val="222222"/>
          <w:shd w:val="clear" w:color="auto" w:fill="FFFFFF"/>
        </w:rPr>
        <w:t>, </w:t>
      </w:r>
      <w:r w:rsidRPr="002E6174">
        <w:rPr>
          <w:rFonts w:cstheme="majorBidi"/>
          <w:i/>
          <w:iCs/>
          <w:color w:val="222222"/>
          <w:shd w:val="clear" w:color="auto" w:fill="FFFFFF"/>
        </w:rPr>
        <w:t>28</w:t>
      </w:r>
      <w:r w:rsidRPr="002E6174">
        <w:rPr>
          <w:rFonts w:cstheme="majorBidi"/>
          <w:color w:val="222222"/>
          <w:shd w:val="clear" w:color="auto" w:fill="FFFFFF"/>
        </w:rPr>
        <w:t>(13), 1319-1350.</w:t>
      </w:r>
    </w:p>
    <w:p w14:paraId="725E5E35" w14:textId="7A952B57" w:rsidR="0073694C" w:rsidRPr="006539F6" w:rsidRDefault="00D82D8A" w:rsidP="00ED71FC">
      <w:pPr>
        <w:spacing w:before="240"/>
        <w:ind w:left="720" w:hanging="720"/>
        <w:rPr>
          <w:rFonts w:eastAsia="Times New Roman" w:cstheme="majorBidi"/>
          <w:kern w:val="0"/>
          <w14:ligatures w14:val="none"/>
        </w:rPr>
      </w:pPr>
      <w:r w:rsidRPr="00294001">
        <w:rPr>
          <w:rFonts w:eastAsia="Times New Roman" w:cstheme="majorBidi"/>
          <w:kern w:val="0"/>
          <w14:ligatures w14:val="none"/>
        </w:rPr>
        <w:lastRenderedPageBreak/>
        <w:t>Total</w:t>
      </w:r>
      <w:r>
        <w:rPr>
          <w:rFonts w:eastAsia="Times New Roman" w:cstheme="majorBidi"/>
          <w:kern w:val="0"/>
          <w14:ligatures w14:val="none"/>
        </w:rPr>
        <w:t xml:space="preserve"> </w:t>
      </w:r>
      <w:r w:rsidRPr="00294001">
        <w:rPr>
          <w:rFonts w:eastAsia="Times New Roman" w:cstheme="majorBidi"/>
          <w:kern w:val="0"/>
          <w14:ligatures w14:val="none"/>
        </w:rPr>
        <w:t>Energies SE (202</w:t>
      </w:r>
      <w:r>
        <w:rPr>
          <w:rFonts w:eastAsia="Times New Roman" w:cstheme="majorBidi"/>
          <w:kern w:val="0"/>
          <w14:ligatures w14:val="none"/>
        </w:rPr>
        <w:t>5</w:t>
      </w:r>
      <w:r w:rsidRPr="00294001">
        <w:rPr>
          <w:rFonts w:eastAsia="Times New Roman" w:cstheme="majorBidi"/>
          <w:kern w:val="0"/>
          <w14:ligatures w14:val="none"/>
        </w:rPr>
        <w:t xml:space="preserve">) </w:t>
      </w:r>
      <w:r w:rsidRPr="00294001">
        <w:rPr>
          <w:rFonts w:eastAsia="Times New Roman" w:cstheme="majorBidi"/>
          <w:i/>
          <w:iCs/>
          <w:kern w:val="0"/>
          <w14:ligatures w14:val="none"/>
        </w:rPr>
        <w:t>Universal Registration Document 2025</w:t>
      </w:r>
      <w:r w:rsidR="00C4574F">
        <w:rPr>
          <w:rFonts w:eastAsia="Times New Roman" w:cstheme="majorBidi"/>
          <w:i/>
          <w:iCs/>
          <w:kern w:val="0"/>
          <w14:ligatures w14:val="none"/>
        </w:rPr>
        <w:t>,</w:t>
      </w:r>
      <w:r w:rsidRPr="00294001">
        <w:rPr>
          <w:rFonts w:eastAsia="Times New Roman" w:cstheme="majorBidi"/>
          <w:i/>
          <w:iCs/>
          <w:kern w:val="0"/>
          <w14:ligatures w14:val="none"/>
        </w:rPr>
        <w:t xml:space="preserve"> including the Annual Financial Report</w:t>
      </w:r>
      <w:r w:rsidRPr="00294001">
        <w:rPr>
          <w:rFonts w:eastAsia="Times New Roman" w:cstheme="majorBidi"/>
          <w:kern w:val="0"/>
          <w14:ligatures w14:val="none"/>
        </w:rPr>
        <w:t>.</w:t>
      </w:r>
      <w:r w:rsidR="00C4574F">
        <w:rPr>
          <w:rFonts w:eastAsia="Times New Roman" w:cstheme="majorBidi"/>
          <w:kern w:val="0"/>
          <w14:ligatures w14:val="none"/>
        </w:rPr>
        <w:t xml:space="preserve"> </w:t>
      </w:r>
      <w:hyperlink r:id="rId20" w:tgtFrame="_new" w:history="1">
        <w:r w:rsidRPr="00294001">
          <w:rPr>
            <w:rFonts w:eastAsia="Times New Roman" w:cstheme="majorBidi"/>
            <w:color w:val="0000FF"/>
            <w:kern w:val="0"/>
            <w:u w:val="single"/>
            <w14:ligatures w14:val="none"/>
          </w:rPr>
          <w:t>https://totalenergies.com/investors/publications-and-regulated-information/regulated-information/annual-financial-reports</w:t>
        </w:r>
      </w:hyperlink>
      <w:r>
        <w:rPr>
          <w:rFonts w:eastAsia="Times New Roman" w:cstheme="majorBidi"/>
          <w:kern w:val="0"/>
          <w14:ligatures w14:val="none"/>
        </w:rPr>
        <w:t>.</w:t>
      </w:r>
    </w:p>
    <w:sectPr w:rsidR="0073694C" w:rsidRPr="006539F6">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BC6E5E1" w14:textId="77777777" w:rsidR="00F159FE" w:rsidRDefault="00F159FE" w:rsidP="006539F6">
      <w:pPr>
        <w:spacing w:after="0" w:line="240" w:lineRule="auto"/>
      </w:pPr>
      <w:r>
        <w:separator/>
      </w:r>
    </w:p>
  </w:endnote>
  <w:endnote w:type="continuationSeparator" w:id="0">
    <w:p w14:paraId="3912F3F4" w14:textId="77777777" w:rsidR="00F159FE" w:rsidRDefault="00F159FE" w:rsidP="006539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rial MT">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39051697"/>
      <w:docPartObj>
        <w:docPartGallery w:val="Page Numbers (Bottom of Page)"/>
        <w:docPartUnique/>
      </w:docPartObj>
    </w:sdtPr>
    <w:sdtEndPr>
      <w:rPr>
        <w:noProof/>
      </w:rPr>
    </w:sdtEndPr>
    <w:sdtContent>
      <w:p w14:paraId="4B777835" w14:textId="54DC0D0D" w:rsidR="006539F6" w:rsidRDefault="006539F6">
        <w:pPr>
          <w:pStyle w:val="Footer"/>
          <w:jc w:val="center"/>
        </w:pPr>
        <w:r>
          <w:fldChar w:fldCharType="begin"/>
        </w:r>
        <w:r>
          <w:instrText xml:space="preserve"> PAGE   \* MERGEFORMAT </w:instrText>
        </w:r>
        <w:r>
          <w:fldChar w:fldCharType="separate"/>
        </w:r>
        <w:r w:rsidR="006B1150">
          <w:rPr>
            <w:noProof/>
          </w:rPr>
          <w:t>21</w:t>
        </w:r>
        <w:r>
          <w:rPr>
            <w:noProof/>
          </w:rPr>
          <w:fldChar w:fldCharType="end"/>
        </w:r>
      </w:p>
    </w:sdtContent>
  </w:sdt>
  <w:p w14:paraId="38FCB5EC" w14:textId="77777777" w:rsidR="006539F6" w:rsidRDefault="006539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68A577B" w14:textId="77777777" w:rsidR="00F159FE" w:rsidRDefault="00F159FE" w:rsidP="006539F6">
      <w:pPr>
        <w:spacing w:after="0" w:line="240" w:lineRule="auto"/>
      </w:pPr>
      <w:r>
        <w:separator/>
      </w:r>
    </w:p>
  </w:footnote>
  <w:footnote w:type="continuationSeparator" w:id="0">
    <w:p w14:paraId="74F98086" w14:textId="77777777" w:rsidR="00F159FE" w:rsidRDefault="00F159FE" w:rsidP="006539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2403C60"/>
    <w:multiLevelType w:val="multilevel"/>
    <w:tmpl w:val="95B4C038"/>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5A203FC8"/>
    <w:multiLevelType w:val="multilevel"/>
    <w:tmpl w:val="95B4C038"/>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6E370D40"/>
    <w:multiLevelType w:val="multilevel"/>
    <w:tmpl w:val="95B4C038"/>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xMjKwNDM2MzQxB3JMDZR0lIJTi4sz8/NACoxrAbjKuiUsAAAA"/>
  </w:docVars>
  <w:rsids>
    <w:rsidRoot w:val="000D0F8C"/>
    <w:rsid w:val="000133D9"/>
    <w:rsid w:val="00013480"/>
    <w:rsid w:val="000179BD"/>
    <w:rsid w:val="00025C2B"/>
    <w:rsid w:val="000341E0"/>
    <w:rsid w:val="00042138"/>
    <w:rsid w:val="00044FE8"/>
    <w:rsid w:val="00045AA3"/>
    <w:rsid w:val="00054008"/>
    <w:rsid w:val="000545B1"/>
    <w:rsid w:val="00054655"/>
    <w:rsid w:val="00055BF8"/>
    <w:rsid w:val="0006468B"/>
    <w:rsid w:val="00064D75"/>
    <w:rsid w:val="00065B28"/>
    <w:rsid w:val="00076958"/>
    <w:rsid w:val="00084017"/>
    <w:rsid w:val="00085C54"/>
    <w:rsid w:val="000917BF"/>
    <w:rsid w:val="000A389E"/>
    <w:rsid w:val="000B6365"/>
    <w:rsid w:val="000C37FA"/>
    <w:rsid w:val="000C39CC"/>
    <w:rsid w:val="000C5440"/>
    <w:rsid w:val="000D0F8C"/>
    <w:rsid w:val="000E0D24"/>
    <w:rsid w:val="000E1FFA"/>
    <w:rsid w:val="000F2263"/>
    <w:rsid w:val="000F3766"/>
    <w:rsid w:val="000F534C"/>
    <w:rsid w:val="000F5908"/>
    <w:rsid w:val="000F5A25"/>
    <w:rsid w:val="0010505C"/>
    <w:rsid w:val="00113CD1"/>
    <w:rsid w:val="00114D7F"/>
    <w:rsid w:val="00114F4C"/>
    <w:rsid w:val="001230E7"/>
    <w:rsid w:val="00127BBD"/>
    <w:rsid w:val="00127FF1"/>
    <w:rsid w:val="00136A33"/>
    <w:rsid w:val="00140D5F"/>
    <w:rsid w:val="00145808"/>
    <w:rsid w:val="00162C77"/>
    <w:rsid w:val="001630F0"/>
    <w:rsid w:val="00164184"/>
    <w:rsid w:val="001648A8"/>
    <w:rsid w:val="001822AD"/>
    <w:rsid w:val="00187F5C"/>
    <w:rsid w:val="001917F7"/>
    <w:rsid w:val="00193493"/>
    <w:rsid w:val="001A4413"/>
    <w:rsid w:val="001A57E2"/>
    <w:rsid w:val="001B06FA"/>
    <w:rsid w:val="001B1949"/>
    <w:rsid w:val="001C44BE"/>
    <w:rsid w:val="001C4B1B"/>
    <w:rsid w:val="001C51C1"/>
    <w:rsid w:val="001D05EA"/>
    <w:rsid w:val="001D60DC"/>
    <w:rsid w:val="001D7B6E"/>
    <w:rsid w:val="001E3C25"/>
    <w:rsid w:val="001E76C8"/>
    <w:rsid w:val="001E7F0D"/>
    <w:rsid w:val="001F4B4A"/>
    <w:rsid w:val="00214BB6"/>
    <w:rsid w:val="00214C96"/>
    <w:rsid w:val="002151B5"/>
    <w:rsid w:val="0021616D"/>
    <w:rsid w:val="00222B8A"/>
    <w:rsid w:val="00230C27"/>
    <w:rsid w:val="002501E3"/>
    <w:rsid w:val="0025277F"/>
    <w:rsid w:val="00254B4B"/>
    <w:rsid w:val="002718C2"/>
    <w:rsid w:val="00274C92"/>
    <w:rsid w:val="00274DEB"/>
    <w:rsid w:val="00292E45"/>
    <w:rsid w:val="00294001"/>
    <w:rsid w:val="002A1CFB"/>
    <w:rsid w:val="002B2479"/>
    <w:rsid w:val="002C1A81"/>
    <w:rsid w:val="002C26F0"/>
    <w:rsid w:val="002C6561"/>
    <w:rsid w:val="002E49F5"/>
    <w:rsid w:val="002E6174"/>
    <w:rsid w:val="002E767B"/>
    <w:rsid w:val="002F0A46"/>
    <w:rsid w:val="002F3940"/>
    <w:rsid w:val="003102CB"/>
    <w:rsid w:val="0032094E"/>
    <w:rsid w:val="003249F5"/>
    <w:rsid w:val="00330C92"/>
    <w:rsid w:val="00333CFC"/>
    <w:rsid w:val="0035069A"/>
    <w:rsid w:val="00351A86"/>
    <w:rsid w:val="00352AF8"/>
    <w:rsid w:val="003807EA"/>
    <w:rsid w:val="00381B9C"/>
    <w:rsid w:val="00381BA2"/>
    <w:rsid w:val="003840B0"/>
    <w:rsid w:val="00387039"/>
    <w:rsid w:val="003908E9"/>
    <w:rsid w:val="00392979"/>
    <w:rsid w:val="00397261"/>
    <w:rsid w:val="003A63BB"/>
    <w:rsid w:val="003A660D"/>
    <w:rsid w:val="003B1059"/>
    <w:rsid w:val="003C1045"/>
    <w:rsid w:val="003D196B"/>
    <w:rsid w:val="003D19C8"/>
    <w:rsid w:val="003E0038"/>
    <w:rsid w:val="003F1E74"/>
    <w:rsid w:val="00401C21"/>
    <w:rsid w:val="004307F5"/>
    <w:rsid w:val="004377B6"/>
    <w:rsid w:val="0044082B"/>
    <w:rsid w:val="004509AF"/>
    <w:rsid w:val="0045787A"/>
    <w:rsid w:val="00460693"/>
    <w:rsid w:val="00467825"/>
    <w:rsid w:val="00491BE5"/>
    <w:rsid w:val="004929DA"/>
    <w:rsid w:val="00496B6E"/>
    <w:rsid w:val="004C0981"/>
    <w:rsid w:val="004E2980"/>
    <w:rsid w:val="004E423A"/>
    <w:rsid w:val="004E69C2"/>
    <w:rsid w:val="004F008D"/>
    <w:rsid w:val="004F48BF"/>
    <w:rsid w:val="004F5886"/>
    <w:rsid w:val="00514DE1"/>
    <w:rsid w:val="005164F8"/>
    <w:rsid w:val="00517756"/>
    <w:rsid w:val="005216C2"/>
    <w:rsid w:val="0053470A"/>
    <w:rsid w:val="00541714"/>
    <w:rsid w:val="00543D79"/>
    <w:rsid w:val="005470E4"/>
    <w:rsid w:val="00553553"/>
    <w:rsid w:val="00562EAD"/>
    <w:rsid w:val="005678BD"/>
    <w:rsid w:val="00583745"/>
    <w:rsid w:val="00585D71"/>
    <w:rsid w:val="00585F3A"/>
    <w:rsid w:val="00594059"/>
    <w:rsid w:val="005965F1"/>
    <w:rsid w:val="005B34DA"/>
    <w:rsid w:val="005B37DC"/>
    <w:rsid w:val="005C5F92"/>
    <w:rsid w:val="005C7C9E"/>
    <w:rsid w:val="005D64FD"/>
    <w:rsid w:val="005D7CF1"/>
    <w:rsid w:val="005E13F9"/>
    <w:rsid w:val="005E44C2"/>
    <w:rsid w:val="005E4AE1"/>
    <w:rsid w:val="005E74F2"/>
    <w:rsid w:val="005E7EBB"/>
    <w:rsid w:val="005F14A1"/>
    <w:rsid w:val="005F54CD"/>
    <w:rsid w:val="005F64C8"/>
    <w:rsid w:val="00607235"/>
    <w:rsid w:val="006132E6"/>
    <w:rsid w:val="00613F34"/>
    <w:rsid w:val="00615F70"/>
    <w:rsid w:val="00616B39"/>
    <w:rsid w:val="0064275D"/>
    <w:rsid w:val="006539F6"/>
    <w:rsid w:val="00663E8F"/>
    <w:rsid w:val="00664724"/>
    <w:rsid w:val="006679ED"/>
    <w:rsid w:val="00667F6C"/>
    <w:rsid w:val="00673A6C"/>
    <w:rsid w:val="00680EB3"/>
    <w:rsid w:val="00686125"/>
    <w:rsid w:val="006879D6"/>
    <w:rsid w:val="00694A63"/>
    <w:rsid w:val="006A1CC9"/>
    <w:rsid w:val="006B1150"/>
    <w:rsid w:val="006B7763"/>
    <w:rsid w:val="006B7F7A"/>
    <w:rsid w:val="006C4EC4"/>
    <w:rsid w:val="006D30E5"/>
    <w:rsid w:val="006F68C1"/>
    <w:rsid w:val="007033DB"/>
    <w:rsid w:val="00703602"/>
    <w:rsid w:val="00721A0B"/>
    <w:rsid w:val="0073216D"/>
    <w:rsid w:val="0073694C"/>
    <w:rsid w:val="00745543"/>
    <w:rsid w:val="00753911"/>
    <w:rsid w:val="00755351"/>
    <w:rsid w:val="0076138A"/>
    <w:rsid w:val="00761401"/>
    <w:rsid w:val="00763A05"/>
    <w:rsid w:val="00764793"/>
    <w:rsid w:val="00766C6C"/>
    <w:rsid w:val="00766EF3"/>
    <w:rsid w:val="00771F93"/>
    <w:rsid w:val="0077255B"/>
    <w:rsid w:val="00775C72"/>
    <w:rsid w:val="00781A8C"/>
    <w:rsid w:val="0079786D"/>
    <w:rsid w:val="007B3662"/>
    <w:rsid w:val="007B43F3"/>
    <w:rsid w:val="007B4846"/>
    <w:rsid w:val="007C157F"/>
    <w:rsid w:val="007D535A"/>
    <w:rsid w:val="007D754F"/>
    <w:rsid w:val="007E1AC2"/>
    <w:rsid w:val="007E4F62"/>
    <w:rsid w:val="007F618D"/>
    <w:rsid w:val="007F71FE"/>
    <w:rsid w:val="007F7F99"/>
    <w:rsid w:val="00801482"/>
    <w:rsid w:val="0080216E"/>
    <w:rsid w:val="00802BC3"/>
    <w:rsid w:val="00817292"/>
    <w:rsid w:val="008308B6"/>
    <w:rsid w:val="00831308"/>
    <w:rsid w:val="00833DA9"/>
    <w:rsid w:val="00842077"/>
    <w:rsid w:val="00852E4D"/>
    <w:rsid w:val="008650F4"/>
    <w:rsid w:val="00874D93"/>
    <w:rsid w:val="00886964"/>
    <w:rsid w:val="008A323C"/>
    <w:rsid w:val="008B0CD9"/>
    <w:rsid w:val="008B217B"/>
    <w:rsid w:val="008B3172"/>
    <w:rsid w:val="008B3AA1"/>
    <w:rsid w:val="008B69EC"/>
    <w:rsid w:val="008C023F"/>
    <w:rsid w:val="008E4CEC"/>
    <w:rsid w:val="008E6101"/>
    <w:rsid w:val="00910A76"/>
    <w:rsid w:val="009431A2"/>
    <w:rsid w:val="00945621"/>
    <w:rsid w:val="00951382"/>
    <w:rsid w:val="00953EFA"/>
    <w:rsid w:val="009550BD"/>
    <w:rsid w:val="00972B97"/>
    <w:rsid w:val="00991F4D"/>
    <w:rsid w:val="00996965"/>
    <w:rsid w:val="009A151E"/>
    <w:rsid w:val="009B4183"/>
    <w:rsid w:val="009B66E7"/>
    <w:rsid w:val="009C2D02"/>
    <w:rsid w:val="009C64E7"/>
    <w:rsid w:val="009D2479"/>
    <w:rsid w:val="009D7054"/>
    <w:rsid w:val="009F418C"/>
    <w:rsid w:val="009F73BA"/>
    <w:rsid w:val="00A00AA3"/>
    <w:rsid w:val="00A074C4"/>
    <w:rsid w:val="00A121FD"/>
    <w:rsid w:val="00A13E3E"/>
    <w:rsid w:val="00A172DA"/>
    <w:rsid w:val="00A21220"/>
    <w:rsid w:val="00A279F6"/>
    <w:rsid w:val="00A377E1"/>
    <w:rsid w:val="00A4527A"/>
    <w:rsid w:val="00A5362E"/>
    <w:rsid w:val="00A5708B"/>
    <w:rsid w:val="00A66E8E"/>
    <w:rsid w:val="00A74235"/>
    <w:rsid w:val="00A77FE2"/>
    <w:rsid w:val="00A809A8"/>
    <w:rsid w:val="00AC66C7"/>
    <w:rsid w:val="00AD6757"/>
    <w:rsid w:val="00AE02EE"/>
    <w:rsid w:val="00AE47CD"/>
    <w:rsid w:val="00AE559B"/>
    <w:rsid w:val="00B022D4"/>
    <w:rsid w:val="00B05658"/>
    <w:rsid w:val="00B175F1"/>
    <w:rsid w:val="00B25A9C"/>
    <w:rsid w:val="00B32167"/>
    <w:rsid w:val="00B35E70"/>
    <w:rsid w:val="00B36B1C"/>
    <w:rsid w:val="00B43DA1"/>
    <w:rsid w:val="00B51092"/>
    <w:rsid w:val="00B532B4"/>
    <w:rsid w:val="00B5527F"/>
    <w:rsid w:val="00B56606"/>
    <w:rsid w:val="00B650F5"/>
    <w:rsid w:val="00B712A1"/>
    <w:rsid w:val="00B71B92"/>
    <w:rsid w:val="00B737E1"/>
    <w:rsid w:val="00B738AF"/>
    <w:rsid w:val="00B775EC"/>
    <w:rsid w:val="00B81721"/>
    <w:rsid w:val="00B824A6"/>
    <w:rsid w:val="00B87C7D"/>
    <w:rsid w:val="00B91AEE"/>
    <w:rsid w:val="00B969B1"/>
    <w:rsid w:val="00BA246D"/>
    <w:rsid w:val="00BA6A0E"/>
    <w:rsid w:val="00BB5E54"/>
    <w:rsid w:val="00BD1131"/>
    <w:rsid w:val="00BD6AAA"/>
    <w:rsid w:val="00BE15E3"/>
    <w:rsid w:val="00BE2C04"/>
    <w:rsid w:val="00BE48D3"/>
    <w:rsid w:val="00BE4B8D"/>
    <w:rsid w:val="00BE59B5"/>
    <w:rsid w:val="00BF3472"/>
    <w:rsid w:val="00BF716D"/>
    <w:rsid w:val="00C03019"/>
    <w:rsid w:val="00C06E44"/>
    <w:rsid w:val="00C074B1"/>
    <w:rsid w:val="00C12741"/>
    <w:rsid w:val="00C149F9"/>
    <w:rsid w:val="00C2148D"/>
    <w:rsid w:val="00C27200"/>
    <w:rsid w:val="00C273BE"/>
    <w:rsid w:val="00C4574F"/>
    <w:rsid w:val="00C476D3"/>
    <w:rsid w:val="00C50C60"/>
    <w:rsid w:val="00C50DAD"/>
    <w:rsid w:val="00C51B8E"/>
    <w:rsid w:val="00C65D68"/>
    <w:rsid w:val="00C93597"/>
    <w:rsid w:val="00CA040B"/>
    <w:rsid w:val="00CD349B"/>
    <w:rsid w:val="00CE610E"/>
    <w:rsid w:val="00CE6461"/>
    <w:rsid w:val="00CF2907"/>
    <w:rsid w:val="00CF668D"/>
    <w:rsid w:val="00D04018"/>
    <w:rsid w:val="00D11009"/>
    <w:rsid w:val="00D17E1B"/>
    <w:rsid w:val="00D30D76"/>
    <w:rsid w:val="00D31DEF"/>
    <w:rsid w:val="00D33336"/>
    <w:rsid w:val="00D36E48"/>
    <w:rsid w:val="00D42A0B"/>
    <w:rsid w:val="00D42D71"/>
    <w:rsid w:val="00D72D3A"/>
    <w:rsid w:val="00D77DF6"/>
    <w:rsid w:val="00D809CF"/>
    <w:rsid w:val="00D82D8A"/>
    <w:rsid w:val="00D83EA7"/>
    <w:rsid w:val="00D909CA"/>
    <w:rsid w:val="00DA27CE"/>
    <w:rsid w:val="00DA3626"/>
    <w:rsid w:val="00DB0F34"/>
    <w:rsid w:val="00DB4792"/>
    <w:rsid w:val="00DC1FAE"/>
    <w:rsid w:val="00DC259B"/>
    <w:rsid w:val="00DC6FD7"/>
    <w:rsid w:val="00DD16DD"/>
    <w:rsid w:val="00DD3A86"/>
    <w:rsid w:val="00DD478C"/>
    <w:rsid w:val="00DE56C0"/>
    <w:rsid w:val="00DF0CBF"/>
    <w:rsid w:val="00E004A1"/>
    <w:rsid w:val="00E108FD"/>
    <w:rsid w:val="00E12271"/>
    <w:rsid w:val="00E13E99"/>
    <w:rsid w:val="00E15FE1"/>
    <w:rsid w:val="00E166E7"/>
    <w:rsid w:val="00E16886"/>
    <w:rsid w:val="00E1755B"/>
    <w:rsid w:val="00E22BDD"/>
    <w:rsid w:val="00E3339A"/>
    <w:rsid w:val="00E34FA8"/>
    <w:rsid w:val="00E56C5A"/>
    <w:rsid w:val="00E6556D"/>
    <w:rsid w:val="00E6595A"/>
    <w:rsid w:val="00E81D93"/>
    <w:rsid w:val="00E828A5"/>
    <w:rsid w:val="00E925A3"/>
    <w:rsid w:val="00EB5C44"/>
    <w:rsid w:val="00ED71FC"/>
    <w:rsid w:val="00EE47AC"/>
    <w:rsid w:val="00EE6EDA"/>
    <w:rsid w:val="00EF04D9"/>
    <w:rsid w:val="00EF128B"/>
    <w:rsid w:val="00EF1665"/>
    <w:rsid w:val="00EF3A24"/>
    <w:rsid w:val="00EF52F6"/>
    <w:rsid w:val="00F10921"/>
    <w:rsid w:val="00F11A88"/>
    <w:rsid w:val="00F159FE"/>
    <w:rsid w:val="00F27AD2"/>
    <w:rsid w:val="00F3434B"/>
    <w:rsid w:val="00F37597"/>
    <w:rsid w:val="00F46927"/>
    <w:rsid w:val="00F517C1"/>
    <w:rsid w:val="00F56009"/>
    <w:rsid w:val="00F65C08"/>
    <w:rsid w:val="00F67E79"/>
    <w:rsid w:val="00F72AE1"/>
    <w:rsid w:val="00F86A0D"/>
    <w:rsid w:val="00FA0CC0"/>
    <w:rsid w:val="00FA10AE"/>
    <w:rsid w:val="00FA4264"/>
    <w:rsid w:val="00FB0A9A"/>
    <w:rsid w:val="00FB5BAB"/>
    <w:rsid w:val="00FB69FA"/>
    <w:rsid w:val="00FC3202"/>
    <w:rsid w:val="00FC4878"/>
    <w:rsid w:val="00FC6A3C"/>
    <w:rsid w:val="00FD161B"/>
    <w:rsid w:val="00FD709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ACF58"/>
  <w15:chartTrackingRefBased/>
  <w15:docId w15:val="{48C7A6B5-CD21-49F5-B814-0486F2AC03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25A9C"/>
    <w:pPr>
      <w:spacing w:line="360" w:lineRule="auto"/>
      <w:jc w:val="both"/>
    </w:pPr>
    <w:rPr>
      <w:rFonts w:asciiTheme="majorBidi" w:hAnsiTheme="majorBidi"/>
      <w:lang w:val="en-GB"/>
    </w:rPr>
  </w:style>
  <w:style w:type="paragraph" w:styleId="Heading1">
    <w:name w:val="heading 1"/>
    <w:basedOn w:val="Normal"/>
    <w:next w:val="Normal"/>
    <w:link w:val="Heading1Char"/>
    <w:uiPriority w:val="9"/>
    <w:qFormat/>
    <w:rsid w:val="00B25A9C"/>
    <w:pPr>
      <w:keepNext/>
      <w:keepLines/>
      <w:spacing w:before="360" w:after="80"/>
      <w:jc w:val="left"/>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B25A9C"/>
    <w:pPr>
      <w:keepNext/>
      <w:keepLines/>
      <w:spacing w:before="160" w:after="80"/>
      <w:jc w:val="left"/>
      <w:outlineLvl w:val="1"/>
    </w:pPr>
    <w:rPr>
      <w:rFonts w:eastAsiaTheme="majorEastAsia" w:cstheme="majorBidi"/>
      <w:b/>
      <w:i/>
      <w:color w:val="000000" w:themeColor="text1"/>
      <w:szCs w:val="32"/>
    </w:rPr>
  </w:style>
  <w:style w:type="paragraph" w:styleId="Heading3">
    <w:name w:val="heading 3"/>
    <w:basedOn w:val="Normal"/>
    <w:next w:val="Normal"/>
    <w:link w:val="Heading3Char"/>
    <w:uiPriority w:val="9"/>
    <w:unhideWhenUsed/>
    <w:qFormat/>
    <w:rsid w:val="00B25A9C"/>
    <w:pPr>
      <w:keepNext/>
      <w:keepLines/>
      <w:spacing w:before="160" w:after="80"/>
      <w:jc w:val="left"/>
      <w:outlineLvl w:val="2"/>
    </w:pPr>
    <w:rPr>
      <w:rFonts w:eastAsiaTheme="majorEastAsia" w:cstheme="majorBidi"/>
      <w:i/>
      <w:color w:val="000000" w:themeColor="text1"/>
      <w:szCs w:val="28"/>
    </w:rPr>
  </w:style>
  <w:style w:type="paragraph" w:styleId="Heading4">
    <w:name w:val="heading 4"/>
    <w:basedOn w:val="Normal"/>
    <w:next w:val="Normal"/>
    <w:link w:val="Heading4Char"/>
    <w:uiPriority w:val="9"/>
    <w:semiHidden/>
    <w:unhideWhenUsed/>
    <w:qFormat/>
    <w:rsid w:val="000D0F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0F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0F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0F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0F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0F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Style1">
    <w:name w:val="Style1"/>
    <w:basedOn w:val="TableNormal"/>
    <w:uiPriority w:val="99"/>
    <w:rsid w:val="000E1FFA"/>
    <w:pPr>
      <w:spacing w:after="0" w:line="240" w:lineRule="auto"/>
    </w:pPr>
    <w:rPr>
      <w:rFonts w:asciiTheme="majorBidi" w:hAnsiTheme="majorBidi"/>
      <w:szCs w:val="22"/>
      <w:lang w:eastAsia="ko-KR"/>
    </w:rPr>
    <w:tblPr>
      <w:tblBorders>
        <w:top w:val="single" w:sz="4" w:space="0" w:color="000000" w:themeColor="text1"/>
        <w:left w:val="single" w:sz="4" w:space="0" w:color="000000" w:themeColor="text1"/>
        <w:insideH w:val="single" w:sz="4" w:space="0" w:color="000000" w:themeColor="text1"/>
        <w:insideV w:val="single" w:sz="4" w:space="0" w:color="000000" w:themeColor="text1"/>
      </w:tblBorders>
    </w:tblPr>
    <w:tcPr>
      <w:shd w:val="clear" w:color="auto" w:fill="FFFFFF" w:themeFill="background1"/>
    </w:tcPr>
  </w:style>
  <w:style w:type="table" w:customStyle="1" w:styleId="APA6">
    <w:name w:val="APA6"/>
    <w:basedOn w:val="TableNormal"/>
    <w:uiPriority w:val="99"/>
    <w:rsid w:val="00D30D76"/>
    <w:pPr>
      <w:spacing w:after="0" w:line="240" w:lineRule="auto"/>
    </w:pPr>
    <w:tblPr>
      <w:tblBorders>
        <w:bottom w:val="single" w:sz="4" w:space="0" w:color="auto"/>
      </w:tblBorders>
    </w:tblPr>
    <w:tblStylePr w:type="firstRow">
      <w:tblPr/>
      <w:tcPr>
        <w:tcBorders>
          <w:top w:val="single" w:sz="4" w:space="0" w:color="auto"/>
          <w:left w:val="nil"/>
          <w:bottom w:val="single" w:sz="4" w:space="0" w:color="auto"/>
          <w:right w:val="nil"/>
          <w:insideH w:val="nil"/>
          <w:insideV w:val="nil"/>
          <w:tl2br w:val="nil"/>
          <w:tr2bl w:val="nil"/>
        </w:tcBorders>
      </w:tcPr>
    </w:tblStylePr>
  </w:style>
  <w:style w:type="character" w:customStyle="1" w:styleId="Heading1Char">
    <w:name w:val="Heading 1 Char"/>
    <w:basedOn w:val="DefaultParagraphFont"/>
    <w:link w:val="Heading1"/>
    <w:uiPriority w:val="9"/>
    <w:rsid w:val="00B25A9C"/>
    <w:rPr>
      <w:rFonts w:asciiTheme="majorBidi" w:eastAsiaTheme="majorEastAsia" w:hAnsiTheme="majorBidi" w:cstheme="majorBidi"/>
      <w:b/>
      <w:color w:val="000000" w:themeColor="text1"/>
      <w:szCs w:val="40"/>
      <w:lang w:val="en-GB"/>
    </w:rPr>
  </w:style>
  <w:style w:type="character" w:customStyle="1" w:styleId="Heading2Char">
    <w:name w:val="Heading 2 Char"/>
    <w:basedOn w:val="DefaultParagraphFont"/>
    <w:link w:val="Heading2"/>
    <w:uiPriority w:val="9"/>
    <w:rsid w:val="00B25A9C"/>
    <w:rPr>
      <w:rFonts w:asciiTheme="majorBidi" w:eastAsiaTheme="majorEastAsia" w:hAnsiTheme="majorBidi" w:cstheme="majorBidi"/>
      <w:b/>
      <w:i/>
      <w:color w:val="000000" w:themeColor="text1"/>
      <w:szCs w:val="32"/>
      <w:lang w:val="en-GB"/>
    </w:rPr>
  </w:style>
  <w:style w:type="character" w:customStyle="1" w:styleId="Heading3Char">
    <w:name w:val="Heading 3 Char"/>
    <w:basedOn w:val="DefaultParagraphFont"/>
    <w:link w:val="Heading3"/>
    <w:uiPriority w:val="9"/>
    <w:rsid w:val="00B25A9C"/>
    <w:rPr>
      <w:rFonts w:asciiTheme="majorBidi" w:eastAsiaTheme="majorEastAsia" w:hAnsiTheme="majorBidi" w:cstheme="majorBidi"/>
      <w:i/>
      <w:color w:val="000000" w:themeColor="text1"/>
      <w:szCs w:val="28"/>
      <w:lang w:val="en-GB"/>
    </w:rPr>
  </w:style>
  <w:style w:type="character" w:customStyle="1" w:styleId="Heading4Char">
    <w:name w:val="Heading 4 Char"/>
    <w:basedOn w:val="DefaultParagraphFont"/>
    <w:link w:val="Heading4"/>
    <w:uiPriority w:val="9"/>
    <w:semiHidden/>
    <w:rsid w:val="000D0F8C"/>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0D0F8C"/>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0D0F8C"/>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0D0F8C"/>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0D0F8C"/>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0D0F8C"/>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0D0F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0F8C"/>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0D0F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0F8C"/>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0D0F8C"/>
    <w:pPr>
      <w:spacing w:before="160"/>
      <w:jc w:val="center"/>
    </w:pPr>
    <w:rPr>
      <w:i/>
      <w:iCs/>
      <w:color w:val="404040" w:themeColor="text1" w:themeTint="BF"/>
    </w:rPr>
  </w:style>
  <w:style w:type="character" w:customStyle="1" w:styleId="QuoteChar">
    <w:name w:val="Quote Char"/>
    <w:basedOn w:val="DefaultParagraphFont"/>
    <w:link w:val="Quote"/>
    <w:uiPriority w:val="29"/>
    <w:rsid w:val="000D0F8C"/>
    <w:rPr>
      <w:i/>
      <w:iCs/>
      <w:color w:val="404040" w:themeColor="text1" w:themeTint="BF"/>
      <w:lang w:val="en-GB"/>
    </w:rPr>
  </w:style>
  <w:style w:type="paragraph" w:styleId="ListParagraph">
    <w:name w:val="List Paragraph"/>
    <w:basedOn w:val="Normal"/>
    <w:uiPriority w:val="34"/>
    <w:qFormat/>
    <w:rsid w:val="000D0F8C"/>
    <w:pPr>
      <w:ind w:left="720"/>
      <w:contextualSpacing/>
    </w:pPr>
  </w:style>
  <w:style w:type="character" w:styleId="IntenseEmphasis">
    <w:name w:val="Intense Emphasis"/>
    <w:basedOn w:val="DefaultParagraphFont"/>
    <w:uiPriority w:val="21"/>
    <w:qFormat/>
    <w:rsid w:val="000D0F8C"/>
    <w:rPr>
      <w:i/>
      <w:iCs/>
      <w:color w:val="0F4761" w:themeColor="accent1" w:themeShade="BF"/>
    </w:rPr>
  </w:style>
  <w:style w:type="paragraph" w:styleId="IntenseQuote">
    <w:name w:val="Intense Quote"/>
    <w:basedOn w:val="Normal"/>
    <w:next w:val="Normal"/>
    <w:link w:val="IntenseQuoteChar"/>
    <w:uiPriority w:val="30"/>
    <w:qFormat/>
    <w:rsid w:val="000D0F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0F8C"/>
    <w:rPr>
      <w:i/>
      <w:iCs/>
      <w:color w:val="0F4761" w:themeColor="accent1" w:themeShade="BF"/>
      <w:lang w:val="en-GB"/>
    </w:rPr>
  </w:style>
  <w:style w:type="character" w:styleId="IntenseReference">
    <w:name w:val="Intense Reference"/>
    <w:basedOn w:val="DefaultParagraphFont"/>
    <w:uiPriority w:val="32"/>
    <w:qFormat/>
    <w:rsid w:val="000D0F8C"/>
    <w:rPr>
      <w:b/>
      <w:bCs/>
      <w:smallCaps/>
      <w:color w:val="0F4761" w:themeColor="accent1" w:themeShade="BF"/>
      <w:spacing w:val="5"/>
    </w:rPr>
  </w:style>
  <w:style w:type="paragraph" w:styleId="NormalWeb">
    <w:name w:val="Normal (Web)"/>
    <w:basedOn w:val="Normal"/>
    <w:uiPriority w:val="99"/>
    <w:semiHidden/>
    <w:unhideWhenUsed/>
    <w:rsid w:val="00766C6C"/>
    <w:pPr>
      <w:spacing w:before="100" w:beforeAutospacing="1" w:after="100" w:afterAutospacing="1" w:line="240" w:lineRule="auto"/>
    </w:pPr>
    <w:rPr>
      <w:rFonts w:ascii="Times New Roman" w:eastAsia="Times New Roman" w:hAnsi="Times New Roman" w:cs="Times New Roman"/>
      <w:kern w:val="0"/>
      <w:lang w:val="en-US"/>
      <w14:ligatures w14:val="none"/>
    </w:rPr>
  </w:style>
  <w:style w:type="character" w:styleId="Strong">
    <w:name w:val="Strong"/>
    <w:basedOn w:val="DefaultParagraphFont"/>
    <w:uiPriority w:val="22"/>
    <w:qFormat/>
    <w:rsid w:val="00766C6C"/>
    <w:rPr>
      <w:b/>
      <w:bCs/>
    </w:rPr>
  </w:style>
  <w:style w:type="character" w:styleId="Emphasis">
    <w:name w:val="Emphasis"/>
    <w:basedOn w:val="DefaultParagraphFont"/>
    <w:uiPriority w:val="20"/>
    <w:qFormat/>
    <w:rsid w:val="00766C6C"/>
    <w:rPr>
      <w:i/>
      <w:iCs/>
    </w:rPr>
  </w:style>
  <w:style w:type="character" w:styleId="Hyperlink">
    <w:name w:val="Hyperlink"/>
    <w:basedOn w:val="DefaultParagraphFont"/>
    <w:uiPriority w:val="99"/>
    <w:unhideWhenUsed/>
    <w:rsid w:val="00766C6C"/>
    <w:rPr>
      <w:color w:val="0000FF"/>
      <w:u w:val="single"/>
    </w:rPr>
  </w:style>
  <w:style w:type="table" w:styleId="TableGrid">
    <w:name w:val="Table Grid"/>
    <w:basedOn w:val="TableNormal"/>
    <w:uiPriority w:val="39"/>
    <w:rsid w:val="00F11A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11A88"/>
    <w:pPr>
      <w:spacing w:after="200" w:line="240" w:lineRule="auto"/>
    </w:pPr>
    <w:rPr>
      <w:i/>
      <w:iCs/>
      <w:color w:val="0E2841" w:themeColor="text2"/>
      <w:sz w:val="18"/>
      <w:szCs w:val="18"/>
    </w:rPr>
  </w:style>
  <w:style w:type="table" w:styleId="TableGridLight">
    <w:name w:val="Grid Table Light"/>
    <w:basedOn w:val="TableNormal"/>
    <w:uiPriority w:val="40"/>
    <w:rsid w:val="000179B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
    <w:name w:val="Unresolved Mention"/>
    <w:basedOn w:val="DefaultParagraphFont"/>
    <w:uiPriority w:val="99"/>
    <w:semiHidden/>
    <w:unhideWhenUsed/>
    <w:rsid w:val="00D36E48"/>
    <w:rPr>
      <w:color w:val="605E5C"/>
      <w:shd w:val="clear" w:color="auto" w:fill="E1DFDD"/>
    </w:rPr>
  </w:style>
  <w:style w:type="paragraph" w:styleId="Header">
    <w:name w:val="header"/>
    <w:basedOn w:val="Normal"/>
    <w:link w:val="HeaderChar"/>
    <w:uiPriority w:val="99"/>
    <w:unhideWhenUsed/>
    <w:rsid w:val="006539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39F6"/>
    <w:rPr>
      <w:rFonts w:asciiTheme="majorBidi" w:hAnsiTheme="majorBidi"/>
      <w:lang w:val="en-GB"/>
    </w:rPr>
  </w:style>
  <w:style w:type="paragraph" w:styleId="Footer">
    <w:name w:val="footer"/>
    <w:basedOn w:val="Normal"/>
    <w:link w:val="FooterChar"/>
    <w:uiPriority w:val="99"/>
    <w:unhideWhenUsed/>
    <w:rsid w:val="006539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39F6"/>
    <w:rPr>
      <w:rFonts w:asciiTheme="majorBidi" w:hAnsiTheme="majorBidi"/>
      <w:lang w:val="en-GB"/>
    </w:rPr>
  </w:style>
  <w:style w:type="table" w:styleId="GridTable4-Accent2">
    <w:name w:val="Grid Table 4 Accent 2"/>
    <w:basedOn w:val="TableNormal"/>
    <w:uiPriority w:val="49"/>
    <w:rsid w:val="001D7B6E"/>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3">
    <w:name w:val="Grid Table 4 Accent 3"/>
    <w:basedOn w:val="TableNormal"/>
    <w:uiPriority w:val="49"/>
    <w:rsid w:val="005E13F9"/>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4-Accent5">
    <w:name w:val="Grid Table 4 Accent 5"/>
    <w:basedOn w:val="TableNormal"/>
    <w:uiPriority w:val="49"/>
    <w:rsid w:val="00D83EA7"/>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5Dark-Accent2">
    <w:name w:val="Grid Table 5 Dark Accent 2"/>
    <w:basedOn w:val="TableNormal"/>
    <w:uiPriority w:val="50"/>
    <w:rsid w:val="0075391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GridTable4-Accent4">
    <w:name w:val="Grid Table 4 Accent 4"/>
    <w:basedOn w:val="TableNormal"/>
    <w:uiPriority w:val="49"/>
    <w:rsid w:val="00084017"/>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4-Accent1">
    <w:name w:val="Grid Table 4 Accent 1"/>
    <w:basedOn w:val="TableNormal"/>
    <w:uiPriority w:val="49"/>
    <w:rsid w:val="00084017"/>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6">
    <w:name w:val="Grid Table 4 Accent 6"/>
    <w:basedOn w:val="TableNormal"/>
    <w:uiPriority w:val="49"/>
    <w:rsid w:val="00D809CF"/>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paragraph" w:styleId="BodyText">
    <w:name w:val="Body Text"/>
    <w:basedOn w:val="Normal"/>
    <w:link w:val="BodyTextChar"/>
    <w:uiPriority w:val="1"/>
    <w:qFormat/>
    <w:rsid w:val="00042138"/>
    <w:pPr>
      <w:widowControl w:val="0"/>
      <w:autoSpaceDE w:val="0"/>
      <w:autoSpaceDN w:val="0"/>
      <w:spacing w:after="0" w:line="240" w:lineRule="auto"/>
      <w:jc w:val="left"/>
    </w:pPr>
    <w:rPr>
      <w:rFonts w:ascii="Arial MT" w:eastAsia="Arial MT" w:hAnsi="Arial MT" w:cs="Arial MT"/>
      <w:kern w:val="0"/>
      <w:sz w:val="22"/>
      <w:szCs w:val="22"/>
      <w:lang w:val="en-US" w:eastAsia="en-US"/>
      <w14:ligatures w14:val="none"/>
    </w:rPr>
  </w:style>
  <w:style w:type="character" w:customStyle="1" w:styleId="BodyTextChar">
    <w:name w:val="Body Text Char"/>
    <w:basedOn w:val="DefaultParagraphFont"/>
    <w:link w:val="BodyText"/>
    <w:uiPriority w:val="1"/>
    <w:rsid w:val="00042138"/>
    <w:rPr>
      <w:rFonts w:ascii="Arial MT" w:eastAsia="Arial MT" w:hAnsi="Arial MT" w:cs="Arial MT"/>
      <w:kern w:val="0"/>
      <w:sz w:val="22"/>
      <w:szCs w:val="22"/>
      <w:lang w:eastAsia="en-US"/>
      <w14:ligatures w14:val="none"/>
    </w:rPr>
  </w:style>
  <w:style w:type="paragraph" w:customStyle="1" w:styleId="TableParagraph">
    <w:name w:val="Table Paragraph"/>
    <w:basedOn w:val="Normal"/>
    <w:uiPriority w:val="1"/>
    <w:qFormat/>
    <w:rsid w:val="00042138"/>
    <w:pPr>
      <w:widowControl w:val="0"/>
      <w:autoSpaceDE w:val="0"/>
      <w:autoSpaceDN w:val="0"/>
      <w:spacing w:after="0" w:line="240" w:lineRule="auto"/>
      <w:ind w:left="107"/>
      <w:jc w:val="left"/>
    </w:pPr>
    <w:rPr>
      <w:rFonts w:ascii="Arial MT" w:eastAsia="Arial MT" w:hAnsi="Arial MT" w:cs="Arial MT"/>
      <w:kern w:val="0"/>
      <w:sz w:val="22"/>
      <w:szCs w:val="22"/>
      <w:lang w:val="en-US" w:eastAsia="en-US"/>
      <w14:ligatures w14:val="none"/>
    </w:rPr>
  </w:style>
  <w:style w:type="paragraph" w:styleId="TOCHeading">
    <w:name w:val="TOC Heading"/>
    <w:basedOn w:val="Heading1"/>
    <w:next w:val="Normal"/>
    <w:uiPriority w:val="39"/>
    <w:unhideWhenUsed/>
    <w:qFormat/>
    <w:rsid w:val="00351A86"/>
    <w:pPr>
      <w:spacing w:before="240" w:after="0" w:line="259" w:lineRule="auto"/>
      <w:outlineLvl w:val="9"/>
    </w:pPr>
    <w:rPr>
      <w:rFonts w:asciiTheme="majorHAnsi" w:hAnsiTheme="majorHAnsi"/>
      <w:b w:val="0"/>
      <w:color w:val="0F4761" w:themeColor="accent1" w:themeShade="BF"/>
      <w:kern w:val="0"/>
      <w:sz w:val="32"/>
      <w:szCs w:val="32"/>
      <w:lang w:val="en-US" w:eastAsia="en-US"/>
      <w14:ligatures w14:val="none"/>
    </w:rPr>
  </w:style>
  <w:style w:type="paragraph" w:styleId="TOC1">
    <w:name w:val="toc 1"/>
    <w:basedOn w:val="Normal"/>
    <w:next w:val="Normal"/>
    <w:autoRedefine/>
    <w:uiPriority w:val="39"/>
    <w:unhideWhenUsed/>
    <w:rsid w:val="00351A86"/>
    <w:pPr>
      <w:spacing w:after="100"/>
    </w:pPr>
  </w:style>
  <w:style w:type="paragraph" w:styleId="TOC2">
    <w:name w:val="toc 2"/>
    <w:basedOn w:val="Normal"/>
    <w:next w:val="Normal"/>
    <w:autoRedefine/>
    <w:uiPriority w:val="39"/>
    <w:unhideWhenUsed/>
    <w:rsid w:val="00351A8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shell.com/sustainability/climate/shell-energy-transition-strategy.html?utm_source=chatgpt.com"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investor.exxonmobil.com/sec-filings/annual-reports?utm_source=chatgpt.com" TargetMode="External"/><Relationship Id="rId2" Type="http://schemas.openxmlformats.org/officeDocument/2006/relationships/numbering" Target="numbering.xml"/><Relationship Id="rId16" Type="http://schemas.openxmlformats.org/officeDocument/2006/relationships/hyperlink" Target="https://www.bp.com/content/dam/bp/business-sites/en/global/corporate/pdfs/investors/bp-annual-report-and-form-20f-2025.pdf?utm_source=chatgpt.com" TargetMode="External"/><Relationship Id="rId20" Type="http://schemas.openxmlformats.org/officeDocument/2006/relationships/hyperlink" Target="https://totalenergies.com/investors/publications-and-regulated-information/regulated-information/annual-financial-reports?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shell.com/investors/results-and-reporting/annual-report/_jcr_content/root/main/section/promo/links/item0.stream/1774544186011/5727c329a58b5eb7a54442c0a03f562a5aef1159/shell-annual-report-2025-interactive.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BCBA30-DBBD-4025-AABD-CA3C39C1AA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24</Pages>
  <Words>6481</Words>
  <Characters>36946</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ABCDEF</cp:lastModifiedBy>
  <cp:revision>2</cp:revision>
  <dcterms:created xsi:type="dcterms:W3CDTF">2026-05-01T08:05:00Z</dcterms:created>
  <dcterms:modified xsi:type="dcterms:W3CDTF">2026-05-01T10:47:00Z</dcterms:modified>
</cp:coreProperties>
</file>