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C2D41" w14:textId="4BA11928" w:rsidR="00C8062A" w:rsidRPr="006A3B7F" w:rsidRDefault="00C8062A" w:rsidP="006A3B7F">
      <w:pPr>
        <w:pStyle w:val="Modcode"/>
        <w:spacing w:line="360" w:lineRule="auto"/>
        <w:rPr>
          <w:sz w:val="24"/>
          <w:szCs w:val="24"/>
        </w:rPr>
      </w:pPr>
      <w:r w:rsidRPr="006A3B7F">
        <w:rPr>
          <w:noProof/>
          <w:sz w:val="24"/>
          <w:szCs w:val="24"/>
        </w:rPr>
        <w:drawing>
          <wp:inline distT="0" distB="0" distL="0" distR="0" wp14:anchorId="4F5CAF5A" wp14:editId="0C762016">
            <wp:extent cx="2667000" cy="884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4825" cy="893784"/>
                    </a:xfrm>
                    <a:prstGeom prst="rect">
                      <a:avLst/>
                    </a:prstGeom>
                    <a:noFill/>
                  </pic:spPr>
                </pic:pic>
              </a:graphicData>
            </a:graphic>
          </wp:inline>
        </w:drawing>
      </w:r>
    </w:p>
    <w:p w14:paraId="30B412E9" w14:textId="77777777" w:rsidR="00C8062A" w:rsidRPr="006A3B7F" w:rsidRDefault="00C8062A" w:rsidP="006A3B7F">
      <w:pPr>
        <w:pStyle w:val="Modcode"/>
        <w:spacing w:line="360" w:lineRule="auto"/>
        <w:rPr>
          <w:sz w:val="24"/>
          <w:szCs w:val="24"/>
        </w:rPr>
      </w:pPr>
    </w:p>
    <w:p w14:paraId="18CBD42A" w14:textId="5252EB85" w:rsidR="00B3457C" w:rsidRPr="006A3B7F" w:rsidRDefault="00B3457C" w:rsidP="006A3B7F">
      <w:pPr>
        <w:pStyle w:val="Modcode"/>
        <w:spacing w:line="360" w:lineRule="auto"/>
        <w:jc w:val="both"/>
        <w:rPr>
          <w:sz w:val="24"/>
          <w:szCs w:val="24"/>
        </w:rPr>
      </w:pPr>
    </w:p>
    <w:p w14:paraId="2CF636F9" w14:textId="77777777" w:rsidR="00C8062A" w:rsidRPr="006A3B7F" w:rsidRDefault="00C8062A" w:rsidP="006A3B7F">
      <w:pPr>
        <w:pStyle w:val="Modcode"/>
        <w:spacing w:line="360" w:lineRule="auto"/>
        <w:rPr>
          <w:sz w:val="24"/>
          <w:szCs w:val="24"/>
        </w:rPr>
      </w:pPr>
    </w:p>
    <w:p w14:paraId="4E921086" w14:textId="07463F47" w:rsidR="00B3457C" w:rsidRPr="006A3B7F" w:rsidRDefault="00B3457C" w:rsidP="006A3B7F">
      <w:pPr>
        <w:pStyle w:val="Modcode"/>
        <w:spacing w:line="360" w:lineRule="auto"/>
        <w:rPr>
          <w:sz w:val="24"/>
          <w:szCs w:val="24"/>
        </w:rPr>
      </w:pPr>
      <w:r w:rsidRPr="006A3B7F">
        <w:rPr>
          <w:sz w:val="24"/>
          <w:szCs w:val="24"/>
        </w:rPr>
        <w:t>iumw student exchange programme</w:t>
      </w:r>
    </w:p>
    <w:p w14:paraId="1C6EF6C3" w14:textId="77777777" w:rsidR="00B3457C" w:rsidRPr="006A3B7F" w:rsidRDefault="00B3457C" w:rsidP="006A3B7F">
      <w:pPr>
        <w:pStyle w:val="Modcode"/>
        <w:spacing w:line="360" w:lineRule="auto"/>
        <w:rPr>
          <w:sz w:val="24"/>
          <w:szCs w:val="24"/>
        </w:rPr>
      </w:pPr>
    </w:p>
    <w:p w14:paraId="67FD680F" w14:textId="77777777" w:rsidR="00B3457C" w:rsidRPr="006A3B7F" w:rsidRDefault="00B3457C" w:rsidP="006A3B7F">
      <w:pPr>
        <w:pStyle w:val="Modcode"/>
        <w:spacing w:line="360" w:lineRule="auto"/>
        <w:rPr>
          <w:sz w:val="24"/>
          <w:szCs w:val="24"/>
        </w:rPr>
      </w:pPr>
      <w:r w:rsidRPr="006A3B7F">
        <w:rPr>
          <w:sz w:val="24"/>
          <w:szCs w:val="24"/>
        </w:rPr>
        <w:t xml:space="preserve">BACHELOR OF BUSINESS ADMINISTATION IN FINANCE </w:t>
      </w:r>
    </w:p>
    <w:p w14:paraId="7F8E03C0" w14:textId="77777777" w:rsidR="00B3457C" w:rsidRPr="006A3B7F" w:rsidRDefault="00B3457C" w:rsidP="006A3B7F">
      <w:pPr>
        <w:pStyle w:val="Modcode"/>
        <w:spacing w:line="360" w:lineRule="auto"/>
        <w:rPr>
          <w:sz w:val="24"/>
          <w:szCs w:val="24"/>
        </w:rPr>
      </w:pPr>
    </w:p>
    <w:p w14:paraId="0632EA12" w14:textId="4D8CDEC3" w:rsidR="00B3457C" w:rsidRPr="006A3B7F" w:rsidRDefault="00B3457C" w:rsidP="006A3B7F">
      <w:pPr>
        <w:pStyle w:val="Modcode"/>
        <w:spacing w:line="360" w:lineRule="auto"/>
        <w:rPr>
          <w:sz w:val="24"/>
          <w:szCs w:val="24"/>
        </w:rPr>
      </w:pPr>
      <w:r w:rsidRPr="006A3B7F">
        <w:rPr>
          <w:sz w:val="24"/>
          <w:szCs w:val="24"/>
        </w:rPr>
        <w:t xml:space="preserve">SEMESTER: </w:t>
      </w:r>
      <w:r w:rsidR="00BA50A7" w:rsidRPr="006A3B7F">
        <w:rPr>
          <w:sz w:val="24"/>
          <w:szCs w:val="24"/>
        </w:rPr>
        <w:t>JANUARY</w:t>
      </w:r>
      <w:r w:rsidRPr="006A3B7F">
        <w:rPr>
          <w:sz w:val="24"/>
          <w:szCs w:val="24"/>
        </w:rPr>
        <w:t xml:space="preserve"> – </w:t>
      </w:r>
      <w:r w:rsidR="00BA50A7" w:rsidRPr="006A3B7F">
        <w:rPr>
          <w:sz w:val="24"/>
          <w:szCs w:val="24"/>
        </w:rPr>
        <w:t>MAY</w:t>
      </w:r>
      <w:r w:rsidRPr="006A3B7F">
        <w:rPr>
          <w:sz w:val="24"/>
          <w:szCs w:val="24"/>
        </w:rPr>
        <w:t xml:space="preserve"> 202</w:t>
      </w:r>
      <w:r w:rsidR="00BA50A7" w:rsidRPr="006A3B7F">
        <w:rPr>
          <w:sz w:val="24"/>
          <w:szCs w:val="24"/>
        </w:rPr>
        <w:t>3</w:t>
      </w:r>
    </w:p>
    <w:p w14:paraId="6A4A57D4" w14:textId="77777777" w:rsidR="00B3457C" w:rsidRPr="006A3B7F" w:rsidRDefault="00B3457C" w:rsidP="006A3B7F">
      <w:pPr>
        <w:pStyle w:val="Modcode"/>
        <w:spacing w:line="360" w:lineRule="auto"/>
        <w:rPr>
          <w:sz w:val="24"/>
          <w:szCs w:val="24"/>
        </w:rPr>
      </w:pPr>
    </w:p>
    <w:p w14:paraId="41184F0F" w14:textId="77777777" w:rsidR="00B3457C" w:rsidRPr="006A3B7F" w:rsidRDefault="00B3457C" w:rsidP="006A3B7F">
      <w:pPr>
        <w:pStyle w:val="Modcode"/>
        <w:spacing w:line="360" w:lineRule="auto"/>
        <w:rPr>
          <w:sz w:val="24"/>
          <w:szCs w:val="24"/>
        </w:rPr>
      </w:pPr>
    </w:p>
    <w:p w14:paraId="5C9DD3A1" w14:textId="4C88DD54" w:rsidR="00B3457C" w:rsidRPr="006A3B7F" w:rsidRDefault="00B3457C" w:rsidP="006A3B7F">
      <w:pPr>
        <w:pStyle w:val="Modcode"/>
        <w:spacing w:line="360" w:lineRule="auto"/>
        <w:rPr>
          <w:sz w:val="24"/>
          <w:szCs w:val="24"/>
        </w:rPr>
      </w:pPr>
      <w:r w:rsidRPr="006A3B7F">
        <w:rPr>
          <w:sz w:val="24"/>
          <w:szCs w:val="24"/>
        </w:rPr>
        <w:t>MODULE CODE: BMLW5009</w:t>
      </w:r>
    </w:p>
    <w:p w14:paraId="2DCCB7E2" w14:textId="017DD434" w:rsidR="00B3457C" w:rsidRPr="006A3B7F" w:rsidRDefault="00B3457C" w:rsidP="006A3B7F">
      <w:pPr>
        <w:pStyle w:val="Modname"/>
        <w:spacing w:line="360" w:lineRule="auto"/>
        <w:rPr>
          <w:sz w:val="24"/>
          <w:szCs w:val="24"/>
        </w:rPr>
      </w:pPr>
      <w:r w:rsidRPr="006A3B7F">
        <w:rPr>
          <w:sz w:val="24"/>
          <w:szCs w:val="24"/>
          <w:lang w:eastAsia="zh-CN"/>
        </w:rPr>
        <w:t>CONTRACT LAW</w:t>
      </w:r>
    </w:p>
    <w:p w14:paraId="259BAA9C" w14:textId="6103C146" w:rsidR="00B3457C" w:rsidRPr="006A3B7F" w:rsidRDefault="00B3457C" w:rsidP="006A3B7F">
      <w:pPr>
        <w:rPr>
          <w:rFonts w:cs="Times New Roman"/>
          <w:b/>
          <w:caps/>
          <w:szCs w:val="24"/>
        </w:rPr>
      </w:pPr>
    </w:p>
    <w:p w14:paraId="681A8281" w14:textId="5C0D742A" w:rsidR="00B3457C" w:rsidRPr="006A3B7F" w:rsidRDefault="00B3457C" w:rsidP="006A3B7F">
      <w:pPr>
        <w:rPr>
          <w:rFonts w:cs="Times New Roman"/>
          <w:b/>
          <w:caps/>
          <w:szCs w:val="24"/>
        </w:rPr>
      </w:pPr>
    </w:p>
    <w:p w14:paraId="12201055" w14:textId="77777777" w:rsidR="00B3457C" w:rsidRPr="006A3B7F" w:rsidRDefault="00B3457C" w:rsidP="006A3B7F">
      <w:pPr>
        <w:rPr>
          <w:rFonts w:cs="Times New Roman"/>
          <w:b/>
          <w:caps/>
          <w:szCs w:val="24"/>
        </w:rPr>
      </w:pPr>
    </w:p>
    <w:p w14:paraId="55DE65CA" w14:textId="0043F5C2" w:rsidR="00B3457C" w:rsidRPr="006A3B7F" w:rsidRDefault="00B3457C" w:rsidP="006A3B7F">
      <w:pPr>
        <w:jc w:val="center"/>
        <w:rPr>
          <w:rFonts w:cs="Times New Roman"/>
          <w:b/>
          <w:szCs w:val="24"/>
        </w:rPr>
      </w:pPr>
      <w:r w:rsidRPr="006A3B7F">
        <w:rPr>
          <w:rFonts w:cs="Times New Roman"/>
          <w:b/>
          <w:caps/>
          <w:szCs w:val="24"/>
        </w:rPr>
        <w:t>INTENTION TO CREATE LEGAL INTENTION WITH CONTEXT TO THE FOLLOWING; SOCIAL, COMMERCIAL, AND PUBLIC BODIES</w:t>
      </w:r>
    </w:p>
    <w:p w14:paraId="4FF3D923" w14:textId="52223AB6" w:rsidR="00B3457C" w:rsidRPr="006A3B7F" w:rsidRDefault="00B3457C" w:rsidP="006A3B7F">
      <w:pPr>
        <w:pStyle w:val="BodyText"/>
        <w:spacing w:line="360" w:lineRule="auto"/>
        <w:rPr>
          <w:szCs w:val="24"/>
        </w:rPr>
      </w:pPr>
    </w:p>
    <w:p w14:paraId="06333974" w14:textId="762FC8BD" w:rsidR="003E4710" w:rsidRPr="006A3B7F" w:rsidRDefault="003E4710" w:rsidP="006A3B7F">
      <w:pPr>
        <w:pStyle w:val="BodyText"/>
        <w:spacing w:line="360" w:lineRule="auto"/>
        <w:rPr>
          <w:szCs w:val="24"/>
        </w:rPr>
      </w:pPr>
    </w:p>
    <w:p w14:paraId="2235044E" w14:textId="77777777" w:rsidR="003E4710" w:rsidRPr="006A3B7F" w:rsidRDefault="003E4710" w:rsidP="006A3B7F">
      <w:pPr>
        <w:pStyle w:val="BodyText"/>
        <w:spacing w:line="360" w:lineRule="auto"/>
        <w:rPr>
          <w:szCs w:val="24"/>
        </w:rPr>
      </w:pPr>
    </w:p>
    <w:tbl>
      <w:tblPr>
        <w:tblStyle w:val="TableGrid"/>
        <w:tblpPr w:leftFromText="180" w:rightFromText="180" w:vertAnchor="text" w:horzAnchor="margin" w:tblpY="169"/>
        <w:tblW w:w="0" w:type="auto"/>
        <w:tblBorders>
          <w:top w:val="double" w:sz="6" w:space="0" w:color="auto"/>
          <w:left w:val="double" w:sz="6" w:space="0" w:color="auto"/>
          <w:bottom w:val="double" w:sz="6" w:space="0" w:color="auto"/>
          <w:right w:val="double" w:sz="6" w:space="0" w:color="auto"/>
          <w:insideH w:val="double" w:sz="6" w:space="0" w:color="auto"/>
          <w:insideV w:val="double" w:sz="6" w:space="0" w:color="auto"/>
        </w:tblBorders>
        <w:tblLook w:val="04A0" w:firstRow="1" w:lastRow="0" w:firstColumn="1" w:lastColumn="0" w:noHBand="0" w:noVBand="1"/>
      </w:tblPr>
      <w:tblGrid>
        <w:gridCol w:w="1433"/>
        <w:gridCol w:w="538"/>
        <w:gridCol w:w="7010"/>
      </w:tblGrid>
      <w:tr w:rsidR="00B3457C" w:rsidRPr="006A3B7F" w14:paraId="0F8C5926" w14:textId="77777777" w:rsidTr="00B5113E">
        <w:tc>
          <w:tcPr>
            <w:tcW w:w="1433" w:type="dxa"/>
          </w:tcPr>
          <w:p w14:paraId="58DDFCFD" w14:textId="77777777" w:rsidR="00B3457C" w:rsidRPr="006A3B7F" w:rsidRDefault="00B3457C" w:rsidP="006A3B7F">
            <w:pPr>
              <w:pStyle w:val="BodyText"/>
              <w:spacing w:line="360" w:lineRule="auto"/>
              <w:rPr>
                <w:szCs w:val="24"/>
              </w:rPr>
            </w:pPr>
            <w:r w:rsidRPr="006A3B7F">
              <w:rPr>
                <w:szCs w:val="24"/>
              </w:rPr>
              <w:t>Names</w:t>
            </w:r>
          </w:p>
        </w:tc>
        <w:tc>
          <w:tcPr>
            <w:tcW w:w="538" w:type="dxa"/>
          </w:tcPr>
          <w:p w14:paraId="573F579E" w14:textId="77777777" w:rsidR="00B3457C" w:rsidRPr="006A3B7F" w:rsidRDefault="00B3457C" w:rsidP="006A3B7F">
            <w:pPr>
              <w:pStyle w:val="BodyText"/>
              <w:spacing w:line="360" w:lineRule="auto"/>
              <w:jc w:val="center"/>
              <w:rPr>
                <w:szCs w:val="24"/>
              </w:rPr>
            </w:pPr>
            <w:r w:rsidRPr="006A3B7F">
              <w:rPr>
                <w:szCs w:val="24"/>
              </w:rPr>
              <w:t>:</w:t>
            </w:r>
          </w:p>
        </w:tc>
        <w:tc>
          <w:tcPr>
            <w:tcW w:w="7010" w:type="dxa"/>
          </w:tcPr>
          <w:p w14:paraId="34111CD8" w14:textId="77777777" w:rsidR="00B3457C" w:rsidRPr="006A3B7F" w:rsidRDefault="00B3457C" w:rsidP="006A3B7F">
            <w:pPr>
              <w:pStyle w:val="BodyText"/>
              <w:spacing w:line="360" w:lineRule="auto"/>
              <w:rPr>
                <w:szCs w:val="24"/>
              </w:rPr>
            </w:pPr>
            <w:r w:rsidRPr="006A3B7F">
              <w:rPr>
                <w:szCs w:val="24"/>
              </w:rPr>
              <w:t>Fong Tyrsten</w:t>
            </w:r>
          </w:p>
        </w:tc>
      </w:tr>
      <w:tr w:rsidR="00B3457C" w:rsidRPr="006A3B7F" w14:paraId="0C10A238" w14:textId="77777777" w:rsidTr="00B5113E">
        <w:tc>
          <w:tcPr>
            <w:tcW w:w="1433" w:type="dxa"/>
          </w:tcPr>
          <w:p w14:paraId="1644AFA5" w14:textId="77777777" w:rsidR="00B3457C" w:rsidRPr="006A3B7F" w:rsidRDefault="00B3457C" w:rsidP="006A3B7F">
            <w:pPr>
              <w:pStyle w:val="BodyText"/>
              <w:spacing w:line="360" w:lineRule="auto"/>
              <w:rPr>
                <w:szCs w:val="24"/>
              </w:rPr>
            </w:pPr>
            <w:r w:rsidRPr="006A3B7F">
              <w:rPr>
                <w:szCs w:val="24"/>
              </w:rPr>
              <w:t>Student ID</w:t>
            </w:r>
          </w:p>
        </w:tc>
        <w:tc>
          <w:tcPr>
            <w:tcW w:w="538" w:type="dxa"/>
          </w:tcPr>
          <w:p w14:paraId="64130031" w14:textId="77777777" w:rsidR="00B3457C" w:rsidRPr="006A3B7F" w:rsidRDefault="00B3457C" w:rsidP="006A3B7F">
            <w:pPr>
              <w:pStyle w:val="BodyText"/>
              <w:spacing w:line="360" w:lineRule="auto"/>
              <w:jc w:val="center"/>
              <w:rPr>
                <w:szCs w:val="24"/>
              </w:rPr>
            </w:pPr>
            <w:r w:rsidRPr="006A3B7F">
              <w:rPr>
                <w:szCs w:val="24"/>
              </w:rPr>
              <w:t>:</w:t>
            </w:r>
          </w:p>
        </w:tc>
        <w:tc>
          <w:tcPr>
            <w:tcW w:w="7010" w:type="dxa"/>
          </w:tcPr>
          <w:p w14:paraId="47FB3AEE" w14:textId="0301852C" w:rsidR="00B3457C" w:rsidRPr="006A3B7F" w:rsidRDefault="00B3457C" w:rsidP="006A3B7F">
            <w:pPr>
              <w:pStyle w:val="BodyText"/>
              <w:spacing w:line="360" w:lineRule="auto"/>
              <w:rPr>
                <w:szCs w:val="24"/>
              </w:rPr>
            </w:pPr>
            <w:r w:rsidRPr="006A3B7F">
              <w:rPr>
                <w:szCs w:val="24"/>
              </w:rPr>
              <w:t>2120942</w:t>
            </w:r>
          </w:p>
        </w:tc>
      </w:tr>
      <w:tr w:rsidR="00B3457C" w:rsidRPr="006A3B7F" w14:paraId="6C5DC23B" w14:textId="77777777" w:rsidTr="00B5113E">
        <w:tc>
          <w:tcPr>
            <w:tcW w:w="1433" w:type="dxa"/>
          </w:tcPr>
          <w:p w14:paraId="752BE514" w14:textId="77777777" w:rsidR="00B3457C" w:rsidRPr="006A3B7F" w:rsidRDefault="00B3457C" w:rsidP="006A3B7F">
            <w:pPr>
              <w:pStyle w:val="BodyText"/>
              <w:spacing w:line="360" w:lineRule="auto"/>
              <w:rPr>
                <w:szCs w:val="24"/>
              </w:rPr>
            </w:pPr>
            <w:r w:rsidRPr="006A3B7F">
              <w:rPr>
                <w:szCs w:val="24"/>
              </w:rPr>
              <w:t xml:space="preserve">Class </w:t>
            </w:r>
          </w:p>
        </w:tc>
        <w:tc>
          <w:tcPr>
            <w:tcW w:w="538" w:type="dxa"/>
          </w:tcPr>
          <w:p w14:paraId="30002CF3" w14:textId="77777777" w:rsidR="00B3457C" w:rsidRPr="006A3B7F" w:rsidRDefault="00B3457C" w:rsidP="006A3B7F">
            <w:pPr>
              <w:pStyle w:val="BodyText"/>
              <w:spacing w:line="360" w:lineRule="auto"/>
              <w:jc w:val="center"/>
              <w:rPr>
                <w:szCs w:val="24"/>
              </w:rPr>
            </w:pPr>
            <w:r w:rsidRPr="006A3B7F">
              <w:rPr>
                <w:szCs w:val="24"/>
              </w:rPr>
              <w:t>:</w:t>
            </w:r>
          </w:p>
        </w:tc>
        <w:tc>
          <w:tcPr>
            <w:tcW w:w="7010" w:type="dxa"/>
          </w:tcPr>
          <w:p w14:paraId="11C92359" w14:textId="2373C9A9" w:rsidR="00B3457C" w:rsidRPr="006A3B7F" w:rsidRDefault="00B3457C" w:rsidP="006A3B7F">
            <w:pPr>
              <w:pStyle w:val="BodyText"/>
              <w:spacing w:line="360" w:lineRule="auto"/>
              <w:rPr>
                <w:szCs w:val="24"/>
              </w:rPr>
            </w:pPr>
            <w:r w:rsidRPr="006A3B7F">
              <w:rPr>
                <w:szCs w:val="24"/>
              </w:rPr>
              <w:t xml:space="preserve">TUESDAY, 9.00 A.M – 1.00 P.M </w:t>
            </w:r>
          </w:p>
        </w:tc>
      </w:tr>
      <w:tr w:rsidR="00B3457C" w:rsidRPr="006A3B7F" w14:paraId="27086699" w14:textId="77777777" w:rsidTr="00B5113E">
        <w:tc>
          <w:tcPr>
            <w:tcW w:w="1433" w:type="dxa"/>
          </w:tcPr>
          <w:p w14:paraId="63F13469" w14:textId="77777777" w:rsidR="00B3457C" w:rsidRPr="006A3B7F" w:rsidRDefault="00B3457C" w:rsidP="006A3B7F">
            <w:pPr>
              <w:pStyle w:val="BodyText"/>
              <w:spacing w:line="360" w:lineRule="auto"/>
              <w:rPr>
                <w:szCs w:val="24"/>
              </w:rPr>
            </w:pPr>
            <w:r w:rsidRPr="006A3B7F">
              <w:rPr>
                <w:szCs w:val="24"/>
              </w:rPr>
              <w:t>Module Tutor</w:t>
            </w:r>
          </w:p>
        </w:tc>
        <w:tc>
          <w:tcPr>
            <w:tcW w:w="538" w:type="dxa"/>
          </w:tcPr>
          <w:p w14:paraId="37749E66" w14:textId="77777777" w:rsidR="00B3457C" w:rsidRPr="006A3B7F" w:rsidRDefault="00B3457C" w:rsidP="006A3B7F">
            <w:pPr>
              <w:pStyle w:val="BodyText"/>
              <w:spacing w:line="360" w:lineRule="auto"/>
              <w:jc w:val="center"/>
              <w:rPr>
                <w:szCs w:val="24"/>
              </w:rPr>
            </w:pPr>
            <w:r w:rsidRPr="006A3B7F">
              <w:rPr>
                <w:szCs w:val="24"/>
              </w:rPr>
              <w:t>:</w:t>
            </w:r>
          </w:p>
        </w:tc>
        <w:tc>
          <w:tcPr>
            <w:tcW w:w="7010" w:type="dxa"/>
          </w:tcPr>
          <w:p w14:paraId="7D53EF55" w14:textId="77777777" w:rsidR="00B3457C" w:rsidRPr="006A3B7F" w:rsidRDefault="00B3457C" w:rsidP="006A3B7F">
            <w:pPr>
              <w:pStyle w:val="BodyText"/>
              <w:spacing w:line="360" w:lineRule="auto"/>
              <w:rPr>
                <w:szCs w:val="24"/>
              </w:rPr>
            </w:pPr>
            <w:r w:rsidRPr="006A3B7F">
              <w:rPr>
                <w:szCs w:val="24"/>
              </w:rPr>
              <w:t>Miss Laura Knight</w:t>
            </w:r>
          </w:p>
          <w:p w14:paraId="0FED8B5F" w14:textId="181190D5" w:rsidR="00B3457C" w:rsidRPr="006A3B7F" w:rsidRDefault="00B3457C" w:rsidP="006A3B7F">
            <w:pPr>
              <w:pStyle w:val="BodyText"/>
              <w:spacing w:line="360" w:lineRule="auto"/>
              <w:rPr>
                <w:szCs w:val="24"/>
              </w:rPr>
            </w:pPr>
            <w:r w:rsidRPr="006A3B7F">
              <w:rPr>
                <w:color w:val="0462C1"/>
                <w:szCs w:val="24"/>
              </w:rPr>
              <w:t>laura.knight@uwtsd.ac.uk</w:t>
            </w:r>
          </w:p>
        </w:tc>
      </w:tr>
    </w:tbl>
    <w:p w14:paraId="51284B27" w14:textId="0FA6C131" w:rsidR="005A47C1" w:rsidRPr="006A3B7F" w:rsidRDefault="005A47C1" w:rsidP="006A3B7F">
      <w:pPr>
        <w:pStyle w:val="Normal1"/>
        <w:shd w:val="clear" w:color="auto" w:fill="FFFFFF"/>
        <w:spacing w:line="360" w:lineRule="auto"/>
        <w:jc w:val="both"/>
        <w:rPr>
          <w:rFonts w:ascii="Times New Roman" w:hAnsi="Times New Roman" w:cs="Times New Roman"/>
          <w:color w:val="222222"/>
          <w:sz w:val="24"/>
          <w:szCs w:val="24"/>
          <w:highlight w:val="white"/>
        </w:rPr>
      </w:pPr>
    </w:p>
    <w:p w14:paraId="398A6318" w14:textId="2F8E5AA6" w:rsidR="005872AD" w:rsidRPr="006A3B7F" w:rsidRDefault="005872AD" w:rsidP="006A3B7F">
      <w:pPr>
        <w:jc w:val="left"/>
        <w:rPr>
          <w:rFonts w:cs="Times New Roman"/>
          <w:color w:val="222222"/>
          <w:szCs w:val="24"/>
        </w:rPr>
      </w:pPr>
      <w:r w:rsidRPr="006A3B7F">
        <w:rPr>
          <w:rFonts w:cs="Times New Roman"/>
          <w:color w:val="222222"/>
          <w:szCs w:val="24"/>
          <w:highlight w:val="white"/>
        </w:rPr>
        <w:br w:type="page"/>
      </w:r>
      <w:r w:rsidR="006A3B7F" w:rsidRPr="006A3B7F">
        <w:rPr>
          <w:rFonts w:cs="Times New Roman"/>
          <w:color w:val="222222"/>
          <w:szCs w:val="24"/>
        </w:rPr>
        <w:lastRenderedPageBreak/>
        <w:t>Contracts are agreements that are related to the enforcement of the law created by following the oral or handwritten agreement. The three parts can be demonstrated in the following way: social, commercial, and public bodies with the related case studies associated with it for a better understanding of the legal relations. The main goal of this assessment is to find the importance of court intention in the creation of legal relations and the relevant presumptions and the rebutted period it takes into consideration</w:t>
      </w:r>
      <w:r w:rsidR="006A3B7F" w:rsidRPr="006A3B7F">
        <w:rPr>
          <w:rFonts w:cs="Times New Roman"/>
          <w:color w:val="222222"/>
          <w:szCs w:val="24"/>
        </w:rPr>
        <w:t>.</w:t>
      </w:r>
    </w:p>
    <w:p w14:paraId="168CE736" w14:textId="77777777" w:rsidR="005872AD" w:rsidRPr="006A3B7F" w:rsidRDefault="005872AD" w:rsidP="006A3B7F">
      <w:pPr>
        <w:jc w:val="left"/>
        <w:rPr>
          <w:rFonts w:cs="Times New Roman"/>
          <w:color w:val="222222"/>
          <w:szCs w:val="24"/>
        </w:rPr>
      </w:pPr>
    </w:p>
    <w:p w14:paraId="787828DB" w14:textId="108FC151" w:rsidR="005872AD" w:rsidRPr="006A3B7F" w:rsidRDefault="006A3B7F" w:rsidP="006A3B7F">
      <w:pPr>
        <w:jc w:val="left"/>
        <w:rPr>
          <w:rFonts w:cs="Times New Roman"/>
          <w:color w:val="222222"/>
          <w:szCs w:val="24"/>
        </w:rPr>
      </w:pPr>
      <w:r w:rsidRPr="006A3B7F">
        <w:rPr>
          <w:rFonts w:cs="Times New Roman"/>
          <w:color w:val="222222"/>
          <w:szCs w:val="24"/>
        </w:rPr>
        <w:t>A court is the place where legal cases have happened and also in other words or creates a legal relationship to the creation of the intention. The intention of the court is to create legal relationships that were absent from the contract and are mere promises. Without creating any intention about the legal relationship, the opposite parties cannot incite of contract. The legal relation is an element that would convert any type of argument into a true case. The legal relationship provides the validity of the contract and its existence, and there must be evidence that the parties have aimed to be the subject of the law.</w:t>
      </w:r>
    </w:p>
    <w:p w14:paraId="6BBFDF11" w14:textId="77777777" w:rsidR="005872AD" w:rsidRPr="006A3B7F" w:rsidRDefault="005872AD" w:rsidP="006A3B7F">
      <w:pPr>
        <w:jc w:val="left"/>
        <w:rPr>
          <w:rFonts w:cs="Times New Roman"/>
          <w:color w:val="222222"/>
          <w:szCs w:val="24"/>
        </w:rPr>
      </w:pPr>
    </w:p>
    <w:p w14:paraId="66757787" w14:textId="1A109108" w:rsidR="005872AD" w:rsidRPr="006A3B7F" w:rsidRDefault="006A3B7F" w:rsidP="006A3B7F">
      <w:pPr>
        <w:jc w:val="left"/>
        <w:rPr>
          <w:rFonts w:cs="Times New Roman"/>
          <w:color w:val="222222"/>
          <w:szCs w:val="24"/>
        </w:rPr>
      </w:pPr>
      <w:r w:rsidRPr="006A3B7F">
        <w:rPr>
          <w:rFonts w:cs="Times New Roman"/>
          <w:color w:val="222222"/>
          <w:szCs w:val="24"/>
        </w:rPr>
        <w:t>The presumption of law is determined as the primary rule of substantive law in the legal principle, as they are not the evidence and they could be irrefutable. A presumption is a fact of the assumption in which regulations require to be made from another group of facts found or established in the action. The substantive laws cannot be refuted as they need evidence. The rebuttable presumptions are the legal rules implemented by the court when particular evidence is not available. Moreover, the unavailability of evidence can allow the court to not provide judgment for a specific party that has created the lack of evidence until it has been rebutted. An explicit presumption can be rebutted with the help of appropriate evidence, which is able to support a different conclusion. Rebutted is taken place when a person proves a case with strong evidence. It has been identified that the case of Esso Petroleum vs Commissioners of Customs and Excise has evaluated that the coins provided by the company have raised questions regarding their legality.</w:t>
      </w:r>
    </w:p>
    <w:p w14:paraId="08989496" w14:textId="77777777" w:rsidR="006A3B7F" w:rsidRPr="006A3B7F" w:rsidRDefault="006A3B7F" w:rsidP="006A3B7F">
      <w:pPr>
        <w:jc w:val="left"/>
        <w:rPr>
          <w:rFonts w:cs="Times New Roman"/>
          <w:color w:val="222222"/>
          <w:szCs w:val="24"/>
        </w:rPr>
      </w:pPr>
    </w:p>
    <w:p w14:paraId="750A53EA" w14:textId="77777777" w:rsidR="006A3B7F" w:rsidRPr="006A3B7F" w:rsidRDefault="006A3B7F" w:rsidP="006A3B7F">
      <w:pPr>
        <w:jc w:val="left"/>
        <w:rPr>
          <w:rFonts w:cs="Times New Roman"/>
          <w:color w:val="222222"/>
          <w:szCs w:val="24"/>
        </w:rPr>
      </w:pPr>
      <w:r w:rsidRPr="006A3B7F">
        <w:rPr>
          <w:rFonts w:cs="Times New Roman"/>
          <w:color w:val="222222"/>
          <w:szCs w:val="24"/>
        </w:rPr>
        <w:t xml:space="preserve">In the case of the domestic and social agreement, the presumptions are made by the law that the parties involved in the case do not like to reflect or create any legal intention. The first case study that is taken into concern is the case of Balfour V Balfour which occurred in the year 1919. The couple went on a vacation in England and his wife became ill during the visit and needed immediate medical aid related to the incident. As the agreement was made in an ordinary way on the basis of a domestic law contract, there was a lack of intention of legal </w:t>
      </w:r>
      <w:r w:rsidRPr="006A3B7F">
        <w:rPr>
          <w:rFonts w:cs="Times New Roman"/>
          <w:color w:val="222222"/>
          <w:szCs w:val="24"/>
        </w:rPr>
        <w:lastRenderedPageBreak/>
        <w:t xml:space="preserve">attention to encounter the legal contract binding so, there was no existence of a contract between Mr. Balfour and Mrs. Balfour. The second case study related to the case of Jones V Padavatton occurred in the year 1969 is an explanation of a law contract or statement based on an English decision. The agreement made by the court was that the parties were not held binding in a legal contract due to the insufficient level of presumption in the case whereas, the daughter claimed that there is an issuance of a binding contract that the daughter could stay in the house. According to the Court of Appeal, a solution has been issued that the daughter could live at the house till her completion of the final bar exam but 5 years have already gone and the contract has elapsed. </w:t>
      </w:r>
    </w:p>
    <w:p w14:paraId="44C41E5C" w14:textId="0DF7D270" w:rsidR="005872AD" w:rsidRPr="006A3B7F" w:rsidRDefault="006A3B7F" w:rsidP="006A3B7F">
      <w:pPr>
        <w:jc w:val="left"/>
        <w:rPr>
          <w:rFonts w:cs="Times New Roman"/>
          <w:color w:val="222222"/>
          <w:szCs w:val="24"/>
        </w:rPr>
      </w:pPr>
      <w:r w:rsidRPr="006A3B7F">
        <w:rPr>
          <w:rFonts w:cs="Times New Roman"/>
          <w:color w:val="222222"/>
          <w:szCs w:val="24"/>
        </w:rPr>
        <w:t>The third case is related to the Merritt V Merritt case that occurred in the year 1970 and related to the creation of contract law. The couple jointly owned a house but later on, the spouse left his wife and started living with another woman. The issue is related to the payment of the mortgage as his wife had fully paid the mortgage then Mr. Merritt refused to give her back the house. The fourth case is the case of Simpkins V Pays in the year 1955 where an agreement was signed between the defendant with her granddaughter and Paying Lodger that the winning price of the newspaper competition held every Sunday will be divided equally but later on the defendant denied to share the prize money of $70 from winning the competition. In the end, the court appealed that the prize is to be shared equally as the contract is made intentionally which creates a contractual basis obligation. According to the various case studies based on the social contract it has been taken into consideration that the first case does not hold any contractual obligations whereas in the Merritt V Merritt case the contract is valid and an appeal has been produced. In the case of Jones V Padavatton, the contract was made intentionally obliged but later on, it got elapsed whereas, in the case of Simpkins V Pays the contractual law has been made to create a legal intention that is valid.</w:t>
      </w:r>
    </w:p>
    <w:p w14:paraId="7750D393" w14:textId="6F36FF09" w:rsidR="006A3B7F" w:rsidRPr="006A3B7F" w:rsidRDefault="006A3B7F" w:rsidP="006A3B7F">
      <w:pPr>
        <w:jc w:val="left"/>
        <w:rPr>
          <w:rFonts w:cs="Times New Roman"/>
          <w:color w:val="222222"/>
          <w:szCs w:val="24"/>
        </w:rPr>
      </w:pPr>
    </w:p>
    <w:p w14:paraId="3C2DB49A" w14:textId="77777777" w:rsidR="006A3B7F" w:rsidRPr="006A3B7F" w:rsidRDefault="006A3B7F" w:rsidP="006A3B7F">
      <w:pPr>
        <w:pBdr>
          <w:top w:val="nil"/>
          <w:left w:val="nil"/>
          <w:bottom w:val="nil"/>
          <w:right w:val="nil"/>
          <w:between w:val="nil"/>
        </w:pBdr>
        <w:shd w:val="clear" w:color="auto" w:fill="FFFFFF"/>
        <w:rPr>
          <w:rFonts w:cs="Times New Roman"/>
          <w:color w:val="000000"/>
          <w:szCs w:val="24"/>
        </w:rPr>
      </w:pPr>
      <w:r w:rsidRPr="006A3B7F">
        <w:rPr>
          <w:rFonts w:cs="Times New Roman"/>
          <w:color w:val="000000"/>
          <w:szCs w:val="24"/>
        </w:rPr>
        <w:t xml:space="preserve">The case between the </w:t>
      </w:r>
      <w:r w:rsidRPr="006A3B7F">
        <w:rPr>
          <w:rFonts w:cs="Times New Roman"/>
          <w:b/>
          <w:i/>
          <w:color w:val="000000"/>
          <w:szCs w:val="24"/>
        </w:rPr>
        <w:t xml:space="preserve">Esso v Commissioners of Customs and Excise </w:t>
      </w:r>
      <w:r w:rsidRPr="006A3B7F">
        <w:rPr>
          <w:rFonts w:cs="Times New Roman"/>
          <w:color w:val="000000"/>
          <w:szCs w:val="24"/>
        </w:rPr>
        <w:t xml:space="preserve">in 1975 evaluated that lack of agreement forced the court to stop the operations of the company. It has been identified from the case that Esso Petroleum Company was delivering world cup coins to the customers after their purchase of 4 gallons of fuel. The case was to identify whether the coins were distributed among the customers to garage the proprietors. Schedule 1 of the Purchase Tax Act 1963 was implemented, as they came within a group of 25. It was determined that the company should pay an amount of £200,000 if the coins are found to be manufactured on the "quantity for general sale". It has also been identified that the company, Esso Petroleum has purchased the coins from 4900 retailers at a rate of £3 per coin. Furthermore, the </w:t>
      </w:r>
      <w:r w:rsidRPr="006A3B7F">
        <w:rPr>
          <w:rFonts w:cs="Times New Roman"/>
          <w:color w:val="000000"/>
          <w:szCs w:val="24"/>
        </w:rPr>
        <w:lastRenderedPageBreak/>
        <w:t xml:space="preserve">company was unable to show the tax file, as they avoided it while making the purchase. However, the company has also created posters, which included the message “collect the complete set” or “collect the full set of 30 coins”, which was given to the customers for their purchase of every 4 gallons. </w:t>
      </w:r>
    </w:p>
    <w:p w14:paraId="40764439" w14:textId="77777777" w:rsidR="006A3B7F" w:rsidRPr="006A3B7F" w:rsidRDefault="006A3B7F" w:rsidP="006A3B7F">
      <w:pPr>
        <w:pBdr>
          <w:top w:val="nil"/>
          <w:left w:val="nil"/>
          <w:bottom w:val="nil"/>
          <w:right w:val="nil"/>
          <w:between w:val="nil"/>
        </w:pBdr>
        <w:shd w:val="clear" w:color="auto" w:fill="FFFFFF"/>
        <w:rPr>
          <w:rFonts w:cs="Times New Roman"/>
          <w:color w:val="222222"/>
          <w:szCs w:val="24"/>
        </w:rPr>
      </w:pPr>
      <w:r w:rsidRPr="006A3B7F">
        <w:rPr>
          <w:rFonts w:cs="Times New Roman"/>
          <w:color w:val="000000"/>
          <w:szCs w:val="24"/>
        </w:rPr>
        <w:t xml:space="preserve">Another case related to business is determined as the </w:t>
      </w:r>
      <w:r w:rsidRPr="006A3B7F">
        <w:rPr>
          <w:rFonts w:cs="Times New Roman"/>
          <w:b/>
          <w:i/>
          <w:color w:val="222222"/>
          <w:szCs w:val="24"/>
        </w:rPr>
        <w:t>Rose &amp; Frank v Crompton Bros [1925]</w:t>
      </w:r>
      <w:r w:rsidRPr="006A3B7F">
        <w:rPr>
          <w:rFonts w:cs="Times New Roman"/>
          <w:color w:val="222222"/>
          <w:szCs w:val="24"/>
        </w:rPr>
        <w:t xml:space="preserve">, which evaluates the issues regarding the contract between two companies, which are Rose &amp; Frank Co and Crompton &amp; Bros Ltd. The case has evaluated that the contract between these two companies has developed an improved relationship from the year 1905. Pop That the companies were the manufacturer of carbonizing tissue. Rose and Frank's company was subjected to a notice of 12 months. The relationship between these two companies improved in 1913, after the alteration of the agreement to carry out the supply of carbonizing papers to Rose and Frank by Crompton Bros. The agreement was developed for 3 years and both companies were required to provide and manufacture carbonizing papers till the end of this contract. </w:t>
      </w:r>
    </w:p>
    <w:p w14:paraId="1424151A" w14:textId="77777777" w:rsidR="006A3B7F" w:rsidRPr="006A3B7F" w:rsidRDefault="006A3B7F" w:rsidP="006A3B7F">
      <w:pPr>
        <w:pBdr>
          <w:top w:val="nil"/>
          <w:left w:val="nil"/>
          <w:bottom w:val="nil"/>
          <w:right w:val="nil"/>
          <w:between w:val="nil"/>
        </w:pBdr>
        <w:shd w:val="clear" w:color="auto" w:fill="FFFFFF"/>
        <w:rPr>
          <w:rFonts w:cs="Times New Roman"/>
          <w:color w:val="000000"/>
          <w:szCs w:val="24"/>
        </w:rPr>
      </w:pPr>
      <w:r w:rsidRPr="006A3B7F">
        <w:rPr>
          <w:rFonts w:cs="Times New Roman"/>
          <w:color w:val="222222"/>
          <w:szCs w:val="24"/>
          <w:highlight w:val="white"/>
        </w:rPr>
        <w:t xml:space="preserve">The case of </w:t>
      </w:r>
      <w:r w:rsidRPr="006A3B7F">
        <w:rPr>
          <w:rFonts w:cs="Times New Roman"/>
          <w:b/>
          <w:i/>
          <w:color w:val="000000"/>
          <w:szCs w:val="24"/>
        </w:rPr>
        <w:t>Kleinwort Benson v Malaysia Mining Corp [1989]</w:t>
      </w:r>
      <w:r w:rsidRPr="006A3B7F">
        <w:rPr>
          <w:rFonts w:cs="Times New Roman"/>
          <w:color w:val="000000"/>
          <w:szCs w:val="24"/>
        </w:rPr>
        <w:t xml:space="preserve"> in the court of appeal WLR 379 has evaluated that the company was facing a lack of resources and size MMC BHD. Moreover, BHD Metals asked the bank for a loan and asked MMC to act as the guarantor, which MMC refused. BHD was a subsidiary of MMC and MMC appealed for the loan from the bank later. It was claimed by the bank that MMC has not paid the loan and took action to recover the loan amount. The comfort letter provided by MMC was not legal, which has increased issues related to this particular case. </w:t>
      </w:r>
    </w:p>
    <w:p w14:paraId="474A4A7B" w14:textId="77777777" w:rsidR="006A3B7F" w:rsidRPr="006A3B7F" w:rsidRDefault="006A3B7F" w:rsidP="006A3B7F">
      <w:pPr>
        <w:pBdr>
          <w:top w:val="nil"/>
          <w:left w:val="nil"/>
          <w:bottom w:val="nil"/>
          <w:right w:val="nil"/>
          <w:between w:val="nil"/>
        </w:pBdr>
        <w:shd w:val="clear" w:color="auto" w:fill="FFFFFF"/>
        <w:rPr>
          <w:rFonts w:cs="Times New Roman"/>
          <w:color w:val="000000"/>
          <w:szCs w:val="24"/>
        </w:rPr>
      </w:pPr>
      <w:r w:rsidRPr="006A3B7F">
        <w:rPr>
          <w:rFonts w:cs="Times New Roman"/>
          <w:color w:val="000000"/>
          <w:szCs w:val="24"/>
        </w:rPr>
        <w:t xml:space="preserve">The case of </w:t>
      </w:r>
      <w:r w:rsidRPr="006A3B7F">
        <w:rPr>
          <w:rFonts w:cs="Times New Roman"/>
          <w:b/>
          <w:i/>
          <w:color w:val="000000"/>
          <w:szCs w:val="24"/>
        </w:rPr>
        <w:t>Edwards v Skyways [1964]</w:t>
      </w:r>
      <w:r w:rsidRPr="006A3B7F">
        <w:rPr>
          <w:rFonts w:cs="Times New Roman"/>
          <w:color w:val="000000"/>
          <w:szCs w:val="24"/>
        </w:rPr>
        <w:t xml:space="preserve"> evaluates the financial difficulties faced by the airline company. The financial difficulties allowed the company to associate its pilots with British Airlines in 1969. The issue was similar regarding the legality and the intention of the agreement. It has been identified in the court that the agreement was developed with a proper business intention, which allowed both airline companies to sign the agreement and carry out future operations. </w:t>
      </w:r>
    </w:p>
    <w:p w14:paraId="081827D4" w14:textId="77777777" w:rsidR="006A3B7F" w:rsidRPr="006A3B7F" w:rsidRDefault="006A3B7F" w:rsidP="006A3B7F">
      <w:pPr>
        <w:pBdr>
          <w:top w:val="nil"/>
          <w:left w:val="nil"/>
          <w:bottom w:val="nil"/>
          <w:right w:val="nil"/>
          <w:between w:val="nil"/>
        </w:pBdr>
        <w:shd w:val="clear" w:color="auto" w:fill="FFFFFF"/>
        <w:rPr>
          <w:rFonts w:cs="Times New Roman"/>
          <w:color w:val="000000"/>
          <w:szCs w:val="24"/>
        </w:rPr>
      </w:pPr>
      <w:r w:rsidRPr="006A3B7F">
        <w:rPr>
          <w:rFonts w:cs="Times New Roman"/>
          <w:color w:val="000000"/>
          <w:szCs w:val="24"/>
        </w:rPr>
        <w:t xml:space="preserve">It has been identified from the case of </w:t>
      </w:r>
      <w:r w:rsidRPr="006A3B7F">
        <w:rPr>
          <w:rFonts w:cs="Times New Roman"/>
          <w:b/>
          <w:i/>
          <w:color w:val="000000"/>
          <w:szCs w:val="24"/>
        </w:rPr>
        <w:t>ERDC Group Ltd v Brunel University [2006]</w:t>
      </w:r>
      <w:r w:rsidRPr="006A3B7F">
        <w:rPr>
          <w:rFonts w:cs="Times New Roman"/>
          <w:color w:val="000000"/>
          <w:szCs w:val="24"/>
        </w:rPr>
        <w:t xml:space="preserve"> that the Claimant submitted a contract for the construction of new sports facilitates based on the JCT standard. In addition, appointment letters have been issued to the company. It was informed to the company that the work will be valued based on quantum merit rather than the valuation of principles. It was identified by the court in 2002 that there was a legal intent to develop a contract. </w:t>
      </w:r>
    </w:p>
    <w:p w14:paraId="2E0FEB5E" w14:textId="77777777" w:rsidR="006A3B7F" w:rsidRPr="006A3B7F" w:rsidRDefault="006A3B7F" w:rsidP="006A3B7F">
      <w:pPr>
        <w:jc w:val="left"/>
        <w:rPr>
          <w:rFonts w:cs="Times New Roman"/>
          <w:color w:val="222222"/>
          <w:szCs w:val="24"/>
        </w:rPr>
      </w:pPr>
      <w:r w:rsidRPr="006A3B7F">
        <w:rPr>
          <w:rFonts w:cs="Times New Roman"/>
          <w:color w:val="222222"/>
          <w:szCs w:val="24"/>
        </w:rPr>
        <w:lastRenderedPageBreak/>
        <w:t xml:space="preserve">The complainant in the case of Willmore vs Electricity board is a poultry farmer and the defendant is South Eastern Electricity Board dated 1957.  Willmore stated that there was a requirement for infrared heat for poultry rearing business and the defendant agreed to supply electricity for the same requirement. It was later found that the proper supply of electricity was not mentioned in the contract between the two groups. Willmore thus received no benefits from the outcome of this case; however, a distinction is created on the basis of statutory contractors doing their statutory duties and normal contractors. A general conclusion was drawn from the William vs Southeastern electricity board case that when a contractual arrangement hurts the interest of the public or frustrates the will of parliament, the court may find a ground to create a legal obligation. The intention of the court was clear in the case of Willmore vs the electricity board as the contractual law was not valid. </w:t>
      </w:r>
    </w:p>
    <w:p w14:paraId="75DCDE25" w14:textId="3265DDBD" w:rsidR="005872AD" w:rsidRPr="006A3B7F" w:rsidRDefault="006A3B7F" w:rsidP="006A3B7F">
      <w:pPr>
        <w:jc w:val="left"/>
        <w:rPr>
          <w:rFonts w:cs="Times New Roman"/>
          <w:color w:val="222222"/>
          <w:szCs w:val="24"/>
        </w:rPr>
      </w:pPr>
      <w:r w:rsidRPr="006A3B7F">
        <w:rPr>
          <w:rFonts w:cs="Times New Roman"/>
          <w:color w:val="222222"/>
          <w:szCs w:val="24"/>
        </w:rPr>
        <w:t>The contracts made in the Willmore case were not legally binding as it was against a public authority and the terms of services were not mentioned clearly. Triefus vs post office case took place on 2nd October 1956 the complainant, in this case, was Triefus and the defendant was the post office. The complainant stated that he had shipped two packages of diamonds from a London-based post office to New Zealand however it was lost due to the defendant's dishonesty policy. An overseas registration certificate was attached to the post office however the judge later stated that the overseas certificate is not insurance. The complainant also raised Lane vs cottonand Withfield vs lord le Despencer because now the postmaster has been empowered by parliament to enter any contact. The post office lawyer stated that according to Post office act of 1908 and the Crown proceeding act of 1947 forbid proceeding against any officer of the crown. The judge referred to the Crown proceeding act and later stated that negligence was not proven by the postal department and the overseas certificate is not a valid insurance certificate for this case.  Arnold L.J. ruling lordship dismissed all complaints of Troefus as the post office guide clearly states that the Post office does not agree to participate in a guarantee or agreement for delivery of packages, express or mail in this case diamonds. Robinson v HM Customs faced the issue based on the complainant's breach of contract allegation for supplying information in return for remuneration. The case was squashed against the custom department by the judge by citing exemption on the basis that exemption from the Taxation gain act of 1972 is not possible in this case. The public bodies have made a great impact on contractual law as understood from all three cases and the comparison of three cases Willmore vs south eastern railway,  Trirfues vs post office, and  Robinson vs HM Customs. The complainant in all three cases were individuals and the defending body is a public institution so the judge ruled in favor of public bodies.</w:t>
      </w:r>
    </w:p>
    <w:p w14:paraId="08F878CD" w14:textId="1E9F88B2" w:rsidR="006A3B7F" w:rsidRPr="006A3B7F" w:rsidRDefault="006A3B7F" w:rsidP="006A3B7F">
      <w:pPr>
        <w:jc w:val="left"/>
        <w:rPr>
          <w:rFonts w:cs="Times New Roman"/>
          <w:color w:val="222222"/>
          <w:szCs w:val="24"/>
          <w:highlight w:val="white"/>
        </w:rPr>
      </w:pPr>
    </w:p>
    <w:p w14:paraId="694BC956" w14:textId="4F4F37FA" w:rsidR="006A3B7F" w:rsidRPr="006A3B7F" w:rsidRDefault="006A3B7F" w:rsidP="006A3B7F">
      <w:pPr>
        <w:jc w:val="left"/>
        <w:rPr>
          <w:rFonts w:cs="Times New Roman"/>
          <w:color w:val="000000"/>
          <w:szCs w:val="24"/>
        </w:rPr>
      </w:pPr>
      <w:r w:rsidRPr="006A3B7F">
        <w:rPr>
          <w:rFonts w:cs="Times New Roman"/>
          <w:color w:val="000000"/>
          <w:szCs w:val="24"/>
        </w:rPr>
        <w:t>It can be concluded from the above assessment that contract laws are an important aspect in the creation of legal relations and it has three different types of agreements that are made in the context of social, commercial as well as public interest groups. In general, it can be concluded that courts influence all aspects of agreements and contractual laws made with public, domestic, and social bodies.</w:t>
      </w:r>
    </w:p>
    <w:p w14:paraId="2D2344B1" w14:textId="3D0F1018" w:rsidR="006A3B7F" w:rsidRPr="006A3B7F" w:rsidRDefault="006A3B7F" w:rsidP="006A3B7F">
      <w:pPr>
        <w:jc w:val="left"/>
        <w:rPr>
          <w:rFonts w:cs="Times New Roman"/>
          <w:color w:val="000000"/>
          <w:szCs w:val="24"/>
        </w:rPr>
      </w:pPr>
      <w:r w:rsidRPr="006A3B7F">
        <w:rPr>
          <w:rFonts w:cs="Times New Roman"/>
          <w:color w:val="000000"/>
          <w:szCs w:val="24"/>
        </w:rPr>
        <w:br w:type="page"/>
      </w:r>
    </w:p>
    <w:p w14:paraId="55D22FED" w14:textId="1F849AD9" w:rsidR="006A3B7F" w:rsidRPr="006A3B7F" w:rsidRDefault="006A3B7F" w:rsidP="006A3B7F">
      <w:pPr>
        <w:jc w:val="left"/>
        <w:rPr>
          <w:rFonts w:cs="Times New Roman"/>
          <w:b/>
          <w:bCs/>
          <w:color w:val="222222"/>
          <w:szCs w:val="24"/>
        </w:rPr>
      </w:pPr>
      <w:r w:rsidRPr="006A3B7F">
        <w:rPr>
          <w:rFonts w:cs="Times New Roman"/>
          <w:b/>
          <w:bCs/>
          <w:color w:val="222222"/>
          <w:szCs w:val="24"/>
        </w:rPr>
        <w:lastRenderedPageBreak/>
        <w:t>Reference</w:t>
      </w:r>
    </w:p>
    <w:p w14:paraId="319BB0D9" w14:textId="77777777" w:rsidR="006A3B7F" w:rsidRPr="006A3B7F" w:rsidRDefault="006A3B7F" w:rsidP="006A3B7F">
      <w:pPr>
        <w:jc w:val="left"/>
        <w:rPr>
          <w:rFonts w:cs="Times New Roman"/>
          <w:b/>
          <w:bCs/>
          <w:color w:val="222222"/>
          <w:szCs w:val="24"/>
        </w:rPr>
      </w:pPr>
      <w:r w:rsidRPr="006A3B7F">
        <w:rPr>
          <w:rFonts w:cs="Times New Roman"/>
          <w:b/>
          <w:bCs/>
          <w:color w:val="222222"/>
          <w:szCs w:val="24"/>
        </w:rPr>
        <w:t>Case law</w:t>
      </w:r>
    </w:p>
    <w:p w14:paraId="3CDC40A9" w14:textId="77777777" w:rsidR="006A3B7F" w:rsidRPr="006A3B7F" w:rsidRDefault="006A3B7F" w:rsidP="006A3B7F">
      <w:pPr>
        <w:jc w:val="left"/>
        <w:rPr>
          <w:rFonts w:cs="Times New Roman"/>
          <w:color w:val="222222"/>
          <w:szCs w:val="24"/>
        </w:rPr>
      </w:pPr>
      <w:r w:rsidRPr="006A3B7F">
        <w:rPr>
          <w:rFonts w:cs="Times New Roman"/>
          <w:color w:val="222222"/>
          <w:szCs w:val="24"/>
        </w:rPr>
        <w:t>Balfour v Balfour [1919]</w:t>
      </w:r>
    </w:p>
    <w:p w14:paraId="68A96657" w14:textId="77777777" w:rsidR="006A3B7F" w:rsidRPr="006A3B7F" w:rsidRDefault="006A3B7F" w:rsidP="006A3B7F">
      <w:pPr>
        <w:jc w:val="left"/>
        <w:rPr>
          <w:rFonts w:cs="Times New Roman"/>
          <w:color w:val="222222"/>
          <w:szCs w:val="24"/>
        </w:rPr>
      </w:pPr>
      <w:r w:rsidRPr="006A3B7F">
        <w:rPr>
          <w:rFonts w:cs="Times New Roman"/>
          <w:color w:val="222222"/>
          <w:szCs w:val="24"/>
        </w:rPr>
        <w:t>Edwards v Skyways [1964]</w:t>
      </w:r>
    </w:p>
    <w:p w14:paraId="45C7F45E" w14:textId="77777777" w:rsidR="006A3B7F" w:rsidRPr="006A3B7F" w:rsidRDefault="006A3B7F" w:rsidP="006A3B7F">
      <w:pPr>
        <w:jc w:val="left"/>
        <w:rPr>
          <w:rFonts w:cs="Times New Roman"/>
          <w:color w:val="222222"/>
          <w:szCs w:val="24"/>
        </w:rPr>
      </w:pPr>
      <w:r w:rsidRPr="006A3B7F">
        <w:rPr>
          <w:rFonts w:cs="Times New Roman"/>
          <w:color w:val="222222"/>
          <w:szCs w:val="24"/>
        </w:rPr>
        <w:t>ERDC Group Ltd v Brunel University [2006]</w:t>
      </w:r>
    </w:p>
    <w:p w14:paraId="22F68F0B" w14:textId="77777777" w:rsidR="006A3B7F" w:rsidRPr="006A3B7F" w:rsidRDefault="006A3B7F" w:rsidP="006A3B7F">
      <w:pPr>
        <w:jc w:val="left"/>
        <w:rPr>
          <w:rFonts w:cs="Times New Roman"/>
          <w:color w:val="222222"/>
          <w:szCs w:val="24"/>
        </w:rPr>
      </w:pPr>
      <w:r w:rsidRPr="006A3B7F">
        <w:rPr>
          <w:rFonts w:cs="Times New Roman"/>
          <w:color w:val="222222"/>
          <w:szCs w:val="24"/>
        </w:rPr>
        <w:t>Esso v Commissioners of Customs and Excise [1975]</w:t>
      </w:r>
    </w:p>
    <w:p w14:paraId="67DA6B1E" w14:textId="77777777" w:rsidR="006A3B7F" w:rsidRPr="006A3B7F" w:rsidRDefault="006A3B7F" w:rsidP="006A3B7F">
      <w:pPr>
        <w:jc w:val="left"/>
        <w:rPr>
          <w:rFonts w:cs="Times New Roman"/>
          <w:color w:val="222222"/>
          <w:szCs w:val="24"/>
        </w:rPr>
      </w:pPr>
      <w:r w:rsidRPr="006A3B7F">
        <w:rPr>
          <w:rFonts w:cs="Times New Roman"/>
          <w:color w:val="222222"/>
          <w:szCs w:val="24"/>
        </w:rPr>
        <w:t>Jones v Padavatton [1969]</w:t>
      </w:r>
    </w:p>
    <w:p w14:paraId="414C3ABC" w14:textId="77777777" w:rsidR="006A3B7F" w:rsidRPr="006A3B7F" w:rsidRDefault="006A3B7F" w:rsidP="006A3B7F">
      <w:pPr>
        <w:jc w:val="left"/>
        <w:rPr>
          <w:rFonts w:cs="Times New Roman"/>
          <w:color w:val="222222"/>
          <w:szCs w:val="24"/>
        </w:rPr>
      </w:pPr>
      <w:r w:rsidRPr="006A3B7F">
        <w:rPr>
          <w:rFonts w:cs="Times New Roman"/>
          <w:color w:val="222222"/>
          <w:szCs w:val="24"/>
        </w:rPr>
        <w:t>Kleinwort Benson v Malaysian Mining Corp [1989]</w:t>
      </w:r>
    </w:p>
    <w:p w14:paraId="24761A29" w14:textId="77777777" w:rsidR="006A3B7F" w:rsidRPr="006A3B7F" w:rsidRDefault="006A3B7F" w:rsidP="006A3B7F">
      <w:pPr>
        <w:jc w:val="left"/>
        <w:rPr>
          <w:rFonts w:cs="Times New Roman"/>
          <w:color w:val="222222"/>
          <w:szCs w:val="24"/>
        </w:rPr>
      </w:pPr>
      <w:r w:rsidRPr="006A3B7F">
        <w:rPr>
          <w:rFonts w:cs="Times New Roman"/>
          <w:color w:val="222222"/>
          <w:szCs w:val="24"/>
        </w:rPr>
        <w:t>Merritt v Merritt [1970]</w:t>
      </w:r>
    </w:p>
    <w:p w14:paraId="61D664E5" w14:textId="77777777" w:rsidR="006A3B7F" w:rsidRPr="006A3B7F" w:rsidRDefault="006A3B7F" w:rsidP="006A3B7F">
      <w:pPr>
        <w:jc w:val="left"/>
        <w:rPr>
          <w:rFonts w:cs="Times New Roman"/>
          <w:color w:val="222222"/>
          <w:szCs w:val="24"/>
        </w:rPr>
      </w:pPr>
      <w:r w:rsidRPr="006A3B7F">
        <w:rPr>
          <w:rFonts w:cs="Times New Roman"/>
          <w:color w:val="222222"/>
          <w:szCs w:val="24"/>
        </w:rPr>
        <w:t>Rose &amp; Frank v Crompton Bros [1925]</w:t>
      </w:r>
    </w:p>
    <w:p w14:paraId="78E98266" w14:textId="77777777" w:rsidR="006A3B7F" w:rsidRPr="006A3B7F" w:rsidRDefault="006A3B7F" w:rsidP="006A3B7F">
      <w:pPr>
        <w:jc w:val="left"/>
        <w:rPr>
          <w:rFonts w:cs="Times New Roman"/>
          <w:color w:val="222222"/>
          <w:szCs w:val="24"/>
        </w:rPr>
      </w:pPr>
      <w:r w:rsidRPr="006A3B7F">
        <w:rPr>
          <w:rFonts w:cs="Times New Roman"/>
          <w:color w:val="222222"/>
          <w:szCs w:val="24"/>
        </w:rPr>
        <w:t>Simpkins v Pays [1955]</w:t>
      </w:r>
    </w:p>
    <w:p w14:paraId="313C81C2" w14:textId="77777777" w:rsidR="006A3B7F" w:rsidRPr="006A3B7F" w:rsidRDefault="006A3B7F" w:rsidP="006A3B7F">
      <w:pPr>
        <w:jc w:val="left"/>
        <w:rPr>
          <w:rFonts w:cs="Times New Roman"/>
          <w:color w:val="222222"/>
          <w:szCs w:val="24"/>
        </w:rPr>
      </w:pPr>
      <w:r w:rsidRPr="006A3B7F">
        <w:rPr>
          <w:rFonts w:cs="Times New Roman"/>
          <w:color w:val="222222"/>
          <w:szCs w:val="24"/>
        </w:rPr>
        <w:t>Statutory exceptions – Trade Union &amp; Labour Relations (Consolidation) Act s.179</w:t>
      </w:r>
    </w:p>
    <w:p w14:paraId="794ACF4F" w14:textId="77777777" w:rsidR="006A3B7F" w:rsidRPr="006A3B7F" w:rsidRDefault="006A3B7F" w:rsidP="006A3B7F">
      <w:pPr>
        <w:jc w:val="left"/>
        <w:rPr>
          <w:rFonts w:cs="Times New Roman"/>
          <w:color w:val="222222"/>
          <w:szCs w:val="24"/>
        </w:rPr>
      </w:pPr>
      <w:r w:rsidRPr="006A3B7F">
        <w:rPr>
          <w:rFonts w:cs="Times New Roman"/>
          <w:color w:val="222222"/>
          <w:szCs w:val="24"/>
        </w:rPr>
        <w:t>Triefus v Post Office [1957]</w:t>
      </w:r>
    </w:p>
    <w:p w14:paraId="45FFEFC0" w14:textId="77777777" w:rsidR="006A3B7F" w:rsidRPr="006A3B7F" w:rsidRDefault="006A3B7F" w:rsidP="006A3B7F">
      <w:pPr>
        <w:jc w:val="left"/>
        <w:rPr>
          <w:rFonts w:cs="Times New Roman"/>
          <w:color w:val="222222"/>
          <w:szCs w:val="24"/>
        </w:rPr>
      </w:pPr>
      <w:r w:rsidRPr="006A3B7F">
        <w:rPr>
          <w:rFonts w:cs="Times New Roman"/>
          <w:color w:val="222222"/>
          <w:szCs w:val="24"/>
        </w:rPr>
        <w:t>Willmore v South Eastern Electricity Board [1957]</w:t>
      </w:r>
    </w:p>
    <w:p w14:paraId="4BD13BC3" w14:textId="77777777" w:rsidR="006A3B7F" w:rsidRPr="006A3B7F" w:rsidRDefault="006A3B7F" w:rsidP="006A3B7F">
      <w:pPr>
        <w:jc w:val="left"/>
        <w:rPr>
          <w:rFonts w:cs="Times New Roman"/>
          <w:b/>
          <w:bCs/>
          <w:color w:val="222222"/>
          <w:szCs w:val="24"/>
        </w:rPr>
      </w:pPr>
    </w:p>
    <w:p w14:paraId="069D81E1" w14:textId="7B8581CB" w:rsidR="006A3B7F" w:rsidRPr="006A3B7F" w:rsidRDefault="006A3B7F" w:rsidP="006A3B7F">
      <w:pPr>
        <w:jc w:val="left"/>
        <w:rPr>
          <w:rFonts w:cs="Times New Roman"/>
          <w:b/>
          <w:bCs/>
          <w:color w:val="222222"/>
          <w:szCs w:val="24"/>
        </w:rPr>
      </w:pPr>
      <w:r w:rsidRPr="006A3B7F">
        <w:rPr>
          <w:rFonts w:cs="Times New Roman"/>
          <w:b/>
          <w:bCs/>
          <w:color w:val="222222"/>
          <w:szCs w:val="24"/>
        </w:rPr>
        <w:t>Academic Literature</w:t>
      </w:r>
    </w:p>
    <w:p w14:paraId="638C4225" w14:textId="77777777" w:rsidR="006A3B7F" w:rsidRPr="006A3B7F" w:rsidRDefault="006A3B7F" w:rsidP="006A3B7F">
      <w:pPr>
        <w:jc w:val="left"/>
        <w:rPr>
          <w:rFonts w:cs="Times New Roman"/>
          <w:color w:val="222222"/>
          <w:szCs w:val="24"/>
        </w:rPr>
      </w:pPr>
      <w:r w:rsidRPr="006A3B7F">
        <w:rPr>
          <w:rFonts w:cs="Times New Roman"/>
          <w:color w:val="222222"/>
          <w:szCs w:val="24"/>
        </w:rPr>
        <w:t>Fred, R. and Hill, K.Q., 2020. Methodological issues and problems in employing expert-generated data. In Expert-Generated Data (pp. 35-55). Routledge.</w:t>
      </w:r>
    </w:p>
    <w:p w14:paraId="16D26221" w14:textId="77777777" w:rsidR="006A3B7F" w:rsidRPr="006A3B7F" w:rsidRDefault="006A3B7F" w:rsidP="006A3B7F">
      <w:pPr>
        <w:jc w:val="left"/>
        <w:rPr>
          <w:rFonts w:cs="Times New Roman"/>
          <w:color w:val="222222"/>
          <w:szCs w:val="24"/>
        </w:rPr>
      </w:pPr>
      <w:r w:rsidRPr="006A3B7F">
        <w:rPr>
          <w:rFonts w:cs="Times New Roman"/>
          <w:color w:val="222222"/>
          <w:szCs w:val="24"/>
        </w:rPr>
        <w:t>Hoekstra, J., 2021. Introduction to Contract Law–REVISION GUIDE. Transnational Press London.</w:t>
      </w:r>
    </w:p>
    <w:p w14:paraId="200B59EA" w14:textId="77777777" w:rsidR="006A3B7F" w:rsidRPr="006A3B7F" w:rsidRDefault="006A3B7F" w:rsidP="006A3B7F">
      <w:pPr>
        <w:jc w:val="left"/>
        <w:rPr>
          <w:rFonts w:cs="Times New Roman"/>
          <w:color w:val="222222"/>
          <w:szCs w:val="24"/>
        </w:rPr>
      </w:pPr>
      <w:r w:rsidRPr="006A3B7F">
        <w:rPr>
          <w:rFonts w:cs="Times New Roman"/>
          <w:color w:val="222222"/>
          <w:szCs w:val="24"/>
        </w:rPr>
        <w:t>Toney W. Merritt. JCMS: Journal of Cinema and Media Studies, 62(1), pp.170-175.</w:t>
      </w:r>
    </w:p>
    <w:p w14:paraId="6E853C3F" w14:textId="77777777" w:rsidR="006A3B7F" w:rsidRPr="006A3B7F" w:rsidRDefault="006A3B7F" w:rsidP="006A3B7F">
      <w:pPr>
        <w:jc w:val="left"/>
        <w:rPr>
          <w:rFonts w:cs="Times New Roman"/>
          <w:color w:val="222222"/>
          <w:szCs w:val="24"/>
        </w:rPr>
      </w:pPr>
      <w:r w:rsidRPr="006A3B7F">
        <w:rPr>
          <w:rFonts w:cs="Times New Roman"/>
          <w:color w:val="222222"/>
          <w:szCs w:val="24"/>
        </w:rPr>
        <w:t>Masiya, M. and Robinson, Z., 2023. To what extent do excise taxes affect Malawi's cigarette trade gap with Kenya and South Africa?. South African Journal of Economic and Management Sciences, 26(1), pp.1-10.</w:t>
      </w:r>
    </w:p>
    <w:p w14:paraId="08653FB7" w14:textId="77777777" w:rsidR="006A3B7F" w:rsidRPr="006A3B7F" w:rsidRDefault="006A3B7F" w:rsidP="006A3B7F">
      <w:pPr>
        <w:jc w:val="left"/>
        <w:rPr>
          <w:rFonts w:cs="Times New Roman"/>
          <w:color w:val="222222"/>
          <w:szCs w:val="24"/>
        </w:rPr>
      </w:pPr>
      <w:r w:rsidRPr="006A3B7F">
        <w:rPr>
          <w:rFonts w:cs="Times New Roman"/>
          <w:color w:val="222222"/>
          <w:szCs w:val="24"/>
        </w:rPr>
        <w:t>Milard, A.S., 2023. Introduction to English Law: Le livre incontournable pour les étudiants en Droit. Editions Ellipses.</w:t>
      </w:r>
    </w:p>
    <w:p w14:paraId="1858940E" w14:textId="2F4A08A7" w:rsidR="005872AD" w:rsidRPr="006A3B7F" w:rsidRDefault="006A3B7F" w:rsidP="006A3B7F">
      <w:pPr>
        <w:jc w:val="left"/>
        <w:rPr>
          <w:rFonts w:cs="Times New Roman"/>
          <w:color w:val="222222"/>
          <w:szCs w:val="24"/>
          <w:highlight w:val="white"/>
        </w:rPr>
      </w:pPr>
      <w:r w:rsidRPr="006A3B7F">
        <w:rPr>
          <w:rFonts w:cs="Times New Roman"/>
          <w:color w:val="222222"/>
          <w:szCs w:val="24"/>
        </w:rPr>
        <w:t>Zaytseva, N.V., 2020. Purposes and intentions of business entities in the civil-law relations system. PalArch's Journal of Archaeology of Egypt/Egyptology, 17(6), pp.6885-6893.</w:t>
      </w:r>
    </w:p>
    <w:sectPr w:rsidR="005872AD" w:rsidRPr="006A3B7F" w:rsidSect="009B093A">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9A748" w14:textId="77777777" w:rsidR="006C3BA2" w:rsidRDefault="006C3BA2" w:rsidP="00C322E6">
      <w:pPr>
        <w:spacing w:line="240" w:lineRule="auto"/>
      </w:pPr>
      <w:r>
        <w:separator/>
      </w:r>
    </w:p>
  </w:endnote>
  <w:endnote w:type="continuationSeparator" w:id="0">
    <w:p w14:paraId="5AD017E6" w14:textId="77777777" w:rsidR="006C3BA2" w:rsidRDefault="006C3BA2" w:rsidP="00C322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2"/>
      </w:rPr>
      <w:id w:val="36250936"/>
      <w:docPartObj>
        <w:docPartGallery w:val="Page Numbers (Bottom of Page)"/>
        <w:docPartUnique/>
      </w:docPartObj>
    </w:sdtPr>
    <w:sdtContent>
      <w:sdt>
        <w:sdtPr>
          <w:rPr>
            <w:rFonts w:cs="Times New Roman"/>
            <w:sz w:val="22"/>
          </w:rPr>
          <w:id w:val="565050523"/>
          <w:docPartObj>
            <w:docPartGallery w:val="Page Numbers (Top of Page)"/>
            <w:docPartUnique/>
          </w:docPartObj>
        </w:sdtPr>
        <w:sdtContent>
          <w:p w14:paraId="36BE70C4" w14:textId="77777777" w:rsidR="00C322E6" w:rsidRPr="00C322E6" w:rsidRDefault="00C322E6">
            <w:pPr>
              <w:pStyle w:val="Footer"/>
              <w:jc w:val="right"/>
              <w:rPr>
                <w:rFonts w:cs="Times New Roman"/>
                <w:sz w:val="22"/>
              </w:rPr>
            </w:pPr>
            <w:r w:rsidRPr="00C322E6">
              <w:rPr>
                <w:rFonts w:cs="Times New Roman"/>
                <w:sz w:val="22"/>
              </w:rPr>
              <w:t xml:space="preserve">Page </w:t>
            </w:r>
            <w:r w:rsidRPr="00C322E6">
              <w:rPr>
                <w:rFonts w:cs="Times New Roman"/>
                <w:sz w:val="22"/>
              </w:rPr>
              <w:fldChar w:fldCharType="begin"/>
            </w:r>
            <w:r w:rsidRPr="00C322E6">
              <w:rPr>
                <w:rFonts w:cs="Times New Roman"/>
                <w:sz w:val="22"/>
              </w:rPr>
              <w:instrText xml:space="preserve"> PAGE </w:instrText>
            </w:r>
            <w:r w:rsidRPr="00C322E6">
              <w:rPr>
                <w:rFonts w:cs="Times New Roman"/>
                <w:sz w:val="22"/>
              </w:rPr>
              <w:fldChar w:fldCharType="separate"/>
            </w:r>
            <w:r w:rsidR="00A7442E">
              <w:rPr>
                <w:rFonts w:cs="Times New Roman"/>
                <w:noProof/>
                <w:sz w:val="22"/>
              </w:rPr>
              <w:t>11</w:t>
            </w:r>
            <w:r w:rsidRPr="00C322E6">
              <w:rPr>
                <w:rFonts w:cs="Times New Roman"/>
                <w:sz w:val="22"/>
              </w:rPr>
              <w:fldChar w:fldCharType="end"/>
            </w:r>
            <w:r w:rsidRPr="00C322E6">
              <w:rPr>
                <w:rFonts w:cs="Times New Roman"/>
                <w:sz w:val="22"/>
              </w:rPr>
              <w:t xml:space="preserve"> of </w:t>
            </w:r>
            <w:r w:rsidRPr="00C322E6">
              <w:rPr>
                <w:rFonts w:cs="Times New Roman"/>
                <w:sz w:val="22"/>
              </w:rPr>
              <w:fldChar w:fldCharType="begin"/>
            </w:r>
            <w:r w:rsidRPr="00C322E6">
              <w:rPr>
                <w:rFonts w:cs="Times New Roman"/>
                <w:sz w:val="22"/>
              </w:rPr>
              <w:instrText xml:space="preserve"> NUMPAGES  </w:instrText>
            </w:r>
            <w:r w:rsidRPr="00C322E6">
              <w:rPr>
                <w:rFonts w:cs="Times New Roman"/>
                <w:sz w:val="22"/>
              </w:rPr>
              <w:fldChar w:fldCharType="separate"/>
            </w:r>
            <w:r w:rsidR="00A7442E">
              <w:rPr>
                <w:rFonts w:cs="Times New Roman"/>
                <w:noProof/>
                <w:sz w:val="22"/>
              </w:rPr>
              <w:t>13</w:t>
            </w:r>
            <w:r w:rsidRPr="00C322E6">
              <w:rPr>
                <w:rFonts w:cs="Times New Roman"/>
                <w:sz w:val="22"/>
              </w:rPr>
              <w:fldChar w:fldCharType="end"/>
            </w:r>
          </w:p>
        </w:sdtContent>
      </w:sdt>
    </w:sdtContent>
  </w:sdt>
  <w:p w14:paraId="42F8CD2B" w14:textId="77777777" w:rsidR="00C322E6" w:rsidRDefault="00C32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038F3" w14:textId="77777777" w:rsidR="006C3BA2" w:rsidRDefault="006C3BA2" w:rsidP="00C322E6">
      <w:pPr>
        <w:spacing w:line="240" w:lineRule="auto"/>
      </w:pPr>
      <w:r>
        <w:separator/>
      </w:r>
    </w:p>
  </w:footnote>
  <w:footnote w:type="continuationSeparator" w:id="0">
    <w:p w14:paraId="0D671FEB" w14:textId="77777777" w:rsidR="006C3BA2" w:rsidRDefault="006C3BA2" w:rsidP="00C322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A5A44"/>
    <w:multiLevelType w:val="hybridMultilevel"/>
    <w:tmpl w:val="371469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2877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47C1"/>
    <w:rsid w:val="0009560A"/>
    <w:rsid w:val="001225D5"/>
    <w:rsid w:val="001E3909"/>
    <w:rsid w:val="00341133"/>
    <w:rsid w:val="00377308"/>
    <w:rsid w:val="003E4710"/>
    <w:rsid w:val="00427763"/>
    <w:rsid w:val="00440D6A"/>
    <w:rsid w:val="00582555"/>
    <w:rsid w:val="005872AD"/>
    <w:rsid w:val="005A47C1"/>
    <w:rsid w:val="005C46F5"/>
    <w:rsid w:val="00614445"/>
    <w:rsid w:val="00663696"/>
    <w:rsid w:val="006A3B7F"/>
    <w:rsid w:val="006C2374"/>
    <w:rsid w:val="006C3BA2"/>
    <w:rsid w:val="008603B8"/>
    <w:rsid w:val="009B093A"/>
    <w:rsid w:val="009B2159"/>
    <w:rsid w:val="00A17E0E"/>
    <w:rsid w:val="00A7442E"/>
    <w:rsid w:val="00B3457C"/>
    <w:rsid w:val="00B36E78"/>
    <w:rsid w:val="00B7172D"/>
    <w:rsid w:val="00BA50A7"/>
    <w:rsid w:val="00BB3662"/>
    <w:rsid w:val="00C06669"/>
    <w:rsid w:val="00C322E6"/>
    <w:rsid w:val="00C8062A"/>
    <w:rsid w:val="00D61CEA"/>
    <w:rsid w:val="00DA3215"/>
    <w:rsid w:val="00E30200"/>
    <w:rsid w:val="00E709E7"/>
    <w:rsid w:val="00F478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5086B"/>
  <w15:docId w15:val="{46812AB5-097E-4701-8269-A4DA98024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9E7"/>
    <w:pPr>
      <w:spacing w:line="360" w:lineRule="auto"/>
      <w:jc w:val="both"/>
    </w:pPr>
    <w:rPr>
      <w:rFonts w:ascii="Times New Roman" w:hAnsi="Times New Roman"/>
      <w:color w:val="000000" w:themeColor="text1"/>
      <w:sz w:val="24"/>
    </w:rPr>
  </w:style>
  <w:style w:type="paragraph" w:styleId="Heading1">
    <w:name w:val="heading 1"/>
    <w:basedOn w:val="Normal1"/>
    <w:next w:val="Normal1"/>
    <w:link w:val="Heading1Char"/>
    <w:rsid w:val="005A47C1"/>
    <w:pPr>
      <w:keepNext/>
      <w:keepLines/>
      <w:spacing w:before="400" w:after="120"/>
      <w:outlineLvl w:val="0"/>
    </w:pPr>
    <w:rPr>
      <w:sz w:val="40"/>
      <w:szCs w:val="40"/>
    </w:rPr>
  </w:style>
  <w:style w:type="paragraph" w:styleId="Heading2">
    <w:name w:val="heading 2"/>
    <w:basedOn w:val="Normal1"/>
    <w:next w:val="Normal1"/>
    <w:rsid w:val="005A47C1"/>
    <w:pPr>
      <w:keepNext/>
      <w:keepLines/>
      <w:spacing w:before="360" w:after="120"/>
      <w:outlineLvl w:val="1"/>
    </w:pPr>
    <w:rPr>
      <w:sz w:val="32"/>
      <w:szCs w:val="32"/>
    </w:rPr>
  </w:style>
  <w:style w:type="paragraph" w:styleId="Heading3">
    <w:name w:val="heading 3"/>
    <w:basedOn w:val="Normal1"/>
    <w:next w:val="Normal1"/>
    <w:rsid w:val="005A47C1"/>
    <w:pPr>
      <w:keepNext/>
      <w:keepLines/>
      <w:spacing w:before="320" w:after="80"/>
      <w:outlineLvl w:val="2"/>
    </w:pPr>
    <w:rPr>
      <w:color w:val="434343"/>
      <w:sz w:val="28"/>
      <w:szCs w:val="28"/>
    </w:rPr>
  </w:style>
  <w:style w:type="paragraph" w:styleId="Heading4">
    <w:name w:val="heading 4"/>
    <w:basedOn w:val="Normal1"/>
    <w:next w:val="Normal1"/>
    <w:rsid w:val="005A47C1"/>
    <w:pPr>
      <w:keepNext/>
      <w:keepLines/>
      <w:spacing w:before="280" w:after="80"/>
      <w:outlineLvl w:val="3"/>
    </w:pPr>
    <w:rPr>
      <w:color w:val="666666"/>
      <w:sz w:val="24"/>
      <w:szCs w:val="24"/>
    </w:rPr>
  </w:style>
  <w:style w:type="paragraph" w:styleId="Heading5">
    <w:name w:val="heading 5"/>
    <w:basedOn w:val="Normal1"/>
    <w:next w:val="Normal1"/>
    <w:rsid w:val="005A47C1"/>
    <w:pPr>
      <w:keepNext/>
      <w:keepLines/>
      <w:spacing w:before="240" w:after="80"/>
      <w:outlineLvl w:val="4"/>
    </w:pPr>
    <w:rPr>
      <w:color w:val="666666"/>
    </w:rPr>
  </w:style>
  <w:style w:type="paragraph" w:styleId="Heading6">
    <w:name w:val="heading 6"/>
    <w:basedOn w:val="Normal1"/>
    <w:next w:val="Normal1"/>
    <w:rsid w:val="005A47C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47C1"/>
  </w:style>
  <w:style w:type="table" w:customStyle="1" w:styleId="TableNormal1">
    <w:name w:val="Table Normal1"/>
    <w:rsid w:val="005A47C1"/>
    <w:tblPr>
      <w:tblCellMar>
        <w:top w:w="0" w:type="dxa"/>
        <w:left w:w="0" w:type="dxa"/>
        <w:bottom w:w="0" w:type="dxa"/>
        <w:right w:w="0" w:type="dxa"/>
      </w:tblCellMar>
    </w:tblPr>
  </w:style>
  <w:style w:type="paragraph" w:styleId="Title">
    <w:name w:val="Title"/>
    <w:basedOn w:val="Normal1"/>
    <w:next w:val="Normal1"/>
    <w:rsid w:val="005A47C1"/>
    <w:pPr>
      <w:keepNext/>
      <w:keepLines/>
      <w:spacing w:after="60"/>
    </w:pPr>
    <w:rPr>
      <w:sz w:val="52"/>
      <w:szCs w:val="52"/>
    </w:rPr>
  </w:style>
  <w:style w:type="paragraph" w:styleId="Subtitle">
    <w:name w:val="Subtitle"/>
    <w:basedOn w:val="Normal1"/>
    <w:next w:val="Normal1"/>
    <w:rsid w:val="005A47C1"/>
    <w:pPr>
      <w:keepNext/>
      <w:keepLines/>
      <w:spacing w:after="320"/>
    </w:pPr>
    <w:rPr>
      <w:color w:val="666666"/>
      <w:sz w:val="30"/>
      <w:szCs w:val="30"/>
    </w:rPr>
  </w:style>
  <w:style w:type="paragraph" w:styleId="NormalWeb">
    <w:name w:val="Normal (Web)"/>
    <w:basedOn w:val="Normal"/>
    <w:uiPriority w:val="99"/>
    <w:semiHidden/>
    <w:unhideWhenUsed/>
    <w:rsid w:val="00E709E7"/>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582555"/>
    <w:pPr>
      <w:ind w:left="720"/>
      <w:contextualSpacing/>
    </w:pPr>
  </w:style>
  <w:style w:type="paragraph" w:styleId="Header">
    <w:name w:val="header"/>
    <w:basedOn w:val="Normal"/>
    <w:link w:val="HeaderChar"/>
    <w:uiPriority w:val="99"/>
    <w:semiHidden/>
    <w:unhideWhenUsed/>
    <w:rsid w:val="00C322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22E6"/>
    <w:rPr>
      <w:rFonts w:ascii="Times New Roman" w:hAnsi="Times New Roman"/>
      <w:color w:val="000000" w:themeColor="text1"/>
      <w:sz w:val="24"/>
    </w:rPr>
  </w:style>
  <w:style w:type="paragraph" w:styleId="Footer">
    <w:name w:val="footer"/>
    <w:basedOn w:val="Normal"/>
    <w:link w:val="FooterChar"/>
    <w:uiPriority w:val="99"/>
    <w:unhideWhenUsed/>
    <w:rsid w:val="00C322E6"/>
    <w:pPr>
      <w:tabs>
        <w:tab w:val="center" w:pos="4680"/>
        <w:tab w:val="right" w:pos="9360"/>
      </w:tabs>
      <w:spacing w:line="240" w:lineRule="auto"/>
    </w:pPr>
  </w:style>
  <w:style w:type="character" w:customStyle="1" w:styleId="FooterChar">
    <w:name w:val="Footer Char"/>
    <w:basedOn w:val="DefaultParagraphFont"/>
    <w:link w:val="Footer"/>
    <w:uiPriority w:val="99"/>
    <w:rsid w:val="00C322E6"/>
    <w:rPr>
      <w:rFonts w:ascii="Times New Roman" w:hAnsi="Times New Roman"/>
      <w:color w:val="000000" w:themeColor="text1"/>
      <w:sz w:val="24"/>
    </w:rPr>
  </w:style>
  <w:style w:type="paragraph" w:styleId="TOCHeading">
    <w:name w:val="TOC Heading"/>
    <w:basedOn w:val="Heading1"/>
    <w:next w:val="Normal"/>
    <w:uiPriority w:val="39"/>
    <w:unhideWhenUsed/>
    <w:qFormat/>
    <w:rsid w:val="00C322E6"/>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C322E6"/>
    <w:pPr>
      <w:spacing w:after="100"/>
    </w:pPr>
  </w:style>
  <w:style w:type="character" w:styleId="Hyperlink">
    <w:name w:val="Hyperlink"/>
    <w:basedOn w:val="DefaultParagraphFont"/>
    <w:uiPriority w:val="99"/>
    <w:unhideWhenUsed/>
    <w:rsid w:val="00C322E6"/>
    <w:rPr>
      <w:color w:val="0000FF" w:themeColor="hyperlink"/>
      <w:u w:val="single"/>
    </w:rPr>
  </w:style>
  <w:style w:type="paragraph" w:styleId="BalloonText">
    <w:name w:val="Balloon Text"/>
    <w:basedOn w:val="Normal"/>
    <w:link w:val="BalloonTextChar"/>
    <w:uiPriority w:val="99"/>
    <w:semiHidden/>
    <w:unhideWhenUsed/>
    <w:rsid w:val="00C322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2E6"/>
    <w:rPr>
      <w:rFonts w:ascii="Tahoma" w:hAnsi="Tahoma" w:cs="Tahoma"/>
      <w:color w:val="000000" w:themeColor="text1"/>
      <w:sz w:val="16"/>
      <w:szCs w:val="16"/>
    </w:rPr>
  </w:style>
  <w:style w:type="paragraph" w:customStyle="1" w:styleId="Modcode">
    <w:name w:val="Modcode"/>
    <w:basedOn w:val="Normal"/>
    <w:rsid w:val="00B3457C"/>
    <w:pPr>
      <w:spacing w:line="240" w:lineRule="auto"/>
      <w:jc w:val="center"/>
    </w:pPr>
    <w:rPr>
      <w:rFonts w:eastAsia="SimSun" w:cs="Times New Roman"/>
      <w:b/>
      <w:caps/>
      <w:color w:val="auto"/>
      <w:sz w:val="28"/>
      <w:szCs w:val="20"/>
      <w:lang w:val="en-GB" w:eastAsia="en-GB"/>
    </w:rPr>
  </w:style>
  <w:style w:type="paragraph" w:customStyle="1" w:styleId="Modname">
    <w:name w:val="Modname"/>
    <w:basedOn w:val="Normal"/>
    <w:next w:val="Normal"/>
    <w:rsid w:val="00B3457C"/>
    <w:pPr>
      <w:spacing w:after="240" w:line="240" w:lineRule="auto"/>
      <w:jc w:val="center"/>
    </w:pPr>
    <w:rPr>
      <w:rFonts w:eastAsia="SimSun" w:cs="Times New Roman"/>
      <w:b/>
      <w:color w:val="auto"/>
      <w:sz w:val="28"/>
      <w:szCs w:val="20"/>
      <w:lang w:val="en-GB" w:eastAsia="en-GB"/>
    </w:rPr>
  </w:style>
  <w:style w:type="paragraph" w:styleId="BodyText">
    <w:name w:val="Body Text"/>
    <w:basedOn w:val="Normal"/>
    <w:link w:val="BodyTextChar"/>
    <w:rsid w:val="00B3457C"/>
    <w:pPr>
      <w:spacing w:after="120" w:line="240" w:lineRule="auto"/>
      <w:jc w:val="left"/>
    </w:pPr>
    <w:rPr>
      <w:rFonts w:eastAsia="SimSun" w:cs="Times New Roman"/>
      <w:color w:val="auto"/>
      <w:szCs w:val="20"/>
      <w:lang w:val="en-GB" w:eastAsia="en-GB"/>
    </w:rPr>
  </w:style>
  <w:style w:type="character" w:customStyle="1" w:styleId="BodyTextChar">
    <w:name w:val="Body Text Char"/>
    <w:basedOn w:val="DefaultParagraphFont"/>
    <w:link w:val="BodyText"/>
    <w:rsid w:val="00B3457C"/>
    <w:rPr>
      <w:rFonts w:ascii="Times New Roman" w:eastAsia="SimSun" w:hAnsi="Times New Roman" w:cs="Times New Roman"/>
      <w:sz w:val="24"/>
      <w:szCs w:val="20"/>
      <w:lang w:val="en-GB" w:eastAsia="en-GB"/>
    </w:rPr>
  </w:style>
  <w:style w:type="table" w:styleId="TableGrid">
    <w:name w:val="Table Grid"/>
    <w:basedOn w:val="TableNormal"/>
    <w:uiPriority w:val="59"/>
    <w:rsid w:val="00B3457C"/>
    <w:pPr>
      <w:spacing w:line="240" w:lineRule="auto"/>
    </w:pPr>
    <w:rPr>
      <w:rFonts w:ascii="Times New Roman" w:eastAsia="SimSu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rsid w:val="00427763"/>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572464">
      <w:bodyDiv w:val="1"/>
      <w:marLeft w:val="0"/>
      <w:marRight w:val="0"/>
      <w:marTop w:val="0"/>
      <w:marBottom w:val="0"/>
      <w:divBdr>
        <w:top w:val="none" w:sz="0" w:space="0" w:color="auto"/>
        <w:left w:val="none" w:sz="0" w:space="0" w:color="auto"/>
        <w:bottom w:val="none" w:sz="0" w:space="0" w:color="auto"/>
        <w:right w:val="none" w:sz="0" w:space="0" w:color="auto"/>
      </w:divBdr>
    </w:div>
    <w:div w:id="17826102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E8B72C-0952-4901-8983-3641FA7A0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3606</TotalTime>
  <Pages>7</Pages>
  <Words>2027</Words>
  <Characters>11556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20190</cp:lastModifiedBy>
  <cp:revision>50</cp:revision>
  <dcterms:created xsi:type="dcterms:W3CDTF">2023-02-28T15:16:00Z</dcterms:created>
  <dcterms:modified xsi:type="dcterms:W3CDTF">2023-03-10T18:58:00Z</dcterms:modified>
</cp:coreProperties>
</file>