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555EF0" w14:textId="14E869EC" w:rsidR="0069108D" w:rsidRDefault="005C0F58" w:rsidP="005C0F58">
      <w:pPr>
        <w:pStyle w:val="Heading1"/>
      </w:pPr>
      <w:r>
        <w:t xml:space="preserve">The role of power and authority within modern </w:t>
      </w:r>
      <w:r w:rsidR="0035590F">
        <w:t xml:space="preserve">formal </w:t>
      </w:r>
      <w:r>
        <w:t>education settings</w:t>
      </w:r>
      <w:r w:rsidR="0035590F">
        <w:t>.</w:t>
      </w:r>
    </w:p>
    <w:p w14:paraId="33343AEF" w14:textId="75C59F23" w:rsidR="0035590F" w:rsidRDefault="0035590F" w:rsidP="0035590F"/>
    <w:p w14:paraId="39770A63" w14:textId="7BBCDE1E" w:rsidR="0035590F" w:rsidRPr="0035590F" w:rsidRDefault="0035590F" w:rsidP="003C1832">
      <w:pPr>
        <w:pStyle w:val="Heading2"/>
        <w:spacing w:line="360" w:lineRule="auto"/>
        <w:rPr>
          <w:sz w:val="28"/>
          <w:szCs w:val="28"/>
        </w:rPr>
      </w:pPr>
      <w:r w:rsidRPr="0035590F">
        <w:rPr>
          <w:sz w:val="28"/>
          <w:szCs w:val="28"/>
        </w:rPr>
        <w:t>Introduction</w:t>
      </w:r>
    </w:p>
    <w:p w14:paraId="17A20C61" w14:textId="52FA183D" w:rsidR="0035590F" w:rsidRDefault="0035590F" w:rsidP="003C1832">
      <w:pPr>
        <w:spacing w:line="360" w:lineRule="auto"/>
        <w:rPr>
          <w:rFonts w:asciiTheme="majorHAnsi" w:hAnsiTheme="majorHAnsi" w:cstheme="majorHAnsi"/>
          <w:sz w:val="24"/>
          <w:szCs w:val="24"/>
        </w:rPr>
      </w:pPr>
      <w:r>
        <w:rPr>
          <w:rFonts w:asciiTheme="majorHAnsi" w:hAnsiTheme="majorHAnsi" w:cstheme="majorHAnsi"/>
          <w:sz w:val="24"/>
          <w:szCs w:val="24"/>
        </w:rPr>
        <w:t xml:space="preserve">Power can be defined as ‘the ability </w:t>
      </w:r>
      <w:r w:rsidR="00E15C7A">
        <w:rPr>
          <w:rFonts w:asciiTheme="majorHAnsi" w:hAnsiTheme="majorHAnsi" w:cstheme="majorHAnsi"/>
          <w:sz w:val="24"/>
          <w:szCs w:val="24"/>
        </w:rPr>
        <w:t xml:space="preserve">or capacity to do something or act in a particular way’ (Oxford, 2018), or ‘the capacity to or ability to direct or influence the behaviour of </w:t>
      </w:r>
      <w:r w:rsidR="0005495E">
        <w:rPr>
          <w:rFonts w:asciiTheme="majorHAnsi" w:hAnsiTheme="majorHAnsi" w:cstheme="majorHAnsi"/>
          <w:sz w:val="24"/>
          <w:szCs w:val="24"/>
        </w:rPr>
        <w:t>others or the course of events (Oxford, 2018).</w:t>
      </w:r>
    </w:p>
    <w:p w14:paraId="5F80AB0F" w14:textId="37C61CF2" w:rsidR="002A2980" w:rsidRDefault="002A2980" w:rsidP="003C1832">
      <w:pPr>
        <w:spacing w:line="360" w:lineRule="auto"/>
        <w:rPr>
          <w:rFonts w:asciiTheme="majorHAnsi" w:hAnsiTheme="majorHAnsi" w:cstheme="majorHAnsi"/>
          <w:sz w:val="24"/>
          <w:szCs w:val="24"/>
        </w:rPr>
      </w:pPr>
      <w:r>
        <w:rPr>
          <w:rFonts w:asciiTheme="majorHAnsi" w:hAnsiTheme="majorHAnsi" w:cstheme="majorHAnsi"/>
          <w:sz w:val="24"/>
          <w:szCs w:val="24"/>
        </w:rPr>
        <w:t xml:space="preserve">Authority </w:t>
      </w:r>
      <w:r w:rsidR="00352EFC">
        <w:rPr>
          <w:rFonts w:asciiTheme="majorHAnsi" w:hAnsiTheme="majorHAnsi" w:cstheme="majorHAnsi"/>
          <w:sz w:val="24"/>
          <w:szCs w:val="24"/>
        </w:rPr>
        <w:t>is described as ‘</w:t>
      </w:r>
      <w:r w:rsidR="002F5A17">
        <w:rPr>
          <w:rFonts w:asciiTheme="majorHAnsi" w:hAnsiTheme="majorHAnsi" w:cstheme="majorHAnsi"/>
          <w:sz w:val="24"/>
          <w:szCs w:val="24"/>
        </w:rPr>
        <w:t>the power or right to give orders, make decisions and enforce obedience’ (Oxford, 2018).</w:t>
      </w:r>
    </w:p>
    <w:p w14:paraId="75DFC0EA" w14:textId="222D16AF" w:rsidR="003C1832" w:rsidRDefault="0039636A" w:rsidP="003C1832">
      <w:pPr>
        <w:spacing w:line="360" w:lineRule="auto"/>
        <w:rPr>
          <w:rFonts w:asciiTheme="majorHAnsi" w:hAnsiTheme="majorHAnsi" w:cstheme="majorHAnsi"/>
          <w:sz w:val="24"/>
          <w:szCs w:val="24"/>
        </w:rPr>
      </w:pPr>
      <w:r>
        <w:rPr>
          <w:rFonts w:asciiTheme="majorHAnsi" w:hAnsiTheme="majorHAnsi" w:cstheme="majorHAnsi"/>
          <w:sz w:val="24"/>
          <w:szCs w:val="24"/>
        </w:rPr>
        <w:t>Hoyle (1982) notes that t</w:t>
      </w:r>
      <w:r w:rsidR="00AD4D47">
        <w:rPr>
          <w:rFonts w:asciiTheme="majorHAnsi" w:hAnsiTheme="majorHAnsi" w:cstheme="majorHAnsi"/>
          <w:sz w:val="24"/>
          <w:szCs w:val="24"/>
        </w:rPr>
        <w:t xml:space="preserve">here is some distinction between the aspects of power. Authority is a coercive and legal form of power </w:t>
      </w:r>
      <w:r w:rsidR="00743F63">
        <w:rPr>
          <w:rFonts w:asciiTheme="majorHAnsi" w:hAnsiTheme="majorHAnsi" w:cstheme="majorHAnsi"/>
          <w:sz w:val="24"/>
          <w:szCs w:val="24"/>
        </w:rPr>
        <w:t xml:space="preserve">used to make decisions and is upheld by set sanctions. Another aspect of power is influence which is essentially </w:t>
      </w:r>
      <w:r w:rsidR="00563BBA">
        <w:rPr>
          <w:rFonts w:asciiTheme="majorHAnsi" w:hAnsiTheme="majorHAnsi" w:cstheme="majorHAnsi"/>
          <w:sz w:val="24"/>
          <w:szCs w:val="24"/>
        </w:rPr>
        <w:t>authority without the legal backing. Though it is important to note these differences it is ‘difficult to sustain</w:t>
      </w:r>
      <w:r>
        <w:rPr>
          <w:rFonts w:asciiTheme="majorHAnsi" w:hAnsiTheme="majorHAnsi" w:cstheme="majorHAnsi"/>
          <w:sz w:val="24"/>
          <w:szCs w:val="24"/>
        </w:rPr>
        <w:t xml:space="preserve"> empirically</w:t>
      </w:r>
      <w:r w:rsidR="00563BBA">
        <w:rPr>
          <w:rFonts w:asciiTheme="majorHAnsi" w:hAnsiTheme="majorHAnsi" w:cstheme="majorHAnsi"/>
          <w:sz w:val="24"/>
          <w:szCs w:val="24"/>
        </w:rPr>
        <w:t>’</w:t>
      </w:r>
      <w:r>
        <w:rPr>
          <w:rFonts w:asciiTheme="majorHAnsi" w:hAnsiTheme="majorHAnsi" w:cstheme="majorHAnsi"/>
          <w:sz w:val="24"/>
          <w:szCs w:val="24"/>
        </w:rPr>
        <w:t xml:space="preserve"> (Hoyle, 1982) because of the </w:t>
      </w:r>
      <w:r w:rsidR="00A61FE7">
        <w:rPr>
          <w:rFonts w:asciiTheme="majorHAnsi" w:hAnsiTheme="majorHAnsi" w:cstheme="majorHAnsi"/>
          <w:sz w:val="24"/>
          <w:szCs w:val="24"/>
        </w:rPr>
        <w:t xml:space="preserve">possibility of </w:t>
      </w:r>
      <w:r>
        <w:rPr>
          <w:rFonts w:asciiTheme="majorHAnsi" w:hAnsiTheme="majorHAnsi" w:cstheme="majorHAnsi"/>
          <w:sz w:val="24"/>
          <w:szCs w:val="24"/>
        </w:rPr>
        <w:t>laten</w:t>
      </w:r>
      <w:r w:rsidR="00A61FE7">
        <w:rPr>
          <w:rFonts w:asciiTheme="majorHAnsi" w:hAnsiTheme="majorHAnsi" w:cstheme="majorHAnsi"/>
          <w:sz w:val="24"/>
          <w:szCs w:val="24"/>
        </w:rPr>
        <w:t xml:space="preserve">t authority. </w:t>
      </w:r>
    </w:p>
    <w:p w14:paraId="36CC0919" w14:textId="0A5CB35B" w:rsidR="00DE4C92" w:rsidRDefault="000B6A71" w:rsidP="003C1832">
      <w:pPr>
        <w:spacing w:line="360" w:lineRule="auto"/>
        <w:rPr>
          <w:rFonts w:asciiTheme="majorHAnsi" w:hAnsiTheme="majorHAnsi" w:cstheme="majorHAnsi"/>
          <w:sz w:val="24"/>
          <w:szCs w:val="24"/>
        </w:rPr>
      </w:pPr>
      <w:proofErr w:type="spellStart"/>
      <w:r>
        <w:rPr>
          <w:rFonts w:asciiTheme="majorHAnsi" w:hAnsiTheme="majorHAnsi" w:cstheme="majorHAnsi"/>
          <w:sz w:val="24"/>
          <w:szCs w:val="24"/>
        </w:rPr>
        <w:t>Foucaultian</w:t>
      </w:r>
      <w:proofErr w:type="spellEnd"/>
      <w:r>
        <w:rPr>
          <w:rFonts w:asciiTheme="majorHAnsi" w:hAnsiTheme="majorHAnsi" w:cstheme="majorHAnsi"/>
          <w:sz w:val="24"/>
          <w:szCs w:val="24"/>
        </w:rPr>
        <w:t xml:space="preserve"> theory suggests children are a social group that needs control with </w:t>
      </w:r>
      <w:r w:rsidR="00452665">
        <w:rPr>
          <w:rFonts w:asciiTheme="majorHAnsi" w:hAnsiTheme="majorHAnsi" w:cstheme="majorHAnsi"/>
          <w:sz w:val="24"/>
          <w:szCs w:val="24"/>
        </w:rPr>
        <w:t>‘institutionalised education’ (Hillier &amp; Hillier, 2012</w:t>
      </w:r>
      <w:r w:rsidR="001224A2">
        <w:rPr>
          <w:rFonts w:asciiTheme="majorHAnsi" w:hAnsiTheme="majorHAnsi" w:cstheme="majorHAnsi"/>
          <w:sz w:val="24"/>
          <w:szCs w:val="24"/>
        </w:rPr>
        <w:t>. P 49</w:t>
      </w:r>
      <w:r w:rsidR="00452665">
        <w:rPr>
          <w:rFonts w:asciiTheme="majorHAnsi" w:hAnsiTheme="majorHAnsi" w:cstheme="majorHAnsi"/>
          <w:sz w:val="24"/>
          <w:szCs w:val="24"/>
        </w:rPr>
        <w:t xml:space="preserve">) being </w:t>
      </w:r>
      <w:r w:rsidR="00D5097D">
        <w:rPr>
          <w:rFonts w:asciiTheme="majorHAnsi" w:hAnsiTheme="majorHAnsi" w:cstheme="majorHAnsi"/>
          <w:sz w:val="24"/>
          <w:szCs w:val="24"/>
        </w:rPr>
        <w:t xml:space="preserve">a disciplinary process that’s aim is to create </w:t>
      </w:r>
      <w:r w:rsidR="009446CB">
        <w:rPr>
          <w:rFonts w:asciiTheme="majorHAnsi" w:hAnsiTheme="majorHAnsi" w:cstheme="majorHAnsi"/>
          <w:sz w:val="24"/>
          <w:szCs w:val="24"/>
        </w:rPr>
        <w:t>docile bodies through non-physical acts of power (Hillier &amp; Hillier, 2012).</w:t>
      </w:r>
    </w:p>
    <w:p w14:paraId="2ECDB192" w14:textId="23F8D8DB" w:rsidR="00411BA7" w:rsidRDefault="003C1832" w:rsidP="003C1832">
      <w:pPr>
        <w:pStyle w:val="Heading2"/>
        <w:spacing w:line="360" w:lineRule="auto"/>
      </w:pPr>
      <w:r>
        <w:t>Who has the power/authority?</w:t>
      </w:r>
    </w:p>
    <w:p w14:paraId="4422C7A0" w14:textId="354FAA56" w:rsidR="00411BA7" w:rsidRDefault="00411BA7" w:rsidP="003C1832">
      <w:pPr>
        <w:spacing w:line="360" w:lineRule="auto"/>
        <w:rPr>
          <w:rFonts w:asciiTheme="majorHAnsi" w:hAnsiTheme="majorHAnsi" w:cstheme="majorHAnsi"/>
          <w:sz w:val="24"/>
          <w:szCs w:val="24"/>
        </w:rPr>
      </w:pPr>
      <w:r>
        <w:rPr>
          <w:rFonts w:asciiTheme="majorHAnsi" w:hAnsiTheme="majorHAnsi" w:cstheme="majorHAnsi"/>
          <w:sz w:val="24"/>
          <w:szCs w:val="24"/>
        </w:rPr>
        <w:t>When looking at an educational setting there are varying sources of power. Authority within an educational setting would normally come from the Headteacher (in terms of an average Primary/Secondary school). The perceived authority that comes from lower level staff within an education setting can be better suited under influence.</w:t>
      </w:r>
    </w:p>
    <w:p w14:paraId="42A4377A" w14:textId="637E86DA" w:rsidR="0005495E" w:rsidRDefault="00BD3DAE" w:rsidP="003C1832">
      <w:pPr>
        <w:spacing w:line="360" w:lineRule="auto"/>
        <w:rPr>
          <w:rFonts w:asciiTheme="majorHAnsi" w:hAnsiTheme="majorHAnsi" w:cstheme="majorHAnsi"/>
          <w:sz w:val="24"/>
          <w:szCs w:val="24"/>
        </w:rPr>
      </w:pPr>
      <w:r>
        <w:rPr>
          <w:rFonts w:asciiTheme="majorHAnsi" w:hAnsiTheme="majorHAnsi" w:cstheme="majorHAnsi"/>
          <w:sz w:val="24"/>
          <w:szCs w:val="24"/>
        </w:rPr>
        <w:t xml:space="preserve">It can be argued that </w:t>
      </w:r>
      <w:r w:rsidR="009122FD">
        <w:rPr>
          <w:rFonts w:asciiTheme="majorHAnsi" w:hAnsiTheme="majorHAnsi" w:cstheme="majorHAnsi"/>
          <w:sz w:val="24"/>
          <w:szCs w:val="24"/>
        </w:rPr>
        <w:t xml:space="preserve">both power and authority within an educational setting would come from the UK Government as they decide what is </w:t>
      </w:r>
      <w:r w:rsidR="00FD0ACE">
        <w:rPr>
          <w:rFonts w:asciiTheme="majorHAnsi" w:hAnsiTheme="majorHAnsi" w:cstheme="majorHAnsi"/>
          <w:sz w:val="24"/>
          <w:szCs w:val="24"/>
        </w:rPr>
        <w:t>taught, how</w:t>
      </w:r>
      <w:r w:rsidR="009122FD">
        <w:rPr>
          <w:rFonts w:asciiTheme="majorHAnsi" w:hAnsiTheme="majorHAnsi" w:cstheme="majorHAnsi"/>
          <w:sz w:val="24"/>
          <w:szCs w:val="24"/>
        </w:rPr>
        <w:t xml:space="preserve"> it is taught and what targets the educational setting must </w:t>
      </w:r>
      <w:r w:rsidR="00FD0ACE">
        <w:rPr>
          <w:rFonts w:asciiTheme="majorHAnsi" w:hAnsiTheme="majorHAnsi" w:cstheme="majorHAnsi"/>
          <w:sz w:val="24"/>
          <w:szCs w:val="24"/>
        </w:rPr>
        <w:t>achieve.</w:t>
      </w:r>
      <w:r w:rsidR="00664264">
        <w:rPr>
          <w:rFonts w:asciiTheme="majorHAnsi" w:hAnsiTheme="majorHAnsi" w:cstheme="majorHAnsi"/>
          <w:sz w:val="24"/>
          <w:szCs w:val="24"/>
        </w:rPr>
        <w:t xml:space="preserve"> </w:t>
      </w:r>
      <w:r w:rsidR="00B11D05">
        <w:rPr>
          <w:rFonts w:asciiTheme="majorHAnsi" w:hAnsiTheme="majorHAnsi" w:cstheme="majorHAnsi"/>
          <w:sz w:val="24"/>
          <w:szCs w:val="24"/>
        </w:rPr>
        <w:t>In a case study by Gold et al (2003)</w:t>
      </w:r>
      <w:r w:rsidR="00D068BD">
        <w:rPr>
          <w:rFonts w:asciiTheme="majorHAnsi" w:hAnsiTheme="majorHAnsi" w:cstheme="majorHAnsi"/>
          <w:sz w:val="24"/>
          <w:szCs w:val="24"/>
        </w:rPr>
        <w:t>,</w:t>
      </w:r>
      <w:r w:rsidR="00B11D05">
        <w:rPr>
          <w:rFonts w:asciiTheme="majorHAnsi" w:hAnsiTheme="majorHAnsi" w:cstheme="majorHAnsi"/>
          <w:sz w:val="24"/>
          <w:szCs w:val="24"/>
        </w:rPr>
        <w:t xml:space="preserve"> </w:t>
      </w:r>
      <w:r w:rsidR="00337FE3">
        <w:rPr>
          <w:rFonts w:asciiTheme="majorHAnsi" w:hAnsiTheme="majorHAnsi" w:cstheme="majorHAnsi"/>
          <w:sz w:val="24"/>
          <w:szCs w:val="24"/>
        </w:rPr>
        <w:t>ten</w:t>
      </w:r>
      <w:r w:rsidR="00B11D05">
        <w:rPr>
          <w:rFonts w:asciiTheme="majorHAnsi" w:hAnsiTheme="majorHAnsi" w:cstheme="majorHAnsi"/>
          <w:sz w:val="24"/>
          <w:szCs w:val="24"/>
        </w:rPr>
        <w:t xml:space="preserve"> headteachers who were described a</w:t>
      </w:r>
      <w:r w:rsidR="00D068BD">
        <w:rPr>
          <w:rFonts w:asciiTheme="majorHAnsi" w:hAnsiTheme="majorHAnsi" w:cstheme="majorHAnsi"/>
          <w:sz w:val="24"/>
          <w:szCs w:val="24"/>
        </w:rPr>
        <w:t xml:space="preserve">s having leadership skills based on values </w:t>
      </w:r>
      <w:r w:rsidR="00D61181">
        <w:rPr>
          <w:rFonts w:asciiTheme="majorHAnsi" w:hAnsiTheme="majorHAnsi" w:cstheme="majorHAnsi"/>
          <w:sz w:val="24"/>
          <w:szCs w:val="24"/>
        </w:rPr>
        <w:t xml:space="preserve">were found to be ‘mediating government policy through their own value system’. </w:t>
      </w:r>
      <w:r w:rsidR="002F6E4A">
        <w:rPr>
          <w:rFonts w:asciiTheme="majorHAnsi" w:hAnsiTheme="majorHAnsi" w:cstheme="majorHAnsi"/>
          <w:sz w:val="24"/>
          <w:szCs w:val="24"/>
        </w:rPr>
        <w:t>It seems from this case study that the government have the power as they are creating the policies that will be in place,</w:t>
      </w:r>
      <w:r w:rsidR="00897C13">
        <w:rPr>
          <w:rFonts w:asciiTheme="majorHAnsi" w:hAnsiTheme="majorHAnsi" w:cstheme="majorHAnsi"/>
          <w:sz w:val="24"/>
          <w:szCs w:val="24"/>
        </w:rPr>
        <w:t xml:space="preserve"> therefore </w:t>
      </w:r>
      <w:r w:rsidR="00897C13">
        <w:rPr>
          <w:rFonts w:asciiTheme="majorHAnsi" w:hAnsiTheme="majorHAnsi" w:cstheme="majorHAnsi"/>
          <w:sz w:val="24"/>
          <w:szCs w:val="24"/>
        </w:rPr>
        <w:lastRenderedPageBreak/>
        <w:t>directing the behaviours of the school,</w:t>
      </w:r>
      <w:r w:rsidR="002F6E4A">
        <w:rPr>
          <w:rFonts w:asciiTheme="majorHAnsi" w:hAnsiTheme="majorHAnsi" w:cstheme="majorHAnsi"/>
          <w:sz w:val="24"/>
          <w:szCs w:val="24"/>
        </w:rPr>
        <w:t xml:space="preserve"> though the </w:t>
      </w:r>
      <w:r w:rsidR="00897C13">
        <w:rPr>
          <w:rFonts w:asciiTheme="majorHAnsi" w:hAnsiTheme="majorHAnsi" w:cstheme="majorHAnsi"/>
          <w:sz w:val="24"/>
          <w:szCs w:val="24"/>
        </w:rPr>
        <w:t>headteacher has the authority as they are able to implement these as they see fit</w:t>
      </w:r>
      <w:r w:rsidR="002E7094">
        <w:rPr>
          <w:rFonts w:asciiTheme="majorHAnsi" w:hAnsiTheme="majorHAnsi" w:cstheme="majorHAnsi"/>
          <w:sz w:val="24"/>
          <w:szCs w:val="24"/>
        </w:rPr>
        <w:t>, therefore making decisions and enforcing obedience.</w:t>
      </w:r>
    </w:p>
    <w:p w14:paraId="10634325" w14:textId="63A785F5" w:rsidR="002E7094" w:rsidRDefault="00A61045" w:rsidP="003C1832">
      <w:pPr>
        <w:spacing w:line="360" w:lineRule="auto"/>
        <w:rPr>
          <w:rFonts w:asciiTheme="majorHAnsi" w:hAnsiTheme="majorHAnsi" w:cstheme="majorHAnsi"/>
          <w:sz w:val="24"/>
          <w:szCs w:val="24"/>
        </w:rPr>
      </w:pPr>
      <w:r>
        <w:rPr>
          <w:rFonts w:asciiTheme="majorHAnsi" w:hAnsiTheme="majorHAnsi" w:cstheme="majorHAnsi"/>
          <w:sz w:val="24"/>
          <w:szCs w:val="24"/>
        </w:rPr>
        <w:t>Any educational setting i</w:t>
      </w:r>
      <w:r w:rsidR="00422660">
        <w:rPr>
          <w:rFonts w:asciiTheme="majorHAnsi" w:hAnsiTheme="majorHAnsi" w:cstheme="majorHAnsi"/>
          <w:sz w:val="24"/>
          <w:szCs w:val="24"/>
        </w:rPr>
        <w:t xml:space="preserve">s also a place of work </w:t>
      </w:r>
      <w:r w:rsidR="005B199C">
        <w:rPr>
          <w:rFonts w:asciiTheme="majorHAnsi" w:hAnsiTheme="majorHAnsi" w:cstheme="majorHAnsi"/>
          <w:sz w:val="24"/>
          <w:szCs w:val="24"/>
        </w:rPr>
        <w:t>for the teaching staff</w:t>
      </w:r>
      <w:r w:rsidR="00422660">
        <w:rPr>
          <w:rFonts w:asciiTheme="majorHAnsi" w:hAnsiTheme="majorHAnsi" w:cstheme="majorHAnsi"/>
          <w:sz w:val="24"/>
          <w:szCs w:val="24"/>
        </w:rPr>
        <w:t xml:space="preserve">. There are levels of power and authority between </w:t>
      </w:r>
      <w:r w:rsidR="006D017F">
        <w:rPr>
          <w:rFonts w:asciiTheme="majorHAnsi" w:hAnsiTheme="majorHAnsi" w:cstheme="majorHAnsi"/>
          <w:sz w:val="24"/>
          <w:szCs w:val="24"/>
        </w:rPr>
        <w:t>anyone who regularly attends the setting</w:t>
      </w:r>
      <w:r w:rsidR="00422660">
        <w:rPr>
          <w:rFonts w:asciiTheme="majorHAnsi" w:hAnsiTheme="majorHAnsi" w:cstheme="majorHAnsi"/>
          <w:sz w:val="24"/>
          <w:szCs w:val="24"/>
        </w:rPr>
        <w:t xml:space="preserve">. Students would generally fall at the bottom of the list with </w:t>
      </w:r>
      <w:r w:rsidR="005B199C">
        <w:rPr>
          <w:rFonts w:asciiTheme="majorHAnsi" w:hAnsiTheme="majorHAnsi" w:cstheme="majorHAnsi"/>
          <w:sz w:val="24"/>
          <w:szCs w:val="24"/>
        </w:rPr>
        <w:t xml:space="preserve">the headteacher at the top and the other staff members in between. </w:t>
      </w:r>
    </w:p>
    <w:p w14:paraId="2CCAF2B4" w14:textId="3D5B5763" w:rsidR="00C12C9D" w:rsidRDefault="000B5E23" w:rsidP="003C1832">
      <w:pPr>
        <w:spacing w:line="360" w:lineRule="auto"/>
        <w:rPr>
          <w:rFonts w:asciiTheme="majorHAnsi" w:hAnsiTheme="majorHAnsi" w:cstheme="majorHAnsi"/>
          <w:sz w:val="24"/>
          <w:szCs w:val="24"/>
        </w:rPr>
      </w:pPr>
      <w:r>
        <w:rPr>
          <w:rFonts w:asciiTheme="majorHAnsi" w:hAnsiTheme="majorHAnsi" w:cstheme="majorHAnsi"/>
          <w:sz w:val="24"/>
          <w:szCs w:val="24"/>
        </w:rPr>
        <w:t>A</w:t>
      </w:r>
      <w:r w:rsidR="00AE0D31">
        <w:rPr>
          <w:rFonts w:asciiTheme="majorHAnsi" w:hAnsiTheme="majorHAnsi" w:cstheme="majorHAnsi"/>
          <w:sz w:val="24"/>
          <w:szCs w:val="24"/>
        </w:rPr>
        <w:t xml:space="preserve">uthority and power within education settings seems to be best explained within a chain of command style outlook. </w:t>
      </w:r>
      <w:r w:rsidR="00060BFD">
        <w:rPr>
          <w:rFonts w:asciiTheme="majorHAnsi" w:hAnsiTheme="majorHAnsi" w:cstheme="majorHAnsi"/>
          <w:sz w:val="24"/>
          <w:szCs w:val="24"/>
        </w:rPr>
        <w:t>Generally,</w:t>
      </w:r>
      <w:r>
        <w:rPr>
          <w:rFonts w:asciiTheme="majorHAnsi" w:hAnsiTheme="majorHAnsi" w:cstheme="majorHAnsi"/>
          <w:sz w:val="24"/>
          <w:szCs w:val="24"/>
        </w:rPr>
        <w:t xml:space="preserve"> a</w:t>
      </w:r>
      <w:r w:rsidR="00AE0D31">
        <w:rPr>
          <w:rFonts w:asciiTheme="majorHAnsi" w:hAnsiTheme="majorHAnsi" w:cstheme="majorHAnsi"/>
          <w:sz w:val="24"/>
          <w:szCs w:val="24"/>
        </w:rPr>
        <w:t>t the bottom of the list are the stude</w:t>
      </w:r>
      <w:r>
        <w:rPr>
          <w:rFonts w:asciiTheme="majorHAnsi" w:hAnsiTheme="majorHAnsi" w:cstheme="majorHAnsi"/>
          <w:sz w:val="24"/>
          <w:szCs w:val="24"/>
        </w:rPr>
        <w:t xml:space="preserve">nts followed by non-teaching staff, teachers </w:t>
      </w:r>
      <w:r w:rsidR="001072DC">
        <w:rPr>
          <w:rFonts w:asciiTheme="majorHAnsi" w:hAnsiTheme="majorHAnsi" w:cstheme="majorHAnsi"/>
          <w:sz w:val="24"/>
          <w:szCs w:val="24"/>
        </w:rPr>
        <w:t xml:space="preserve">are further up the chain but under the heads of departments then the headteacher. At this point you branch into governing boards and local authority and ultimately end up with </w:t>
      </w:r>
      <w:r w:rsidR="00060BFD">
        <w:rPr>
          <w:rFonts w:asciiTheme="majorHAnsi" w:hAnsiTheme="majorHAnsi" w:cstheme="majorHAnsi"/>
          <w:sz w:val="24"/>
          <w:szCs w:val="24"/>
        </w:rPr>
        <w:t>politicians</w:t>
      </w:r>
      <w:r w:rsidR="001072DC">
        <w:rPr>
          <w:rFonts w:asciiTheme="majorHAnsi" w:hAnsiTheme="majorHAnsi" w:cstheme="majorHAnsi"/>
          <w:sz w:val="24"/>
          <w:szCs w:val="24"/>
        </w:rPr>
        <w:t xml:space="preserve"> and the government.</w:t>
      </w:r>
    </w:p>
    <w:p w14:paraId="0A9B4170" w14:textId="665E6C6D" w:rsidR="00AB13C5" w:rsidRPr="00A35E47" w:rsidRDefault="00AB13C5" w:rsidP="00A35E47">
      <w:pPr>
        <w:spacing w:line="360" w:lineRule="auto"/>
        <w:rPr>
          <w:rFonts w:asciiTheme="majorHAnsi" w:hAnsiTheme="majorHAnsi" w:cstheme="majorHAnsi"/>
          <w:sz w:val="24"/>
          <w:szCs w:val="24"/>
        </w:rPr>
      </w:pPr>
      <w:r w:rsidRPr="00A35E47">
        <w:rPr>
          <w:rFonts w:asciiTheme="majorHAnsi" w:hAnsiTheme="majorHAnsi" w:cstheme="majorHAnsi"/>
          <w:sz w:val="24"/>
          <w:szCs w:val="24"/>
        </w:rPr>
        <w:t xml:space="preserve">Power comes in many forms </w:t>
      </w:r>
      <w:r w:rsidR="00303DD6" w:rsidRPr="00A35E47">
        <w:rPr>
          <w:rFonts w:asciiTheme="majorHAnsi" w:hAnsiTheme="majorHAnsi" w:cstheme="majorHAnsi"/>
          <w:sz w:val="24"/>
          <w:szCs w:val="24"/>
        </w:rPr>
        <w:t>within an educational context. These include position</w:t>
      </w:r>
      <w:r w:rsidR="002D7753">
        <w:rPr>
          <w:rFonts w:asciiTheme="majorHAnsi" w:hAnsiTheme="majorHAnsi" w:cstheme="majorHAnsi"/>
          <w:sz w:val="24"/>
          <w:szCs w:val="24"/>
        </w:rPr>
        <w:t>al power, expert authority</w:t>
      </w:r>
      <w:r w:rsidR="00303DD6" w:rsidRPr="00A35E47">
        <w:rPr>
          <w:rFonts w:asciiTheme="majorHAnsi" w:hAnsiTheme="majorHAnsi" w:cstheme="majorHAnsi"/>
          <w:sz w:val="24"/>
          <w:szCs w:val="24"/>
        </w:rPr>
        <w:t xml:space="preserve">, </w:t>
      </w:r>
      <w:r w:rsidR="006808B2" w:rsidRPr="00A35E47">
        <w:rPr>
          <w:rFonts w:asciiTheme="majorHAnsi" w:hAnsiTheme="majorHAnsi" w:cstheme="majorHAnsi"/>
          <w:sz w:val="24"/>
          <w:szCs w:val="24"/>
        </w:rPr>
        <w:t>personal pow</w:t>
      </w:r>
      <w:r w:rsidR="002D7753">
        <w:rPr>
          <w:rFonts w:asciiTheme="majorHAnsi" w:hAnsiTheme="majorHAnsi" w:cstheme="majorHAnsi"/>
          <w:sz w:val="24"/>
          <w:szCs w:val="24"/>
        </w:rPr>
        <w:t>er, reward power</w:t>
      </w:r>
      <w:r w:rsidR="004D1C16">
        <w:rPr>
          <w:rFonts w:asciiTheme="majorHAnsi" w:hAnsiTheme="majorHAnsi" w:cstheme="majorHAnsi"/>
          <w:sz w:val="24"/>
          <w:szCs w:val="24"/>
        </w:rPr>
        <w:t xml:space="preserve"> and</w:t>
      </w:r>
      <w:r w:rsidR="006808B2" w:rsidRPr="00A35E47">
        <w:rPr>
          <w:rFonts w:asciiTheme="majorHAnsi" w:hAnsiTheme="majorHAnsi" w:cstheme="majorHAnsi"/>
          <w:sz w:val="24"/>
          <w:szCs w:val="24"/>
        </w:rPr>
        <w:t xml:space="preserve"> coerciv</w:t>
      </w:r>
      <w:r w:rsidR="002D7753">
        <w:rPr>
          <w:rFonts w:asciiTheme="majorHAnsi" w:hAnsiTheme="majorHAnsi" w:cstheme="majorHAnsi"/>
          <w:sz w:val="24"/>
          <w:szCs w:val="24"/>
        </w:rPr>
        <w:t>e power</w:t>
      </w:r>
      <w:r w:rsidR="004D1C16">
        <w:rPr>
          <w:rFonts w:asciiTheme="majorHAnsi" w:hAnsiTheme="majorHAnsi" w:cstheme="majorHAnsi"/>
          <w:sz w:val="24"/>
          <w:szCs w:val="24"/>
        </w:rPr>
        <w:t xml:space="preserve"> </w:t>
      </w:r>
      <w:r w:rsidR="006808B2" w:rsidRPr="00A35E47">
        <w:rPr>
          <w:rFonts w:asciiTheme="majorHAnsi" w:hAnsiTheme="majorHAnsi" w:cstheme="majorHAnsi"/>
          <w:sz w:val="24"/>
          <w:szCs w:val="24"/>
        </w:rPr>
        <w:t xml:space="preserve">(Bolman &amp; Deal, </w:t>
      </w:r>
      <w:r w:rsidR="00104FD7" w:rsidRPr="00A35E47">
        <w:rPr>
          <w:rFonts w:asciiTheme="majorHAnsi" w:hAnsiTheme="majorHAnsi" w:cstheme="majorHAnsi"/>
          <w:sz w:val="24"/>
          <w:szCs w:val="24"/>
        </w:rPr>
        <w:t>2008</w:t>
      </w:r>
      <w:r w:rsidR="002D20D2" w:rsidRPr="00A35E47">
        <w:rPr>
          <w:rFonts w:asciiTheme="majorHAnsi" w:hAnsiTheme="majorHAnsi" w:cstheme="majorHAnsi"/>
          <w:sz w:val="24"/>
          <w:szCs w:val="24"/>
        </w:rPr>
        <w:t>).</w:t>
      </w:r>
    </w:p>
    <w:p w14:paraId="43AE73C7" w14:textId="3F07DC55" w:rsidR="00B27F09" w:rsidRPr="00A35E47" w:rsidRDefault="00B27F09" w:rsidP="00A35E47">
      <w:pPr>
        <w:pStyle w:val="Heading3"/>
        <w:spacing w:line="360" w:lineRule="auto"/>
        <w:rPr>
          <w:rFonts w:cstheme="majorHAnsi"/>
        </w:rPr>
      </w:pPr>
      <w:r w:rsidRPr="00A35E47">
        <w:rPr>
          <w:rFonts w:cstheme="majorHAnsi"/>
        </w:rPr>
        <w:t>Positional Power</w:t>
      </w:r>
    </w:p>
    <w:p w14:paraId="7A3E7133" w14:textId="7B08EF15" w:rsidR="0035590F" w:rsidRPr="00A35E47" w:rsidRDefault="00E41023" w:rsidP="00A35E47">
      <w:pPr>
        <w:spacing w:line="360" w:lineRule="auto"/>
        <w:rPr>
          <w:rFonts w:asciiTheme="majorHAnsi" w:hAnsiTheme="majorHAnsi" w:cstheme="majorHAnsi"/>
          <w:sz w:val="24"/>
          <w:szCs w:val="24"/>
        </w:rPr>
      </w:pPr>
      <w:r w:rsidRPr="00A35E47">
        <w:rPr>
          <w:rFonts w:asciiTheme="majorHAnsi" w:hAnsiTheme="majorHAnsi" w:cstheme="majorHAnsi"/>
          <w:sz w:val="24"/>
          <w:szCs w:val="24"/>
        </w:rPr>
        <w:t xml:space="preserve">As its name suggests, Positional Power is power based on one’s position within the organisation in question.  Relating this to an educational setting would show </w:t>
      </w:r>
      <w:r w:rsidR="00176940" w:rsidRPr="00A35E47">
        <w:rPr>
          <w:rFonts w:asciiTheme="majorHAnsi" w:hAnsiTheme="majorHAnsi" w:cstheme="majorHAnsi"/>
          <w:sz w:val="24"/>
          <w:szCs w:val="24"/>
        </w:rPr>
        <w:t xml:space="preserve">a hierarchy with the headteacher on top.  There would be some positional power shared out between other members of staff that are heads of departments, heads of year and any other role that involves having some charge over other staff members. </w:t>
      </w:r>
      <w:r w:rsidR="00EB3611">
        <w:rPr>
          <w:rFonts w:asciiTheme="majorHAnsi" w:hAnsiTheme="majorHAnsi" w:cstheme="majorHAnsi"/>
          <w:sz w:val="24"/>
          <w:szCs w:val="24"/>
        </w:rPr>
        <w:t xml:space="preserve">People will generally know who is in charge based on their title within the organization. </w:t>
      </w:r>
      <w:r w:rsidR="0020561A" w:rsidRPr="00A35E47">
        <w:rPr>
          <w:rFonts w:asciiTheme="majorHAnsi" w:hAnsiTheme="majorHAnsi" w:cstheme="majorHAnsi"/>
          <w:sz w:val="24"/>
          <w:szCs w:val="24"/>
        </w:rPr>
        <w:t xml:space="preserve">Positional power is essentially using </w:t>
      </w:r>
      <w:r w:rsidR="005F0435" w:rsidRPr="00A35E47">
        <w:rPr>
          <w:rFonts w:asciiTheme="majorHAnsi" w:hAnsiTheme="majorHAnsi" w:cstheme="majorHAnsi"/>
          <w:sz w:val="24"/>
          <w:szCs w:val="24"/>
        </w:rPr>
        <w:t>one’s own position to make things get done</w:t>
      </w:r>
      <w:r w:rsidR="00A35E47" w:rsidRPr="00A35E47">
        <w:rPr>
          <w:rFonts w:asciiTheme="majorHAnsi" w:hAnsiTheme="majorHAnsi" w:cstheme="majorHAnsi"/>
          <w:sz w:val="24"/>
          <w:szCs w:val="24"/>
        </w:rPr>
        <w:t xml:space="preserve"> (Hartzell, No Date).</w:t>
      </w:r>
      <w:r w:rsidR="0074132B">
        <w:rPr>
          <w:rFonts w:asciiTheme="majorHAnsi" w:hAnsiTheme="majorHAnsi" w:cstheme="majorHAnsi"/>
          <w:sz w:val="24"/>
          <w:szCs w:val="24"/>
        </w:rPr>
        <w:t xml:space="preserve"> </w:t>
      </w:r>
      <w:r w:rsidR="00AE3188">
        <w:rPr>
          <w:rFonts w:asciiTheme="majorHAnsi" w:hAnsiTheme="majorHAnsi" w:cstheme="majorHAnsi"/>
          <w:sz w:val="24"/>
          <w:szCs w:val="24"/>
        </w:rPr>
        <w:t xml:space="preserve">Teachers can exhibit positional power over students by </w:t>
      </w:r>
      <w:r w:rsidR="008660E7">
        <w:rPr>
          <w:rFonts w:asciiTheme="majorHAnsi" w:hAnsiTheme="majorHAnsi" w:cstheme="majorHAnsi"/>
          <w:sz w:val="24"/>
          <w:szCs w:val="24"/>
        </w:rPr>
        <w:t xml:space="preserve">enforcing classroom rules. It is generally expected within a school that if the teacher is talking the student does not. This unconscious adherence to rules </w:t>
      </w:r>
      <w:r w:rsidR="00A00EC3">
        <w:rPr>
          <w:rFonts w:asciiTheme="majorHAnsi" w:hAnsiTheme="majorHAnsi" w:cstheme="majorHAnsi"/>
          <w:sz w:val="24"/>
          <w:szCs w:val="24"/>
        </w:rPr>
        <w:t>allows the teacher to generally control the discussion within the class and keep control of the students.</w:t>
      </w:r>
    </w:p>
    <w:p w14:paraId="020081E4" w14:textId="17697FD8" w:rsidR="00A35E47" w:rsidRDefault="002D7753" w:rsidP="00A35E47">
      <w:pPr>
        <w:pStyle w:val="Heading3"/>
        <w:spacing w:line="360" w:lineRule="auto"/>
        <w:rPr>
          <w:rFonts w:cstheme="majorHAnsi"/>
        </w:rPr>
      </w:pPr>
      <w:r>
        <w:rPr>
          <w:rFonts w:cstheme="majorHAnsi"/>
        </w:rPr>
        <w:t>Expert Authority</w:t>
      </w:r>
    </w:p>
    <w:p w14:paraId="3FBF09CD" w14:textId="55604D03" w:rsidR="00403538" w:rsidRDefault="00EB3611" w:rsidP="00403538">
      <w:pPr>
        <w:spacing w:line="360" w:lineRule="auto"/>
        <w:rPr>
          <w:rFonts w:asciiTheme="majorHAnsi" w:hAnsiTheme="majorHAnsi" w:cstheme="majorHAnsi"/>
          <w:sz w:val="24"/>
          <w:szCs w:val="24"/>
        </w:rPr>
      </w:pPr>
      <w:r>
        <w:rPr>
          <w:rFonts w:asciiTheme="majorHAnsi" w:hAnsiTheme="majorHAnsi" w:cstheme="majorHAnsi"/>
          <w:sz w:val="24"/>
          <w:szCs w:val="24"/>
        </w:rPr>
        <w:t xml:space="preserve">When a staff member is considered an expert in their field they tend to hold some power over others who are not experts. This can, at times, cross the positional power borders </w:t>
      </w:r>
      <w:r w:rsidR="00403538">
        <w:rPr>
          <w:rFonts w:asciiTheme="majorHAnsi" w:hAnsiTheme="majorHAnsi" w:cstheme="majorHAnsi"/>
          <w:sz w:val="24"/>
          <w:szCs w:val="24"/>
        </w:rPr>
        <w:t xml:space="preserve">as a teacher or head of department would naturally hold more subject knowledge than the headmaster meaning they have a more informed opinion. This can lead to them using that </w:t>
      </w:r>
      <w:r w:rsidR="00403538">
        <w:rPr>
          <w:rFonts w:asciiTheme="majorHAnsi" w:hAnsiTheme="majorHAnsi" w:cstheme="majorHAnsi"/>
          <w:sz w:val="24"/>
          <w:szCs w:val="24"/>
        </w:rPr>
        <w:lastRenderedPageBreak/>
        <w:t>expertise to get things done a certain way (Hartzell, No Date).</w:t>
      </w:r>
      <w:r w:rsidR="002D7753">
        <w:rPr>
          <w:rFonts w:asciiTheme="majorHAnsi" w:hAnsiTheme="majorHAnsi" w:cstheme="majorHAnsi"/>
          <w:sz w:val="24"/>
          <w:szCs w:val="24"/>
        </w:rPr>
        <w:t xml:space="preserve"> This also works when looking at the teacher/student relationship. In order for someone to have such knowledge in a subject they would need to have a passion for it, which would come across within a teaching environment. It would, in theory, be easier to engage a class in something that the teacher is passionate about in comparison with something that the teacher has little</w:t>
      </w:r>
      <w:r w:rsidR="00E359C9">
        <w:rPr>
          <w:rFonts w:asciiTheme="majorHAnsi" w:hAnsiTheme="majorHAnsi" w:cstheme="majorHAnsi"/>
          <w:sz w:val="24"/>
          <w:szCs w:val="24"/>
        </w:rPr>
        <w:t xml:space="preserve"> to no interest in (Day, 2004).</w:t>
      </w:r>
    </w:p>
    <w:p w14:paraId="793B6144" w14:textId="390FD15D" w:rsidR="00403538" w:rsidRPr="001B703D" w:rsidRDefault="00403538" w:rsidP="001B703D">
      <w:pPr>
        <w:pStyle w:val="Heading3"/>
        <w:spacing w:line="360" w:lineRule="auto"/>
        <w:rPr>
          <w:rFonts w:cstheme="majorHAnsi"/>
        </w:rPr>
      </w:pPr>
      <w:r w:rsidRPr="001B703D">
        <w:rPr>
          <w:rFonts w:cstheme="majorHAnsi"/>
        </w:rPr>
        <w:t>Personal Power</w:t>
      </w:r>
    </w:p>
    <w:p w14:paraId="437D9DDA" w14:textId="408B29BF" w:rsidR="005D2A07" w:rsidRPr="00346F7E" w:rsidRDefault="005D2A07" w:rsidP="001B703D">
      <w:pPr>
        <w:spacing w:line="360" w:lineRule="auto"/>
        <w:rPr>
          <w:rFonts w:asciiTheme="majorHAnsi" w:hAnsiTheme="majorHAnsi" w:cstheme="majorHAnsi"/>
          <w:i/>
          <w:sz w:val="24"/>
          <w:szCs w:val="24"/>
        </w:rPr>
      </w:pPr>
      <w:r w:rsidRPr="001B703D">
        <w:rPr>
          <w:rFonts w:asciiTheme="majorHAnsi" w:hAnsiTheme="majorHAnsi" w:cstheme="majorHAnsi"/>
          <w:sz w:val="24"/>
          <w:szCs w:val="24"/>
        </w:rPr>
        <w:t>‘Individuals with charisma, political skills, verbal facility or the capacity to articulate vision are powerful by virtue of their personal characteristics, in addition to whatever other power they may have</w:t>
      </w:r>
      <w:r w:rsidR="008D2E38" w:rsidRPr="001B703D">
        <w:rPr>
          <w:rFonts w:asciiTheme="majorHAnsi" w:hAnsiTheme="majorHAnsi" w:cstheme="majorHAnsi"/>
          <w:sz w:val="24"/>
          <w:szCs w:val="24"/>
        </w:rPr>
        <w:t>’</w:t>
      </w:r>
      <w:r w:rsidRPr="001B703D">
        <w:rPr>
          <w:rFonts w:asciiTheme="majorHAnsi" w:hAnsiTheme="majorHAnsi" w:cstheme="majorHAnsi"/>
          <w:sz w:val="24"/>
          <w:szCs w:val="24"/>
        </w:rPr>
        <w:t xml:space="preserve"> (</w:t>
      </w:r>
      <w:r w:rsidR="008D2E38" w:rsidRPr="001B703D">
        <w:rPr>
          <w:rFonts w:asciiTheme="majorHAnsi" w:hAnsiTheme="majorHAnsi" w:cstheme="majorHAnsi"/>
          <w:sz w:val="24"/>
          <w:szCs w:val="24"/>
        </w:rPr>
        <w:t>Bolman and Deal, 2008, P. 19).</w:t>
      </w:r>
      <w:r w:rsidR="00E826F9" w:rsidRPr="001B703D">
        <w:rPr>
          <w:rFonts w:asciiTheme="majorHAnsi" w:hAnsiTheme="majorHAnsi" w:cstheme="majorHAnsi"/>
          <w:sz w:val="24"/>
          <w:szCs w:val="24"/>
        </w:rPr>
        <w:t xml:space="preserve"> These people can be seen as </w:t>
      </w:r>
      <w:r w:rsidR="003D4E19" w:rsidRPr="001B703D">
        <w:rPr>
          <w:rFonts w:asciiTheme="majorHAnsi" w:hAnsiTheme="majorHAnsi" w:cstheme="majorHAnsi"/>
          <w:sz w:val="24"/>
          <w:szCs w:val="24"/>
        </w:rPr>
        <w:t xml:space="preserve">the person to go to for advice </w:t>
      </w:r>
      <w:r w:rsidR="001B703D" w:rsidRPr="001B703D">
        <w:rPr>
          <w:rFonts w:asciiTheme="majorHAnsi" w:hAnsiTheme="majorHAnsi" w:cstheme="majorHAnsi"/>
          <w:sz w:val="24"/>
          <w:szCs w:val="24"/>
        </w:rPr>
        <w:t>for both personal and professional issues. This can lead to that power being used to shape the way others view certain things.</w:t>
      </w:r>
      <w:r w:rsidR="00C36FCD">
        <w:rPr>
          <w:rFonts w:asciiTheme="majorHAnsi" w:hAnsiTheme="majorHAnsi" w:cstheme="majorHAnsi"/>
          <w:sz w:val="24"/>
          <w:szCs w:val="24"/>
        </w:rPr>
        <w:t xml:space="preserve"> This is also applicable to the teacher/student relationship when thinking about how a student can be attracted to a teacher</w:t>
      </w:r>
      <w:r w:rsidR="004668DB">
        <w:rPr>
          <w:rFonts w:asciiTheme="majorHAnsi" w:hAnsiTheme="majorHAnsi" w:cstheme="majorHAnsi"/>
          <w:sz w:val="24"/>
          <w:szCs w:val="24"/>
        </w:rPr>
        <w:t>’</w:t>
      </w:r>
      <w:r w:rsidR="00C36FCD">
        <w:rPr>
          <w:rFonts w:asciiTheme="majorHAnsi" w:hAnsiTheme="majorHAnsi" w:cstheme="majorHAnsi"/>
          <w:sz w:val="24"/>
          <w:szCs w:val="24"/>
        </w:rPr>
        <w:t>s personality</w:t>
      </w:r>
      <w:r w:rsidR="00DD64D6">
        <w:rPr>
          <w:rFonts w:asciiTheme="majorHAnsi" w:hAnsiTheme="majorHAnsi" w:cstheme="majorHAnsi"/>
          <w:sz w:val="24"/>
          <w:szCs w:val="24"/>
        </w:rPr>
        <w:t xml:space="preserve"> allowing them to become more influenced by that teacher, and less likely to be uninterested in the class</w:t>
      </w:r>
      <w:r w:rsidR="009F4DE5">
        <w:rPr>
          <w:rFonts w:asciiTheme="majorHAnsi" w:hAnsiTheme="majorHAnsi" w:cstheme="majorHAnsi"/>
          <w:sz w:val="24"/>
          <w:szCs w:val="24"/>
        </w:rPr>
        <w:t xml:space="preserve"> (ASEBT, 2018).</w:t>
      </w:r>
    </w:p>
    <w:p w14:paraId="38C78A61" w14:textId="1B08E871" w:rsidR="002D7753" w:rsidRPr="00BD63F7" w:rsidRDefault="002D7753" w:rsidP="00BD63F7">
      <w:pPr>
        <w:pStyle w:val="Heading3"/>
        <w:spacing w:line="360" w:lineRule="auto"/>
        <w:rPr>
          <w:rFonts w:cstheme="majorHAnsi"/>
        </w:rPr>
      </w:pPr>
      <w:r w:rsidRPr="00BD63F7">
        <w:rPr>
          <w:rFonts w:cstheme="majorHAnsi"/>
        </w:rPr>
        <w:t>Reward Power</w:t>
      </w:r>
    </w:p>
    <w:p w14:paraId="67A40962" w14:textId="5114E283" w:rsidR="002D7753" w:rsidRDefault="008B0A71" w:rsidP="00BD63F7">
      <w:pPr>
        <w:spacing w:line="360" w:lineRule="auto"/>
        <w:rPr>
          <w:rFonts w:asciiTheme="majorHAnsi" w:hAnsiTheme="majorHAnsi" w:cstheme="majorHAnsi"/>
          <w:sz w:val="24"/>
          <w:szCs w:val="24"/>
        </w:rPr>
      </w:pPr>
      <w:r w:rsidRPr="00BD63F7">
        <w:rPr>
          <w:rFonts w:asciiTheme="majorHAnsi" w:hAnsiTheme="majorHAnsi" w:cstheme="majorHAnsi"/>
          <w:sz w:val="24"/>
          <w:szCs w:val="24"/>
        </w:rPr>
        <w:t xml:space="preserve">Reward power </w:t>
      </w:r>
      <w:r w:rsidR="004668DB" w:rsidRPr="00BD63F7">
        <w:rPr>
          <w:rFonts w:asciiTheme="majorHAnsi" w:hAnsiTheme="majorHAnsi" w:cstheme="majorHAnsi"/>
          <w:sz w:val="24"/>
          <w:szCs w:val="24"/>
        </w:rPr>
        <w:t xml:space="preserve">entails rewarding someone for doing something you want them to do. This can be anything from praise and thanks to special treatment and physical rewards. </w:t>
      </w:r>
      <w:r w:rsidR="001B6192" w:rsidRPr="00BD63F7">
        <w:rPr>
          <w:rFonts w:asciiTheme="majorHAnsi" w:hAnsiTheme="majorHAnsi" w:cstheme="majorHAnsi"/>
          <w:sz w:val="24"/>
          <w:szCs w:val="24"/>
        </w:rPr>
        <w:t xml:space="preserve">As humans we are conditioned to notice patterns, and when </w:t>
      </w:r>
      <w:r w:rsidR="00026D5E" w:rsidRPr="00BD63F7">
        <w:rPr>
          <w:rFonts w:asciiTheme="majorHAnsi" w:hAnsiTheme="majorHAnsi" w:cstheme="majorHAnsi"/>
          <w:sz w:val="24"/>
          <w:szCs w:val="24"/>
        </w:rPr>
        <w:t>one is</w:t>
      </w:r>
      <w:r w:rsidR="001B6192" w:rsidRPr="00BD63F7">
        <w:rPr>
          <w:rFonts w:asciiTheme="majorHAnsi" w:hAnsiTheme="majorHAnsi" w:cstheme="majorHAnsi"/>
          <w:sz w:val="24"/>
          <w:szCs w:val="24"/>
        </w:rPr>
        <w:t xml:space="preserve"> continually rewarded for doing something, the likelihood </w:t>
      </w:r>
      <w:r w:rsidR="00026D5E" w:rsidRPr="00BD63F7">
        <w:rPr>
          <w:rFonts w:asciiTheme="majorHAnsi" w:hAnsiTheme="majorHAnsi" w:cstheme="majorHAnsi"/>
          <w:sz w:val="24"/>
          <w:szCs w:val="24"/>
        </w:rPr>
        <w:t>is that one continues doing said thing</w:t>
      </w:r>
      <w:r w:rsidR="003571AC" w:rsidRPr="00BD63F7">
        <w:rPr>
          <w:rFonts w:asciiTheme="majorHAnsi" w:hAnsiTheme="majorHAnsi" w:cstheme="majorHAnsi"/>
          <w:sz w:val="24"/>
          <w:szCs w:val="24"/>
        </w:rPr>
        <w:t xml:space="preserve"> (Mc</w:t>
      </w:r>
      <w:r w:rsidR="003972F7" w:rsidRPr="00BD63F7">
        <w:rPr>
          <w:rFonts w:asciiTheme="majorHAnsi" w:hAnsiTheme="majorHAnsi" w:cstheme="majorHAnsi"/>
          <w:sz w:val="24"/>
          <w:szCs w:val="24"/>
        </w:rPr>
        <w:t>L</w:t>
      </w:r>
      <w:r w:rsidR="003571AC" w:rsidRPr="00BD63F7">
        <w:rPr>
          <w:rFonts w:asciiTheme="majorHAnsi" w:hAnsiTheme="majorHAnsi" w:cstheme="majorHAnsi"/>
          <w:sz w:val="24"/>
          <w:szCs w:val="24"/>
        </w:rPr>
        <w:t xml:space="preserve">eod, 2007). This type of conditioning is called Operant conditioning </w:t>
      </w:r>
      <w:r w:rsidR="003972F7" w:rsidRPr="00BD63F7">
        <w:rPr>
          <w:rFonts w:asciiTheme="majorHAnsi" w:hAnsiTheme="majorHAnsi" w:cstheme="majorHAnsi"/>
          <w:sz w:val="24"/>
          <w:szCs w:val="24"/>
        </w:rPr>
        <w:t>(Skinner, 1938</w:t>
      </w:r>
      <w:r w:rsidR="008006C3" w:rsidRPr="00BD63F7">
        <w:rPr>
          <w:rFonts w:asciiTheme="majorHAnsi" w:hAnsiTheme="majorHAnsi" w:cstheme="majorHAnsi"/>
          <w:sz w:val="24"/>
          <w:szCs w:val="24"/>
        </w:rPr>
        <w:t>,</w:t>
      </w:r>
      <w:r w:rsidR="003972F7" w:rsidRPr="00BD63F7">
        <w:rPr>
          <w:rFonts w:asciiTheme="majorHAnsi" w:hAnsiTheme="majorHAnsi" w:cstheme="majorHAnsi"/>
          <w:sz w:val="24"/>
          <w:szCs w:val="24"/>
        </w:rPr>
        <w:t xml:space="preserve"> cited in McLeod, 2007).</w:t>
      </w:r>
      <w:r w:rsidR="000E3B06" w:rsidRPr="00BD63F7">
        <w:rPr>
          <w:rFonts w:asciiTheme="majorHAnsi" w:hAnsiTheme="majorHAnsi" w:cstheme="majorHAnsi"/>
          <w:sz w:val="24"/>
          <w:szCs w:val="24"/>
        </w:rPr>
        <w:t xml:space="preserve"> This also links in with the theory of the Rule of </w:t>
      </w:r>
      <w:r w:rsidR="00437994" w:rsidRPr="00BD63F7">
        <w:rPr>
          <w:rFonts w:asciiTheme="majorHAnsi" w:hAnsiTheme="majorHAnsi" w:cstheme="majorHAnsi"/>
          <w:sz w:val="24"/>
          <w:szCs w:val="24"/>
        </w:rPr>
        <w:t>Reciprocation</w:t>
      </w:r>
      <w:r w:rsidR="00E1196F">
        <w:rPr>
          <w:rFonts w:asciiTheme="majorHAnsi" w:hAnsiTheme="majorHAnsi" w:cstheme="majorHAnsi"/>
          <w:sz w:val="24"/>
          <w:szCs w:val="24"/>
        </w:rPr>
        <w:t>, also known as Positive Reinforcement</w:t>
      </w:r>
      <w:r w:rsidR="000E3B06" w:rsidRPr="00BD63F7">
        <w:rPr>
          <w:rFonts w:asciiTheme="majorHAnsi" w:hAnsiTheme="majorHAnsi" w:cstheme="majorHAnsi"/>
          <w:sz w:val="24"/>
          <w:szCs w:val="24"/>
        </w:rPr>
        <w:t>.</w:t>
      </w:r>
      <w:r w:rsidR="00C258E9" w:rsidRPr="00BD63F7">
        <w:rPr>
          <w:rFonts w:asciiTheme="majorHAnsi" w:hAnsiTheme="majorHAnsi" w:cstheme="majorHAnsi"/>
          <w:sz w:val="24"/>
          <w:szCs w:val="24"/>
        </w:rPr>
        <w:t xml:space="preserve"> Re</w:t>
      </w:r>
      <w:r w:rsidR="00437994" w:rsidRPr="00BD63F7">
        <w:rPr>
          <w:rFonts w:asciiTheme="majorHAnsi" w:hAnsiTheme="majorHAnsi" w:cstheme="majorHAnsi"/>
          <w:sz w:val="24"/>
          <w:szCs w:val="24"/>
        </w:rPr>
        <w:t xml:space="preserve">ciprocity is being ‘able to quickly decide </w:t>
      </w:r>
      <w:r w:rsidR="00091E12" w:rsidRPr="00BD63F7">
        <w:rPr>
          <w:rFonts w:asciiTheme="majorHAnsi" w:hAnsiTheme="majorHAnsi" w:cstheme="majorHAnsi"/>
          <w:sz w:val="24"/>
          <w:szCs w:val="24"/>
        </w:rPr>
        <w:t>whether to do something for someone based solely on our prior experience with that person’ (</w:t>
      </w:r>
      <w:proofErr w:type="spellStart"/>
      <w:r w:rsidR="00091E12" w:rsidRPr="00BD63F7">
        <w:rPr>
          <w:rFonts w:asciiTheme="majorHAnsi" w:hAnsiTheme="majorHAnsi" w:cstheme="majorHAnsi"/>
          <w:sz w:val="24"/>
          <w:szCs w:val="24"/>
        </w:rPr>
        <w:t>Rieck</w:t>
      </w:r>
      <w:proofErr w:type="spellEnd"/>
      <w:r w:rsidR="00091E12" w:rsidRPr="00BD63F7">
        <w:rPr>
          <w:rFonts w:asciiTheme="majorHAnsi" w:hAnsiTheme="majorHAnsi" w:cstheme="majorHAnsi"/>
          <w:sz w:val="24"/>
          <w:szCs w:val="24"/>
        </w:rPr>
        <w:t xml:space="preserve">, </w:t>
      </w:r>
      <w:r w:rsidR="00C800E5" w:rsidRPr="00BD63F7">
        <w:rPr>
          <w:rFonts w:asciiTheme="majorHAnsi" w:hAnsiTheme="majorHAnsi" w:cstheme="majorHAnsi"/>
          <w:sz w:val="24"/>
          <w:szCs w:val="24"/>
        </w:rPr>
        <w:t>1997</w:t>
      </w:r>
      <w:r w:rsidR="00091E12" w:rsidRPr="00BD63F7">
        <w:rPr>
          <w:rFonts w:asciiTheme="majorHAnsi" w:hAnsiTheme="majorHAnsi" w:cstheme="majorHAnsi"/>
          <w:sz w:val="24"/>
          <w:szCs w:val="24"/>
        </w:rPr>
        <w:t xml:space="preserve">). In theory, if </w:t>
      </w:r>
      <w:r w:rsidR="00482248" w:rsidRPr="00BD63F7">
        <w:rPr>
          <w:rFonts w:asciiTheme="majorHAnsi" w:hAnsiTheme="majorHAnsi" w:cstheme="majorHAnsi"/>
          <w:sz w:val="24"/>
          <w:szCs w:val="24"/>
        </w:rPr>
        <w:t xml:space="preserve">the teacher acts positively to a student, there is a strong possibility that they will feel compelled to act in the same manner, therefore, reciprocating the kindness. This </w:t>
      </w:r>
      <w:r w:rsidR="009B10FB" w:rsidRPr="00BD63F7">
        <w:rPr>
          <w:rFonts w:asciiTheme="majorHAnsi" w:hAnsiTheme="majorHAnsi" w:cstheme="majorHAnsi"/>
          <w:sz w:val="24"/>
          <w:szCs w:val="24"/>
        </w:rPr>
        <w:t>evokes power within the relationship as the impulse to reciprocate kindness is present in the vast majority of society (</w:t>
      </w:r>
      <w:proofErr w:type="spellStart"/>
      <w:r w:rsidR="00C800E5" w:rsidRPr="00BD63F7">
        <w:rPr>
          <w:rFonts w:asciiTheme="majorHAnsi" w:hAnsiTheme="majorHAnsi" w:cstheme="majorHAnsi"/>
          <w:sz w:val="24"/>
          <w:szCs w:val="24"/>
        </w:rPr>
        <w:t>Gouldner</w:t>
      </w:r>
      <w:proofErr w:type="spellEnd"/>
      <w:r w:rsidR="00C800E5" w:rsidRPr="00BD63F7">
        <w:rPr>
          <w:rFonts w:asciiTheme="majorHAnsi" w:hAnsiTheme="majorHAnsi" w:cstheme="majorHAnsi"/>
          <w:sz w:val="24"/>
          <w:szCs w:val="24"/>
        </w:rPr>
        <w:t xml:space="preserve">, No Date, cited in </w:t>
      </w:r>
      <w:proofErr w:type="spellStart"/>
      <w:r w:rsidR="00C800E5" w:rsidRPr="00BD63F7">
        <w:rPr>
          <w:rFonts w:asciiTheme="majorHAnsi" w:hAnsiTheme="majorHAnsi" w:cstheme="majorHAnsi"/>
          <w:sz w:val="24"/>
          <w:szCs w:val="24"/>
        </w:rPr>
        <w:t>Rieck</w:t>
      </w:r>
      <w:proofErr w:type="spellEnd"/>
      <w:r w:rsidR="00C800E5" w:rsidRPr="00BD63F7">
        <w:rPr>
          <w:rFonts w:asciiTheme="majorHAnsi" w:hAnsiTheme="majorHAnsi" w:cstheme="majorHAnsi"/>
          <w:sz w:val="24"/>
          <w:szCs w:val="24"/>
        </w:rPr>
        <w:t>, 1997</w:t>
      </w:r>
      <w:r w:rsidR="008006C3" w:rsidRPr="00BD63F7">
        <w:rPr>
          <w:rFonts w:asciiTheme="majorHAnsi" w:hAnsiTheme="majorHAnsi" w:cstheme="majorHAnsi"/>
          <w:sz w:val="24"/>
          <w:szCs w:val="24"/>
        </w:rPr>
        <w:t>).</w:t>
      </w:r>
    </w:p>
    <w:p w14:paraId="19D72809" w14:textId="071509C6" w:rsidR="002F0161" w:rsidRPr="001C746C" w:rsidRDefault="002F0161" w:rsidP="001C746C">
      <w:pPr>
        <w:pStyle w:val="Heading3"/>
        <w:spacing w:line="360" w:lineRule="auto"/>
        <w:rPr>
          <w:rFonts w:cstheme="majorHAnsi"/>
        </w:rPr>
      </w:pPr>
      <w:r w:rsidRPr="001C746C">
        <w:rPr>
          <w:rFonts w:cstheme="majorHAnsi"/>
        </w:rPr>
        <w:t>Coercive Power</w:t>
      </w:r>
    </w:p>
    <w:p w14:paraId="4D24A71A" w14:textId="59C20E3D" w:rsidR="00262A25" w:rsidRDefault="00597E31" w:rsidP="001C746C">
      <w:pPr>
        <w:spacing w:line="360" w:lineRule="auto"/>
        <w:rPr>
          <w:rFonts w:asciiTheme="majorHAnsi" w:hAnsiTheme="majorHAnsi" w:cstheme="majorHAnsi"/>
          <w:sz w:val="24"/>
          <w:szCs w:val="24"/>
        </w:rPr>
      </w:pPr>
      <w:r w:rsidRPr="001C746C">
        <w:rPr>
          <w:rFonts w:asciiTheme="majorHAnsi" w:hAnsiTheme="majorHAnsi" w:cstheme="majorHAnsi"/>
          <w:sz w:val="24"/>
          <w:szCs w:val="24"/>
        </w:rPr>
        <w:t>Coercive power opposes Reward power in the sense that instead of influencing behaviour through reward, the wanted response is coerced through fear of punishment</w:t>
      </w:r>
      <w:r w:rsidR="00FD3408" w:rsidRPr="001C746C">
        <w:rPr>
          <w:rFonts w:asciiTheme="majorHAnsi" w:hAnsiTheme="majorHAnsi" w:cstheme="majorHAnsi"/>
          <w:sz w:val="24"/>
          <w:szCs w:val="24"/>
        </w:rPr>
        <w:t xml:space="preserve"> (Cummins, </w:t>
      </w:r>
      <w:r w:rsidR="00FD3408" w:rsidRPr="001C746C">
        <w:rPr>
          <w:rFonts w:asciiTheme="majorHAnsi" w:hAnsiTheme="majorHAnsi" w:cstheme="majorHAnsi"/>
          <w:sz w:val="24"/>
          <w:szCs w:val="24"/>
        </w:rPr>
        <w:lastRenderedPageBreak/>
        <w:t>2009).</w:t>
      </w:r>
      <w:r w:rsidR="005D2EC0" w:rsidRPr="001C746C">
        <w:rPr>
          <w:rFonts w:asciiTheme="majorHAnsi" w:hAnsiTheme="majorHAnsi" w:cstheme="majorHAnsi"/>
          <w:sz w:val="24"/>
          <w:szCs w:val="24"/>
        </w:rPr>
        <w:t xml:space="preserve"> This type of power is temporary when used constantly, but works best when used sparingly (Cummins, 2009). </w:t>
      </w:r>
      <w:r w:rsidR="00F11C18" w:rsidRPr="001C746C">
        <w:rPr>
          <w:rFonts w:asciiTheme="majorHAnsi" w:hAnsiTheme="majorHAnsi" w:cstheme="majorHAnsi"/>
          <w:sz w:val="24"/>
          <w:szCs w:val="24"/>
        </w:rPr>
        <w:t>Punishments</w:t>
      </w:r>
      <w:r w:rsidR="00055C9A" w:rsidRPr="001C746C">
        <w:rPr>
          <w:rFonts w:asciiTheme="majorHAnsi" w:hAnsiTheme="majorHAnsi" w:cstheme="majorHAnsi"/>
          <w:sz w:val="24"/>
          <w:szCs w:val="24"/>
        </w:rPr>
        <w:t xml:space="preserve"> used in most modern schools range from writing lines to after school detention and even exclusion, yet students who are punished are more likely to continue being disruptive in response to receiving the punishment. </w:t>
      </w:r>
      <w:r w:rsidR="00A263E6" w:rsidRPr="001C746C">
        <w:rPr>
          <w:rFonts w:asciiTheme="majorHAnsi" w:hAnsiTheme="majorHAnsi" w:cstheme="majorHAnsi"/>
          <w:sz w:val="24"/>
          <w:szCs w:val="24"/>
        </w:rPr>
        <w:t xml:space="preserve">This type of power can be effective when used in a </w:t>
      </w:r>
      <w:r w:rsidR="001C746C" w:rsidRPr="001C746C">
        <w:rPr>
          <w:rFonts w:asciiTheme="majorHAnsi" w:hAnsiTheme="majorHAnsi" w:cstheme="majorHAnsi"/>
          <w:sz w:val="24"/>
          <w:szCs w:val="24"/>
        </w:rPr>
        <w:t>subtler</w:t>
      </w:r>
      <w:r w:rsidR="00A263E6" w:rsidRPr="001C746C">
        <w:rPr>
          <w:rFonts w:asciiTheme="majorHAnsi" w:hAnsiTheme="majorHAnsi" w:cstheme="majorHAnsi"/>
          <w:sz w:val="24"/>
          <w:szCs w:val="24"/>
        </w:rPr>
        <w:t xml:space="preserve"> manner, such as if the student has not finished their work they must remain in the classroom through their break times to finish it. </w:t>
      </w:r>
      <w:r w:rsidR="001C746C" w:rsidRPr="001C746C">
        <w:rPr>
          <w:rFonts w:asciiTheme="majorHAnsi" w:hAnsiTheme="majorHAnsi" w:cstheme="majorHAnsi"/>
          <w:sz w:val="24"/>
          <w:szCs w:val="24"/>
        </w:rPr>
        <w:t>Generally,</w:t>
      </w:r>
      <w:r w:rsidR="00A263E6" w:rsidRPr="001C746C">
        <w:rPr>
          <w:rFonts w:asciiTheme="majorHAnsi" w:hAnsiTheme="majorHAnsi" w:cstheme="majorHAnsi"/>
          <w:sz w:val="24"/>
          <w:szCs w:val="24"/>
        </w:rPr>
        <w:t xml:space="preserve"> students will learn that if they do not finish their work they will miss their break </w:t>
      </w:r>
      <w:r w:rsidR="005E2813" w:rsidRPr="001C746C">
        <w:rPr>
          <w:rFonts w:asciiTheme="majorHAnsi" w:hAnsiTheme="majorHAnsi" w:cstheme="majorHAnsi"/>
          <w:sz w:val="24"/>
          <w:szCs w:val="24"/>
        </w:rPr>
        <w:t>so, in theory, they will aim to get the work done so they do not miss out on something. This type of punishment can garner a better response than providing the student with modern disciplinary methods as these can limit the student’s</w:t>
      </w:r>
      <w:r w:rsidR="00BB79D3" w:rsidRPr="001C746C">
        <w:rPr>
          <w:rFonts w:asciiTheme="majorHAnsi" w:hAnsiTheme="majorHAnsi" w:cstheme="majorHAnsi"/>
          <w:sz w:val="24"/>
          <w:szCs w:val="24"/>
        </w:rPr>
        <w:t xml:space="preserve"> academic progress (Smith, Fisher &amp; Frey, 2015). Taking a child out of the class as a punishment </w:t>
      </w:r>
      <w:r w:rsidR="00AC11C3" w:rsidRPr="001C746C">
        <w:rPr>
          <w:rFonts w:asciiTheme="majorHAnsi" w:hAnsiTheme="majorHAnsi" w:cstheme="majorHAnsi"/>
          <w:sz w:val="24"/>
          <w:szCs w:val="24"/>
        </w:rPr>
        <w:t>will only make them fall behind on work, and when the cause of the mis-behaviour is due to the student having issues with the academia then the right way to handle this would be amending the approach to the information being provided.</w:t>
      </w:r>
    </w:p>
    <w:p w14:paraId="04A91CB2" w14:textId="350008CB" w:rsidR="002B0A83" w:rsidRPr="00E16E01" w:rsidRDefault="00AD764A" w:rsidP="00E16E01">
      <w:pPr>
        <w:pStyle w:val="Heading3"/>
        <w:spacing w:line="360" w:lineRule="auto"/>
        <w:rPr>
          <w:rFonts w:cstheme="majorHAnsi"/>
        </w:rPr>
      </w:pPr>
      <w:r w:rsidRPr="00E16E01">
        <w:rPr>
          <w:rFonts w:cstheme="majorHAnsi"/>
        </w:rPr>
        <w:t>Abuse of power</w:t>
      </w:r>
    </w:p>
    <w:p w14:paraId="556F2DB3" w14:textId="77777777" w:rsidR="001031B7" w:rsidRDefault="0070504F" w:rsidP="00E16E01">
      <w:pPr>
        <w:spacing w:line="360" w:lineRule="auto"/>
        <w:rPr>
          <w:rFonts w:asciiTheme="majorHAnsi" w:hAnsiTheme="majorHAnsi" w:cstheme="majorHAnsi"/>
          <w:sz w:val="24"/>
          <w:szCs w:val="24"/>
        </w:rPr>
      </w:pPr>
      <w:r w:rsidRPr="00E16E01">
        <w:rPr>
          <w:rFonts w:asciiTheme="majorHAnsi" w:hAnsiTheme="majorHAnsi" w:cstheme="majorHAnsi"/>
          <w:sz w:val="24"/>
          <w:szCs w:val="24"/>
        </w:rPr>
        <w:t>T</w:t>
      </w:r>
      <w:r w:rsidR="00B4690B" w:rsidRPr="00E16E01">
        <w:rPr>
          <w:rFonts w:asciiTheme="majorHAnsi" w:hAnsiTheme="majorHAnsi" w:cstheme="majorHAnsi"/>
          <w:sz w:val="24"/>
          <w:szCs w:val="24"/>
        </w:rPr>
        <w:t xml:space="preserve">here are some people </w:t>
      </w:r>
      <w:r w:rsidR="00FF6B69" w:rsidRPr="00E16E01">
        <w:rPr>
          <w:rFonts w:asciiTheme="majorHAnsi" w:hAnsiTheme="majorHAnsi" w:cstheme="majorHAnsi"/>
          <w:sz w:val="24"/>
          <w:szCs w:val="24"/>
        </w:rPr>
        <w:t xml:space="preserve">who take advantage of the power afforded to them within the education sector. </w:t>
      </w:r>
      <w:r w:rsidR="00E72ABE" w:rsidRPr="00E16E01">
        <w:rPr>
          <w:rFonts w:asciiTheme="majorHAnsi" w:hAnsiTheme="majorHAnsi" w:cstheme="majorHAnsi"/>
          <w:sz w:val="24"/>
          <w:szCs w:val="24"/>
        </w:rPr>
        <w:t xml:space="preserve">One of the biggest factors </w:t>
      </w:r>
      <w:r w:rsidR="002608AE" w:rsidRPr="00E16E01">
        <w:rPr>
          <w:rFonts w:asciiTheme="majorHAnsi" w:hAnsiTheme="majorHAnsi" w:cstheme="majorHAnsi"/>
          <w:sz w:val="24"/>
          <w:szCs w:val="24"/>
        </w:rPr>
        <w:t xml:space="preserve">effecting misuse of power is sexual misconduct. </w:t>
      </w:r>
      <w:r w:rsidR="00020E76" w:rsidRPr="00E16E01">
        <w:rPr>
          <w:rFonts w:asciiTheme="majorHAnsi" w:hAnsiTheme="majorHAnsi" w:cstheme="majorHAnsi"/>
          <w:sz w:val="24"/>
          <w:szCs w:val="24"/>
        </w:rPr>
        <w:t xml:space="preserve">As of </w:t>
      </w:r>
      <w:r w:rsidR="001C102A" w:rsidRPr="00E16E01">
        <w:rPr>
          <w:rFonts w:asciiTheme="majorHAnsi" w:hAnsiTheme="majorHAnsi" w:cstheme="majorHAnsi"/>
          <w:sz w:val="24"/>
          <w:szCs w:val="24"/>
        </w:rPr>
        <w:t>July 2017,</w:t>
      </w:r>
      <w:r w:rsidR="002608AE" w:rsidRPr="00E16E01">
        <w:rPr>
          <w:rFonts w:asciiTheme="majorHAnsi" w:hAnsiTheme="majorHAnsi" w:cstheme="majorHAnsi"/>
          <w:sz w:val="24"/>
          <w:szCs w:val="24"/>
        </w:rPr>
        <w:t xml:space="preserve"> there </w:t>
      </w:r>
      <w:r w:rsidR="00020E76" w:rsidRPr="00E16E01">
        <w:rPr>
          <w:rFonts w:asciiTheme="majorHAnsi" w:hAnsiTheme="majorHAnsi" w:cstheme="majorHAnsi"/>
          <w:sz w:val="24"/>
          <w:szCs w:val="24"/>
        </w:rPr>
        <w:t>have been</w:t>
      </w:r>
      <w:r w:rsidR="002608AE" w:rsidRPr="00E16E01">
        <w:rPr>
          <w:rFonts w:asciiTheme="majorHAnsi" w:hAnsiTheme="majorHAnsi" w:cstheme="majorHAnsi"/>
          <w:sz w:val="24"/>
          <w:szCs w:val="24"/>
        </w:rPr>
        <w:t xml:space="preserve"> </w:t>
      </w:r>
      <w:r w:rsidR="00C0184F" w:rsidRPr="00E16E01">
        <w:rPr>
          <w:rFonts w:asciiTheme="majorHAnsi" w:hAnsiTheme="majorHAnsi" w:cstheme="majorHAnsi"/>
          <w:sz w:val="24"/>
          <w:szCs w:val="24"/>
        </w:rPr>
        <w:t>two hundred and fifty-six</w:t>
      </w:r>
      <w:r w:rsidR="00F14CEE" w:rsidRPr="00E16E01">
        <w:rPr>
          <w:rFonts w:asciiTheme="majorHAnsi" w:hAnsiTheme="majorHAnsi" w:cstheme="majorHAnsi"/>
          <w:sz w:val="24"/>
          <w:szCs w:val="24"/>
        </w:rPr>
        <w:t xml:space="preserve"> teachers </w:t>
      </w:r>
      <w:r w:rsidR="00C7777A" w:rsidRPr="00E16E01">
        <w:rPr>
          <w:rFonts w:asciiTheme="majorHAnsi" w:hAnsiTheme="majorHAnsi" w:cstheme="majorHAnsi"/>
          <w:sz w:val="24"/>
          <w:szCs w:val="24"/>
        </w:rPr>
        <w:t xml:space="preserve">banned from teaching for sexual misconduct or breach of boundaries </w:t>
      </w:r>
      <w:r w:rsidR="00020E76" w:rsidRPr="00E16E01">
        <w:rPr>
          <w:rFonts w:asciiTheme="majorHAnsi" w:hAnsiTheme="majorHAnsi" w:cstheme="majorHAnsi"/>
          <w:sz w:val="24"/>
          <w:szCs w:val="24"/>
        </w:rPr>
        <w:t xml:space="preserve">since 2012 </w:t>
      </w:r>
      <w:r w:rsidR="00C7777A" w:rsidRPr="00E16E01">
        <w:rPr>
          <w:rFonts w:asciiTheme="majorHAnsi" w:hAnsiTheme="majorHAnsi" w:cstheme="majorHAnsi"/>
          <w:sz w:val="24"/>
          <w:szCs w:val="24"/>
        </w:rPr>
        <w:t xml:space="preserve">(NSPCC, 2017 cited in </w:t>
      </w:r>
      <w:r w:rsidR="00020E76" w:rsidRPr="00E16E01">
        <w:rPr>
          <w:rFonts w:asciiTheme="majorHAnsi" w:hAnsiTheme="majorHAnsi" w:cstheme="majorHAnsi"/>
          <w:sz w:val="24"/>
          <w:szCs w:val="24"/>
        </w:rPr>
        <w:t>Sharman, 2017).</w:t>
      </w:r>
      <w:r w:rsidR="001C102A" w:rsidRPr="00E16E01">
        <w:rPr>
          <w:rFonts w:asciiTheme="majorHAnsi" w:hAnsiTheme="majorHAnsi" w:cstheme="majorHAnsi"/>
          <w:sz w:val="24"/>
          <w:szCs w:val="24"/>
        </w:rPr>
        <w:t xml:space="preserve"> Within this same timeframe, there were </w:t>
      </w:r>
      <w:r w:rsidR="00C0184F" w:rsidRPr="00E16E01">
        <w:rPr>
          <w:rFonts w:asciiTheme="majorHAnsi" w:hAnsiTheme="majorHAnsi" w:cstheme="majorHAnsi"/>
          <w:sz w:val="24"/>
          <w:szCs w:val="24"/>
        </w:rPr>
        <w:t>twenty-five</w:t>
      </w:r>
      <w:r w:rsidR="00001CFD" w:rsidRPr="00E16E01">
        <w:rPr>
          <w:rFonts w:asciiTheme="majorHAnsi" w:hAnsiTheme="majorHAnsi" w:cstheme="majorHAnsi"/>
          <w:sz w:val="24"/>
          <w:szCs w:val="24"/>
        </w:rPr>
        <w:t xml:space="preserve"> teachers banned for alcohol and/or drugs, </w:t>
      </w:r>
      <w:r w:rsidR="00C0184F" w:rsidRPr="00E16E01">
        <w:rPr>
          <w:rFonts w:asciiTheme="majorHAnsi" w:hAnsiTheme="majorHAnsi" w:cstheme="majorHAnsi"/>
          <w:sz w:val="24"/>
          <w:szCs w:val="24"/>
        </w:rPr>
        <w:t>fourteen</w:t>
      </w:r>
      <w:r w:rsidR="00001CFD" w:rsidRPr="00E16E01">
        <w:rPr>
          <w:rFonts w:asciiTheme="majorHAnsi" w:hAnsiTheme="majorHAnsi" w:cstheme="majorHAnsi"/>
          <w:sz w:val="24"/>
          <w:szCs w:val="24"/>
        </w:rPr>
        <w:t xml:space="preserve"> banned for violence and </w:t>
      </w:r>
      <w:r w:rsidR="00C0184F" w:rsidRPr="00E16E01">
        <w:rPr>
          <w:rFonts w:asciiTheme="majorHAnsi" w:hAnsiTheme="majorHAnsi" w:cstheme="majorHAnsi"/>
          <w:sz w:val="24"/>
          <w:szCs w:val="24"/>
        </w:rPr>
        <w:t>eleven</w:t>
      </w:r>
      <w:r w:rsidR="00001CFD" w:rsidRPr="00E16E01">
        <w:rPr>
          <w:rFonts w:asciiTheme="majorHAnsi" w:hAnsiTheme="majorHAnsi" w:cstheme="majorHAnsi"/>
          <w:sz w:val="24"/>
          <w:szCs w:val="24"/>
        </w:rPr>
        <w:t xml:space="preserve"> banned for indecent images</w:t>
      </w:r>
      <w:r w:rsidR="00C0184F" w:rsidRPr="00E16E01">
        <w:rPr>
          <w:rFonts w:asciiTheme="majorHAnsi" w:hAnsiTheme="majorHAnsi" w:cstheme="majorHAnsi"/>
          <w:sz w:val="24"/>
          <w:szCs w:val="24"/>
        </w:rPr>
        <w:t xml:space="preserve"> (NSPCC, 2017, cited in Sharman, 2017)</w:t>
      </w:r>
      <w:r w:rsidR="001169E2" w:rsidRPr="00E16E01">
        <w:rPr>
          <w:rFonts w:asciiTheme="majorHAnsi" w:hAnsiTheme="majorHAnsi" w:cstheme="majorHAnsi"/>
          <w:sz w:val="24"/>
          <w:szCs w:val="24"/>
        </w:rPr>
        <w:t xml:space="preserve">. Students are taught to respect teachers and that as </w:t>
      </w:r>
      <w:r w:rsidR="00B03790" w:rsidRPr="00E16E01">
        <w:rPr>
          <w:rFonts w:asciiTheme="majorHAnsi" w:hAnsiTheme="majorHAnsi" w:cstheme="majorHAnsi"/>
          <w:sz w:val="24"/>
          <w:szCs w:val="24"/>
        </w:rPr>
        <w:t xml:space="preserve">adults they are responsible and possibly a confidant in times of distress which builds trust. When this trust is abused through the misuse of power this can cause </w:t>
      </w:r>
      <w:r w:rsidR="007D232F" w:rsidRPr="00E16E01">
        <w:rPr>
          <w:rFonts w:asciiTheme="majorHAnsi" w:hAnsiTheme="majorHAnsi" w:cstheme="majorHAnsi"/>
          <w:sz w:val="24"/>
          <w:szCs w:val="24"/>
        </w:rPr>
        <w:t>a lot of damage to a child’s mental health (NSPCC, 2017, cited in Sharman, 2017).</w:t>
      </w:r>
      <w:r w:rsidR="00EE4E4E" w:rsidRPr="00E16E01">
        <w:rPr>
          <w:rFonts w:asciiTheme="majorHAnsi" w:hAnsiTheme="majorHAnsi" w:cstheme="majorHAnsi"/>
          <w:sz w:val="24"/>
          <w:szCs w:val="24"/>
        </w:rPr>
        <w:t xml:space="preserve"> </w:t>
      </w:r>
    </w:p>
    <w:p w14:paraId="6FD51035" w14:textId="59D57553" w:rsidR="0067569A" w:rsidRDefault="00EE4E4E" w:rsidP="00E16E01">
      <w:pPr>
        <w:spacing w:line="360" w:lineRule="auto"/>
        <w:rPr>
          <w:rFonts w:asciiTheme="majorHAnsi" w:hAnsiTheme="majorHAnsi" w:cstheme="majorHAnsi"/>
          <w:sz w:val="24"/>
          <w:szCs w:val="24"/>
        </w:rPr>
      </w:pPr>
      <w:r w:rsidRPr="00E16E01">
        <w:rPr>
          <w:rFonts w:asciiTheme="majorHAnsi" w:hAnsiTheme="majorHAnsi" w:cstheme="majorHAnsi"/>
          <w:sz w:val="24"/>
          <w:szCs w:val="24"/>
        </w:rPr>
        <w:t xml:space="preserve">There is, of course, the complete reverse of the prior point. </w:t>
      </w:r>
      <w:r w:rsidR="006E0F6A">
        <w:rPr>
          <w:rFonts w:asciiTheme="majorHAnsi" w:hAnsiTheme="majorHAnsi" w:cstheme="majorHAnsi"/>
          <w:sz w:val="24"/>
          <w:szCs w:val="24"/>
        </w:rPr>
        <w:t>S</w:t>
      </w:r>
      <w:r w:rsidRPr="00E16E01">
        <w:rPr>
          <w:rFonts w:asciiTheme="majorHAnsi" w:hAnsiTheme="majorHAnsi" w:cstheme="majorHAnsi"/>
          <w:sz w:val="24"/>
          <w:szCs w:val="24"/>
        </w:rPr>
        <w:t xml:space="preserve">tudents have an ability to misuse their power as young, innocent children when making false accusations of misconduct against a teacher or other staff member. The National Union of Teachers (NUT) advises </w:t>
      </w:r>
      <w:r w:rsidR="00964049" w:rsidRPr="00E16E01">
        <w:rPr>
          <w:rFonts w:asciiTheme="majorHAnsi" w:hAnsiTheme="majorHAnsi" w:cstheme="majorHAnsi"/>
          <w:sz w:val="24"/>
          <w:szCs w:val="24"/>
        </w:rPr>
        <w:t>that each year around two hundred and fifty NUT members approach them for help with accusations, with only a small number of these resulting in conviction (Brown, 2017, cited in Sharman, 2017).</w:t>
      </w:r>
      <w:r w:rsidR="00F22AF4" w:rsidRPr="00E16E01">
        <w:rPr>
          <w:rFonts w:asciiTheme="majorHAnsi" w:hAnsiTheme="majorHAnsi" w:cstheme="majorHAnsi"/>
          <w:sz w:val="24"/>
          <w:szCs w:val="24"/>
        </w:rPr>
        <w:t xml:space="preserve"> Research (Gov, 2011) found that teachers are at the most risk of being </w:t>
      </w:r>
      <w:r w:rsidR="00F22AF4" w:rsidRPr="00E16E01">
        <w:rPr>
          <w:rFonts w:asciiTheme="majorHAnsi" w:hAnsiTheme="majorHAnsi" w:cstheme="majorHAnsi"/>
          <w:sz w:val="24"/>
          <w:szCs w:val="24"/>
        </w:rPr>
        <w:lastRenderedPageBreak/>
        <w:t>falsely accused of misconduct.</w:t>
      </w:r>
      <w:r w:rsidR="006535F3" w:rsidRPr="00E16E01">
        <w:rPr>
          <w:rFonts w:asciiTheme="majorHAnsi" w:hAnsiTheme="majorHAnsi" w:cstheme="majorHAnsi"/>
          <w:sz w:val="24"/>
          <w:szCs w:val="24"/>
        </w:rPr>
        <w:t xml:space="preserve"> The research found that through 2009/2010 there were two thousand and twenty-seven allegations of misconduct </w:t>
      </w:r>
      <w:r w:rsidR="00C56B9A" w:rsidRPr="00E16E01">
        <w:rPr>
          <w:rFonts w:asciiTheme="majorHAnsi" w:hAnsiTheme="majorHAnsi" w:cstheme="majorHAnsi"/>
          <w:sz w:val="24"/>
          <w:szCs w:val="24"/>
        </w:rPr>
        <w:t>were made against school teachers, with over half these being found to be false accusations (Gov, 2011).</w:t>
      </w:r>
      <w:r w:rsidR="00BB27A9" w:rsidRPr="00E16E01">
        <w:rPr>
          <w:rFonts w:asciiTheme="majorHAnsi" w:hAnsiTheme="majorHAnsi" w:cstheme="majorHAnsi"/>
          <w:sz w:val="24"/>
          <w:szCs w:val="24"/>
        </w:rPr>
        <w:t xml:space="preserve"> This resulted in four hundred and fifty-nine teachers being suspended pending an investigation, and in the aforementioned figures relating to the </w:t>
      </w:r>
      <w:r w:rsidR="00E16E01" w:rsidRPr="00E16E01">
        <w:rPr>
          <w:rFonts w:asciiTheme="majorHAnsi" w:hAnsiTheme="majorHAnsi" w:cstheme="majorHAnsi"/>
          <w:sz w:val="24"/>
          <w:szCs w:val="24"/>
        </w:rPr>
        <w:t>number</w:t>
      </w:r>
      <w:r w:rsidR="00BB27A9" w:rsidRPr="00E16E01">
        <w:rPr>
          <w:rFonts w:asciiTheme="majorHAnsi" w:hAnsiTheme="majorHAnsi" w:cstheme="majorHAnsi"/>
          <w:sz w:val="24"/>
          <w:szCs w:val="24"/>
        </w:rPr>
        <w:t xml:space="preserve"> of teachers banned from teaching, only an average of fifty teachers per year are found to be guilty </w:t>
      </w:r>
      <w:r w:rsidR="00AC3698" w:rsidRPr="00E16E01">
        <w:rPr>
          <w:rFonts w:asciiTheme="majorHAnsi" w:hAnsiTheme="majorHAnsi" w:cstheme="majorHAnsi"/>
          <w:sz w:val="24"/>
          <w:szCs w:val="24"/>
        </w:rPr>
        <w:t>meaning that an average four hundred and nine of the suspended teachers were found to be innocent (Gov, 2011).</w:t>
      </w:r>
    </w:p>
    <w:p w14:paraId="0D8CF739" w14:textId="05EB0AB4" w:rsidR="001031B7" w:rsidRDefault="00B428B4" w:rsidP="00E16E01">
      <w:pPr>
        <w:spacing w:line="360" w:lineRule="auto"/>
        <w:rPr>
          <w:rFonts w:asciiTheme="majorHAnsi" w:hAnsiTheme="majorHAnsi" w:cstheme="majorHAnsi"/>
          <w:sz w:val="24"/>
          <w:szCs w:val="24"/>
        </w:rPr>
      </w:pPr>
      <w:r>
        <w:rPr>
          <w:rFonts w:asciiTheme="majorHAnsi" w:hAnsiTheme="majorHAnsi" w:cstheme="majorHAnsi"/>
          <w:sz w:val="24"/>
          <w:szCs w:val="24"/>
        </w:rPr>
        <w:t xml:space="preserve">The </w:t>
      </w:r>
      <w:r w:rsidR="0076306B">
        <w:rPr>
          <w:rFonts w:asciiTheme="majorHAnsi" w:hAnsiTheme="majorHAnsi" w:cstheme="majorHAnsi"/>
          <w:sz w:val="24"/>
          <w:szCs w:val="24"/>
        </w:rPr>
        <w:t>Local Authority</w:t>
      </w:r>
      <w:r w:rsidR="00C17B2E">
        <w:rPr>
          <w:rFonts w:asciiTheme="majorHAnsi" w:hAnsiTheme="majorHAnsi" w:cstheme="majorHAnsi"/>
          <w:sz w:val="24"/>
          <w:szCs w:val="24"/>
        </w:rPr>
        <w:t xml:space="preserve"> (LA)</w:t>
      </w:r>
      <w:r>
        <w:rPr>
          <w:rFonts w:asciiTheme="majorHAnsi" w:hAnsiTheme="majorHAnsi" w:cstheme="majorHAnsi"/>
          <w:sz w:val="24"/>
          <w:szCs w:val="24"/>
        </w:rPr>
        <w:t xml:space="preserve"> can also prove to be a misuser of power regarding education. The Government provide </w:t>
      </w:r>
      <w:r w:rsidR="00C17B2E">
        <w:rPr>
          <w:rFonts w:asciiTheme="majorHAnsi" w:hAnsiTheme="majorHAnsi" w:cstheme="majorHAnsi"/>
          <w:sz w:val="24"/>
          <w:szCs w:val="24"/>
        </w:rPr>
        <w:t>three separate</w:t>
      </w:r>
      <w:r>
        <w:rPr>
          <w:rFonts w:asciiTheme="majorHAnsi" w:hAnsiTheme="majorHAnsi" w:cstheme="majorHAnsi"/>
          <w:sz w:val="24"/>
          <w:szCs w:val="24"/>
        </w:rPr>
        <w:t xml:space="preserve"> annual budget</w:t>
      </w:r>
      <w:r w:rsidR="00C17B2E">
        <w:rPr>
          <w:rFonts w:asciiTheme="majorHAnsi" w:hAnsiTheme="majorHAnsi" w:cstheme="majorHAnsi"/>
          <w:sz w:val="24"/>
          <w:szCs w:val="24"/>
        </w:rPr>
        <w:t>s</w:t>
      </w:r>
      <w:r>
        <w:rPr>
          <w:rFonts w:asciiTheme="majorHAnsi" w:hAnsiTheme="majorHAnsi" w:cstheme="majorHAnsi"/>
          <w:sz w:val="24"/>
          <w:szCs w:val="24"/>
        </w:rPr>
        <w:t xml:space="preserve"> to </w:t>
      </w:r>
      <w:r w:rsidR="0076306B">
        <w:rPr>
          <w:rFonts w:asciiTheme="majorHAnsi" w:hAnsiTheme="majorHAnsi" w:cstheme="majorHAnsi"/>
          <w:sz w:val="24"/>
          <w:szCs w:val="24"/>
        </w:rPr>
        <w:t>the L</w:t>
      </w:r>
      <w:r w:rsidR="00C17B2E">
        <w:rPr>
          <w:rFonts w:asciiTheme="majorHAnsi" w:hAnsiTheme="majorHAnsi" w:cstheme="majorHAnsi"/>
          <w:sz w:val="24"/>
          <w:szCs w:val="24"/>
        </w:rPr>
        <w:t xml:space="preserve">A for </w:t>
      </w:r>
      <w:r w:rsidR="007F203B">
        <w:rPr>
          <w:rFonts w:asciiTheme="majorHAnsi" w:hAnsiTheme="majorHAnsi" w:cstheme="majorHAnsi"/>
          <w:sz w:val="24"/>
          <w:szCs w:val="24"/>
        </w:rPr>
        <w:t xml:space="preserve">schools, high needs </w:t>
      </w:r>
      <w:r w:rsidR="00B114D3">
        <w:rPr>
          <w:rFonts w:asciiTheme="majorHAnsi" w:hAnsiTheme="majorHAnsi" w:cstheme="majorHAnsi"/>
          <w:sz w:val="24"/>
          <w:szCs w:val="24"/>
        </w:rPr>
        <w:t xml:space="preserve">and early years (Gov, 2016). The LA can then redistribute those funds as they see fit, which </w:t>
      </w:r>
      <w:r w:rsidR="004A6B6C">
        <w:rPr>
          <w:rFonts w:asciiTheme="majorHAnsi" w:hAnsiTheme="majorHAnsi" w:cstheme="majorHAnsi"/>
          <w:sz w:val="24"/>
          <w:szCs w:val="24"/>
        </w:rPr>
        <w:t>is where their power comes in. This power can be classified under positional power</w:t>
      </w:r>
      <w:r w:rsidR="00ED7DCE">
        <w:rPr>
          <w:rFonts w:asciiTheme="majorHAnsi" w:hAnsiTheme="majorHAnsi" w:cstheme="majorHAnsi"/>
          <w:sz w:val="24"/>
          <w:szCs w:val="24"/>
        </w:rPr>
        <w:t>,</w:t>
      </w:r>
      <w:r w:rsidR="004A6B6C">
        <w:rPr>
          <w:rFonts w:asciiTheme="majorHAnsi" w:hAnsiTheme="majorHAnsi" w:cstheme="majorHAnsi"/>
          <w:sz w:val="24"/>
          <w:szCs w:val="24"/>
        </w:rPr>
        <w:t xml:space="preserve"> reward power</w:t>
      </w:r>
      <w:r w:rsidR="00ED7DCE">
        <w:rPr>
          <w:rFonts w:asciiTheme="majorHAnsi" w:hAnsiTheme="majorHAnsi" w:cstheme="majorHAnsi"/>
          <w:sz w:val="24"/>
          <w:szCs w:val="24"/>
        </w:rPr>
        <w:t xml:space="preserve"> and coercive power.</w:t>
      </w:r>
      <w:r w:rsidR="004A6B6C">
        <w:rPr>
          <w:rFonts w:asciiTheme="majorHAnsi" w:hAnsiTheme="majorHAnsi" w:cstheme="majorHAnsi"/>
          <w:sz w:val="24"/>
          <w:szCs w:val="24"/>
        </w:rPr>
        <w:t xml:space="preserve"> The LA has the ability to increase or decrease the funding for schools within their authority</w:t>
      </w:r>
      <w:r w:rsidR="00747279">
        <w:rPr>
          <w:rFonts w:asciiTheme="majorHAnsi" w:hAnsiTheme="majorHAnsi" w:cstheme="majorHAnsi"/>
          <w:sz w:val="24"/>
          <w:szCs w:val="24"/>
        </w:rPr>
        <w:t xml:space="preserve">. There is every possibility that they could reduce the funding available to schools whose results are </w:t>
      </w:r>
      <w:r w:rsidR="006C35C9">
        <w:rPr>
          <w:rFonts w:asciiTheme="majorHAnsi" w:hAnsiTheme="majorHAnsi" w:cstheme="majorHAnsi"/>
          <w:sz w:val="24"/>
          <w:szCs w:val="24"/>
        </w:rPr>
        <w:t>below average whilst increasing the budgets of the schools that are higher performing. This would be considered a misuse of positional power as they are misusing their position as the main mon</w:t>
      </w:r>
      <w:r w:rsidR="00071440">
        <w:rPr>
          <w:rFonts w:asciiTheme="majorHAnsi" w:hAnsiTheme="majorHAnsi" w:cstheme="majorHAnsi"/>
          <w:sz w:val="24"/>
          <w:szCs w:val="24"/>
        </w:rPr>
        <w:t xml:space="preserve">etary provider for the school and essentially basing their budgeting decisions of LA league tables. This is also considered a misuse of </w:t>
      </w:r>
      <w:r w:rsidR="00ED7DCE">
        <w:rPr>
          <w:rFonts w:asciiTheme="majorHAnsi" w:hAnsiTheme="majorHAnsi" w:cstheme="majorHAnsi"/>
          <w:sz w:val="24"/>
          <w:szCs w:val="24"/>
        </w:rPr>
        <w:t>reward power for the same reasons. Coercive power also comes into play as the knowledge of this process may encourage schools to push students to do better in a fast-food type theory</w:t>
      </w:r>
      <w:r w:rsidR="00DD1FD7">
        <w:rPr>
          <w:rFonts w:asciiTheme="majorHAnsi" w:hAnsiTheme="majorHAnsi" w:cstheme="majorHAnsi"/>
          <w:sz w:val="24"/>
          <w:szCs w:val="24"/>
        </w:rPr>
        <w:t xml:space="preserve"> where the schools only goal is to produce better results which can lead to a reduction in school morale along with student’s mental health.</w:t>
      </w:r>
    </w:p>
    <w:p w14:paraId="25065B62" w14:textId="7ACDA174" w:rsidR="00454565" w:rsidRPr="00246AC7" w:rsidRDefault="00454565" w:rsidP="00246AC7">
      <w:pPr>
        <w:pStyle w:val="Heading3"/>
        <w:spacing w:line="360" w:lineRule="auto"/>
        <w:rPr>
          <w:rFonts w:cstheme="majorHAnsi"/>
        </w:rPr>
      </w:pPr>
      <w:r w:rsidRPr="00246AC7">
        <w:rPr>
          <w:rFonts w:cstheme="majorHAnsi"/>
        </w:rPr>
        <w:t>A</w:t>
      </w:r>
      <w:r w:rsidR="00E179B6" w:rsidRPr="00246AC7">
        <w:rPr>
          <w:rFonts w:cstheme="majorHAnsi"/>
        </w:rPr>
        <w:t>uthority</w:t>
      </w:r>
    </w:p>
    <w:p w14:paraId="28DA5126" w14:textId="181C5A5A" w:rsidR="00E179B6" w:rsidRPr="00246AC7" w:rsidRDefault="00E179B6" w:rsidP="00246AC7">
      <w:pPr>
        <w:spacing w:line="360" w:lineRule="auto"/>
        <w:rPr>
          <w:rFonts w:asciiTheme="majorHAnsi" w:hAnsiTheme="majorHAnsi" w:cstheme="majorHAnsi"/>
          <w:sz w:val="24"/>
          <w:szCs w:val="24"/>
        </w:rPr>
      </w:pPr>
      <w:r w:rsidRPr="00246AC7">
        <w:rPr>
          <w:rFonts w:asciiTheme="majorHAnsi" w:hAnsiTheme="majorHAnsi" w:cstheme="majorHAnsi"/>
          <w:sz w:val="24"/>
          <w:szCs w:val="24"/>
        </w:rPr>
        <w:t xml:space="preserve">Education settings have certain authorities afforded to them by the government under laws. </w:t>
      </w:r>
      <w:r w:rsidR="00383DF9" w:rsidRPr="00246AC7">
        <w:rPr>
          <w:rFonts w:asciiTheme="majorHAnsi" w:hAnsiTheme="majorHAnsi" w:cstheme="majorHAnsi"/>
          <w:sz w:val="24"/>
          <w:szCs w:val="24"/>
        </w:rPr>
        <w:t xml:space="preserve">These authorities include </w:t>
      </w:r>
      <w:r w:rsidR="00A82822" w:rsidRPr="00246AC7">
        <w:rPr>
          <w:rFonts w:asciiTheme="majorHAnsi" w:hAnsiTheme="majorHAnsi" w:cstheme="majorHAnsi"/>
          <w:sz w:val="24"/>
          <w:szCs w:val="24"/>
        </w:rPr>
        <w:t>sanctions</w:t>
      </w:r>
      <w:r w:rsidR="00383DF9" w:rsidRPr="00246AC7">
        <w:rPr>
          <w:rFonts w:asciiTheme="majorHAnsi" w:hAnsiTheme="majorHAnsi" w:cstheme="majorHAnsi"/>
          <w:sz w:val="24"/>
          <w:szCs w:val="24"/>
        </w:rPr>
        <w:t xml:space="preserve"> including verbal warnings, detentions and exclusion</w:t>
      </w:r>
      <w:r w:rsidR="00A82822" w:rsidRPr="00246AC7">
        <w:rPr>
          <w:rFonts w:asciiTheme="majorHAnsi" w:hAnsiTheme="majorHAnsi" w:cstheme="majorHAnsi"/>
          <w:sz w:val="24"/>
          <w:szCs w:val="24"/>
        </w:rPr>
        <w:t xml:space="preserve"> (Child Law Advice, 2018). In more serious cases, the education setting has the option to place the student in isolation though certain health and safety measures must be in place for this to occur (Child Law Advise, 2018). Schools have the ability to perform searches and screenings on children and to confiscate any </w:t>
      </w:r>
      <w:r w:rsidR="00B94020" w:rsidRPr="00246AC7">
        <w:rPr>
          <w:rFonts w:asciiTheme="majorHAnsi" w:hAnsiTheme="majorHAnsi" w:cstheme="majorHAnsi"/>
          <w:sz w:val="24"/>
          <w:szCs w:val="24"/>
        </w:rPr>
        <w:t xml:space="preserve">contraband from them and retain this without needing to produce a warrant as the police would (Child Law Advice, 2018). Under section 93 of the </w:t>
      </w:r>
      <w:r w:rsidR="00583DCB" w:rsidRPr="00246AC7">
        <w:rPr>
          <w:rFonts w:asciiTheme="majorHAnsi" w:hAnsiTheme="majorHAnsi" w:cstheme="majorHAnsi"/>
          <w:sz w:val="24"/>
          <w:szCs w:val="24"/>
        </w:rPr>
        <w:t xml:space="preserve">Education and Inspections Act 2006 teachers or anyone put in charge of students by a headteacher are legally allowed to use reasonable force when absolutely necessary in certain </w:t>
      </w:r>
      <w:r w:rsidR="00583DCB" w:rsidRPr="00246AC7">
        <w:rPr>
          <w:rFonts w:asciiTheme="majorHAnsi" w:hAnsiTheme="majorHAnsi" w:cstheme="majorHAnsi"/>
          <w:sz w:val="24"/>
          <w:szCs w:val="24"/>
        </w:rPr>
        <w:lastRenderedPageBreak/>
        <w:t xml:space="preserve">circumstances (Child Law Advice, 2018). Ultimately the headteacher decides the </w:t>
      </w:r>
      <w:r w:rsidR="00246AC7" w:rsidRPr="00246AC7">
        <w:rPr>
          <w:rFonts w:asciiTheme="majorHAnsi" w:hAnsiTheme="majorHAnsi" w:cstheme="majorHAnsi"/>
          <w:sz w:val="24"/>
          <w:szCs w:val="24"/>
        </w:rPr>
        <w:t>behaviours</w:t>
      </w:r>
      <w:r w:rsidR="00583DCB" w:rsidRPr="00246AC7">
        <w:rPr>
          <w:rFonts w:asciiTheme="majorHAnsi" w:hAnsiTheme="majorHAnsi" w:cstheme="majorHAnsi"/>
          <w:sz w:val="24"/>
          <w:szCs w:val="24"/>
        </w:rPr>
        <w:t xml:space="preserve"> policies for the school, but they hold the power to place </w:t>
      </w:r>
      <w:r w:rsidR="00246AC7" w:rsidRPr="00246AC7">
        <w:rPr>
          <w:rFonts w:asciiTheme="majorHAnsi" w:hAnsiTheme="majorHAnsi" w:cstheme="majorHAnsi"/>
          <w:sz w:val="24"/>
          <w:szCs w:val="24"/>
        </w:rPr>
        <w:t xml:space="preserve">individuals in charge of groups of students and provide them with the authority they may need to use over said students. </w:t>
      </w:r>
      <w:r w:rsidR="0061481E">
        <w:rPr>
          <w:rFonts w:asciiTheme="majorHAnsi" w:hAnsiTheme="majorHAnsi" w:cstheme="majorHAnsi"/>
          <w:sz w:val="24"/>
          <w:szCs w:val="24"/>
        </w:rPr>
        <w:t>C</w:t>
      </w:r>
      <w:r w:rsidR="00E03039">
        <w:rPr>
          <w:rFonts w:asciiTheme="majorHAnsi" w:hAnsiTheme="majorHAnsi" w:cstheme="majorHAnsi"/>
          <w:sz w:val="24"/>
          <w:szCs w:val="24"/>
        </w:rPr>
        <w:t xml:space="preserve">areful consideration </w:t>
      </w:r>
      <w:r w:rsidR="002734C3">
        <w:rPr>
          <w:rFonts w:asciiTheme="majorHAnsi" w:hAnsiTheme="majorHAnsi" w:cstheme="majorHAnsi"/>
          <w:sz w:val="24"/>
          <w:szCs w:val="24"/>
        </w:rPr>
        <w:t>has</w:t>
      </w:r>
      <w:r w:rsidR="00E03039">
        <w:rPr>
          <w:rFonts w:asciiTheme="majorHAnsi" w:hAnsiTheme="majorHAnsi" w:cstheme="majorHAnsi"/>
          <w:sz w:val="24"/>
          <w:szCs w:val="24"/>
        </w:rPr>
        <w:t xml:space="preserve"> to be used in certain circumstances such as the age of the child, disability and any religious requirements affecting the students (Child Law Advice, 2018).</w:t>
      </w:r>
    </w:p>
    <w:p w14:paraId="18519A90" w14:textId="4B0F04D5" w:rsidR="0067569A" w:rsidRPr="00F002AE" w:rsidRDefault="00183989" w:rsidP="00F002AE">
      <w:pPr>
        <w:pStyle w:val="Heading3"/>
        <w:spacing w:line="360" w:lineRule="auto"/>
        <w:rPr>
          <w:rFonts w:cstheme="majorHAnsi"/>
        </w:rPr>
      </w:pPr>
      <w:r w:rsidRPr="00F002AE">
        <w:rPr>
          <w:rFonts w:cstheme="majorHAnsi"/>
        </w:rPr>
        <w:t>Conclusion</w:t>
      </w:r>
    </w:p>
    <w:p w14:paraId="1A392C1C" w14:textId="12C2DB5B" w:rsidR="00183989" w:rsidRDefault="00183989" w:rsidP="00F002AE">
      <w:pPr>
        <w:spacing w:line="360" w:lineRule="auto"/>
        <w:rPr>
          <w:rFonts w:asciiTheme="majorHAnsi" w:hAnsiTheme="majorHAnsi" w:cstheme="majorHAnsi"/>
          <w:sz w:val="24"/>
          <w:szCs w:val="24"/>
        </w:rPr>
      </w:pPr>
      <w:r w:rsidRPr="00F002AE">
        <w:rPr>
          <w:rFonts w:asciiTheme="majorHAnsi" w:hAnsiTheme="majorHAnsi" w:cstheme="majorHAnsi"/>
          <w:sz w:val="24"/>
          <w:szCs w:val="24"/>
        </w:rPr>
        <w:t xml:space="preserve">Power and authority are very important within modern formal education. When used correctly there is the ability to inherently influence students </w:t>
      </w:r>
      <w:r w:rsidR="004C20D8" w:rsidRPr="00F002AE">
        <w:rPr>
          <w:rFonts w:asciiTheme="majorHAnsi" w:hAnsiTheme="majorHAnsi" w:cstheme="majorHAnsi"/>
          <w:sz w:val="24"/>
          <w:szCs w:val="24"/>
        </w:rPr>
        <w:t xml:space="preserve">to have a more positive outlook on their time in education. Though there is potential for power to be abused within this context it is not necessarily something that happens often but never the less should not be overlooked as room for improvement.  </w:t>
      </w:r>
      <w:r w:rsidR="009B188A" w:rsidRPr="00F002AE">
        <w:rPr>
          <w:rFonts w:asciiTheme="majorHAnsi" w:hAnsiTheme="majorHAnsi" w:cstheme="majorHAnsi"/>
          <w:sz w:val="24"/>
          <w:szCs w:val="24"/>
        </w:rPr>
        <w:t>Power and authority relationships between staff and headteachers seem to have little to no difference than that of any other profession</w:t>
      </w:r>
      <w:r w:rsidR="00595392" w:rsidRPr="00F002AE">
        <w:rPr>
          <w:rFonts w:asciiTheme="majorHAnsi" w:hAnsiTheme="majorHAnsi" w:cstheme="majorHAnsi"/>
          <w:sz w:val="24"/>
          <w:szCs w:val="24"/>
        </w:rPr>
        <w:t xml:space="preserve">, therefore suggesting that power and authority in both positive and negative </w:t>
      </w:r>
      <w:r w:rsidR="00795A91" w:rsidRPr="00F002AE">
        <w:rPr>
          <w:rFonts w:asciiTheme="majorHAnsi" w:hAnsiTheme="majorHAnsi" w:cstheme="majorHAnsi"/>
          <w:sz w:val="24"/>
          <w:szCs w:val="24"/>
        </w:rPr>
        <w:t xml:space="preserve">outlooks is something that is a social context that we are conditioned to adhere to. The role of power and authority within modern education settings </w:t>
      </w:r>
      <w:r w:rsidR="007271CF" w:rsidRPr="00F002AE">
        <w:rPr>
          <w:rFonts w:asciiTheme="majorHAnsi" w:hAnsiTheme="majorHAnsi" w:cstheme="majorHAnsi"/>
          <w:sz w:val="24"/>
          <w:szCs w:val="24"/>
        </w:rPr>
        <w:t xml:space="preserve">can be considered to have the sole purpose of creating what the power holder deems to be the perfect outcome, in either positive or negative means. </w:t>
      </w:r>
      <w:r w:rsidR="00427B06" w:rsidRPr="00F002AE">
        <w:rPr>
          <w:rFonts w:asciiTheme="majorHAnsi" w:hAnsiTheme="majorHAnsi" w:cstheme="majorHAnsi"/>
          <w:sz w:val="24"/>
          <w:szCs w:val="24"/>
        </w:rPr>
        <w:t xml:space="preserve">Power and authority are very important within education, more so schooling, as you are dealing with young and impressionable people who ultimately require guidance. </w:t>
      </w:r>
      <w:r w:rsidR="00C12C9D" w:rsidRPr="00F002AE">
        <w:rPr>
          <w:rFonts w:asciiTheme="majorHAnsi" w:hAnsiTheme="majorHAnsi" w:cstheme="majorHAnsi"/>
          <w:sz w:val="24"/>
          <w:szCs w:val="24"/>
        </w:rPr>
        <w:t>The use of power from government and local authority provides schools with uneasy options regarding how they deal with the pressures applied by this power, which ultimately impacts the students through the power yielding decisions then made by the headteachers and teaching staff within the education setting.</w:t>
      </w:r>
      <w:r w:rsidR="00F002AE" w:rsidRPr="00F002AE">
        <w:rPr>
          <w:rFonts w:asciiTheme="majorHAnsi" w:hAnsiTheme="majorHAnsi" w:cstheme="majorHAnsi"/>
          <w:sz w:val="24"/>
          <w:szCs w:val="24"/>
        </w:rPr>
        <w:t xml:space="preserve"> </w:t>
      </w:r>
    </w:p>
    <w:p w14:paraId="5865EF6C" w14:textId="599EF95E" w:rsidR="002734C3" w:rsidRDefault="002734C3" w:rsidP="00F002AE">
      <w:pPr>
        <w:spacing w:line="360" w:lineRule="auto"/>
        <w:rPr>
          <w:rFonts w:asciiTheme="majorHAnsi" w:hAnsiTheme="majorHAnsi" w:cstheme="majorHAnsi"/>
          <w:sz w:val="24"/>
          <w:szCs w:val="24"/>
        </w:rPr>
      </w:pPr>
    </w:p>
    <w:p w14:paraId="42D18402" w14:textId="7AC21A0A" w:rsidR="002734C3" w:rsidRDefault="002734C3" w:rsidP="00F002AE">
      <w:pPr>
        <w:spacing w:line="360" w:lineRule="auto"/>
        <w:rPr>
          <w:rFonts w:asciiTheme="majorHAnsi" w:hAnsiTheme="majorHAnsi" w:cstheme="majorHAnsi"/>
          <w:sz w:val="24"/>
          <w:szCs w:val="24"/>
        </w:rPr>
      </w:pPr>
    </w:p>
    <w:p w14:paraId="036DDF42" w14:textId="291A9090" w:rsidR="002734C3" w:rsidRDefault="002734C3" w:rsidP="00F002AE">
      <w:pPr>
        <w:spacing w:line="360" w:lineRule="auto"/>
        <w:rPr>
          <w:rFonts w:asciiTheme="majorHAnsi" w:hAnsiTheme="majorHAnsi" w:cstheme="majorHAnsi"/>
          <w:sz w:val="24"/>
          <w:szCs w:val="24"/>
        </w:rPr>
      </w:pPr>
    </w:p>
    <w:p w14:paraId="7B28B6E1" w14:textId="63FCDC62" w:rsidR="002734C3" w:rsidRDefault="002734C3" w:rsidP="00F002AE">
      <w:pPr>
        <w:spacing w:line="360" w:lineRule="auto"/>
        <w:rPr>
          <w:rFonts w:asciiTheme="majorHAnsi" w:hAnsiTheme="majorHAnsi" w:cstheme="majorHAnsi"/>
          <w:sz w:val="24"/>
          <w:szCs w:val="24"/>
        </w:rPr>
      </w:pPr>
    </w:p>
    <w:p w14:paraId="769F852C" w14:textId="60C4E690" w:rsidR="002734C3" w:rsidRDefault="002734C3" w:rsidP="00F002AE">
      <w:pPr>
        <w:spacing w:line="360" w:lineRule="auto"/>
        <w:rPr>
          <w:rFonts w:asciiTheme="majorHAnsi" w:hAnsiTheme="majorHAnsi" w:cstheme="majorHAnsi"/>
          <w:sz w:val="24"/>
          <w:szCs w:val="24"/>
        </w:rPr>
      </w:pPr>
    </w:p>
    <w:p w14:paraId="7CCE0CA2" w14:textId="07C79964" w:rsidR="002734C3" w:rsidRDefault="002734C3" w:rsidP="00F002AE">
      <w:pPr>
        <w:spacing w:line="360" w:lineRule="auto"/>
        <w:rPr>
          <w:rFonts w:asciiTheme="majorHAnsi" w:hAnsiTheme="majorHAnsi" w:cstheme="majorHAnsi"/>
          <w:sz w:val="24"/>
          <w:szCs w:val="24"/>
        </w:rPr>
      </w:pPr>
    </w:p>
    <w:p w14:paraId="0F545298" w14:textId="30F14CB7" w:rsidR="002734C3" w:rsidRDefault="002734C3" w:rsidP="00F002AE">
      <w:pPr>
        <w:spacing w:line="360" w:lineRule="auto"/>
        <w:rPr>
          <w:rFonts w:asciiTheme="majorHAnsi" w:hAnsiTheme="majorHAnsi" w:cstheme="majorHAnsi"/>
          <w:sz w:val="24"/>
          <w:szCs w:val="24"/>
        </w:rPr>
      </w:pPr>
    </w:p>
    <w:p w14:paraId="29D1581D" w14:textId="2639D914" w:rsidR="002734C3" w:rsidRDefault="002734C3" w:rsidP="00D4484B">
      <w:pPr>
        <w:pStyle w:val="Heading1"/>
      </w:pPr>
      <w:r>
        <w:lastRenderedPageBreak/>
        <w:t>References.</w:t>
      </w:r>
    </w:p>
    <w:p w14:paraId="1449A1E5" w14:textId="77777777" w:rsidR="00D4484B" w:rsidRPr="00D4484B" w:rsidRDefault="00D4484B" w:rsidP="00D4484B">
      <w:bookmarkStart w:id="0" w:name="_GoBack"/>
      <w:bookmarkEnd w:id="0"/>
    </w:p>
    <w:p w14:paraId="5F2E268D" w14:textId="77777777" w:rsidR="002734C3" w:rsidRDefault="002734C3" w:rsidP="002734C3">
      <w:pPr>
        <w:pStyle w:val="ListParagraph"/>
        <w:numPr>
          <w:ilvl w:val="0"/>
          <w:numId w:val="1"/>
        </w:numPr>
        <w:spacing w:line="360" w:lineRule="auto"/>
      </w:pPr>
      <w:r>
        <w:t xml:space="preserve">ASEBT. (2018) – </w:t>
      </w:r>
      <w:r>
        <w:rPr>
          <w:i/>
        </w:rPr>
        <w:t>‘Why your passion matters to kids’.</w:t>
      </w:r>
      <w:r>
        <w:t xml:space="preserve"> Available at </w:t>
      </w:r>
      <w:hyperlink r:id="rId5" w:history="1">
        <w:r w:rsidRPr="00AB3178">
          <w:rPr>
            <w:rStyle w:val="Hyperlink"/>
          </w:rPr>
          <w:t>http://www.evidencebasedteaching.org.au/crash-course-evidence-based-teaching/teacher-passion-matters-kids/</w:t>
        </w:r>
      </w:hyperlink>
      <w:r>
        <w:t xml:space="preserve"> Accessed 26/10/2018 at 11.27pm.</w:t>
      </w:r>
    </w:p>
    <w:p w14:paraId="0889DD25" w14:textId="77777777" w:rsidR="002734C3" w:rsidRDefault="002734C3" w:rsidP="002734C3">
      <w:pPr>
        <w:pStyle w:val="ListParagraph"/>
        <w:numPr>
          <w:ilvl w:val="0"/>
          <w:numId w:val="1"/>
        </w:numPr>
        <w:spacing w:line="360" w:lineRule="auto"/>
      </w:pPr>
      <w:r>
        <w:t xml:space="preserve">Bolman, L. &amp; Deal, T. (2008) – </w:t>
      </w:r>
      <w:r>
        <w:rPr>
          <w:i/>
        </w:rPr>
        <w:t>Reframing organizations: Artistry, Choice and Leadership.</w:t>
      </w:r>
      <w:r w:rsidRPr="00BD5342">
        <w:t xml:space="preserve"> </w:t>
      </w:r>
      <w:r>
        <w:t>Jossey-Bass. San Francisco, CA, USA. 4</w:t>
      </w:r>
      <w:r w:rsidRPr="00B97082">
        <w:rPr>
          <w:vertAlign w:val="superscript"/>
        </w:rPr>
        <w:t>th</w:t>
      </w:r>
      <w:r>
        <w:t xml:space="preserve"> Edition.</w:t>
      </w:r>
    </w:p>
    <w:p w14:paraId="2BF599D4" w14:textId="77777777" w:rsidR="002734C3" w:rsidRDefault="002734C3" w:rsidP="002734C3">
      <w:pPr>
        <w:pStyle w:val="ListParagraph"/>
        <w:numPr>
          <w:ilvl w:val="0"/>
          <w:numId w:val="1"/>
        </w:numPr>
        <w:spacing w:line="360" w:lineRule="auto"/>
      </w:pPr>
      <w:r>
        <w:t xml:space="preserve">Child Law Advice. (2018) – </w:t>
      </w:r>
      <w:r>
        <w:rPr>
          <w:i/>
        </w:rPr>
        <w:t xml:space="preserve">‘Discipline within </w:t>
      </w:r>
      <w:proofErr w:type="gramStart"/>
      <w:r>
        <w:rPr>
          <w:i/>
        </w:rPr>
        <w:t>schools’</w:t>
      </w:r>
      <w:proofErr w:type="gramEnd"/>
      <w:r>
        <w:rPr>
          <w:i/>
        </w:rPr>
        <w:t>.</w:t>
      </w:r>
      <w:r>
        <w:t xml:space="preserve"> Available at </w:t>
      </w:r>
      <w:hyperlink r:id="rId6" w:history="1">
        <w:r w:rsidRPr="008729F7">
          <w:rPr>
            <w:rStyle w:val="Hyperlink"/>
          </w:rPr>
          <w:t>https://childlawadvice.org.uk/information-pages/discipline-within-school/</w:t>
        </w:r>
      </w:hyperlink>
      <w:r>
        <w:t>. Accessed 29/10/2018 at 1.21am.</w:t>
      </w:r>
    </w:p>
    <w:p w14:paraId="081B1523" w14:textId="77777777" w:rsidR="002734C3" w:rsidRDefault="002734C3" w:rsidP="002734C3">
      <w:pPr>
        <w:pStyle w:val="ListParagraph"/>
        <w:numPr>
          <w:ilvl w:val="0"/>
          <w:numId w:val="1"/>
        </w:numPr>
        <w:spacing w:line="360" w:lineRule="auto"/>
      </w:pPr>
      <w:r>
        <w:t>Cummins, J. (2009) – International journal of bilingual education and bilingualism. ‘</w:t>
      </w:r>
      <w:r>
        <w:rPr>
          <w:i/>
        </w:rPr>
        <w:t xml:space="preserve">Pedagogies of choice: challenging coercive relations of power in classrooms and </w:t>
      </w:r>
      <w:proofErr w:type="gramStart"/>
      <w:r>
        <w:rPr>
          <w:i/>
        </w:rPr>
        <w:t>communities’</w:t>
      </w:r>
      <w:proofErr w:type="gramEnd"/>
      <w:r>
        <w:rPr>
          <w:i/>
        </w:rPr>
        <w:t>.</w:t>
      </w:r>
      <w:r>
        <w:t xml:space="preserve"> Volume 12. Issue 3. Pp 261-271.</w:t>
      </w:r>
    </w:p>
    <w:p w14:paraId="12069F42" w14:textId="77777777" w:rsidR="002734C3" w:rsidRDefault="002734C3" w:rsidP="002734C3">
      <w:pPr>
        <w:pStyle w:val="ListParagraph"/>
        <w:numPr>
          <w:ilvl w:val="0"/>
          <w:numId w:val="1"/>
        </w:numPr>
        <w:spacing w:line="360" w:lineRule="auto"/>
      </w:pPr>
      <w:r>
        <w:t>Day, C. (2004) – A passion for teaching. Routledge Falmer. London, UK. Chapter 1. Pp 13-16.</w:t>
      </w:r>
    </w:p>
    <w:p w14:paraId="23185BA7" w14:textId="77777777" w:rsidR="002734C3" w:rsidRDefault="002734C3" w:rsidP="002734C3">
      <w:pPr>
        <w:pStyle w:val="ListParagraph"/>
        <w:numPr>
          <w:ilvl w:val="0"/>
          <w:numId w:val="1"/>
        </w:numPr>
        <w:spacing w:line="360" w:lineRule="auto"/>
      </w:pPr>
      <w:r>
        <w:t xml:space="preserve">Gold, A., Evans, J., </w:t>
      </w:r>
      <w:proofErr w:type="spellStart"/>
      <w:r>
        <w:t>Earley</w:t>
      </w:r>
      <w:proofErr w:type="spellEnd"/>
      <w:r>
        <w:t xml:space="preserve">, P., Halpin, D. &amp; Collarbone, P. (2003) - Principled Principals? </w:t>
      </w:r>
      <w:r>
        <w:rPr>
          <w:i/>
        </w:rPr>
        <w:t xml:space="preserve">Educational Management and Administration. </w:t>
      </w:r>
      <w:r>
        <w:t>Volume 31. Issue 2. Pp 127-138.</w:t>
      </w:r>
    </w:p>
    <w:p w14:paraId="7880E3BD" w14:textId="77777777" w:rsidR="002734C3" w:rsidRDefault="002734C3" w:rsidP="002734C3">
      <w:pPr>
        <w:pStyle w:val="ListParagraph"/>
        <w:numPr>
          <w:ilvl w:val="0"/>
          <w:numId w:val="1"/>
        </w:numPr>
        <w:spacing w:line="360" w:lineRule="auto"/>
      </w:pPr>
      <w:r>
        <w:t xml:space="preserve">Gov (2011) – </w:t>
      </w:r>
      <w:r>
        <w:rPr>
          <w:i/>
        </w:rPr>
        <w:t>‘Teachers most vulnerable to false accusations according to new research’.</w:t>
      </w:r>
      <w:r>
        <w:t xml:space="preserve"> Available at </w:t>
      </w:r>
      <w:hyperlink r:id="rId7" w:history="1">
        <w:r w:rsidRPr="008729F7">
          <w:rPr>
            <w:rStyle w:val="Hyperlink"/>
          </w:rPr>
          <w:t>https://www.gov.uk/government/news/teachers-most-vulnerable-to-false-accusations-according-to-new-research</w:t>
        </w:r>
      </w:hyperlink>
      <w:r>
        <w:t>. Accessed 28/0/2018 at 11.28pm.</w:t>
      </w:r>
    </w:p>
    <w:p w14:paraId="03ADD435" w14:textId="77777777" w:rsidR="002734C3" w:rsidRDefault="002734C3" w:rsidP="002734C3">
      <w:pPr>
        <w:pStyle w:val="ListParagraph"/>
        <w:numPr>
          <w:ilvl w:val="0"/>
          <w:numId w:val="1"/>
        </w:numPr>
        <w:spacing w:line="360" w:lineRule="auto"/>
      </w:pPr>
      <w:r>
        <w:t xml:space="preserve">Gov. (2016) – </w:t>
      </w:r>
      <w:r>
        <w:rPr>
          <w:i/>
        </w:rPr>
        <w:t>‘Current funding system’.</w:t>
      </w:r>
      <w:r>
        <w:t xml:space="preserve"> Available at   </w:t>
      </w:r>
      <w:hyperlink r:id="rId8" w:history="1">
        <w:r w:rsidRPr="008729F7">
          <w:rPr>
            <w:rStyle w:val="Hyperlink"/>
          </w:rPr>
          <w:t>https://consult.education.gov.uk/funding-policy-unit/schools-national-funding-formula/supporting_documents/Current_funding_system.pdf</w:t>
        </w:r>
      </w:hyperlink>
      <w:r>
        <w:t>. Accessed 28/10/2018 at 11.47.</w:t>
      </w:r>
    </w:p>
    <w:p w14:paraId="3EB2A32F" w14:textId="77777777" w:rsidR="002734C3" w:rsidRDefault="002734C3" w:rsidP="002734C3">
      <w:pPr>
        <w:pStyle w:val="ListParagraph"/>
        <w:numPr>
          <w:ilvl w:val="0"/>
          <w:numId w:val="1"/>
        </w:numPr>
        <w:spacing w:line="360" w:lineRule="auto"/>
      </w:pPr>
      <w:r>
        <w:t xml:space="preserve">Hartzell, S. (No Date) – </w:t>
      </w:r>
      <w:r>
        <w:rPr>
          <w:i/>
        </w:rPr>
        <w:t xml:space="preserve">Positional power. </w:t>
      </w:r>
      <w:r>
        <w:t xml:space="preserve">Available at </w:t>
      </w:r>
      <w:hyperlink r:id="rId9" w:history="1">
        <w:r w:rsidRPr="00E53870">
          <w:rPr>
            <w:rStyle w:val="Hyperlink"/>
          </w:rPr>
          <w:t>https://study.com/academy/lesson/positional-power-personal-power.html</w:t>
        </w:r>
      </w:hyperlink>
      <w:r>
        <w:t>. Accessed 26/10/2018.</w:t>
      </w:r>
    </w:p>
    <w:p w14:paraId="662B292C" w14:textId="77777777" w:rsidR="002734C3" w:rsidRDefault="002734C3" w:rsidP="002734C3">
      <w:pPr>
        <w:pStyle w:val="ListParagraph"/>
        <w:numPr>
          <w:ilvl w:val="0"/>
          <w:numId w:val="1"/>
        </w:numPr>
        <w:spacing w:line="360" w:lineRule="auto"/>
      </w:pPr>
      <w:r>
        <w:t xml:space="preserve">Hillier, H.C. &amp; Hillier, C.E. (2012) – </w:t>
      </w:r>
      <w:r>
        <w:rPr>
          <w:i/>
        </w:rPr>
        <w:t xml:space="preserve">Foucault and education: power, pedagogy and panopticon. </w:t>
      </w:r>
      <w:r>
        <w:t>The Journal of Providence Theological Seminary. Volume 23. Issue 1. Pp 49-69.</w:t>
      </w:r>
    </w:p>
    <w:p w14:paraId="20D77ACB" w14:textId="77777777" w:rsidR="002734C3" w:rsidRDefault="002734C3" w:rsidP="002734C3">
      <w:pPr>
        <w:pStyle w:val="ListParagraph"/>
        <w:numPr>
          <w:ilvl w:val="0"/>
          <w:numId w:val="1"/>
        </w:numPr>
        <w:spacing w:line="360" w:lineRule="auto"/>
      </w:pPr>
      <w:r>
        <w:t xml:space="preserve">Hoyle, E (1982) – Micropolitics of educational organizations. </w:t>
      </w:r>
      <w:r>
        <w:rPr>
          <w:i/>
        </w:rPr>
        <w:t xml:space="preserve">Educational Management and Administration. </w:t>
      </w:r>
      <w:r>
        <w:t>Volume 10. Issue 2. Pp 87-89.</w:t>
      </w:r>
    </w:p>
    <w:p w14:paraId="058E7040" w14:textId="77777777" w:rsidR="002734C3" w:rsidRDefault="002734C3" w:rsidP="002734C3">
      <w:pPr>
        <w:pStyle w:val="ListParagraph"/>
        <w:numPr>
          <w:ilvl w:val="0"/>
          <w:numId w:val="1"/>
        </w:numPr>
        <w:spacing w:line="360" w:lineRule="auto"/>
      </w:pPr>
      <w:r>
        <w:t>McLeod, S. (2007) – ‘</w:t>
      </w:r>
      <w:r>
        <w:rPr>
          <w:i/>
        </w:rPr>
        <w:t>Skinner – Operant conditioning’.</w:t>
      </w:r>
      <w:r>
        <w:t xml:space="preserve"> Available at </w:t>
      </w:r>
      <w:hyperlink r:id="rId10" w:history="1">
        <w:r w:rsidRPr="00AB3178">
          <w:rPr>
            <w:rStyle w:val="Hyperlink"/>
          </w:rPr>
          <w:t>https://s3.amazonaws.com/academia.edu.documents/44186702/Skinner.pdf?AWSAccessKeyId=AKIAIWOWYYGZ2Y53UL3A&amp;Expires=1540596956&amp;Signature=o4Okuauxoi5kPAatpOo%2</w:t>
        </w:r>
        <w:r w:rsidRPr="00AB3178">
          <w:rPr>
            <w:rStyle w:val="Hyperlink"/>
          </w:rPr>
          <w:lastRenderedPageBreak/>
          <w:t>BCMPBy3w%3D&amp;response-content-disposition=inline%3B%20filename%3DSkinner_-_Operant_Conditioning.pdf</w:t>
        </w:r>
      </w:hyperlink>
      <w:r>
        <w:t>. Accessed 26/10/2018 at 11.37pm.</w:t>
      </w:r>
    </w:p>
    <w:p w14:paraId="44750B0F" w14:textId="77777777" w:rsidR="002734C3" w:rsidRDefault="002734C3" w:rsidP="002734C3">
      <w:pPr>
        <w:pStyle w:val="ListParagraph"/>
        <w:numPr>
          <w:ilvl w:val="0"/>
          <w:numId w:val="1"/>
        </w:numPr>
        <w:spacing w:line="360" w:lineRule="auto"/>
      </w:pPr>
      <w:r>
        <w:t xml:space="preserve">Oxford (2018) – </w:t>
      </w:r>
      <w:r>
        <w:rPr>
          <w:i/>
        </w:rPr>
        <w:t>‘Authority’.</w:t>
      </w:r>
      <w:r>
        <w:t xml:space="preserve"> Available at </w:t>
      </w:r>
      <w:hyperlink r:id="rId11" w:history="1">
        <w:r w:rsidRPr="00E53870">
          <w:rPr>
            <w:rStyle w:val="Hyperlink"/>
          </w:rPr>
          <w:t>https://en.oxforddictionaries.com/definition/authority</w:t>
        </w:r>
      </w:hyperlink>
      <w:r>
        <w:t>. Accessed 25/10/208 at 10.55pm.</w:t>
      </w:r>
    </w:p>
    <w:p w14:paraId="5936270C" w14:textId="77777777" w:rsidR="002734C3" w:rsidRDefault="002734C3" w:rsidP="002734C3">
      <w:pPr>
        <w:pStyle w:val="ListParagraph"/>
        <w:numPr>
          <w:ilvl w:val="0"/>
          <w:numId w:val="1"/>
        </w:numPr>
        <w:spacing w:line="360" w:lineRule="auto"/>
      </w:pPr>
      <w:r>
        <w:t xml:space="preserve">Oxford (2018) – </w:t>
      </w:r>
      <w:r w:rsidRPr="00361CAF">
        <w:rPr>
          <w:i/>
        </w:rPr>
        <w:t>‘Power’.</w:t>
      </w:r>
      <w:r>
        <w:t xml:space="preserve"> Available at </w:t>
      </w:r>
      <w:hyperlink r:id="rId12" w:history="1">
        <w:r w:rsidRPr="00E53870">
          <w:rPr>
            <w:rStyle w:val="Hyperlink"/>
          </w:rPr>
          <w:t>https://en.oxforddictionaries.com/definition/power</w:t>
        </w:r>
      </w:hyperlink>
      <w:r>
        <w:t>. Accessed 25/10/2018 at 10.43pm.</w:t>
      </w:r>
    </w:p>
    <w:p w14:paraId="0D84E715" w14:textId="77777777" w:rsidR="002734C3" w:rsidRDefault="002734C3" w:rsidP="002734C3">
      <w:pPr>
        <w:pStyle w:val="ListParagraph"/>
        <w:numPr>
          <w:ilvl w:val="0"/>
          <w:numId w:val="1"/>
        </w:numPr>
        <w:spacing w:line="360" w:lineRule="auto"/>
      </w:pPr>
      <w:proofErr w:type="spellStart"/>
      <w:r>
        <w:t>Rieck</w:t>
      </w:r>
      <w:proofErr w:type="spellEnd"/>
      <w:r>
        <w:t xml:space="preserve">, D. (1997) – </w:t>
      </w:r>
      <w:r>
        <w:rPr>
          <w:i/>
        </w:rPr>
        <w:t>‘Influence and Persuasion: The Rule of Reciprocity’.</w:t>
      </w:r>
      <w:r>
        <w:t xml:space="preserve"> Available at </w:t>
      </w:r>
      <w:hyperlink r:id="rId13" w:history="1">
        <w:r w:rsidRPr="00AB3178">
          <w:rPr>
            <w:rStyle w:val="Hyperlink"/>
          </w:rPr>
          <w:t>http://www.directcreative.com/influence-and-persuasion-the-rule-of-reciprocity.html</w:t>
        </w:r>
      </w:hyperlink>
      <w:r>
        <w:t>. Accessed 26/10/2018 at 11.51pm.</w:t>
      </w:r>
    </w:p>
    <w:p w14:paraId="3EA1BD70" w14:textId="77777777" w:rsidR="002734C3" w:rsidRDefault="002734C3" w:rsidP="002734C3">
      <w:pPr>
        <w:pStyle w:val="ListParagraph"/>
        <w:numPr>
          <w:ilvl w:val="0"/>
          <w:numId w:val="1"/>
        </w:numPr>
        <w:spacing w:line="360" w:lineRule="auto"/>
      </w:pPr>
      <w:r>
        <w:t xml:space="preserve">Sharman, J. (2017) – </w:t>
      </w:r>
      <w:r>
        <w:rPr>
          <w:i/>
        </w:rPr>
        <w:t>‘Record number of teachers banned for sexual misconduct’.</w:t>
      </w:r>
      <w:r>
        <w:t xml:space="preserve"> Available at </w:t>
      </w:r>
      <w:hyperlink r:id="rId14" w:history="1">
        <w:r w:rsidRPr="008729F7">
          <w:rPr>
            <w:rStyle w:val="Hyperlink"/>
          </w:rPr>
          <w:t>https://www.independent.co.uk/news/uk/home-news/teachers-banned-classroom-sexual-misconduct-record-numbers-statistics-investigation-a7828891.html</w:t>
        </w:r>
      </w:hyperlink>
      <w:r>
        <w:t>. Accessed 28/10/2018 at 11.07pm.</w:t>
      </w:r>
    </w:p>
    <w:p w14:paraId="5DED3CFD" w14:textId="77777777" w:rsidR="002734C3" w:rsidRDefault="002734C3" w:rsidP="002734C3">
      <w:pPr>
        <w:pStyle w:val="ListParagraph"/>
        <w:numPr>
          <w:ilvl w:val="0"/>
          <w:numId w:val="1"/>
        </w:numPr>
        <w:spacing w:line="360" w:lineRule="auto"/>
      </w:pPr>
      <w:r>
        <w:t xml:space="preserve">Smith, D., Fisher, D. &amp; Frey, N. (2015) – Better than carrots or sticks: Restorative practices for positive classroom management. </w:t>
      </w:r>
      <w:r>
        <w:rPr>
          <w:i/>
        </w:rPr>
        <w:t>‘Punitive or restorative: The choice is yours’.</w:t>
      </w:r>
      <w:r>
        <w:t xml:space="preserve"> ASCD. Alexandria, VA, USA. Pp 1 – 21.</w:t>
      </w:r>
    </w:p>
    <w:p w14:paraId="3418C480" w14:textId="77777777" w:rsidR="002734C3" w:rsidRPr="00F002AE" w:rsidRDefault="002734C3" w:rsidP="00F002AE">
      <w:pPr>
        <w:spacing w:line="360" w:lineRule="auto"/>
        <w:rPr>
          <w:rFonts w:asciiTheme="majorHAnsi" w:hAnsiTheme="majorHAnsi" w:cstheme="majorHAnsi"/>
          <w:sz w:val="24"/>
          <w:szCs w:val="24"/>
        </w:rPr>
      </w:pPr>
    </w:p>
    <w:sectPr w:rsidR="002734C3" w:rsidRPr="00F002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6D05C2"/>
    <w:multiLevelType w:val="hybridMultilevel"/>
    <w:tmpl w:val="1E340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049B"/>
    <w:rsid w:val="00001CFD"/>
    <w:rsid w:val="00020BB0"/>
    <w:rsid w:val="00020E76"/>
    <w:rsid w:val="000232B7"/>
    <w:rsid w:val="00026D5E"/>
    <w:rsid w:val="0005495E"/>
    <w:rsid w:val="00055C9A"/>
    <w:rsid w:val="00057803"/>
    <w:rsid w:val="00060BFD"/>
    <w:rsid w:val="00071440"/>
    <w:rsid w:val="00091E12"/>
    <w:rsid w:val="000B5E23"/>
    <w:rsid w:val="000B6A71"/>
    <w:rsid w:val="000E3B06"/>
    <w:rsid w:val="001031B7"/>
    <w:rsid w:val="00104FD7"/>
    <w:rsid w:val="001072DC"/>
    <w:rsid w:val="00110873"/>
    <w:rsid w:val="001169E2"/>
    <w:rsid w:val="001224A2"/>
    <w:rsid w:val="0013049B"/>
    <w:rsid w:val="001512EE"/>
    <w:rsid w:val="00176940"/>
    <w:rsid w:val="00183989"/>
    <w:rsid w:val="001B6192"/>
    <w:rsid w:val="001B703D"/>
    <w:rsid w:val="001C102A"/>
    <w:rsid w:val="001C746C"/>
    <w:rsid w:val="0020561A"/>
    <w:rsid w:val="00246AC7"/>
    <w:rsid w:val="002608AE"/>
    <w:rsid w:val="00262A25"/>
    <w:rsid w:val="002734C3"/>
    <w:rsid w:val="002A2980"/>
    <w:rsid w:val="002B0A83"/>
    <w:rsid w:val="002D20D2"/>
    <w:rsid w:val="002D7753"/>
    <w:rsid w:val="002E7094"/>
    <w:rsid w:val="002F0161"/>
    <w:rsid w:val="002F592D"/>
    <w:rsid w:val="002F5A17"/>
    <w:rsid w:val="002F6E4A"/>
    <w:rsid w:val="00303DD6"/>
    <w:rsid w:val="00337FE3"/>
    <w:rsid w:val="00346F7E"/>
    <w:rsid w:val="00352EFC"/>
    <w:rsid w:val="00352F7B"/>
    <w:rsid w:val="0035590F"/>
    <w:rsid w:val="003571AC"/>
    <w:rsid w:val="00383DF9"/>
    <w:rsid w:val="003904E2"/>
    <w:rsid w:val="0039636A"/>
    <w:rsid w:val="003972F7"/>
    <w:rsid w:val="003C1832"/>
    <w:rsid w:val="003D4E19"/>
    <w:rsid w:val="00403538"/>
    <w:rsid w:val="00411BA7"/>
    <w:rsid w:val="00422660"/>
    <w:rsid w:val="00427B06"/>
    <w:rsid w:val="00437994"/>
    <w:rsid w:val="00452665"/>
    <w:rsid w:val="00454565"/>
    <w:rsid w:val="004668DB"/>
    <w:rsid w:val="00482248"/>
    <w:rsid w:val="004A6B6C"/>
    <w:rsid w:val="004B3277"/>
    <w:rsid w:val="004B7EDB"/>
    <w:rsid w:val="004C20D8"/>
    <w:rsid w:val="004D1C16"/>
    <w:rsid w:val="00563BBA"/>
    <w:rsid w:val="00581985"/>
    <w:rsid w:val="00583DCB"/>
    <w:rsid w:val="00595392"/>
    <w:rsid w:val="00597E31"/>
    <w:rsid w:val="005B199C"/>
    <w:rsid w:val="005C0F58"/>
    <w:rsid w:val="005D2A07"/>
    <w:rsid w:val="005D2EC0"/>
    <w:rsid w:val="005E2813"/>
    <w:rsid w:val="005F0435"/>
    <w:rsid w:val="0061481E"/>
    <w:rsid w:val="006535F3"/>
    <w:rsid w:val="00664255"/>
    <w:rsid w:val="00664264"/>
    <w:rsid w:val="0067569A"/>
    <w:rsid w:val="006808B2"/>
    <w:rsid w:val="0069108D"/>
    <w:rsid w:val="006C35C9"/>
    <w:rsid w:val="006D017F"/>
    <w:rsid w:val="006E0F6A"/>
    <w:rsid w:val="007032DE"/>
    <w:rsid w:val="0070504F"/>
    <w:rsid w:val="007271CF"/>
    <w:rsid w:val="0074132B"/>
    <w:rsid w:val="00743F63"/>
    <w:rsid w:val="00747279"/>
    <w:rsid w:val="0076306B"/>
    <w:rsid w:val="00795A91"/>
    <w:rsid w:val="007D232F"/>
    <w:rsid w:val="007F203B"/>
    <w:rsid w:val="008006C3"/>
    <w:rsid w:val="008361E8"/>
    <w:rsid w:val="00860B72"/>
    <w:rsid w:val="008660E7"/>
    <w:rsid w:val="00897C13"/>
    <w:rsid w:val="008B0A71"/>
    <w:rsid w:val="008B68B3"/>
    <w:rsid w:val="008D2E38"/>
    <w:rsid w:val="008E67B1"/>
    <w:rsid w:val="008F71A3"/>
    <w:rsid w:val="009122FD"/>
    <w:rsid w:val="00941196"/>
    <w:rsid w:val="009446CB"/>
    <w:rsid w:val="00964049"/>
    <w:rsid w:val="009677AA"/>
    <w:rsid w:val="009B10FB"/>
    <w:rsid w:val="009B188A"/>
    <w:rsid w:val="009C20FA"/>
    <w:rsid w:val="009E717A"/>
    <w:rsid w:val="009F4DE5"/>
    <w:rsid w:val="00A00EC3"/>
    <w:rsid w:val="00A11883"/>
    <w:rsid w:val="00A263E6"/>
    <w:rsid w:val="00A35E47"/>
    <w:rsid w:val="00A61045"/>
    <w:rsid w:val="00A61FE7"/>
    <w:rsid w:val="00A82822"/>
    <w:rsid w:val="00AB031D"/>
    <w:rsid w:val="00AB13C5"/>
    <w:rsid w:val="00AC11C3"/>
    <w:rsid w:val="00AC3698"/>
    <w:rsid w:val="00AD4D47"/>
    <w:rsid w:val="00AD764A"/>
    <w:rsid w:val="00AE0D31"/>
    <w:rsid w:val="00AE3188"/>
    <w:rsid w:val="00AE3208"/>
    <w:rsid w:val="00B03790"/>
    <w:rsid w:val="00B114D3"/>
    <w:rsid w:val="00B11D05"/>
    <w:rsid w:val="00B27F09"/>
    <w:rsid w:val="00B428B4"/>
    <w:rsid w:val="00B4690B"/>
    <w:rsid w:val="00B94020"/>
    <w:rsid w:val="00BB27A9"/>
    <w:rsid w:val="00BB79D3"/>
    <w:rsid w:val="00BD3DAE"/>
    <w:rsid w:val="00BD63F7"/>
    <w:rsid w:val="00BF597B"/>
    <w:rsid w:val="00C0184F"/>
    <w:rsid w:val="00C12C9D"/>
    <w:rsid w:val="00C17B2E"/>
    <w:rsid w:val="00C258E9"/>
    <w:rsid w:val="00C36FCD"/>
    <w:rsid w:val="00C418B3"/>
    <w:rsid w:val="00C56B9A"/>
    <w:rsid w:val="00C7777A"/>
    <w:rsid w:val="00C800E5"/>
    <w:rsid w:val="00CA3713"/>
    <w:rsid w:val="00D068BD"/>
    <w:rsid w:val="00D4484B"/>
    <w:rsid w:val="00D5097D"/>
    <w:rsid w:val="00D61181"/>
    <w:rsid w:val="00DD1FD7"/>
    <w:rsid w:val="00DD64D6"/>
    <w:rsid w:val="00DE4C92"/>
    <w:rsid w:val="00DF4117"/>
    <w:rsid w:val="00E03039"/>
    <w:rsid w:val="00E046DC"/>
    <w:rsid w:val="00E079C0"/>
    <w:rsid w:val="00E1196F"/>
    <w:rsid w:val="00E15C7A"/>
    <w:rsid w:val="00E16E01"/>
    <w:rsid w:val="00E179B6"/>
    <w:rsid w:val="00E3274C"/>
    <w:rsid w:val="00E359C9"/>
    <w:rsid w:val="00E41023"/>
    <w:rsid w:val="00E72ABE"/>
    <w:rsid w:val="00E826F9"/>
    <w:rsid w:val="00EB3611"/>
    <w:rsid w:val="00ED07F3"/>
    <w:rsid w:val="00ED7DCE"/>
    <w:rsid w:val="00EE4E4E"/>
    <w:rsid w:val="00F002AE"/>
    <w:rsid w:val="00F11C18"/>
    <w:rsid w:val="00F14CEE"/>
    <w:rsid w:val="00F22AF4"/>
    <w:rsid w:val="00F401E0"/>
    <w:rsid w:val="00FD0ACE"/>
    <w:rsid w:val="00FD3408"/>
    <w:rsid w:val="00FF6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9DEB3"/>
  <w15:chartTrackingRefBased/>
  <w15:docId w15:val="{4A17D02B-F0FA-4773-8038-C50604BD7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0F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0F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7F0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0F5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C0F5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27F0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2734C3"/>
    <w:rPr>
      <w:color w:val="0563C1" w:themeColor="hyperlink"/>
      <w:u w:val="single"/>
    </w:rPr>
  </w:style>
  <w:style w:type="paragraph" w:styleId="ListParagraph">
    <w:name w:val="List Paragraph"/>
    <w:basedOn w:val="Normal"/>
    <w:uiPriority w:val="34"/>
    <w:qFormat/>
    <w:rsid w:val="002734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sult.education.gov.uk/funding-policy-unit/schools-national-funding-formula/supporting_documents/Current_funding_system.pdf" TargetMode="External"/><Relationship Id="rId13" Type="http://schemas.openxmlformats.org/officeDocument/2006/relationships/hyperlink" Target="http://www.directcreative.com/influence-and-persuasion-the-rule-of-reciprocity.html" TargetMode="External"/><Relationship Id="rId3" Type="http://schemas.openxmlformats.org/officeDocument/2006/relationships/settings" Target="settings.xml"/><Relationship Id="rId7" Type="http://schemas.openxmlformats.org/officeDocument/2006/relationships/hyperlink" Target="https://www.gov.uk/government/news/teachers-most-vulnerable-to-false-accusations-according-to-new-research" TargetMode="External"/><Relationship Id="rId12" Type="http://schemas.openxmlformats.org/officeDocument/2006/relationships/hyperlink" Target="https://en.oxforddictionaries.com/definition/power"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childlawadvice.org.uk/information-pages/discipline-within-school/" TargetMode="External"/><Relationship Id="rId11" Type="http://schemas.openxmlformats.org/officeDocument/2006/relationships/hyperlink" Target="https://en.oxforddictionaries.com/definition/authority" TargetMode="External"/><Relationship Id="rId5" Type="http://schemas.openxmlformats.org/officeDocument/2006/relationships/hyperlink" Target="http://www.evidencebasedteaching.org.au/crash-course-evidence-based-teaching/teacher-passion-matters-kids/" TargetMode="External"/><Relationship Id="rId15" Type="http://schemas.openxmlformats.org/officeDocument/2006/relationships/fontTable" Target="fontTable.xml"/><Relationship Id="rId10" Type="http://schemas.openxmlformats.org/officeDocument/2006/relationships/hyperlink" Target="https://s3.amazonaws.com/academia.edu.documents/44186702/Skinner.pdf?AWSAccessKeyId=AKIAIWOWYYGZ2Y53UL3A&amp;Expires=1540596956&amp;Signature=o4Okuauxoi5kPAatpOo%2BCMPBy3w%3D&amp;response-content-disposition=inline%3B%20filename%3DSkinner_-_Operant_Conditioning.pdf" TargetMode="External"/><Relationship Id="rId4" Type="http://schemas.openxmlformats.org/officeDocument/2006/relationships/webSettings" Target="webSettings.xml"/><Relationship Id="rId9" Type="http://schemas.openxmlformats.org/officeDocument/2006/relationships/hyperlink" Target="https://study.com/academy/lesson/positional-power-personal-power.html" TargetMode="External"/><Relationship Id="rId14" Type="http://schemas.openxmlformats.org/officeDocument/2006/relationships/hyperlink" Target="https://www.independent.co.uk/news/uk/home-news/teachers-banned-classroom-sexual-misconduct-record-numbers-statistics-investigation-a782889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438</TotalTime>
  <Pages>8</Pages>
  <Words>2744</Words>
  <Characters>15646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Samuel</dc:creator>
  <cp:keywords/>
  <dc:description/>
  <cp:lastModifiedBy>Ryan Samuel</cp:lastModifiedBy>
  <cp:revision>29</cp:revision>
  <dcterms:created xsi:type="dcterms:W3CDTF">2018-10-25T21:35:00Z</dcterms:created>
  <dcterms:modified xsi:type="dcterms:W3CDTF">2018-10-29T01:24:00Z</dcterms:modified>
</cp:coreProperties>
</file>