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F38AFC" w14:textId="77777777" w:rsidR="00073DA6" w:rsidRDefault="004B5A76" w:rsidP="004B5A76">
      <w:pPr>
        <w:jc w:val="center"/>
      </w:pPr>
      <w:r w:rsidRPr="004B5A76">
        <w:rPr>
          <w:noProof/>
          <w:lang w:val="en-US"/>
        </w:rPr>
        <w:drawing>
          <wp:inline distT="0" distB="0" distL="0" distR="0" wp14:anchorId="7ED2A376" wp14:editId="3497C17E">
            <wp:extent cx="2324301" cy="960203"/>
            <wp:effectExtent l="0" t="0" r="0" b="0"/>
            <wp:docPr id="897193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93498" name=""/>
                    <pic:cNvPicPr/>
                  </pic:nvPicPr>
                  <pic:blipFill>
                    <a:blip r:embed="rId8"/>
                    <a:stretch>
                      <a:fillRect/>
                    </a:stretch>
                  </pic:blipFill>
                  <pic:spPr>
                    <a:xfrm>
                      <a:off x="0" y="0"/>
                      <a:ext cx="2324301" cy="960203"/>
                    </a:xfrm>
                    <a:prstGeom prst="rect">
                      <a:avLst/>
                    </a:prstGeom>
                  </pic:spPr>
                </pic:pic>
              </a:graphicData>
            </a:graphic>
          </wp:inline>
        </w:drawing>
      </w:r>
    </w:p>
    <w:p w14:paraId="46A8F780" w14:textId="77777777" w:rsidR="008547A6" w:rsidRDefault="008547A6" w:rsidP="004B5A76">
      <w:pPr>
        <w:jc w:val="center"/>
        <w:rPr>
          <w:b/>
          <w:spacing w:val="-2"/>
          <w:sz w:val="21"/>
        </w:rPr>
      </w:pPr>
    </w:p>
    <w:p w14:paraId="422465A5" w14:textId="00765916" w:rsidR="004B5A76" w:rsidRDefault="004B5A76" w:rsidP="004B5A76">
      <w:pPr>
        <w:jc w:val="center"/>
        <w:rPr>
          <w:b/>
          <w:spacing w:val="-2"/>
          <w:sz w:val="32"/>
        </w:rPr>
      </w:pPr>
      <w:r w:rsidRPr="008547A6">
        <w:rPr>
          <w:b/>
          <w:spacing w:val="-2"/>
          <w:sz w:val="32"/>
        </w:rPr>
        <w:t>LCMB7023</w:t>
      </w:r>
    </w:p>
    <w:p w14:paraId="5744499A" w14:textId="77777777" w:rsidR="00FE6D1F" w:rsidRPr="008547A6" w:rsidRDefault="00FE6D1F" w:rsidP="004B5A76">
      <w:pPr>
        <w:jc w:val="center"/>
        <w:rPr>
          <w:b/>
          <w:spacing w:val="-2"/>
          <w:sz w:val="32"/>
        </w:rPr>
      </w:pPr>
    </w:p>
    <w:p w14:paraId="1BDF4628" w14:textId="0DFE0BFC" w:rsidR="004B5A76" w:rsidRPr="008547A6" w:rsidRDefault="004B5A76" w:rsidP="004B5A76">
      <w:pPr>
        <w:jc w:val="center"/>
        <w:rPr>
          <w:b/>
          <w:spacing w:val="-2"/>
          <w:sz w:val="32"/>
        </w:rPr>
      </w:pPr>
      <w:r w:rsidRPr="008547A6">
        <w:rPr>
          <w:b/>
          <w:sz w:val="32"/>
        </w:rPr>
        <w:t>Master</w:t>
      </w:r>
      <w:r w:rsidRPr="008547A6">
        <w:rPr>
          <w:b/>
          <w:spacing w:val="21"/>
          <w:sz w:val="32"/>
        </w:rPr>
        <w:t xml:space="preserve"> </w:t>
      </w:r>
      <w:r w:rsidRPr="008547A6">
        <w:rPr>
          <w:b/>
          <w:sz w:val="32"/>
        </w:rPr>
        <w:t>of</w:t>
      </w:r>
      <w:r w:rsidRPr="008547A6">
        <w:rPr>
          <w:b/>
          <w:spacing w:val="21"/>
          <w:sz w:val="32"/>
        </w:rPr>
        <w:t xml:space="preserve"> </w:t>
      </w:r>
      <w:r w:rsidRPr="008547A6">
        <w:rPr>
          <w:b/>
          <w:sz w:val="32"/>
        </w:rPr>
        <w:t>Business</w:t>
      </w:r>
      <w:r w:rsidRPr="008547A6">
        <w:rPr>
          <w:b/>
          <w:spacing w:val="21"/>
          <w:sz w:val="32"/>
        </w:rPr>
        <w:t xml:space="preserve"> </w:t>
      </w:r>
      <w:r w:rsidRPr="008547A6">
        <w:rPr>
          <w:b/>
          <w:spacing w:val="-2"/>
          <w:sz w:val="32"/>
        </w:rPr>
        <w:t>Administration</w:t>
      </w:r>
    </w:p>
    <w:p w14:paraId="661E76B2" w14:textId="77777777" w:rsidR="008547A6" w:rsidRPr="008547A6" w:rsidRDefault="008547A6" w:rsidP="004B5A76">
      <w:pPr>
        <w:jc w:val="center"/>
        <w:rPr>
          <w:b/>
          <w:spacing w:val="-2"/>
          <w:sz w:val="32"/>
        </w:rPr>
      </w:pPr>
    </w:p>
    <w:p w14:paraId="29F75336" w14:textId="0C0D7E19" w:rsidR="008547A6" w:rsidRDefault="008547A6" w:rsidP="008547A6">
      <w:pPr>
        <w:jc w:val="center"/>
        <w:rPr>
          <w:b/>
          <w:i/>
          <w:spacing w:val="-2"/>
          <w:sz w:val="28"/>
        </w:rPr>
      </w:pPr>
      <w:r w:rsidRPr="008547A6">
        <w:rPr>
          <w:b/>
          <w:i/>
          <w:spacing w:val="-2"/>
          <w:sz w:val="28"/>
        </w:rPr>
        <w:t>Assessment Component 1: Individual Report</w:t>
      </w:r>
    </w:p>
    <w:p w14:paraId="7CAB3209" w14:textId="576B1899" w:rsidR="00FE6D1F" w:rsidRDefault="00FE6D1F" w:rsidP="008547A6">
      <w:pPr>
        <w:jc w:val="center"/>
        <w:rPr>
          <w:b/>
          <w:i/>
          <w:spacing w:val="-2"/>
          <w:sz w:val="28"/>
        </w:rPr>
      </w:pPr>
    </w:p>
    <w:p w14:paraId="429B79BA" w14:textId="77777777" w:rsidR="00FE6D1F" w:rsidRDefault="00FE6D1F" w:rsidP="008547A6">
      <w:pPr>
        <w:jc w:val="center"/>
        <w:rPr>
          <w:b/>
          <w:i/>
          <w:spacing w:val="-2"/>
          <w:sz w:val="28"/>
        </w:rPr>
      </w:pPr>
    </w:p>
    <w:p w14:paraId="156C0D06" w14:textId="1F575316" w:rsidR="00FE6D1F" w:rsidRPr="00FE6D1F" w:rsidRDefault="00FE6D1F" w:rsidP="00FE6D1F">
      <w:pPr>
        <w:spacing w:line="480" w:lineRule="auto"/>
        <w:jc w:val="center"/>
        <w:rPr>
          <w:b/>
          <w:sz w:val="28"/>
          <w:lang w:val="en-US"/>
        </w:rPr>
      </w:pPr>
      <w:r>
        <w:rPr>
          <w:b/>
          <w:sz w:val="28"/>
          <w:lang w:val="en-US"/>
        </w:rPr>
        <w:t xml:space="preserve">Course </w:t>
      </w:r>
      <w:r w:rsidRPr="00FE6D1F">
        <w:rPr>
          <w:b/>
          <w:sz w:val="28"/>
          <w:lang w:val="en-US"/>
        </w:rPr>
        <w:t xml:space="preserve">- MBA International </w:t>
      </w:r>
      <w:r>
        <w:rPr>
          <w:b/>
          <w:sz w:val="28"/>
          <w:lang w:val="en-US"/>
        </w:rPr>
        <w:t>Business</w:t>
      </w:r>
      <w:r w:rsidRPr="00FE6D1F">
        <w:rPr>
          <w:b/>
          <w:sz w:val="28"/>
          <w:lang w:val="en-US"/>
        </w:rPr>
        <w:t xml:space="preserve"> Management</w:t>
      </w:r>
    </w:p>
    <w:p w14:paraId="735798A6" w14:textId="7B79439A" w:rsidR="00FE6D1F" w:rsidRPr="00FE6D1F" w:rsidRDefault="00FE6D1F" w:rsidP="00FE6D1F">
      <w:pPr>
        <w:spacing w:line="480" w:lineRule="auto"/>
        <w:jc w:val="center"/>
        <w:rPr>
          <w:b/>
          <w:sz w:val="28"/>
          <w:lang w:val="en-US"/>
        </w:rPr>
      </w:pPr>
      <w:r>
        <w:rPr>
          <w:b/>
          <w:sz w:val="28"/>
          <w:lang w:val="en-US"/>
        </w:rPr>
        <w:t xml:space="preserve">Name </w:t>
      </w:r>
      <w:r w:rsidRPr="00FE6D1F">
        <w:rPr>
          <w:b/>
          <w:sz w:val="28"/>
          <w:lang w:val="en-US"/>
        </w:rPr>
        <w:t xml:space="preserve">- </w:t>
      </w:r>
      <w:proofErr w:type="spellStart"/>
      <w:r w:rsidRPr="00FE6D1F">
        <w:rPr>
          <w:b/>
          <w:sz w:val="28"/>
          <w:lang w:val="en-US"/>
        </w:rPr>
        <w:t>Keval</w:t>
      </w:r>
      <w:proofErr w:type="spellEnd"/>
      <w:r w:rsidRPr="00FE6D1F">
        <w:rPr>
          <w:b/>
          <w:sz w:val="28"/>
          <w:lang w:val="en-US"/>
        </w:rPr>
        <w:t xml:space="preserve"> Joshi</w:t>
      </w:r>
    </w:p>
    <w:p w14:paraId="389FD64E" w14:textId="6971D4CA" w:rsidR="00FE6D1F" w:rsidRPr="00FE6D1F" w:rsidRDefault="00FE6D1F" w:rsidP="00FE6D1F">
      <w:pPr>
        <w:spacing w:line="480" w:lineRule="auto"/>
        <w:jc w:val="center"/>
        <w:rPr>
          <w:b/>
          <w:sz w:val="28"/>
          <w:lang w:val="en-US"/>
        </w:rPr>
      </w:pPr>
      <w:r>
        <w:rPr>
          <w:b/>
          <w:sz w:val="28"/>
          <w:lang w:val="en-US"/>
        </w:rPr>
        <w:t xml:space="preserve">Roll No </w:t>
      </w:r>
      <w:r w:rsidRPr="00FE6D1F">
        <w:rPr>
          <w:b/>
          <w:sz w:val="28"/>
          <w:lang w:val="en-US"/>
        </w:rPr>
        <w:t>- 2616038</w:t>
      </w:r>
    </w:p>
    <w:p w14:paraId="66ED3777" w14:textId="58C4E155" w:rsidR="00FE6D1F" w:rsidRPr="00FE6D1F" w:rsidRDefault="00FE6D1F" w:rsidP="00FE6D1F">
      <w:pPr>
        <w:spacing w:line="480" w:lineRule="auto"/>
        <w:jc w:val="center"/>
        <w:rPr>
          <w:b/>
          <w:sz w:val="28"/>
          <w:lang w:val="en-US"/>
        </w:rPr>
      </w:pPr>
      <w:r w:rsidRPr="00FE6D1F">
        <w:rPr>
          <w:b/>
          <w:sz w:val="28"/>
          <w:lang w:val="en-US"/>
        </w:rPr>
        <w:t>Submission Date - 15/10/2026</w:t>
      </w:r>
    </w:p>
    <w:p w14:paraId="3575CBDD" w14:textId="44AFD23E" w:rsidR="00FE6D1F" w:rsidRDefault="00FE6D1F" w:rsidP="00FE6D1F">
      <w:pPr>
        <w:spacing w:line="480" w:lineRule="auto"/>
        <w:jc w:val="center"/>
        <w:rPr>
          <w:b/>
          <w:sz w:val="28"/>
          <w:lang w:val="en-US"/>
        </w:rPr>
      </w:pPr>
      <w:r w:rsidRPr="00FE6D1F">
        <w:rPr>
          <w:b/>
          <w:sz w:val="28"/>
          <w:lang w:val="en-US"/>
        </w:rPr>
        <w:t>Subject - Human Capital Management</w:t>
      </w:r>
    </w:p>
    <w:p w14:paraId="35819BB1" w14:textId="0B66E4D0" w:rsidR="008D3FD0" w:rsidRPr="00FE6D1F" w:rsidRDefault="008D3FD0" w:rsidP="00FE6D1F">
      <w:pPr>
        <w:spacing w:line="480" w:lineRule="auto"/>
        <w:jc w:val="center"/>
        <w:rPr>
          <w:b/>
          <w:sz w:val="28"/>
          <w:lang w:val="en-US"/>
        </w:rPr>
      </w:pPr>
      <w:r>
        <w:rPr>
          <w:b/>
          <w:sz w:val="28"/>
          <w:lang w:val="en-US"/>
        </w:rPr>
        <w:t xml:space="preserve">Lecturer :- </w:t>
      </w:r>
      <w:proofErr w:type="spellStart"/>
      <w:r w:rsidR="003854F3">
        <w:rPr>
          <w:b/>
          <w:sz w:val="28"/>
          <w:lang w:val="en-US"/>
        </w:rPr>
        <w:t>Dr</w:t>
      </w:r>
      <w:proofErr w:type="spellEnd"/>
      <w:r w:rsidR="003854F3">
        <w:rPr>
          <w:b/>
          <w:sz w:val="28"/>
          <w:lang w:val="en-US"/>
        </w:rPr>
        <w:t xml:space="preserve"> </w:t>
      </w:r>
      <w:proofErr w:type="spellStart"/>
      <w:r w:rsidR="003854F3">
        <w:rPr>
          <w:b/>
          <w:sz w:val="28"/>
          <w:lang w:val="en-US"/>
        </w:rPr>
        <w:t>Eno</w:t>
      </w:r>
      <w:proofErr w:type="spellEnd"/>
      <w:r w:rsidR="003854F3">
        <w:rPr>
          <w:b/>
          <w:sz w:val="28"/>
          <w:lang w:val="en-US"/>
        </w:rPr>
        <w:t xml:space="preserve"> </w:t>
      </w:r>
      <w:proofErr w:type="spellStart"/>
      <w:r w:rsidR="003854F3">
        <w:rPr>
          <w:b/>
          <w:sz w:val="28"/>
          <w:lang w:val="en-US"/>
        </w:rPr>
        <w:t>Maycock</w:t>
      </w:r>
      <w:proofErr w:type="spellEnd"/>
    </w:p>
    <w:p w14:paraId="3ADC3D3C" w14:textId="77777777" w:rsidR="00FE6D1F" w:rsidRPr="00FE6D1F" w:rsidRDefault="00FE6D1F" w:rsidP="00FE6D1F">
      <w:pPr>
        <w:jc w:val="center"/>
      </w:pPr>
    </w:p>
    <w:p w14:paraId="07B73720" w14:textId="77777777" w:rsidR="00B87B61" w:rsidRDefault="00B87B61">
      <w:pPr>
        <w:spacing w:after="160" w:line="259" w:lineRule="auto"/>
        <w:jc w:val="left"/>
        <w:rPr>
          <w:b/>
          <w:spacing w:val="-2"/>
          <w:sz w:val="21"/>
        </w:rPr>
      </w:pPr>
      <w:r>
        <w:rPr>
          <w:b/>
          <w:spacing w:val="-2"/>
          <w:sz w:val="21"/>
        </w:rPr>
        <w:br w:type="page"/>
      </w:r>
    </w:p>
    <w:sdt>
      <w:sdtPr>
        <w:rPr>
          <w:rFonts w:ascii="Arial" w:eastAsiaTheme="minorHAnsi" w:hAnsi="Arial" w:cs="Arial"/>
          <w:color w:val="auto"/>
          <w:kern w:val="2"/>
          <w:sz w:val="28"/>
          <w:szCs w:val="28"/>
          <w:lang w:val="en-IN"/>
          <w14:ligatures w14:val="standardContextual"/>
        </w:rPr>
        <w:id w:val="531698554"/>
        <w:docPartObj>
          <w:docPartGallery w:val="Table of Contents"/>
          <w:docPartUnique/>
        </w:docPartObj>
      </w:sdtPr>
      <w:sdtEndPr>
        <w:rPr>
          <w:rFonts w:cstheme="minorBidi"/>
          <w:b/>
          <w:bCs/>
          <w:noProof/>
          <w:sz w:val="24"/>
          <w:szCs w:val="22"/>
        </w:rPr>
      </w:sdtEndPr>
      <w:sdtContent>
        <w:p w14:paraId="725B677A" w14:textId="098D6141" w:rsidR="00285F85" w:rsidRPr="008547A6" w:rsidRDefault="00285F85">
          <w:pPr>
            <w:pStyle w:val="TOCHeading"/>
            <w:rPr>
              <w:rFonts w:ascii="Arial" w:hAnsi="Arial" w:cs="Arial"/>
              <w:sz w:val="28"/>
              <w:szCs w:val="28"/>
            </w:rPr>
          </w:pPr>
          <w:r w:rsidRPr="008547A6">
            <w:rPr>
              <w:rFonts w:ascii="Arial" w:hAnsi="Arial" w:cs="Arial"/>
              <w:sz w:val="28"/>
              <w:szCs w:val="28"/>
            </w:rPr>
            <w:t>Table of Contents</w:t>
          </w:r>
        </w:p>
        <w:p w14:paraId="1B4EBCF0" w14:textId="26E8262F" w:rsidR="00A504D4" w:rsidRDefault="00285F85">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42378959" w:history="1">
            <w:r w:rsidR="00A504D4" w:rsidRPr="00F6663D">
              <w:rPr>
                <w:rStyle w:val="Hyperlink"/>
                <w:noProof/>
              </w:rPr>
              <w:t>Introduction</w:t>
            </w:r>
            <w:r w:rsidR="00A504D4">
              <w:rPr>
                <w:noProof/>
                <w:webHidden/>
              </w:rPr>
              <w:tab/>
            </w:r>
            <w:r w:rsidR="00A504D4">
              <w:rPr>
                <w:noProof/>
                <w:webHidden/>
              </w:rPr>
              <w:fldChar w:fldCharType="begin"/>
            </w:r>
            <w:r w:rsidR="00A504D4">
              <w:rPr>
                <w:noProof/>
                <w:webHidden/>
              </w:rPr>
              <w:instrText xml:space="preserve"> PAGEREF _Toc242378959 \h </w:instrText>
            </w:r>
            <w:r w:rsidR="00A504D4">
              <w:rPr>
                <w:noProof/>
                <w:webHidden/>
              </w:rPr>
            </w:r>
            <w:r w:rsidR="00A504D4">
              <w:rPr>
                <w:noProof/>
                <w:webHidden/>
              </w:rPr>
              <w:fldChar w:fldCharType="separate"/>
            </w:r>
            <w:r w:rsidR="00A504D4">
              <w:rPr>
                <w:noProof/>
                <w:webHidden/>
              </w:rPr>
              <w:t>3</w:t>
            </w:r>
            <w:r w:rsidR="00A504D4">
              <w:rPr>
                <w:noProof/>
                <w:webHidden/>
              </w:rPr>
              <w:fldChar w:fldCharType="end"/>
            </w:r>
          </w:hyperlink>
        </w:p>
        <w:p w14:paraId="36B2F3D1" w14:textId="2DB2A268" w:rsidR="00A504D4" w:rsidRDefault="00A504D4">
          <w:pPr>
            <w:pStyle w:val="TOC1"/>
            <w:tabs>
              <w:tab w:val="right" w:leader="dot" w:pos="9016"/>
            </w:tabs>
            <w:rPr>
              <w:rFonts w:asciiTheme="minorHAnsi" w:eastAsiaTheme="minorEastAsia" w:hAnsiTheme="minorHAnsi"/>
              <w:noProof/>
              <w:szCs w:val="24"/>
              <w:lang w:eastAsia="en-IN"/>
            </w:rPr>
          </w:pPr>
          <w:hyperlink w:anchor="_Toc242378960" w:history="1">
            <w:r w:rsidRPr="00F6663D">
              <w:rPr>
                <w:rStyle w:val="Hyperlink"/>
                <w:noProof/>
              </w:rPr>
              <w:t>Task A: Designing Innovative Working Practices</w:t>
            </w:r>
            <w:r>
              <w:rPr>
                <w:noProof/>
                <w:webHidden/>
              </w:rPr>
              <w:tab/>
            </w:r>
            <w:r>
              <w:rPr>
                <w:noProof/>
                <w:webHidden/>
              </w:rPr>
              <w:fldChar w:fldCharType="begin"/>
            </w:r>
            <w:r>
              <w:rPr>
                <w:noProof/>
                <w:webHidden/>
              </w:rPr>
              <w:instrText xml:space="preserve"> PAGEREF _Toc242378960 \h </w:instrText>
            </w:r>
            <w:r>
              <w:rPr>
                <w:noProof/>
                <w:webHidden/>
              </w:rPr>
            </w:r>
            <w:r>
              <w:rPr>
                <w:noProof/>
                <w:webHidden/>
              </w:rPr>
              <w:fldChar w:fldCharType="separate"/>
            </w:r>
            <w:r>
              <w:rPr>
                <w:noProof/>
                <w:webHidden/>
              </w:rPr>
              <w:t>3</w:t>
            </w:r>
            <w:r>
              <w:rPr>
                <w:noProof/>
                <w:webHidden/>
              </w:rPr>
              <w:fldChar w:fldCharType="end"/>
            </w:r>
          </w:hyperlink>
        </w:p>
        <w:p w14:paraId="0A406E59" w14:textId="4E01E81B" w:rsidR="00A504D4" w:rsidRDefault="00A504D4">
          <w:pPr>
            <w:pStyle w:val="TOC2"/>
            <w:tabs>
              <w:tab w:val="right" w:leader="dot" w:pos="9016"/>
            </w:tabs>
            <w:rPr>
              <w:rFonts w:asciiTheme="minorHAnsi" w:eastAsiaTheme="minorEastAsia" w:hAnsiTheme="minorHAnsi"/>
              <w:noProof/>
              <w:szCs w:val="24"/>
              <w:lang w:eastAsia="en-IN"/>
            </w:rPr>
          </w:pPr>
          <w:hyperlink w:anchor="_Toc242378961" w:history="1">
            <w:r w:rsidRPr="00F6663D">
              <w:rPr>
                <w:rStyle w:val="Hyperlink"/>
                <w:noProof/>
              </w:rPr>
              <w:t>A critical assessment of conventional and contemporary working practices</w:t>
            </w:r>
            <w:r>
              <w:rPr>
                <w:noProof/>
                <w:webHidden/>
              </w:rPr>
              <w:tab/>
            </w:r>
            <w:r>
              <w:rPr>
                <w:noProof/>
                <w:webHidden/>
              </w:rPr>
              <w:fldChar w:fldCharType="begin"/>
            </w:r>
            <w:r>
              <w:rPr>
                <w:noProof/>
                <w:webHidden/>
              </w:rPr>
              <w:instrText xml:space="preserve"> PAGEREF _Toc242378961 \h </w:instrText>
            </w:r>
            <w:r>
              <w:rPr>
                <w:noProof/>
                <w:webHidden/>
              </w:rPr>
            </w:r>
            <w:r>
              <w:rPr>
                <w:noProof/>
                <w:webHidden/>
              </w:rPr>
              <w:fldChar w:fldCharType="separate"/>
            </w:r>
            <w:r>
              <w:rPr>
                <w:noProof/>
                <w:webHidden/>
              </w:rPr>
              <w:t>3</w:t>
            </w:r>
            <w:r>
              <w:rPr>
                <w:noProof/>
                <w:webHidden/>
              </w:rPr>
              <w:fldChar w:fldCharType="end"/>
            </w:r>
          </w:hyperlink>
        </w:p>
        <w:p w14:paraId="64D60281" w14:textId="325E875B" w:rsidR="00A504D4" w:rsidRDefault="00A504D4">
          <w:pPr>
            <w:pStyle w:val="TOC2"/>
            <w:tabs>
              <w:tab w:val="right" w:leader="dot" w:pos="9016"/>
            </w:tabs>
            <w:rPr>
              <w:rFonts w:asciiTheme="minorHAnsi" w:eastAsiaTheme="minorEastAsia" w:hAnsiTheme="minorHAnsi"/>
              <w:noProof/>
              <w:szCs w:val="24"/>
              <w:lang w:eastAsia="en-IN"/>
            </w:rPr>
          </w:pPr>
          <w:hyperlink w:anchor="_Toc242378962" w:history="1">
            <w:r w:rsidRPr="00F6663D">
              <w:rPr>
                <w:rStyle w:val="Hyperlink"/>
                <w:noProof/>
              </w:rPr>
              <w:t>Recommendations-An integrated model for innovative working for NHSX</w:t>
            </w:r>
            <w:r>
              <w:rPr>
                <w:noProof/>
                <w:webHidden/>
              </w:rPr>
              <w:tab/>
            </w:r>
            <w:r>
              <w:rPr>
                <w:noProof/>
                <w:webHidden/>
              </w:rPr>
              <w:fldChar w:fldCharType="begin"/>
            </w:r>
            <w:r>
              <w:rPr>
                <w:noProof/>
                <w:webHidden/>
              </w:rPr>
              <w:instrText xml:space="preserve"> PAGEREF _Toc242378962 \h </w:instrText>
            </w:r>
            <w:r>
              <w:rPr>
                <w:noProof/>
                <w:webHidden/>
              </w:rPr>
            </w:r>
            <w:r>
              <w:rPr>
                <w:noProof/>
                <w:webHidden/>
              </w:rPr>
              <w:fldChar w:fldCharType="separate"/>
            </w:r>
            <w:r>
              <w:rPr>
                <w:noProof/>
                <w:webHidden/>
              </w:rPr>
              <w:t>5</w:t>
            </w:r>
            <w:r>
              <w:rPr>
                <w:noProof/>
                <w:webHidden/>
              </w:rPr>
              <w:fldChar w:fldCharType="end"/>
            </w:r>
          </w:hyperlink>
        </w:p>
        <w:p w14:paraId="012AF538" w14:textId="70FC9584" w:rsidR="00A504D4" w:rsidRDefault="00A504D4">
          <w:pPr>
            <w:pStyle w:val="TOC1"/>
            <w:tabs>
              <w:tab w:val="right" w:leader="dot" w:pos="9016"/>
            </w:tabs>
            <w:rPr>
              <w:rFonts w:asciiTheme="minorHAnsi" w:eastAsiaTheme="minorEastAsia" w:hAnsiTheme="minorHAnsi"/>
              <w:noProof/>
              <w:szCs w:val="24"/>
              <w:lang w:eastAsia="en-IN"/>
            </w:rPr>
          </w:pPr>
          <w:hyperlink w:anchor="_Toc242378963" w:history="1">
            <w:r w:rsidRPr="00F6663D">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_Toc242378963 \h </w:instrText>
            </w:r>
            <w:r>
              <w:rPr>
                <w:noProof/>
                <w:webHidden/>
              </w:rPr>
            </w:r>
            <w:r>
              <w:rPr>
                <w:noProof/>
                <w:webHidden/>
              </w:rPr>
              <w:fldChar w:fldCharType="separate"/>
            </w:r>
            <w:r>
              <w:rPr>
                <w:noProof/>
                <w:webHidden/>
              </w:rPr>
              <w:t>7</w:t>
            </w:r>
            <w:r>
              <w:rPr>
                <w:noProof/>
                <w:webHidden/>
              </w:rPr>
              <w:fldChar w:fldCharType="end"/>
            </w:r>
          </w:hyperlink>
        </w:p>
        <w:p w14:paraId="680E1D77" w14:textId="2F597124" w:rsidR="00A504D4" w:rsidRDefault="00A504D4">
          <w:pPr>
            <w:pStyle w:val="TOC1"/>
            <w:tabs>
              <w:tab w:val="right" w:leader="dot" w:pos="9016"/>
            </w:tabs>
            <w:rPr>
              <w:rFonts w:asciiTheme="minorHAnsi" w:eastAsiaTheme="minorEastAsia" w:hAnsiTheme="minorHAnsi"/>
              <w:noProof/>
              <w:szCs w:val="24"/>
              <w:lang w:eastAsia="en-IN"/>
            </w:rPr>
          </w:pPr>
          <w:hyperlink w:anchor="_Toc242378964" w:history="1">
            <w:r w:rsidRPr="00F6663D">
              <w:rPr>
                <w:rStyle w:val="Hyperlink"/>
                <w:noProof/>
              </w:rPr>
              <w:t>Task C: Reflective Report</w:t>
            </w:r>
            <w:r>
              <w:rPr>
                <w:noProof/>
                <w:webHidden/>
              </w:rPr>
              <w:tab/>
            </w:r>
            <w:r>
              <w:rPr>
                <w:noProof/>
                <w:webHidden/>
              </w:rPr>
              <w:fldChar w:fldCharType="begin"/>
            </w:r>
            <w:r>
              <w:rPr>
                <w:noProof/>
                <w:webHidden/>
              </w:rPr>
              <w:instrText xml:space="preserve"> PAGEREF _Toc242378964 \h </w:instrText>
            </w:r>
            <w:r>
              <w:rPr>
                <w:noProof/>
                <w:webHidden/>
              </w:rPr>
            </w:r>
            <w:r>
              <w:rPr>
                <w:noProof/>
                <w:webHidden/>
              </w:rPr>
              <w:fldChar w:fldCharType="separate"/>
            </w:r>
            <w:r>
              <w:rPr>
                <w:noProof/>
                <w:webHidden/>
              </w:rPr>
              <w:t>10</w:t>
            </w:r>
            <w:r>
              <w:rPr>
                <w:noProof/>
                <w:webHidden/>
              </w:rPr>
              <w:fldChar w:fldCharType="end"/>
            </w:r>
          </w:hyperlink>
        </w:p>
        <w:p w14:paraId="008D39F3" w14:textId="292179C3" w:rsidR="00A504D4" w:rsidRDefault="00A504D4">
          <w:pPr>
            <w:pStyle w:val="TOC1"/>
            <w:tabs>
              <w:tab w:val="right" w:leader="dot" w:pos="9016"/>
            </w:tabs>
            <w:rPr>
              <w:rFonts w:asciiTheme="minorHAnsi" w:eastAsiaTheme="minorEastAsia" w:hAnsiTheme="minorHAnsi"/>
              <w:noProof/>
              <w:szCs w:val="24"/>
              <w:lang w:eastAsia="en-IN"/>
            </w:rPr>
          </w:pPr>
          <w:hyperlink w:anchor="_Toc242378965" w:history="1">
            <w:r w:rsidRPr="00F6663D">
              <w:rPr>
                <w:rStyle w:val="Hyperlink"/>
                <w:noProof/>
              </w:rPr>
              <w:t>Conclusion</w:t>
            </w:r>
            <w:r>
              <w:rPr>
                <w:noProof/>
                <w:webHidden/>
              </w:rPr>
              <w:tab/>
            </w:r>
            <w:r>
              <w:rPr>
                <w:noProof/>
                <w:webHidden/>
              </w:rPr>
              <w:fldChar w:fldCharType="begin"/>
            </w:r>
            <w:r>
              <w:rPr>
                <w:noProof/>
                <w:webHidden/>
              </w:rPr>
              <w:instrText xml:space="preserve"> PAGEREF _Toc242378965 \h </w:instrText>
            </w:r>
            <w:r>
              <w:rPr>
                <w:noProof/>
                <w:webHidden/>
              </w:rPr>
            </w:r>
            <w:r>
              <w:rPr>
                <w:noProof/>
                <w:webHidden/>
              </w:rPr>
              <w:fldChar w:fldCharType="separate"/>
            </w:r>
            <w:r>
              <w:rPr>
                <w:noProof/>
                <w:webHidden/>
              </w:rPr>
              <w:t>11</w:t>
            </w:r>
            <w:r>
              <w:rPr>
                <w:noProof/>
                <w:webHidden/>
              </w:rPr>
              <w:fldChar w:fldCharType="end"/>
            </w:r>
          </w:hyperlink>
        </w:p>
        <w:p w14:paraId="44F4C471" w14:textId="7F066368" w:rsidR="00A504D4" w:rsidRDefault="00A504D4">
          <w:pPr>
            <w:pStyle w:val="TOC1"/>
            <w:tabs>
              <w:tab w:val="right" w:leader="dot" w:pos="9016"/>
            </w:tabs>
            <w:rPr>
              <w:rFonts w:asciiTheme="minorHAnsi" w:eastAsiaTheme="minorEastAsia" w:hAnsiTheme="minorHAnsi"/>
              <w:noProof/>
              <w:szCs w:val="24"/>
              <w:lang w:eastAsia="en-IN"/>
            </w:rPr>
          </w:pPr>
          <w:hyperlink w:anchor="_Toc242378966" w:history="1">
            <w:r w:rsidRPr="00F6663D">
              <w:rPr>
                <w:rStyle w:val="Hyperlink"/>
                <w:noProof/>
              </w:rPr>
              <w:t>References</w:t>
            </w:r>
            <w:r>
              <w:rPr>
                <w:noProof/>
                <w:webHidden/>
              </w:rPr>
              <w:tab/>
            </w:r>
            <w:r>
              <w:rPr>
                <w:noProof/>
                <w:webHidden/>
              </w:rPr>
              <w:fldChar w:fldCharType="begin"/>
            </w:r>
            <w:r>
              <w:rPr>
                <w:noProof/>
                <w:webHidden/>
              </w:rPr>
              <w:instrText xml:space="preserve"> PAGEREF _Toc242378966 \h </w:instrText>
            </w:r>
            <w:r>
              <w:rPr>
                <w:noProof/>
                <w:webHidden/>
              </w:rPr>
            </w:r>
            <w:r>
              <w:rPr>
                <w:noProof/>
                <w:webHidden/>
              </w:rPr>
              <w:fldChar w:fldCharType="separate"/>
            </w:r>
            <w:r>
              <w:rPr>
                <w:noProof/>
                <w:webHidden/>
              </w:rPr>
              <w:t>13</w:t>
            </w:r>
            <w:r>
              <w:rPr>
                <w:noProof/>
                <w:webHidden/>
              </w:rPr>
              <w:fldChar w:fldCharType="end"/>
            </w:r>
          </w:hyperlink>
        </w:p>
        <w:p w14:paraId="379D9FD1" w14:textId="7D21007C" w:rsidR="00285F85" w:rsidRDefault="00285F85">
          <w:r>
            <w:rPr>
              <w:b/>
              <w:bCs/>
              <w:noProof/>
            </w:rPr>
            <w:fldChar w:fldCharType="end"/>
          </w:r>
        </w:p>
      </w:sdtContent>
    </w:sdt>
    <w:p w14:paraId="168B02A0" w14:textId="77777777" w:rsidR="00285F85" w:rsidRDefault="00285F85">
      <w:pPr>
        <w:spacing w:after="160" w:line="259" w:lineRule="auto"/>
        <w:jc w:val="left"/>
        <w:rPr>
          <w:rStyle w:val="Strong"/>
          <w:rFonts w:eastAsiaTheme="majorEastAsia" w:cstheme="majorBidi"/>
          <w:b w:val="0"/>
          <w:bCs w:val="0"/>
          <w:color w:val="0F4761" w:themeColor="accent1" w:themeShade="BF"/>
          <w:sz w:val="32"/>
          <w:szCs w:val="40"/>
        </w:rPr>
      </w:pPr>
      <w:r>
        <w:rPr>
          <w:rStyle w:val="Strong"/>
          <w:b w:val="0"/>
          <w:bCs w:val="0"/>
        </w:rPr>
        <w:br w:type="page"/>
      </w:r>
    </w:p>
    <w:p w14:paraId="651D6120" w14:textId="44629F6D" w:rsidR="004B5A76" w:rsidRDefault="00B87B61" w:rsidP="00B87B61">
      <w:pPr>
        <w:pStyle w:val="Heading1"/>
        <w:rPr>
          <w:rStyle w:val="Strong"/>
          <w:b w:val="0"/>
          <w:bCs w:val="0"/>
        </w:rPr>
      </w:pPr>
      <w:bookmarkStart w:id="0" w:name="_Toc242378959"/>
      <w:r w:rsidRPr="00B87B61">
        <w:rPr>
          <w:rStyle w:val="Strong"/>
          <w:b w:val="0"/>
          <w:bCs w:val="0"/>
        </w:rPr>
        <w:t>Introduction</w:t>
      </w:r>
      <w:bookmarkEnd w:id="0"/>
    </w:p>
    <w:p w14:paraId="622E6D03" w14:textId="735FC1C4" w:rsidR="004C1CB1" w:rsidRPr="004C1CB1" w:rsidRDefault="004C1CB1" w:rsidP="004C1CB1">
      <w:proofErr w:type="spellStart"/>
      <w:r w:rsidRPr="004C1CB1">
        <w:t>NexSpace</w:t>
      </w:r>
      <w:proofErr w:type="spellEnd"/>
      <w:r w:rsidRPr="004C1CB1">
        <w:t xml:space="preserve"> Health Systems (NHSX) is based in the UK, with around 600 staff members across the UK, India and UAE, in a knowledge</w:t>
      </w:r>
      <w:r w:rsidR="00285F85">
        <w:t>-</w:t>
      </w:r>
      <w:r w:rsidRPr="004C1CB1">
        <w:t>intensive and highly dynamic healthcare technology sector.</w:t>
      </w:r>
      <w:r w:rsidR="00D27DB1">
        <w:t xml:space="preserve"> </w:t>
      </w:r>
      <w:r w:rsidRPr="004C1CB1">
        <w:t xml:space="preserve">AI investment </w:t>
      </w:r>
      <w:r w:rsidR="002C75AA" w:rsidRPr="004C1CB1">
        <w:t>has</w:t>
      </w:r>
      <w:r w:rsidRPr="004C1CB1">
        <w:t xml:space="preserve"> brought great opportunities, but it is also facing challenges of hierarchy, poor collaboration, insufficient experimentation</w:t>
      </w:r>
      <w:r w:rsidR="008547A6">
        <w:t>,</w:t>
      </w:r>
      <w:r w:rsidRPr="004C1CB1">
        <w:t xml:space="preserve"> and talent retention that impact </w:t>
      </w:r>
      <w:r w:rsidR="00285F85">
        <w:t>its</w:t>
      </w:r>
      <w:r w:rsidRPr="004C1CB1">
        <w:t xml:space="preserve"> agility. We therefore consider in the following discussion how innovative work design and a developmental talent ecosystem can be used to overcome these challenges.</w:t>
      </w:r>
    </w:p>
    <w:p w14:paraId="1AE90893" w14:textId="4AA69FD1" w:rsidR="00B87B61" w:rsidRDefault="00B87B61" w:rsidP="00B87B61">
      <w:pPr>
        <w:pStyle w:val="Heading1"/>
      </w:pPr>
      <w:bookmarkStart w:id="1" w:name="_Toc242378960"/>
      <w:r>
        <w:t>Task A: Designing Innovative Working Practices</w:t>
      </w:r>
      <w:bookmarkEnd w:id="1"/>
    </w:p>
    <w:p w14:paraId="685EC33F" w14:textId="7EC027AB" w:rsidR="005D173E" w:rsidRPr="005D173E" w:rsidRDefault="005D173E" w:rsidP="005D173E">
      <w:pPr>
        <w:pStyle w:val="Heading2"/>
      </w:pPr>
      <w:bookmarkStart w:id="2" w:name="_Toc242378961"/>
      <w:r>
        <w:t>A critical assessment of conventional and contemporary working practices</w:t>
      </w:r>
      <w:bookmarkEnd w:id="2"/>
      <w:r>
        <w:t xml:space="preserve"> </w:t>
      </w:r>
    </w:p>
    <w:p w14:paraId="4EC90AB9" w14:textId="5BC68211" w:rsidR="00285F85" w:rsidRDefault="00285F85" w:rsidP="00285F85">
      <w:r w:rsidRPr="00285F85">
        <w:t>Traditional hierarchical work design can bring clarity to a role, and also accountability and control, but these are hindrances in uncertain and innovation-rich settings. The slow decision</w:t>
      </w:r>
      <w:r>
        <w:t>-</w:t>
      </w:r>
      <w:r w:rsidRPr="00285F85">
        <w:t>making and limited experimentation of NHSX staff suggest that too much hierarchy is stifling rather than enabling performance. Thus, work design today must be based on employee capability</w:t>
      </w:r>
      <w:r>
        <w:t>,</w:t>
      </w:r>
      <w:r w:rsidRPr="00285F85">
        <w:t xml:space="preserve"> participation and adaptability rather than manager control. High-Performance Work Systems (HPWS) are helpful to start with, as they do not see HR practices as stand-alone interventions but as systems incorporating recruitment, training, performance management and employee involvement. </w:t>
      </w:r>
    </w:p>
    <w:p w14:paraId="7C5E3739" w14:textId="77777777" w:rsidR="00D27DB1" w:rsidRDefault="00D27DB1" w:rsidP="00D27DB1">
      <w:pPr>
        <w:keepNext/>
        <w:jc w:val="center"/>
      </w:pPr>
      <w:r>
        <w:rPr>
          <w:noProof/>
          <w:lang w:val="en-US"/>
        </w:rPr>
        <w:drawing>
          <wp:inline distT="0" distB="0" distL="0" distR="0" wp14:anchorId="64B561A0" wp14:editId="6DE3DE7B">
            <wp:extent cx="2404110" cy="2414891"/>
            <wp:effectExtent l="0" t="0" r="0" b="5080"/>
            <wp:docPr id="81150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8037" cy="2418836"/>
                    </a:xfrm>
                    <a:prstGeom prst="rect">
                      <a:avLst/>
                    </a:prstGeom>
                    <a:noFill/>
                  </pic:spPr>
                </pic:pic>
              </a:graphicData>
            </a:graphic>
          </wp:inline>
        </w:drawing>
      </w:r>
    </w:p>
    <w:p w14:paraId="16681753" w14:textId="3EF5A4E4" w:rsidR="00D27DB1" w:rsidRDefault="00D27DB1" w:rsidP="00D27DB1">
      <w:pPr>
        <w:pStyle w:val="Caption"/>
        <w:jc w:val="center"/>
      </w:pPr>
      <w:r>
        <w:t xml:space="preserve">Figure </w:t>
      </w:r>
      <w:r w:rsidR="00AB433B">
        <w:fldChar w:fldCharType="begin"/>
      </w:r>
      <w:r w:rsidR="00AB433B">
        <w:instrText xml:space="preserve"> SEQ Figure \* ARABIC </w:instrText>
      </w:r>
      <w:r w:rsidR="00AB433B">
        <w:fldChar w:fldCharType="separate"/>
      </w:r>
      <w:r w:rsidR="002C75AA">
        <w:rPr>
          <w:noProof/>
        </w:rPr>
        <w:t>1</w:t>
      </w:r>
      <w:r w:rsidR="00AB433B">
        <w:rPr>
          <w:noProof/>
        </w:rPr>
        <w:fldChar w:fldCharType="end"/>
      </w:r>
      <w:r>
        <w:t xml:space="preserve">: </w:t>
      </w:r>
      <w:r w:rsidRPr="006F0BB1">
        <w:t>High-Performance Work Systems (HPWS)</w:t>
      </w:r>
      <w:r>
        <w:t xml:space="preserve">, Source: </w:t>
      </w:r>
      <w:r w:rsidRPr="006F0BB1">
        <w:t>(</w:t>
      </w:r>
      <w:proofErr w:type="spellStart"/>
      <w:r w:rsidRPr="006F0BB1">
        <w:t>Thadeus</w:t>
      </w:r>
      <w:proofErr w:type="spellEnd"/>
      <w:r w:rsidRPr="006F0BB1">
        <w:t xml:space="preserve"> F, 2024)</w:t>
      </w:r>
      <w:r>
        <w:t>.</w:t>
      </w:r>
    </w:p>
    <w:p w14:paraId="3EB049D2" w14:textId="04BF014D" w:rsidR="00285F85" w:rsidRDefault="00285F85" w:rsidP="00285F85">
      <w:r w:rsidRPr="00285F85">
        <w:t>HPWS is positively associated with employees' innovation when employees are engaged and supported by organisations (Zhu et al., 2022). But HPWS can place more demands on performance; so if performance systems are made more demanding</w:t>
      </w:r>
      <w:r>
        <w:t>,</w:t>
      </w:r>
      <w:r w:rsidRPr="00285F85">
        <w:t xml:space="preserve"> there must be more autonomy and wellbeing support, otherwise it could make NHSX's current one even worse. High-Involvement Work Systems (HIWS) provide a better fit since employees participate in decision-making and problem-solving activities. At NHSX, the ability to bring together multidisciplinary teams of software engineers, clinicians, data experts and HR specialists will help to speed up the sharing of knowledge and help to diminish functional silos.</w:t>
      </w:r>
    </w:p>
    <w:p w14:paraId="195E0FC0" w14:textId="64240080" w:rsidR="00285F85" w:rsidRDefault="00285F85" w:rsidP="00285F85">
      <w:r w:rsidRPr="00285F85">
        <w:t xml:space="preserve"> This is an example of sociotechnical systems thinking; that is, that both technological and social aspects should be designed simultaneously, not optimised separately. This integration is especially crucial, as NHSX's competitive edge lies not just in the technology of AI, but in the creative application of knowledge by its employees. Agile working should then be embedded in NHSX's operating model. Small, interdisciplinary teams can be assembled around a well-defined healthcare technology issue to apply quick development cycles, iterative feedback</w:t>
      </w:r>
      <w:r w:rsidR="00FE6D1F">
        <w:t>,</w:t>
      </w:r>
      <w:r w:rsidRPr="00285F85">
        <w:t xml:space="preserve"> and learning. This structure should be complemented by employee autonomy, however; otherwise, agility without decision-making power simply results in faster procedures, but not empowerment. </w:t>
      </w:r>
      <w:r w:rsidR="008547A6">
        <w:t>This</w:t>
      </w:r>
      <w:r w:rsidRPr="00285F85">
        <w:t xml:space="preserve"> is consistent with the evidence that associates employee engagement and organisational capabilities with innovation in the case of HPWS (</w:t>
      </w:r>
      <w:proofErr w:type="spellStart"/>
      <w:r w:rsidRPr="00285F85">
        <w:t>Bhattacharjee</w:t>
      </w:r>
      <w:proofErr w:type="spellEnd"/>
      <w:r w:rsidRPr="00285F85">
        <w:t xml:space="preserve"> and Sarkar, 2023). </w:t>
      </w:r>
    </w:p>
    <w:p w14:paraId="10FDC605" w14:textId="31716D50" w:rsidR="00285F85" w:rsidRDefault="00285F85" w:rsidP="00285F85">
      <w:r w:rsidRPr="00285F85">
        <w:t xml:space="preserve">Hybrid working should also be maintained and reconfigured. The case suggests that the current hybrid arrangements have undermined collaboration and knowledge sharing. However, it is important to note that hybrid working isn't necessarily a bad thing. Bloom, Han and Liang (2024) reported that hybrid working arrangements have had a positive impact on retention without negatively affecting performance, while Gibbs, </w:t>
      </w:r>
      <w:proofErr w:type="spellStart"/>
      <w:r w:rsidRPr="00285F85">
        <w:t>Mengel</w:t>
      </w:r>
      <w:proofErr w:type="spellEnd"/>
      <w:r w:rsidRPr="00285F85">
        <w:t xml:space="preserve"> and </w:t>
      </w:r>
      <w:proofErr w:type="spellStart"/>
      <w:r w:rsidRPr="00285F85">
        <w:t>Siemroth</w:t>
      </w:r>
      <w:proofErr w:type="spellEnd"/>
      <w:r w:rsidRPr="00285F85">
        <w:t xml:space="preserve"> (2024) found that poorly coordinated hybrid working arrangements can negatively impact innovation.</w:t>
      </w:r>
    </w:p>
    <w:p w14:paraId="7AB95EDA" w14:textId="77777777" w:rsidR="002C75AA" w:rsidRDefault="002C75AA" w:rsidP="002C75AA">
      <w:pPr>
        <w:keepNext/>
        <w:jc w:val="center"/>
      </w:pPr>
      <w:r>
        <w:rPr>
          <w:noProof/>
          <w:lang w:val="en-US"/>
        </w:rPr>
        <w:drawing>
          <wp:inline distT="0" distB="0" distL="0" distR="0" wp14:anchorId="1BC6B757" wp14:editId="0BB3E200">
            <wp:extent cx="3384550" cy="2222494"/>
            <wp:effectExtent l="0" t="0" r="6350" b="6985"/>
            <wp:docPr id="1904028786" name="Picture 2" descr="12 Factors To Consider When Managing A Hybrid Work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2 Factors To Consider When Managing A Hybrid Workfor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90287" cy="2226261"/>
                    </a:xfrm>
                    <a:prstGeom prst="rect">
                      <a:avLst/>
                    </a:prstGeom>
                    <a:noFill/>
                    <a:ln>
                      <a:noFill/>
                    </a:ln>
                  </pic:spPr>
                </pic:pic>
              </a:graphicData>
            </a:graphic>
          </wp:inline>
        </w:drawing>
      </w:r>
    </w:p>
    <w:p w14:paraId="43D64A97" w14:textId="34F5B7CC" w:rsidR="002C75AA" w:rsidRDefault="002C75AA" w:rsidP="002C75AA">
      <w:pPr>
        <w:pStyle w:val="Caption"/>
        <w:jc w:val="center"/>
      </w:pPr>
      <w:r>
        <w:t xml:space="preserve">Figure </w:t>
      </w:r>
      <w:r w:rsidR="00AB433B">
        <w:fldChar w:fldCharType="begin"/>
      </w:r>
      <w:r w:rsidR="00AB433B">
        <w:instrText xml:space="preserve"> SEQ Figure \* ARABIC </w:instrText>
      </w:r>
      <w:r w:rsidR="00AB433B">
        <w:fldChar w:fldCharType="separate"/>
      </w:r>
      <w:r>
        <w:rPr>
          <w:noProof/>
        </w:rPr>
        <w:t>2</w:t>
      </w:r>
      <w:r w:rsidR="00AB433B">
        <w:rPr>
          <w:noProof/>
        </w:rPr>
        <w:fldChar w:fldCharType="end"/>
      </w:r>
      <w:r>
        <w:t>: Benefits of Hybrid working</w:t>
      </w:r>
      <w:r w:rsidR="00A504D4">
        <w:t>.</w:t>
      </w:r>
      <w:r>
        <w:t xml:space="preserve"> Source: </w:t>
      </w:r>
      <w:r w:rsidRPr="008253F2">
        <w:t>(Berger, 2024)</w:t>
      </w:r>
    </w:p>
    <w:p w14:paraId="680B9818" w14:textId="758938B1" w:rsidR="00285F85" w:rsidRDefault="00285F85" w:rsidP="00285F85">
      <w:r w:rsidRPr="00285F85">
        <w:t xml:space="preserve"> </w:t>
      </w:r>
      <w:r>
        <w:t>Hence</w:t>
      </w:r>
      <w:r w:rsidRPr="00285F85">
        <w:t>, NHSX needs to move towards purpose-based hybrid working</w:t>
      </w:r>
      <w:r>
        <w:t>,</w:t>
      </w:r>
      <w:r w:rsidRPr="00285F85">
        <w:t xml:space="preserve"> where employees work remotely when they need to concentrate or work on individual tasks, and where they come into the office on set days for them to experiment, mentor</w:t>
      </w:r>
      <w:r w:rsidR="00FE6D1F">
        <w:t>,</w:t>
      </w:r>
      <w:r w:rsidRPr="00285F85">
        <w:t xml:space="preserve"> and share knowledge. Online platforms for collaboration should offer collaborative spaces, knowledge repositories, online workshops</w:t>
      </w:r>
      <w:r w:rsidR="008547A6">
        <w:t>,</w:t>
      </w:r>
      <w:r w:rsidRPr="00285F85">
        <w:t xml:space="preserve"> and leave comments for the entire UK, India and UAE. </w:t>
      </w:r>
    </w:p>
    <w:p w14:paraId="70D97F6F" w14:textId="02894AEA" w:rsidR="00285F85" w:rsidRDefault="00285F85" w:rsidP="00285F85">
      <w:r>
        <w:t>However,</w:t>
      </w:r>
      <w:r w:rsidRPr="00285F85">
        <w:t xml:space="preserve"> technology should facilitate, not supplant interaction. Overall, NHSX needs an integrated approach that integrates HPWS, employee engagement, agile teams, meaningful hybrid working and digital collaboration whilst embedding autonomy and wellbeing, as a countermeasure to work intensification. This is better than just giving people freedom to act as they please and letting innovation happen, as innovation needs both freedom and coordination.</w:t>
      </w:r>
    </w:p>
    <w:p w14:paraId="0F0A7961" w14:textId="2CC9F92E" w:rsidR="005D173E" w:rsidRDefault="005D173E" w:rsidP="005D173E">
      <w:pPr>
        <w:pStyle w:val="Heading2"/>
      </w:pPr>
      <w:bookmarkStart w:id="3" w:name="_Toc242378962"/>
      <w:r>
        <w:t>Recommendations-An integrated model for innovative working for NHSX</w:t>
      </w:r>
      <w:bookmarkEnd w:id="3"/>
    </w:p>
    <w:p w14:paraId="09132698" w14:textId="77777777" w:rsidR="002806DB" w:rsidRPr="002806DB" w:rsidRDefault="002806DB" w:rsidP="002806DB">
      <w:pPr>
        <w:rPr>
          <w:b/>
          <w:bCs/>
          <w:lang w:eastAsia="en-IN"/>
        </w:rPr>
      </w:pPr>
      <w:r w:rsidRPr="002806DB">
        <w:rPr>
          <w:b/>
          <w:bCs/>
          <w:lang w:eastAsia="en-IN"/>
        </w:rPr>
        <w:t>Cross-functional agile teams</w:t>
      </w:r>
    </w:p>
    <w:p w14:paraId="3EBC5090" w14:textId="58BCFEDD" w:rsidR="002806DB" w:rsidRDefault="002806DB" w:rsidP="002806DB">
      <w:pPr>
        <w:rPr>
          <w:lang w:eastAsia="en-IN"/>
        </w:rPr>
      </w:pPr>
      <w:r>
        <w:rPr>
          <w:lang w:eastAsia="en-IN"/>
        </w:rPr>
        <w:t>Firstly, NHSX should create long-term cross-functional agile teams to deliver the strategic innovation priorities instead of upholding the walls of traditional functional organi</w:t>
      </w:r>
      <w:r w:rsidR="00A504D4">
        <w:rPr>
          <w:lang w:eastAsia="en-IN"/>
        </w:rPr>
        <w:t>s</w:t>
      </w:r>
      <w:r>
        <w:rPr>
          <w:lang w:eastAsia="en-IN"/>
        </w:rPr>
        <w:t>ation. An ideal team could comprise software or AI engineers, clinicians, product owners, as well as support functions. Such teams should be given the outcomes and left free to choose 'the how', th</w:t>
      </w:r>
      <w:r w:rsidR="00A504D4">
        <w:rPr>
          <w:lang w:eastAsia="en-IN"/>
        </w:rPr>
        <w:t>ereb</w:t>
      </w:r>
      <w:r>
        <w:rPr>
          <w:lang w:eastAsia="en-IN"/>
        </w:rPr>
        <w:t>y cutting the red tape for approval and transfer of technical and clinical knowledge.</w:t>
      </w:r>
    </w:p>
    <w:p w14:paraId="596B78C1" w14:textId="77777777" w:rsidR="002806DB" w:rsidRPr="00405C4E" w:rsidRDefault="002806DB" w:rsidP="002806DB">
      <w:pPr>
        <w:rPr>
          <w:lang w:eastAsia="en-IN"/>
        </w:rPr>
      </w:pPr>
      <w:r>
        <w:rPr>
          <w:lang w:eastAsia="en-IN"/>
        </w:rPr>
        <w:t>This advice is mainly pertinent as NHSX's issue is not the absence of specialist knowledge but seems to be that current structures inhibit it from being available. Cross-functional working would turn individual knowledge into organised capability. Small development cycles with frequent team reviews and immediate feedback would also ease experimentation. It is also crucial that agile working does not result in an always-on approach, with workload constraints and pragmatic sprint planning required to ensure agility does not become a new form of work intensification.</w:t>
      </w:r>
    </w:p>
    <w:p w14:paraId="0B047928" w14:textId="77777777" w:rsidR="002806DB" w:rsidRPr="002806DB" w:rsidRDefault="002806DB" w:rsidP="002806DB">
      <w:pPr>
        <w:rPr>
          <w:b/>
          <w:bCs/>
          <w:lang w:eastAsia="en-IN"/>
        </w:rPr>
      </w:pPr>
      <w:r w:rsidRPr="002806DB">
        <w:rPr>
          <w:b/>
          <w:bCs/>
          <w:lang w:eastAsia="en-IN"/>
        </w:rPr>
        <w:t>Purpose-based hybrid and flexible working</w:t>
      </w:r>
    </w:p>
    <w:p w14:paraId="45A89C5E" w14:textId="07D69140" w:rsidR="002806DB" w:rsidRDefault="002806DB" w:rsidP="002806DB">
      <w:pPr>
        <w:rPr>
          <w:lang w:eastAsia="en-IN"/>
        </w:rPr>
      </w:pPr>
      <w:r w:rsidRPr="00405C4E">
        <w:rPr>
          <w:lang w:eastAsia="en-IN"/>
        </w:rPr>
        <w:t xml:space="preserve">NHSX should redesign hybrid working based on the purpose of work rather than specifying a set number of office days. </w:t>
      </w:r>
      <w:r>
        <w:rPr>
          <w:lang w:eastAsia="en-IN"/>
        </w:rPr>
        <w:t>Where does this leave us? Work that needs independent thinking or deep concentration can be undertaken remotely. Face-to-face activities such as creativity coaching</w:t>
      </w:r>
      <w:r w:rsidR="00A504D4">
        <w:rPr>
          <w:lang w:eastAsia="en-IN"/>
        </w:rPr>
        <w:t>,</w:t>
      </w:r>
      <w:r>
        <w:rPr>
          <w:lang w:eastAsia="en-IN"/>
        </w:rPr>
        <w:t xml:space="preserve"> troubleshooting, knowledge sharing, and problem-solving must be our focus for synchronous working. This solves the problem hybrid working created in the first place, that is, reduced international collaboration.</w:t>
      </w:r>
    </w:p>
    <w:p w14:paraId="70839BC3" w14:textId="3FCBAC26" w:rsidR="002806DB" w:rsidRPr="00516AEF" w:rsidRDefault="002806DB" w:rsidP="002806DB">
      <w:pPr>
        <w:rPr>
          <w:color w:val="EE0000"/>
          <w:lang w:eastAsia="en-IN"/>
        </w:rPr>
      </w:pPr>
      <w:r>
        <w:rPr>
          <w:lang w:eastAsia="en-IN"/>
        </w:rPr>
        <w:t>Alternatively, a geographically distributed organisation could also introduce virtual innovation days as an addition to physical collaboration days, with teams in the UK, India, and the UAE. Teams would need shared digital work spaces for capturing decisions and project knowledge to work asynchronously across the world, which is preferable to forcing people to travel to an office</w:t>
      </w:r>
      <w:r w:rsidR="00A504D4">
        <w:rPr>
          <w:lang w:eastAsia="en-IN"/>
        </w:rPr>
        <w:t>;</w:t>
      </w:r>
      <w:r>
        <w:rPr>
          <w:lang w:eastAsia="en-IN"/>
        </w:rPr>
        <w:t xml:space="preserve"> in other words</w:t>
      </w:r>
      <w:r w:rsidR="00A504D4">
        <w:rPr>
          <w:lang w:eastAsia="en-IN"/>
        </w:rPr>
        <w:t>,</w:t>
      </w:r>
      <w:r>
        <w:rPr>
          <w:lang w:eastAsia="en-IN"/>
        </w:rPr>
        <w:t xml:space="preserve"> it solves the coordination problem without constraining flexibility.</w:t>
      </w:r>
    </w:p>
    <w:p w14:paraId="03FB6AF9" w14:textId="77777777" w:rsidR="002806DB" w:rsidRPr="002806DB" w:rsidRDefault="002806DB" w:rsidP="002806DB">
      <w:pPr>
        <w:rPr>
          <w:b/>
          <w:bCs/>
        </w:rPr>
      </w:pPr>
      <w:r w:rsidRPr="002806DB">
        <w:rPr>
          <w:b/>
          <w:bCs/>
        </w:rPr>
        <w:t>Employee autonomy with accountable decision rights</w:t>
      </w:r>
    </w:p>
    <w:p w14:paraId="5F4391EB" w14:textId="03980793" w:rsidR="002806DB" w:rsidRDefault="002806DB" w:rsidP="002806DB">
      <w:r>
        <w:t>Formalise employee autonomy through decision rights</w:t>
      </w:r>
      <w:r w:rsidR="00A504D4">
        <w:t>. W</w:t>
      </w:r>
      <w:r>
        <w:t>hile employees need autonomy, they need to have it within a structure of decision rights. This means defining for each team member which decisions they can make alone, which need to be approved by everyone else in the team, and which must be approved by senior management.</w:t>
      </w:r>
    </w:p>
    <w:p w14:paraId="3E41DECE" w14:textId="77777777" w:rsidR="002806DB" w:rsidRDefault="002806DB" w:rsidP="002806DB">
      <w:r>
        <w:t>The plan must also include access to employee voice, including monthly innovation forums and formal feedback processes. Those employees who deal with technology and customer issues on a daily basis are most likely to be aware of ways to improve processes, and such insights will improve the quality and speed of responses.</w:t>
      </w:r>
    </w:p>
    <w:p w14:paraId="000D5709" w14:textId="77777777" w:rsidR="002806DB" w:rsidRDefault="002806DB" w:rsidP="002806DB">
      <w:r>
        <w:t>Digital collaboration and knowledge-sharing infrastructure</w:t>
      </w:r>
    </w:p>
    <w:p w14:paraId="56189B85" w14:textId="5F2A48D1" w:rsidR="002806DB" w:rsidRPr="002806DB" w:rsidRDefault="002806DB" w:rsidP="002806DB">
      <w:r>
        <w:t>NHSX should establish a shared digital collaboration architecture of project dashboards, searchable knowledge bases, virtual communities of practice and shared spaces for innovation. Technology should not replace the need for human interaction but should enable it; so managers must be responsible for the transfer of knowledge from one project to another.</w:t>
      </w:r>
    </w:p>
    <w:p w14:paraId="503D3410" w14:textId="79A1A28D" w:rsidR="00B87B61" w:rsidRDefault="00B87B61" w:rsidP="00B87B61">
      <w:pPr>
        <w:pStyle w:val="Heading1"/>
      </w:pPr>
      <w:bookmarkStart w:id="4" w:name="_Toc242378963"/>
      <w:r>
        <w:t>Task B: Breeding an Environment Where Talent May Grow</w:t>
      </w:r>
      <w:bookmarkEnd w:id="4"/>
    </w:p>
    <w:p w14:paraId="4C6AAD6A" w14:textId="1795F1F5" w:rsidR="00285F85" w:rsidRDefault="00285F85" w:rsidP="00285F85">
      <w:r w:rsidRPr="00285F85">
        <w:t>Unfortunately, NHSX's departure of top talent is a sign that talent isn't enough when employees can't see an opportunity to learn, grow</w:t>
      </w:r>
      <w:r w:rsidR="008547A6">
        <w:t>,</w:t>
      </w:r>
      <w:r w:rsidRPr="00285F85">
        <w:t xml:space="preserve"> and make a difference. The sustainable talent strategy should, therefore, go beyond simply succession planning and become a continuous talent-growth ecosystem. This is about a mix of the Learning Organisation, Growth </w:t>
      </w:r>
      <w:proofErr w:type="spellStart"/>
      <w:r w:rsidRPr="00285F85">
        <w:t>Mindset</w:t>
      </w:r>
      <w:proofErr w:type="spellEnd"/>
      <w:r w:rsidRPr="00285F85">
        <w:t xml:space="preserve">, Psychological Safety, Talent Management, Job Crafting and Self-Determination Theory, not just one of them. </w:t>
      </w:r>
      <w:proofErr w:type="spellStart"/>
      <w:r w:rsidRPr="00285F85">
        <w:t>Senge's</w:t>
      </w:r>
      <w:proofErr w:type="spellEnd"/>
      <w:r w:rsidRPr="00285F85">
        <w:t xml:space="preserve"> (2006) Learning Organisation is particularly relevant as NHSX is a technological organisation in a world of change where knowledge can become outdated rapidly. </w:t>
      </w:r>
    </w:p>
    <w:p w14:paraId="3E6EEF33" w14:textId="02B222ED" w:rsidR="00285F85" w:rsidRDefault="00285F85" w:rsidP="00285F85">
      <w:r w:rsidRPr="00285F85">
        <w:t xml:space="preserve">Learning should thus be incorporated into daily activities, </w:t>
      </w:r>
      <w:r>
        <w:t>in</w:t>
      </w:r>
      <w:r w:rsidRPr="00285F85">
        <w:t xml:space="preserve"> the form of peer learning, communities of practice, cross-functional projects and structured reflections. Previous studies also suggest that the culture of organisational learning can support the acquisition and dissemination of knowledge and interpretation to facilitate innovation (</w:t>
      </w:r>
      <w:proofErr w:type="spellStart"/>
      <w:r w:rsidRPr="00285F85">
        <w:t>Kurniawan</w:t>
      </w:r>
      <w:proofErr w:type="spellEnd"/>
      <w:r w:rsidRPr="00285F85">
        <w:t xml:space="preserve"> et al., 2022). </w:t>
      </w:r>
    </w:p>
    <w:p w14:paraId="45C4D0F6" w14:textId="049407F2" w:rsidR="00285F85" w:rsidRDefault="00285F85" w:rsidP="00285F85">
      <w:r w:rsidRPr="00285F85">
        <w:t>The ability to question algorithms, management assumptions</w:t>
      </w:r>
      <w:r w:rsidR="008547A6">
        <w:t>,</w:t>
      </w:r>
      <w:r w:rsidRPr="00285F85">
        <w:t xml:space="preserve"> and correct errors without facing undue responsibility </w:t>
      </w:r>
      <w:r>
        <w:t>is</w:t>
      </w:r>
      <w:r w:rsidRPr="00285F85">
        <w:t xml:space="preserve"> crucial for NHSX</w:t>
      </w:r>
      <w:r w:rsidR="00DB1AF7">
        <w:t xml:space="preserve"> (</w:t>
      </w:r>
      <w:r w:rsidR="00DB1AF7" w:rsidRPr="00285F85">
        <w:t xml:space="preserve">Edmondson and </w:t>
      </w:r>
      <w:proofErr w:type="spellStart"/>
      <w:r w:rsidR="00DB1AF7" w:rsidRPr="00285F85">
        <w:t>Bransby</w:t>
      </w:r>
      <w:proofErr w:type="spellEnd"/>
      <w:r w:rsidR="00DB1AF7">
        <w:t xml:space="preserve">, </w:t>
      </w:r>
      <w:r w:rsidR="00DB1AF7" w:rsidRPr="00285F85">
        <w:t>2023)</w:t>
      </w:r>
      <w:r w:rsidRPr="00285F85">
        <w:t xml:space="preserve">. This is especially important in healthcare technology where the lack of sound </w:t>
      </w:r>
      <w:r>
        <w:t xml:space="preserve">judgment </w:t>
      </w:r>
      <w:r w:rsidRPr="00285F85">
        <w:t xml:space="preserve">can lead to risks for both the organisation and the patient. Talent management needs to link up with retention. Instead of creating a smaller group of “high potentials”, NHSX could create transparent career paths, mentoring, internal mobility and skills development that </w:t>
      </w:r>
      <w:r>
        <w:t>are</w:t>
      </w:r>
      <w:r w:rsidRPr="00285F85">
        <w:t xml:space="preserve"> available throughout its international workforce. Job crafting can complement this by enabling workers to make changes to their job, their relationships and their approaches, to make work fit to their strengths</w:t>
      </w:r>
      <w:r w:rsidR="0034170E">
        <w:t xml:space="preserve"> </w:t>
      </w:r>
      <w:r w:rsidR="0034170E" w:rsidRPr="00285F85">
        <w:t>(Zhang et al., 2022)</w:t>
      </w:r>
      <w:r w:rsidRPr="00285F85">
        <w:t xml:space="preserve">. </w:t>
      </w:r>
    </w:p>
    <w:p w14:paraId="6962B587" w14:textId="7DFDCEF6" w:rsidR="00285F85" w:rsidRDefault="00285F85" w:rsidP="00285F85">
      <w:r w:rsidRPr="00285F85">
        <w:t>There are indications that job crafting can boost fit and engagement and</w:t>
      </w:r>
      <w:r>
        <w:t>,</w:t>
      </w:r>
      <w:r w:rsidRPr="00285F85">
        <w:t xml:space="preserve"> in return</w:t>
      </w:r>
      <w:r>
        <w:t>,</w:t>
      </w:r>
      <w:r w:rsidRPr="00285F85">
        <w:t xml:space="preserve"> drive innovative and extra-role behaviour </w:t>
      </w:r>
      <w:r w:rsidR="0034170E">
        <w:t>(</w:t>
      </w:r>
      <w:proofErr w:type="spellStart"/>
      <w:r w:rsidRPr="00285F85">
        <w:t>Gagné</w:t>
      </w:r>
      <w:proofErr w:type="spellEnd"/>
      <w:r w:rsidRPr="00285F85">
        <w:t xml:space="preserve"> et al., 2022). </w:t>
      </w:r>
    </w:p>
    <w:p w14:paraId="0E987C3B" w14:textId="5D84EF2D" w:rsidR="00285F85" w:rsidRDefault="00285F85" w:rsidP="00285F85">
      <w:r>
        <w:t>Nevertheless,</w:t>
      </w:r>
      <w:r w:rsidRPr="00285F85">
        <w:t xml:space="preserve"> while HR systems powered by AI could personalise learning and pinpoint where capabilities are developing and need to be addressed, it is important that managerial judgment is at the heart of decision-making. Whilst Malik et al. (2023) showcase the possibility of AI-powered HR systems to improve employee experience and engagement, NHSX needs to be aware that technology monitoring, by itself, can lead to a lack of trust. Therefore, the top talent strategy isn't just “more training” but a holistic ecosystem where employees can learn, experiment, belong, have autonomy</w:t>
      </w:r>
      <w:r w:rsidR="008547A6">
        <w:t>,</w:t>
      </w:r>
      <w:r w:rsidRPr="00285F85">
        <w:t xml:space="preserve"> and envision a future at NHSX.</w:t>
      </w:r>
    </w:p>
    <w:p w14:paraId="25F8BC12" w14:textId="77777777" w:rsidR="0034651B" w:rsidRPr="0034651B" w:rsidRDefault="0034651B" w:rsidP="0034651B">
      <w:pPr>
        <w:rPr>
          <w:b/>
          <w:bCs/>
        </w:rPr>
      </w:pPr>
      <w:r w:rsidRPr="0034651B">
        <w:rPr>
          <w:b/>
          <w:bCs/>
        </w:rPr>
        <w:t xml:space="preserve">Talent Growth strategy </w:t>
      </w:r>
    </w:p>
    <w:p w14:paraId="5A3D477E" w14:textId="02C026A9" w:rsidR="0034651B" w:rsidRPr="00516AEF" w:rsidRDefault="0034651B" w:rsidP="0034651B">
      <w:r w:rsidRPr="00B53965">
        <w:t>The primary use of a talent growth strategy would be to develop an integrated response by NHSX to the twin problems of limited career pathways, limited opportunities for learning</w:t>
      </w:r>
      <w:r w:rsidR="00FE6D1F">
        <w:t>,</w:t>
      </w:r>
      <w:r w:rsidRPr="00B53965">
        <w:t xml:space="preserve"> and sustaining employee wellbeing while performing at a high level. The strategy should be based on a continuum between building competence and sustaining performance and retention, rather than a set of separate HR initiatives, because many organisations are discovering that the presence of high performers alone</w:t>
      </w:r>
      <w:r w:rsidR="00A504D4">
        <w:t>,</w:t>
      </w:r>
      <w:r w:rsidRPr="00B53965">
        <w:t xml:space="preserve"> in the sense of them having access to meaningful short-term training</w:t>
      </w:r>
      <w:r w:rsidR="00A504D4">
        <w:t>,</w:t>
      </w:r>
      <w:r w:rsidRPr="00B53965">
        <w:t xml:space="preserve"> is not enough to retain them.</w:t>
      </w:r>
    </w:p>
    <w:tbl>
      <w:tblPr>
        <w:tblStyle w:val="TableGrid"/>
        <w:tblW w:w="0" w:type="auto"/>
        <w:tblLook w:val="04A0" w:firstRow="1" w:lastRow="0" w:firstColumn="1" w:lastColumn="0" w:noHBand="0" w:noVBand="1"/>
      </w:tblPr>
      <w:tblGrid>
        <w:gridCol w:w="2254"/>
        <w:gridCol w:w="2254"/>
        <w:gridCol w:w="2254"/>
        <w:gridCol w:w="2254"/>
      </w:tblGrid>
      <w:tr w:rsidR="0034651B" w14:paraId="4CCE8368" w14:textId="77777777" w:rsidTr="00264DE4">
        <w:tc>
          <w:tcPr>
            <w:tcW w:w="2254" w:type="dxa"/>
            <w:vAlign w:val="center"/>
          </w:tcPr>
          <w:p w14:paraId="709BECB7" w14:textId="77777777" w:rsidR="0034651B" w:rsidRDefault="0034651B" w:rsidP="00264DE4">
            <w:r>
              <w:rPr>
                <w:rStyle w:val="Strong"/>
              </w:rPr>
              <w:t>NHSX challenge</w:t>
            </w:r>
          </w:p>
        </w:tc>
        <w:tc>
          <w:tcPr>
            <w:tcW w:w="2254" w:type="dxa"/>
            <w:vAlign w:val="center"/>
          </w:tcPr>
          <w:p w14:paraId="28D528E9" w14:textId="77777777" w:rsidR="0034651B" w:rsidRDefault="0034651B" w:rsidP="00264DE4">
            <w:r>
              <w:rPr>
                <w:rStyle w:val="Strong"/>
              </w:rPr>
              <w:t>Talent growth intervention</w:t>
            </w:r>
          </w:p>
        </w:tc>
        <w:tc>
          <w:tcPr>
            <w:tcW w:w="2254" w:type="dxa"/>
            <w:vAlign w:val="center"/>
          </w:tcPr>
          <w:p w14:paraId="148F3303" w14:textId="77777777" w:rsidR="0034651B" w:rsidRDefault="0034651B" w:rsidP="00264DE4">
            <w:r>
              <w:rPr>
                <w:rStyle w:val="Strong"/>
              </w:rPr>
              <w:t>How it should operate</w:t>
            </w:r>
          </w:p>
        </w:tc>
        <w:tc>
          <w:tcPr>
            <w:tcW w:w="2254" w:type="dxa"/>
            <w:vAlign w:val="center"/>
          </w:tcPr>
          <w:p w14:paraId="54A4AEB0" w14:textId="77777777" w:rsidR="0034651B" w:rsidRDefault="0034651B" w:rsidP="00264DE4">
            <w:r>
              <w:rPr>
                <w:rStyle w:val="Strong"/>
              </w:rPr>
              <w:t>Expected outcome</w:t>
            </w:r>
          </w:p>
        </w:tc>
      </w:tr>
      <w:tr w:rsidR="0034651B" w14:paraId="2B7A0DCD" w14:textId="77777777" w:rsidTr="00264DE4">
        <w:tc>
          <w:tcPr>
            <w:tcW w:w="2254" w:type="dxa"/>
            <w:vAlign w:val="center"/>
          </w:tcPr>
          <w:p w14:paraId="29941515" w14:textId="77777777" w:rsidR="0034651B" w:rsidRDefault="0034651B" w:rsidP="00264DE4">
            <w:r>
              <w:t>Limited career progression</w:t>
            </w:r>
          </w:p>
        </w:tc>
        <w:tc>
          <w:tcPr>
            <w:tcW w:w="2254" w:type="dxa"/>
            <w:vAlign w:val="center"/>
          </w:tcPr>
          <w:p w14:paraId="30F99A7A" w14:textId="77777777" w:rsidR="0034651B" w:rsidRDefault="0034651B" w:rsidP="00264DE4">
            <w:r>
              <w:t>Transparent career pathways</w:t>
            </w:r>
          </w:p>
        </w:tc>
        <w:tc>
          <w:tcPr>
            <w:tcW w:w="2254" w:type="dxa"/>
            <w:vAlign w:val="center"/>
          </w:tcPr>
          <w:p w14:paraId="72A7F79C" w14:textId="33D0F99F" w:rsidR="0034651B" w:rsidRDefault="0034651B" w:rsidP="00264DE4">
            <w:r>
              <w:t>Establish technical, specialist and managerial progression routes with clear competencies and development requirements</w:t>
            </w:r>
            <w:r w:rsidR="00A504D4">
              <w:t>.</w:t>
            </w:r>
          </w:p>
        </w:tc>
        <w:tc>
          <w:tcPr>
            <w:tcW w:w="2254" w:type="dxa"/>
            <w:vAlign w:val="center"/>
          </w:tcPr>
          <w:p w14:paraId="30D30BD7" w14:textId="77777777" w:rsidR="0034651B" w:rsidRDefault="0034651B" w:rsidP="00264DE4">
            <w:r>
              <w:t>Greater career visibility and retention</w:t>
            </w:r>
          </w:p>
        </w:tc>
      </w:tr>
      <w:tr w:rsidR="0034651B" w14:paraId="578462F9" w14:textId="77777777" w:rsidTr="00264DE4">
        <w:tc>
          <w:tcPr>
            <w:tcW w:w="2254" w:type="dxa"/>
            <w:vAlign w:val="center"/>
          </w:tcPr>
          <w:p w14:paraId="04702B06" w14:textId="77777777" w:rsidR="0034651B" w:rsidRDefault="0034651B" w:rsidP="00264DE4">
            <w:r>
              <w:t>Inadequate learning opportunities</w:t>
            </w:r>
          </w:p>
        </w:tc>
        <w:tc>
          <w:tcPr>
            <w:tcW w:w="2254" w:type="dxa"/>
            <w:vAlign w:val="center"/>
          </w:tcPr>
          <w:p w14:paraId="5E2F2579" w14:textId="77777777" w:rsidR="0034651B" w:rsidRDefault="0034651B" w:rsidP="00264DE4">
            <w:r>
              <w:t>Continuous learning and internal mobility</w:t>
            </w:r>
          </w:p>
        </w:tc>
        <w:tc>
          <w:tcPr>
            <w:tcW w:w="2254" w:type="dxa"/>
            <w:vAlign w:val="center"/>
          </w:tcPr>
          <w:p w14:paraId="51BD77CF" w14:textId="77777777" w:rsidR="0034651B" w:rsidRDefault="0034651B" w:rsidP="00264DE4">
            <w:r>
              <w:t>Individual development plans, mentoring, peer learning and cross-functional assignments</w:t>
            </w:r>
          </w:p>
        </w:tc>
        <w:tc>
          <w:tcPr>
            <w:tcW w:w="2254" w:type="dxa"/>
            <w:vAlign w:val="center"/>
          </w:tcPr>
          <w:p w14:paraId="6CAA2CC5" w14:textId="77777777" w:rsidR="0034651B" w:rsidRDefault="0034651B" w:rsidP="00264DE4">
            <w:r>
              <w:t>Stronger capability and knowledge sharing</w:t>
            </w:r>
          </w:p>
        </w:tc>
      </w:tr>
      <w:tr w:rsidR="0034651B" w14:paraId="2F0D6560" w14:textId="77777777" w:rsidTr="00264DE4">
        <w:tc>
          <w:tcPr>
            <w:tcW w:w="2254" w:type="dxa"/>
            <w:vAlign w:val="center"/>
          </w:tcPr>
          <w:p w14:paraId="0CD5C965" w14:textId="77777777" w:rsidR="0034651B" w:rsidRDefault="0034651B" w:rsidP="00264DE4">
            <w:r>
              <w:t>Loss of high-performing employees</w:t>
            </w:r>
          </w:p>
        </w:tc>
        <w:tc>
          <w:tcPr>
            <w:tcW w:w="2254" w:type="dxa"/>
            <w:vAlign w:val="center"/>
          </w:tcPr>
          <w:p w14:paraId="009BE07E" w14:textId="77777777" w:rsidR="0034651B" w:rsidRDefault="0034651B" w:rsidP="00264DE4">
            <w:r>
              <w:t>Strategic talent management</w:t>
            </w:r>
          </w:p>
        </w:tc>
        <w:tc>
          <w:tcPr>
            <w:tcW w:w="2254" w:type="dxa"/>
            <w:vAlign w:val="center"/>
          </w:tcPr>
          <w:p w14:paraId="76FFE91C" w14:textId="77777777" w:rsidR="0034651B" w:rsidRDefault="0034651B" w:rsidP="00264DE4">
            <w:r>
              <w:t>Regular talent reviews, career conversations and internal mobility opportunities</w:t>
            </w:r>
          </w:p>
        </w:tc>
        <w:tc>
          <w:tcPr>
            <w:tcW w:w="2254" w:type="dxa"/>
            <w:vAlign w:val="center"/>
          </w:tcPr>
          <w:p w14:paraId="529EBEDF" w14:textId="77777777" w:rsidR="0034651B" w:rsidRDefault="0034651B" w:rsidP="00264DE4">
            <w:r>
              <w:t>Improved retention and succession</w:t>
            </w:r>
          </w:p>
        </w:tc>
      </w:tr>
      <w:tr w:rsidR="0034651B" w14:paraId="0736DDB5" w14:textId="77777777" w:rsidTr="00264DE4">
        <w:tc>
          <w:tcPr>
            <w:tcW w:w="2254" w:type="dxa"/>
            <w:vAlign w:val="center"/>
          </w:tcPr>
          <w:p w14:paraId="2FF6F116" w14:textId="77777777" w:rsidR="0034651B" w:rsidRDefault="0034651B" w:rsidP="00264DE4">
            <w:r>
              <w:t>Limited creativity and experimentation</w:t>
            </w:r>
          </w:p>
        </w:tc>
        <w:tc>
          <w:tcPr>
            <w:tcW w:w="2254" w:type="dxa"/>
            <w:vAlign w:val="center"/>
          </w:tcPr>
          <w:p w14:paraId="2F8BB155" w14:textId="77777777" w:rsidR="0034651B" w:rsidRDefault="0034651B" w:rsidP="00264DE4">
            <w:r>
              <w:t>Job crafting and innovation opportunities</w:t>
            </w:r>
          </w:p>
        </w:tc>
        <w:tc>
          <w:tcPr>
            <w:tcW w:w="2254" w:type="dxa"/>
            <w:vAlign w:val="center"/>
          </w:tcPr>
          <w:p w14:paraId="1D1EE9A4" w14:textId="73051808" w:rsidR="0034651B" w:rsidRDefault="0034651B" w:rsidP="00264DE4">
            <w:r>
              <w:t>Allow employees to shape aspects of their work and participate in structured innovation projects</w:t>
            </w:r>
            <w:r w:rsidR="00A504D4">
              <w:t>.</w:t>
            </w:r>
          </w:p>
        </w:tc>
        <w:tc>
          <w:tcPr>
            <w:tcW w:w="2254" w:type="dxa"/>
            <w:vAlign w:val="center"/>
          </w:tcPr>
          <w:p w14:paraId="45F5F14C" w14:textId="77777777" w:rsidR="0034651B" w:rsidRDefault="0034651B" w:rsidP="00264DE4">
            <w:r>
              <w:t>Greater ownership and innovation</w:t>
            </w:r>
          </w:p>
        </w:tc>
      </w:tr>
      <w:tr w:rsidR="0034651B" w14:paraId="4397E04C" w14:textId="77777777" w:rsidTr="00264DE4">
        <w:tc>
          <w:tcPr>
            <w:tcW w:w="2254" w:type="dxa"/>
            <w:vAlign w:val="center"/>
          </w:tcPr>
          <w:p w14:paraId="5EE42E36" w14:textId="77777777" w:rsidR="0034651B" w:rsidRDefault="0034651B" w:rsidP="00264DE4">
            <w:r>
              <w:t>Wellbeing versus high performance</w:t>
            </w:r>
          </w:p>
        </w:tc>
        <w:tc>
          <w:tcPr>
            <w:tcW w:w="2254" w:type="dxa"/>
            <w:vAlign w:val="center"/>
          </w:tcPr>
          <w:p w14:paraId="72CDB610" w14:textId="77777777" w:rsidR="0034651B" w:rsidRDefault="0034651B" w:rsidP="00264DE4">
            <w:r>
              <w:t>Employee experience</w:t>
            </w:r>
          </w:p>
        </w:tc>
        <w:tc>
          <w:tcPr>
            <w:tcW w:w="2254" w:type="dxa"/>
            <w:vAlign w:val="center"/>
          </w:tcPr>
          <w:p w14:paraId="58CE8BF5" w14:textId="4BAB38FE" w:rsidR="0034651B" w:rsidRDefault="0034651B" w:rsidP="00264DE4">
            <w:r>
              <w:t>Regular workload reviews, managerial support, development conversations</w:t>
            </w:r>
            <w:r w:rsidR="00FE6D1F">
              <w:t>,</w:t>
            </w:r>
            <w:r>
              <w:t xml:space="preserve"> and purposeful flexibility</w:t>
            </w:r>
          </w:p>
        </w:tc>
        <w:tc>
          <w:tcPr>
            <w:tcW w:w="2254" w:type="dxa"/>
            <w:vAlign w:val="center"/>
          </w:tcPr>
          <w:p w14:paraId="06DC117F" w14:textId="77777777" w:rsidR="0034651B" w:rsidRDefault="0034651B" w:rsidP="00264DE4">
            <w:r>
              <w:t>More sustainable high performance</w:t>
            </w:r>
          </w:p>
        </w:tc>
      </w:tr>
    </w:tbl>
    <w:p w14:paraId="34848F10" w14:textId="77777777" w:rsidR="0034651B" w:rsidRDefault="0034651B" w:rsidP="0034651B"/>
    <w:p w14:paraId="5C712F47" w14:textId="77777777" w:rsidR="0034651B" w:rsidRDefault="0034651B" w:rsidP="0034651B">
      <w:r>
        <w:t>The initial focus must be on creating more transparent and credible career options. Clear paths for progression should be defined for technical, specialist, and management pathways within NHSX so that staff do not feel they have to move into management to progress their career. Continuous career conversations will make clear what is needed to progress, gaps in capability and the kind of development that will close that gap, building more certainty into career progression and keeping specialist skills within NHSX.</w:t>
      </w:r>
    </w:p>
    <w:p w14:paraId="7D2FA828" w14:textId="0437EBE4" w:rsidR="0034651B" w:rsidRDefault="0034651B" w:rsidP="0034651B">
      <w:r>
        <w:t>Alongside career development, the NHSX team needs to find ways of integrating learning into the daily work of its employees, instead of on-the-job formal training. Personal development plans</w:t>
      </w:r>
      <w:r w:rsidR="00A504D4">
        <w:t>,</w:t>
      </w:r>
      <w:r>
        <w:t xml:space="preserve"> coaching</w:t>
      </w:r>
      <w:r w:rsidR="00A504D4">
        <w:t>,</w:t>
      </w:r>
      <w:r>
        <w:t xml:space="preserve"> learning through colleagues</w:t>
      </w:r>
      <w:r w:rsidR="00A504D4">
        <w:t>,</w:t>
      </w:r>
      <w:r>
        <w:t xml:space="preserve"> and job rotations can offer the opportunity to link learning to organisational priorities. Internal mobility would enable the UK, India, and UAE teams to share good practice and develop a more holistic understanding of the business.</w:t>
      </w:r>
    </w:p>
    <w:p w14:paraId="2852FFEB" w14:textId="46D34E87" w:rsidR="0034651B" w:rsidRDefault="0034651B" w:rsidP="0034651B">
      <w:r>
        <w:t>Following on from this, strategic talent management then needs to link performance to development and retention. Rather than focusing solely on a select few of high-potential employees, NHSX should leverage regular talent reviews to pinpoint vital capabilities and offer relevant development opportunities. High</w:t>
      </w:r>
      <w:r w:rsidR="00A504D4">
        <w:t>-</w:t>
      </w:r>
      <w:r>
        <w:t xml:space="preserve">performing employees should be taken through value-adding career conversations and mentoring and introduced to high-impact projects. This is more appropriate than incentivising employees through pay or performance schemes, since the issue observed in the case is that employees are departing due to </w:t>
      </w:r>
      <w:r w:rsidR="00A504D4">
        <w:t xml:space="preserve">a </w:t>
      </w:r>
      <w:r>
        <w:t>lack of potential opportunities to develop.</w:t>
      </w:r>
    </w:p>
    <w:p w14:paraId="30F82091" w14:textId="01A58B07" w:rsidR="0034651B" w:rsidRPr="00285F85" w:rsidRDefault="0034651B" w:rsidP="00285F85">
      <w:r>
        <w:t>The team model, which emphasises collaboration on daily tasks</w:t>
      </w:r>
      <w:r w:rsidR="00A504D4">
        <w:t>,</w:t>
      </w:r>
      <w:r>
        <w:t xml:space="preserve"> minimises this problem. Job crafting also might introduce some flexibility within the formal structure and allow team members more freedom to design some elements of their roles around what they are good at and how they can best contribute to patient care. </w:t>
      </w:r>
    </w:p>
    <w:p w14:paraId="362581CD" w14:textId="3C60B52C" w:rsidR="00B87B61" w:rsidRDefault="00B87B61" w:rsidP="00B87B61">
      <w:pPr>
        <w:pStyle w:val="Heading1"/>
        <w:rPr>
          <w:rStyle w:val="Strong"/>
          <w:b w:val="0"/>
          <w:bCs w:val="0"/>
        </w:rPr>
      </w:pPr>
      <w:bookmarkStart w:id="5" w:name="_Toc242378964"/>
      <w:r w:rsidRPr="00B87B61">
        <w:rPr>
          <w:rStyle w:val="Strong"/>
          <w:b w:val="0"/>
          <w:bCs w:val="0"/>
        </w:rPr>
        <w:t>Task C: Reflective Report</w:t>
      </w:r>
      <w:bookmarkEnd w:id="5"/>
    </w:p>
    <w:p w14:paraId="7364A051" w14:textId="77777777" w:rsidR="0034651B" w:rsidRPr="0034651B" w:rsidRDefault="0034651B" w:rsidP="0034651B">
      <w:pPr>
        <w:rPr>
          <w:b/>
          <w:bCs/>
          <w:lang w:eastAsia="en-IN"/>
        </w:rPr>
      </w:pPr>
      <w:r w:rsidRPr="0034651B">
        <w:rPr>
          <w:b/>
          <w:bCs/>
          <w:lang w:eastAsia="en-IN"/>
        </w:rPr>
        <w:t>AI as a Strategic Tool in Human Resource Management</w:t>
      </w:r>
    </w:p>
    <w:p w14:paraId="766747F9" w14:textId="19C571A7" w:rsidR="0034651B" w:rsidRPr="0034651B" w:rsidRDefault="0034651B" w:rsidP="0034651B">
      <w:pPr>
        <w:rPr>
          <w:rFonts w:ascii="Times New Roman" w:eastAsia="Times New Roman" w:hAnsi="Times New Roman" w:cs="Times New Roman"/>
          <w:kern w:val="0"/>
          <w:szCs w:val="24"/>
          <w:lang w:eastAsia="en-IN"/>
          <w14:ligatures w14:val="none"/>
        </w:rPr>
      </w:pPr>
      <w:r>
        <w:rPr>
          <w:lang w:eastAsia="en-IN"/>
        </w:rPr>
        <w:t>Artificial Intelligence becomes more applicable to strategic HRM, as it enables t</w:t>
      </w:r>
      <w:r w:rsidR="00A504D4">
        <w:rPr>
          <w:lang w:eastAsia="en-IN"/>
        </w:rPr>
        <w:t>he analysis of</w:t>
      </w:r>
      <w:r>
        <w:rPr>
          <w:lang w:eastAsia="en-IN"/>
        </w:rPr>
        <w:t xml:space="preserve"> extensive information about the workforce and improves evidence-informed decisions. AI could also be used in recruitment, workforce planning, learning and development, employee analytics</w:t>
      </w:r>
      <w:r w:rsidR="00FE6D1F">
        <w:rPr>
          <w:lang w:eastAsia="en-IN"/>
        </w:rPr>
        <w:t>,</w:t>
      </w:r>
      <w:r>
        <w:rPr>
          <w:lang w:eastAsia="en-IN"/>
        </w:rPr>
        <w:t xml:space="preserve"> and talent identification, where it would be able to recogni</w:t>
      </w:r>
      <w:r w:rsidR="00A504D4">
        <w:rPr>
          <w:lang w:eastAsia="en-IN"/>
        </w:rPr>
        <w:t>s</w:t>
      </w:r>
      <w:r>
        <w:rPr>
          <w:lang w:eastAsia="en-IN"/>
        </w:rPr>
        <w:t xml:space="preserve">e patterns that managers may not notice otherwise </w:t>
      </w:r>
      <w:r w:rsidRPr="0034651B">
        <w:t>(Gao and Wang, 2024).</w:t>
      </w:r>
      <w:r>
        <w:rPr>
          <w:lang w:eastAsia="en-IN"/>
        </w:rPr>
        <w:t xml:space="preserve"> Though I do believe that AI needs to act as a decision support system, as decisions about people involve context, fairness, empathy, and ethical questions, which cannot be programmed into algorithms.</w:t>
      </w:r>
    </w:p>
    <w:p w14:paraId="734101BB" w14:textId="40339699" w:rsidR="0034651B" w:rsidRPr="0096244F" w:rsidRDefault="0034651B" w:rsidP="0034651B">
      <w:pPr>
        <w:rPr>
          <w:lang w:eastAsia="en-IN"/>
        </w:rPr>
      </w:pPr>
      <w:r>
        <w:rPr>
          <w:lang w:eastAsia="en-IN"/>
        </w:rPr>
        <w:t>My main HR takeaway is that effectiveness does not necessarily imply precision. The recommendations of AI can be based on inaccurate data, organisational prejudices</w:t>
      </w:r>
      <w:r w:rsidR="00FE6D1F">
        <w:rPr>
          <w:lang w:eastAsia="en-IN"/>
        </w:rPr>
        <w:t>,</w:t>
      </w:r>
      <w:r>
        <w:rPr>
          <w:lang w:eastAsia="en-IN"/>
        </w:rPr>
        <w:t xml:space="preserve"> and invalid presumptions. A modern HR practitioner should th</w:t>
      </w:r>
      <w:r w:rsidR="00A504D4">
        <w:rPr>
          <w:lang w:eastAsia="en-IN"/>
        </w:rPr>
        <w:t>erefore</w:t>
      </w:r>
      <w:r>
        <w:rPr>
          <w:lang w:eastAsia="en-IN"/>
        </w:rPr>
        <w:t xml:space="preserve"> challenge the underpinning of an AI recommendation, think of possible effects on employees, and make the final decision themselves. Human intervention is in particular crucial in the areas of recruitment, performance management and employee relations, where a seemingly unbiased algorithm may even so produce negative effects for certain groups.</w:t>
      </w:r>
    </w:p>
    <w:p w14:paraId="1FEC60E4" w14:textId="77777777" w:rsidR="0034651B" w:rsidRPr="0034651B" w:rsidRDefault="0034651B" w:rsidP="0034651B">
      <w:pPr>
        <w:rPr>
          <w:b/>
          <w:bCs/>
          <w:lang w:eastAsia="en-IN"/>
        </w:rPr>
      </w:pPr>
      <w:r w:rsidRPr="0034651B">
        <w:rPr>
          <w:b/>
          <w:bCs/>
          <w:lang w:eastAsia="en-IN"/>
        </w:rPr>
        <w:t>Three Examples of AI Use and Capability Development</w:t>
      </w:r>
    </w:p>
    <w:p w14:paraId="4A4DCB57" w14:textId="1051AD1C" w:rsidR="0034651B" w:rsidRPr="00B53965" w:rsidRDefault="0034651B" w:rsidP="0034651B">
      <w:pPr>
        <w:rPr>
          <w:lang w:eastAsia="en-IN"/>
        </w:rPr>
      </w:pPr>
      <w:r w:rsidRPr="00B53965">
        <w:rPr>
          <w:lang w:eastAsia="en-IN"/>
        </w:rPr>
        <w:t>The first method was to use AI in the research of academic and professional content. AI allowed me to mine for themes, organi</w:t>
      </w:r>
      <w:r w:rsidR="00A504D4">
        <w:rPr>
          <w:lang w:eastAsia="en-IN"/>
        </w:rPr>
        <w:t>s</w:t>
      </w:r>
      <w:r w:rsidRPr="00B53965">
        <w:rPr>
          <w:lang w:eastAsia="en-IN"/>
        </w:rPr>
        <w:t>e content</w:t>
      </w:r>
      <w:r w:rsidR="00FE6D1F">
        <w:rPr>
          <w:lang w:eastAsia="en-IN"/>
        </w:rPr>
        <w:t>,</w:t>
      </w:r>
      <w:r w:rsidRPr="00B53965">
        <w:rPr>
          <w:lang w:eastAsia="en-IN"/>
        </w:rPr>
        <w:t xml:space="preserve"> and contrast different points of view more effectively. As a result, my reasoning ability was improved since I used AI to provide initial ideas of where to start, but assessed and used this information myself. I was aware that this reliance on 'unverified' AI information could hinder independent critical analysis.</w:t>
      </w:r>
    </w:p>
    <w:p w14:paraId="257EB182" w14:textId="1523FF6B" w:rsidR="0034651B" w:rsidRPr="00B53965" w:rsidRDefault="0034651B" w:rsidP="0034651B">
      <w:pPr>
        <w:rPr>
          <w:lang w:eastAsia="en-IN"/>
        </w:rPr>
      </w:pPr>
      <w:r w:rsidRPr="00B53965">
        <w:rPr>
          <w:lang w:eastAsia="en-IN"/>
        </w:rPr>
        <w:t xml:space="preserve">Secondly, I incorporated AI </w:t>
      </w:r>
      <w:r w:rsidR="00A504D4">
        <w:rPr>
          <w:lang w:eastAsia="en-IN"/>
        </w:rPr>
        <w:t>to assist with</w:t>
      </w:r>
      <w:r w:rsidRPr="00B53965">
        <w:rPr>
          <w:lang w:eastAsia="en-IN"/>
        </w:rPr>
        <w:t xml:space="preserve"> writing and communicating. AI assisted me in structuring large ideas, demonstrating conciseness and flagging structural flaws. This enabled me to form tight professional communication that was understandable and succinct. Still, I avoided overusing AI for fear of losing the ability to argue my ideas individually and practically</w:t>
      </w:r>
      <w:r w:rsidR="00FE6D1F">
        <w:rPr>
          <w:lang w:eastAsia="en-IN"/>
        </w:rPr>
        <w:t>,</w:t>
      </w:r>
      <w:r w:rsidRPr="00B53965">
        <w:rPr>
          <w:lang w:eastAsia="en-IN"/>
        </w:rPr>
        <w:t xml:space="preserve"> and </w:t>
      </w:r>
      <w:r w:rsidR="00FE6D1F">
        <w:rPr>
          <w:lang w:eastAsia="en-IN"/>
        </w:rPr>
        <w:t xml:space="preserve">I </w:t>
      </w:r>
      <w:r w:rsidRPr="00B53965">
        <w:rPr>
          <w:lang w:eastAsia="en-IN"/>
        </w:rPr>
        <w:t xml:space="preserve">used AI as </w:t>
      </w:r>
      <w:r w:rsidR="00FE6D1F">
        <w:rPr>
          <w:lang w:eastAsia="en-IN"/>
        </w:rPr>
        <w:t>an</w:t>
      </w:r>
      <w:r w:rsidRPr="00B53965">
        <w:rPr>
          <w:lang w:eastAsia="en-IN"/>
        </w:rPr>
        <w:t xml:space="preserve"> editing/brainstorming device.</w:t>
      </w:r>
    </w:p>
    <w:p w14:paraId="086C8718" w14:textId="77777777" w:rsidR="0034651B" w:rsidRPr="0096244F" w:rsidRDefault="0034651B" w:rsidP="0034651B">
      <w:pPr>
        <w:rPr>
          <w:lang w:eastAsia="en-IN"/>
        </w:rPr>
      </w:pPr>
      <w:r w:rsidRPr="00B53965">
        <w:rPr>
          <w:lang w:eastAsia="en-IN"/>
        </w:rPr>
        <w:t>Third, I used AI as a mode of problem-solving and decision-support. I asked AI to outline different ways I might approach the problem, and this challenged me to think about different options that I might not have otherwise initially thought of. This helped me become more attuned to working comparatively between options and more structured. It also, to my surprise, demonstrated that AI might be able to generate reasonable but inappropriate suggestions in the absence of sufficient context.</w:t>
      </w:r>
    </w:p>
    <w:p w14:paraId="46876668" w14:textId="77777777" w:rsidR="0034651B" w:rsidRPr="0034651B" w:rsidRDefault="0034651B" w:rsidP="0034651B">
      <w:pPr>
        <w:rPr>
          <w:b/>
          <w:bCs/>
          <w:lang w:eastAsia="en-IN"/>
        </w:rPr>
      </w:pPr>
      <w:r w:rsidRPr="0034651B">
        <w:rPr>
          <w:b/>
          <w:bCs/>
          <w:lang w:eastAsia="en-IN"/>
        </w:rPr>
        <w:t>Personal Capability Development Plan</w:t>
      </w:r>
    </w:p>
    <w:p w14:paraId="1B9BE4F0" w14:textId="051D49BA" w:rsidR="0034651B" w:rsidRPr="0034651B" w:rsidRDefault="0034651B" w:rsidP="0034651B">
      <w:pPr>
        <w:rPr>
          <w:rFonts w:ascii="Times New Roman" w:eastAsia="Times New Roman" w:hAnsi="Times New Roman" w:cs="Times New Roman"/>
          <w:kern w:val="0"/>
          <w:szCs w:val="24"/>
          <w:lang w:eastAsia="en-IN"/>
          <w14:ligatures w14:val="none"/>
        </w:rPr>
      </w:pPr>
      <w:r>
        <w:t xml:space="preserve">My future capability development will centre on becoming an HR practitioner who can successfully combine digital skills with excellent human judgement </w:t>
      </w:r>
      <w:r w:rsidRPr="0034651B">
        <w:t>(</w:t>
      </w:r>
      <w:proofErr w:type="spellStart"/>
      <w:r w:rsidRPr="0034651B">
        <w:t>Giray</w:t>
      </w:r>
      <w:proofErr w:type="spellEnd"/>
      <w:r w:rsidRPr="0034651B">
        <w:t xml:space="preserve">, 2024). </w:t>
      </w:r>
      <w:r>
        <w:t>I will build up my knowledge of AI, in particular on responsible AI, algorithmic bias, data protection and AI governance. I will also develop my analytical skills by using increased workforce data and evidence-based HR practices. And apart from the technical aspect</w:t>
      </w:r>
      <w:r w:rsidR="00A504D4">
        <w:t>,</w:t>
      </w:r>
      <w:r>
        <w:t xml:space="preserve"> I will also further develop my communication, coaching, and conflict management skills, as these are core human aspects of HR.</w:t>
      </w:r>
    </w:p>
    <w:p w14:paraId="65133FA2" w14:textId="229BA4EF" w:rsidR="008547A6" w:rsidRPr="008547A6" w:rsidRDefault="0034651B" w:rsidP="008547A6">
      <w:r>
        <w:t xml:space="preserve">My ultimate goal is that means not just to be skilled in the use of AI, but to be able to decide when AI should be used, </w:t>
      </w:r>
      <w:r w:rsidR="00A504D4">
        <w:t>when</w:t>
      </w:r>
      <w:r>
        <w:t xml:space="preserve"> AI outputs should be questioned</w:t>
      </w:r>
      <w:r w:rsidR="00FE6D1F">
        <w:t>,</w:t>
      </w:r>
      <w:r>
        <w:t xml:space="preserve"> and whe</w:t>
      </w:r>
      <w:r w:rsidR="00A504D4">
        <w:t>n</w:t>
      </w:r>
      <w:r>
        <w:t xml:space="preserve"> human judgement should override the use of AI. This balanced approach will ensure that I can make sound decisions and will make me more employable in future technologically-enabled HR workplaces.</w:t>
      </w:r>
    </w:p>
    <w:p w14:paraId="047E1085" w14:textId="47CE8F7A" w:rsidR="00B87B61" w:rsidRDefault="00B87B61" w:rsidP="00B87B61">
      <w:pPr>
        <w:pStyle w:val="Heading1"/>
      </w:pPr>
      <w:bookmarkStart w:id="6" w:name="_Toc242378965"/>
      <w:r>
        <w:t>Conclusion</w:t>
      </w:r>
      <w:bookmarkEnd w:id="6"/>
    </w:p>
    <w:p w14:paraId="33899ADA" w14:textId="084130ED" w:rsidR="0034651B" w:rsidRPr="0034651B" w:rsidRDefault="0034651B" w:rsidP="0034651B">
      <w:r w:rsidRPr="0034651B">
        <w:t>NHSX wants a holistic human capital strategy that enables innovation, collaboration, and employee wellbeing. Enabling intentional and flexible hybrid working can boost organisational agility and knowledge sharing, whilst an explicit talent management process can help foster learning and career mobility. What enables performance that endures is the right mix of freedom and responsibility, underpinned by an environment that allows people to learn, contribute, and innovate.</w:t>
      </w:r>
    </w:p>
    <w:p w14:paraId="5A631EF9" w14:textId="77777777" w:rsidR="00B87B61" w:rsidRDefault="00B87B61">
      <w:pPr>
        <w:spacing w:after="160" w:line="259" w:lineRule="auto"/>
        <w:jc w:val="left"/>
        <w:rPr>
          <w:rFonts w:eastAsiaTheme="majorEastAsia" w:cstheme="majorBidi"/>
          <w:color w:val="0F4761" w:themeColor="accent1" w:themeShade="BF"/>
          <w:sz w:val="32"/>
          <w:szCs w:val="40"/>
        </w:rPr>
      </w:pPr>
      <w:r>
        <w:br w:type="page"/>
      </w:r>
    </w:p>
    <w:p w14:paraId="2FD2A64C" w14:textId="77777777" w:rsidR="00B87B61" w:rsidRDefault="00B87B61" w:rsidP="00B87B61">
      <w:pPr>
        <w:pStyle w:val="Heading1"/>
      </w:pPr>
      <w:bookmarkStart w:id="7" w:name="_Toc242378966"/>
      <w:r>
        <w:t>References</w:t>
      </w:r>
      <w:bookmarkEnd w:id="7"/>
    </w:p>
    <w:p w14:paraId="6CB49EB7" w14:textId="77777777" w:rsidR="0034651B" w:rsidRPr="001D73CF" w:rsidRDefault="0034651B" w:rsidP="001D73CF">
      <w:pPr>
        <w:rPr>
          <w:szCs w:val="24"/>
        </w:rPr>
      </w:pPr>
      <w:r>
        <w:t xml:space="preserve">Berger, B. (2024). </w:t>
      </w:r>
      <w:r w:rsidRPr="001D73CF">
        <w:rPr>
          <w:i/>
          <w:iCs/>
        </w:rPr>
        <w:t>12 Factors to consider when managing a hybrid workforce</w:t>
      </w:r>
      <w:r>
        <w:t xml:space="preserve">. [online] www.nimblework.com. Available at: </w:t>
      </w:r>
      <w:hyperlink r:id="rId11" w:history="1">
        <w:r w:rsidRPr="001D73CF">
          <w:rPr>
            <w:rStyle w:val="Hyperlink"/>
            <w:rFonts w:cs="Arial"/>
          </w:rPr>
          <w:t>https://www.nimblework.com/blog/managing-a-hybrid-workforce/</w:t>
        </w:r>
      </w:hyperlink>
      <w:r>
        <w:t xml:space="preserve">  [Accessed 5 Oct. 2026].</w:t>
      </w:r>
    </w:p>
    <w:p w14:paraId="6839B3F6" w14:textId="77777777" w:rsidR="0034651B" w:rsidRPr="001D73CF" w:rsidRDefault="0034651B" w:rsidP="001D73CF">
      <w:pPr>
        <w:rPr>
          <w:rFonts w:ascii="Times New Roman" w:hAnsi="Times New Roman"/>
        </w:rPr>
      </w:pPr>
      <w:proofErr w:type="spellStart"/>
      <w:r>
        <w:t>Bhattacharjee</w:t>
      </w:r>
      <w:proofErr w:type="spellEnd"/>
      <w:r>
        <w:t xml:space="preserve">, A. and Sarkar, A. (2023) ‘High-Performance Work Systems and Employees’ Innovative Work Behaviour: An Empirical Investigation Based on Job Demands-Resources (JD-R) Theory’, </w:t>
      </w:r>
      <w:r>
        <w:rPr>
          <w:rStyle w:val="Emphasis"/>
        </w:rPr>
        <w:t>Journal of Global Scholars of Marketing Science</w:t>
      </w:r>
      <w:r>
        <w:t xml:space="preserve">, 33(4), pp. 1–18. </w:t>
      </w:r>
      <w:hyperlink r:id="rId12" w:history="1">
        <w:r>
          <w:rPr>
            <w:rStyle w:val="Hyperlink"/>
          </w:rPr>
          <w:t>https://doi.org/10.1177/09721509221145414</w:t>
        </w:r>
      </w:hyperlink>
      <w:r>
        <w:t xml:space="preserve">. </w:t>
      </w:r>
      <w:hyperlink r:id="rId13" w:history="1">
        <w:r>
          <w:rPr>
            <w:rStyle w:val="Hyperlink"/>
          </w:rPr>
          <w:t>DOI</w:t>
        </w:r>
      </w:hyperlink>
    </w:p>
    <w:p w14:paraId="08B9CA59" w14:textId="77777777" w:rsidR="0034651B" w:rsidRDefault="0034651B" w:rsidP="001D73CF">
      <w:r>
        <w:t xml:space="preserve">Bloom, N., Han, R. and Liang, J. (2024) ‘Hybrid working from home improves retention without damaging performance’, </w:t>
      </w:r>
      <w:r>
        <w:rPr>
          <w:rStyle w:val="Emphasis"/>
        </w:rPr>
        <w:t>Nature</w:t>
      </w:r>
      <w:r>
        <w:t xml:space="preserve">, 630, pp. 920–925. </w:t>
      </w:r>
      <w:hyperlink r:id="rId14" w:history="1">
        <w:r>
          <w:rPr>
            <w:rStyle w:val="Hyperlink"/>
          </w:rPr>
          <w:t>https://doi.org/10.1038/s41586-024-07500-2</w:t>
        </w:r>
      </w:hyperlink>
      <w:r>
        <w:t xml:space="preserve">. </w:t>
      </w:r>
      <w:hyperlink r:id="rId15" w:history="1">
        <w:r>
          <w:rPr>
            <w:rStyle w:val="Hyperlink"/>
          </w:rPr>
          <w:t>DOI</w:t>
        </w:r>
      </w:hyperlink>
    </w:p>
    <w:p w14:paraId="5A9473F9" w14:textId="77777777" w:rsidR="0034651B" w:rsidRDefault="0034651B" w:rsidP="001D73CF">
      <w:proofErr w:type="spellStart"/>
      <w:r>
        <w:t>Dweck</w:t>
      </w:r>
      <w:proofErr w:type="spellEnd"/>
      <w:r>
        <w:t xml:space="preserve">, C.S. (2006) </w:t>
      </w:r>
      <w:proofErr w:type="spellStart"/>
      <w:r>
        <w:rPr>
          <w:rStyle w:val="Emphasis"/>
        </w:rPr>
        <w:t>Mindset</w:t>
      </w:r>
      <w:proofErr w:type="spellEnd"/>
      <w:r>
        <w:rPr>
          <w:rStyle w:val="Emphasis"/>
        </w:rPr>
        <w:t>: The New Psychology of Success</w:t>
      </w:r>
      <w:r>
        <w:t>. New York: Random House.</w:t>
      </w:r>
    </w:p>
    <w:p w14:paraId="0C3207C7" w14:textId="77777777" w:rsidR="0034651B" w:rsidRDefault="0034651B" w:rsidP="001D73CF">
      <w:r>
        <w:t xml:space="preserve">Edmondson, A.C. and </w:t>
      </w:r>
      <w:proofErr w:type="spellStart"/>
      <w:r>
        <w:t>Bransby</w:t>
      </w:r>
      <w:proofErr w:type="spellEnd"/>
      <w:r>
        <w:t xml:space="preserve">, D.P. (2023) ‘Psychological Safety Comes of Age: Observed Themes in an Established Literature’, </w:t>
      </w:r>
      <w:r>
        <w:rPr>
          <w:rStyle w:val="Emphasis"/>
        </w:rPr>
        <w:t>Annual Review of Organisational Psychology and Organisational Behaviour</w:t>
      </w:r>
      <w:r>
        <w:t xml:space="preserve">, 10, pp. 55–78. </w:t>
      </w:r>
      <w:hyperlink r:id="rId16" w:history="1">
        <w:r>
          <w:rPr>
            <w:rStyle w:val="Hyperlink"/>
          </w:rPr>
          <w:t>https://doi.org/10.1146/annurev-orgpsych-120920-055217</w:t>
        </w:r>
      </w:hyperlink>
      <w:r>
        <w:t xml:space="preserve">. </w:t>
      </w:r>
      <w:hyperlink r:id="rId17" w:history="1">
        <w:r>
          <w:rPr>
            <w:rStyle w:val="Hyperlink"/>
          </w:rPr>
          <w:t>DOI</w:t>
        </w:r>
      </w:hyperlink>
    </w:p>
    <w:p w14:paraId="76611B7B" w14:textId="77777777" w:rsidR="0034651B" w:rsidRDefault="0034651B" w:rsidP="001D73CF">
      <w:proofErr w:type="spellStart"/>
      <w:r>
        <w:t>Gagné</w:t>
      </w:r>
      <w:proofErr w:type="spellEnd"/>
      <w:r>
        <w:t xml:space="preserve">, M., Parker, S.K., Griffin, M.A. </w:t>
      </w:r>
      <w:r>
        <w:rPr>
          <w:rStyle w:val="Emphasis"/>
        </w:rPr>
        <w:t>et al.</w:t>
      </w:r>
      <w:r>
        <w:t xml:space="preserve"> (2022) ‘Understanding and shaping the future of work with self-determination theory’, </w:t>
      </w:r>
      <w:r>
        <w:rPr>
          <w:rStyle w:val="Emphasis"/>
        </w:rPr>
        <w:t>Nature Reviews Psychology</w:t>
      </w:r>
      <w:r>
        <w:t>, 1, pp. 378–392.</w:t>
      </w:r>
    </w:p>
    <w:p w14:paraId="066834C0" w14:textId="77777777" w:rsidR="0034651B" w:rsidRPr="001D73CF" w:rsidRDefault="0034651B" w:rsidP="001D73CF">
      <w:pPr>
        <w:rPr>
          <w:szCs w:val="24"/>
        </w:rPr>
      </w:pPr>
      <w:r>
        <w:t xml:space="preserve">Gao, J. and Wang, D. (2024). Quantifying the use and potential benefits of artificial intelligence in scientific research. </w:t>
      </w:r>
      <w:r w:rsidRPr="001D73CF">
        <w:rPr>
          <w:i/>
          <w:iCs/>
        </w:rPr>
        <w:t>Nature Human Behaviour</w:t>
      </w:r>
      <w:r>
        <w:t>, [online] 8(1). DOI:10.1038/s41562-024-02020-5.</w:t>
      </w:r>
    </w:p>
    <w:p w14:paraId="66BC4EFD" w14:textId="77777777" w:rsidR="0034651B" w:rsidRDefault="0034651B" w:rsidP="001D73CF">
      <w:r>
        <w:t xml:space="preserve">Gibbs, M., </w:t>
      </w:r>
      <w:proofErr w:type="spellStart"/>
      <w:r>
        <w:t>Mengel</w:t>
      </w:r>
      <w:proofErr w:type="spellEnd"/>
      <w:r>
        <w:t xml:space="preserve">, F. and </w:t>
      </w:r>
      <w:proofErr w:type="spellStart"/>
      <w:r>
        <w:t>Siemroth</w:t>
      </w:r>
      <w:proofErr w:type="spellEnd"/>
      <w:r>
        <w:t xml:space="preserve">, C. (2024) ‘Employee innovation during office work, work from home and hybrid work’, </w:t>
      </w:r>
      <w:r>
        <w:rPr>
          <w:rStyle w:val="Emphasis"/>
        </w:rPr>
        <w:t>Scientific Reports</w:t>
      </w:r>
      <w:r>
        <w:t xml:space="preserve">, 14, 17117. </w:t>
      </w:r>
      <w:hyperlink r:id="rId18" w:history="1">
        <w:r>
          <w:rPr>
            <w:rStyle w:val="Hyperlink"/>
          </w:rPr>
          <w:t>https://doi.org/10.1038/s41598-024-67122-6</w:t>
        </w:r>
      </w:hyperlink>
      <w:r>
        <w:t xml:space="preserve">. </w:t>
      </w:r>
      <w:hyperlink r:id="rId19" w:history="1">
        <w:r>
          <w:rPr>
            <w:rStyle w:val="Hyperlink"/>
          </w:rPr>
          <w:t>PubMed Central (PMC)</w:t>
        </w:r>
      </w:hyperlink>
    </w:p>
    <w:p w14:paraId="612F2450" w14:textId="77777777" w:rsidR="0034651B" w:rsidRDefault="0034651B" w:rsidP="001D73CF">
      <w:proofErr w:type="spellStart"/>
      <w:r>
        <w:t>Giray</w:t>
      </w:r>
      <w:proofErr w:type="spellEnd"/>
      <w:r>
        <w:t xml:space="preserve">, L. (2024). Benefits and challenges of using AI for peer review: A study on researchers’ perceptions. </w:t>
      </w:r>
      <w:r w:rsidRPr="001D73CF">
        <w:rPr>
          <w:i/>
          <w:iCs/>
        </w:rPr>
        <w:t>The Serials Librarian</w:t>
      </w:r>
      <w:r>
        <w:t>, 85(5–6), pp.144–154. DOI:10.1080/0361526x.2024.2428377.</w:t>
      </w:r>
    </w:p>
    <w:p w14:paraId="6890FA2F" w14:textId="77777777" w:rsidR="0034651B" w:rsidRDefault="0034651B" w:rsidP="001D73CF">
      <w:proofErr w:type="spellStart"/>
      <w:r>
        <w:t>Kurniawan</w:t>
      </w:r>
      <w:proofErr w:type="spellEnd"/>
      <w:r>
        <w:t xml:space="preserve">, A., et al. (2022) ‘Roles of organisational learning culture in promoting innovation’, </w:t>
      </w:r>
      <w:r>
        <w:rPr>
          <w:rStyle w:val="Emphasis"/>
        </w:rPr>
        <w:t>The Learning Organisation</w:t>
      </w:r>
      <w:r>
        <w:t>, 30(1), pp. 76–92.</w:t>
      </w:r>
    </w:p>
    <w:p w14:paraId="1CDAD736" w14:textId="77777777" w:rsidR="0034651B" w:rsidRDefault="0034651B" w:rsidP="001D73CF">
      <w:r>
        <w:t xml:space="preserve">Malik, A., </w:t>
      </w:r>
      <w:proofErr w:type="spellStart"/>
      <w:r>
        <w:t>Budhwar</w:t>
      </w:r>
      <w:proofErr w:type="spellEnd"/>
      <w:r>
        <w:t xml:space="preserve">, P., Patel, C. and </w:t>
      </w:r>
      <w:proofErr w:type="spellStart"/>
      <w:r>
        <w:t>Srikanth</w:t>
      </w:r>
      <w:proofErr w:type="spellEnd"/>
      <w:r>
        <w:t xml:space="preserve">, N.R. (2023) ‘Employee experience – the missing link for engaging employees: Insights from an MNE's AI-based HR ecosystem’, </w:t>
      </w:r>
      <w:r>
        <w:rPr>
          <w:rStyle w:val="Emphasis"/>
        </w:rPr>
        <w:t>Human Resource Management</w:t>
      </w:r>
      <w:r>
        <w:t>, 62(1), pp. 97–115.</w:t>
      </w:r>
    </w:p>
    <w:p w14:paraId="127EE8F1" w14:textId="77777777" w:rsidR="0034651B" w:rsidRDefault="0034651B" w:rsidP="001D73CF">
      <w:proofErr w:type="spellStart"/>
      <w:r>
        <w:t>Senge</w:t>
      </w:r>
      <w:proofErr w:type="spellEnd"/>
      <w:r>
        <w:t xml:space="preserve">, P.M. (2006) </w:t>
      </w:r>
      <w:r>
        <w:rPr>
          <w:rStyle w:val="Emphasis"/>
        </w:rPr>
        <w:t>The Fifth Discipline: The Art and Practice of the Learning Organisation</w:t>
      </w:r>
      <w:r>
        <w:t xml:space="preserve">. Revised </w:t>
      </w:r>
      <w:proofErr w:type="spellStart"/>
      <w:r>
        <w:t>edn</w:t>
      </w:r>
      <w:proofErr w:type="spellEnd"/>
      <w:r>
        <w:t>. London: Random House.</w:t>
      </w:r>
    </w:p>
    <w:p w14:paraId="29BB337A" w14:textId="584D3C46" w:rsidR="0034651B" w:rsidRDefault="0034651B" w:rsidP="001D73CF">
      <w:proofErr w:type="spellStart"/>
      <w:r>
        <w:t>Thadeus</w:t>
      </w:r>
      <w:proofErr w:type="spellEnd"/>
      <w:r>
        <w:t xml:space="preserve"> F</w:t>
      </w:r>
      <w:r w:rsidR="00A504D4">
        <w:t>.</w:t>
      </w:r>
      <w:r>
        <w:t xml:space="preserve"> M. (2024). </w:t>
      </w:r>
      <w:r w:rsidRPr="001D73CF">
        <w:rPr>
          <w:i/>
          <w:iCs/>
        </w:rPr>
        <w:t xml:space="preserve">Figure 2.1 </w:t>
      </w:r>
      <w:r w:rsidR="00A504D4">
        <w:rPr>
          <w:i/>
          <w:iCs/>
        </w:rPr>
        <w:t>U</w:t>
      </w:r>
      <w:r w:rsidRPr="001D73CF">
        <w:rPr>
          <w:i/>
          <w:iCs/>
        </w:rPr>
        <w:t>nderlying principles of high-performance work systems</w:t>
      </w:r>
      <w:r>
        <w:t xml:space="preserve">. [online] </w:t>
      </w:r>
      <w:proofErr w:type="spellStart"/>
      <w:r>
        <w:t>ResearchGate</w:t>
      </w:r>
      <w:proofErr w:type="spellEnd"/>
      <w:r>
        <w:t xml:space="preserve">. Available at: </w:t>
      </w:r>
      <w:hyperlink r:id="rId20" w:history="1">
        <w:r w:rsidRPr="001D73CF">
          <w:rPr>
            <w:rStyle w:val="Hyperlink"/>
            <w:rFonts w:cs="Arial"/>
          </w:rPr>
          <w:t>https://www.researchgate.net/figure/Underlying-Principles-of-High-Performance-Work-Systems_fig2_42605046</w:t>
        </w:r>
      </w:hyperlink>
      <w:r>
        <w:t xml:space="preserve">  [Accessed 5 Oct. 2026].</w:t>
      </w:r>
    </w:p>
    <w:p w14:paraId="0DB2A591" w14:textId="77777777" w:rsidR="0034651B" w:rsidRDefault="0034651B" w:rsidP="001D73CF">
      <w:proofErr w:type="spellStart"/>
      <w:r>
        <w:t>Tims</w:t>
      </w:r>
      <w:proofErr w:type="spellEnd"/>
      <w:r>
        <w:t xml:space="preserve">, M., Bakker, A.B. and </w:t>
      </w:r>
      <w:proofErr w:type="spellStart"/>
      <w:r>
        <w:t>Derks</w:t>
      </w:r>
      <w:proofErr w:type="spellEnd"/>
      <w:r>
        <w:t xml:space="preserve">, D. (2012) ‘Development and validation of the job crafting scale’, </w:t>
      </w:r>
      <w:r>
        <w:rPr>
          <w:rStyle w:val="Emphasis"/>
        </w:rPr>
        <w:t>Journal of Vocational Behaviour</w:t>
      </w:r>
      <w:r>
        <w:t>, 80(1), pp. 173–186.</w:t>
      </w:r>
    </w:p>
    <w:p w14:paraId="198661C7" w14:textId="77777777" w:rsidR="0034651B" w:rsidRDefault="0034651B" w:rsidP="001D73CF">
      <w:r>
        <w:t xml:space="preserve">Wang, P., Chen, X. and Lawler, J.J. (2022) ‘Unravelling the relationship between high-performance work systems and firm performance: A mediation analysis’, </w:t>
      </w:r>
      <w:r>
        <w:rPr>
          <w:rStyle w:val="Emphasis"/>
        </w:rPr>
        <w:t>Human Resource Management</w:t>
      </w:r>
      <w:r>
        <w:t>, 61(2), pp. 181–197.</w:t>
      </w:r>
    </w:p>
    <w:p w14:paraId="5361C850" w14:textId="77777777" w:rsidR="0034651B" w:rsidRDefault="0034651B" w:rsidP="001D73CF">
      <w:r>
        <w:t xml:space="preserve">Zhu, F., Gao, Y. and Chen, X. (2022) ‘Tough Love: Impact of High-Performance Work System on Employee Innovation Behaviour ’, </w:t>
      </w:r>
      <w:r>
        <w:rPr>
          <w:rStyle w:val="Emphasis"/>
        </w:rPr>
        <w:t>Frontiers in Psychology</w:t>
      </w:r>
      <w:r>
        <w:t xml:space="preserve">, 13, 919993. </w:t>
      </w:r>
      <w:hyperlink r:id="rId21" w:history="1">
        <w:r>
          <w:rPr>
            <w:rStyle w:val="Hyperlink"/>
          </w:rPr>
          <w:t>https://doi.org/10.3389/fpsyg.2022.919993</w:t>
        </w:r>
      </w:hyperlink>
    </w:p>
    <w:p w14:paraId="03C56C0B" w14:textId="77777777" w:rsidR="00B87B61" w:rsidRPr="00B87B61" w:rsidRDefault="00B87B61" w:rsidP="0034651B"/>
    <w:sectPr w:rsidR="00B87B61" w:rsidRPr="00B87B6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644F3" w14:textId="77777777" w:rsidR="00AB433B" w:rsidRDefault="00AB433B" w:rsidP="00B87B61">
      <w:pPr>
        <w:spacing w:after="0" w:line="240" w:lineRule="auto"/>
      </w:pPr>
      <w:r>
        <w:separator/>
      </w:r>
    </w:p>
  </w:endnote>
  <w:endnote w:type="continuationSeparator" w:id="0">
    <w:p w14:paraId="70B65C0A" w14:textId="77777777" w:rsidR="00AB433B" w:rsidRDefault="00AB433B" w:rsidP="00B87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2332114"/>
      <w:docPartObj>
        <w:docPartGallery w:val="Page Numbers (Bottom of Page)"/>
        <w:docPartUnique/>
      </w:docPartObj>
    </w:sdtPr>
    <w:sdtEndPr>
      <w:rPr>
        <w:noProof/>
      </w:rPr>
    </w:sdtEndPr>
    <w:sdtContent>
      <w:p w14:paraId="07ABF85C" w14:textId="382EB983" w:rsidR="00B87B61" w:rsidRDefault="00B87B61">
        <w:pPr>
          <w:pStyle w:val="Footer"/>
          <w:jc w:val="right"/>
        </w:pPr>
        <w:r>
          <w:fldChar w:fldCharType="begin"/>
        </w:r>
        <w:r>
          <w:instrText xml:space="preserve"> PAGE   \* MERGEFORMAT </w:instrText>
        </w:r>
        <w:r>
          <w:fldChar w:fldCharType="separate"/>
        </w:r>
        <w:r w:rsidR="00FE6D1F">
          <w:rPr>
            <w:noProof/>
          </w:rPr>
          <w:t>12</w:t>
        </w:r>
        <w:r>
          <w:rPr>
            <w:noProof/>
          </w:rPr>
          <w:fldChar w:fldCharType="end"/>
        </w:r>
      </w:p>
    </w:sdtContent>
  </w:sdt>
  <w:p w14:paraId="72776B7E" w14:textId="77777777" w:rsidR="00B87B61" w:rsidRDefault="00B87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40E61" w14:textId="77777777" w:rsidR="00AB433B" w:rsidRDefault="00AB433B" w:rsidP="00B87B61">
      <w:pPr>
        <w:spacing w:after="0" w:line="240" w:lineRule="auto"/>
      </w:pPr>
      <w:r>
        <w:separator/>
      </w:r>
    </w:p>
  </w:footnote>
  <w:footnote w:type="continuationSeparator" w:id="0">
    <w:p w14:paraId="473CB049" w14:textId="77777777" w:rsidR="00AB433B" w:rsidRDefault="00AB433B" w:rsidP="00B87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276C9"/>
    <w:multiLevelType w:val="hybridMultilevel"/>
    <w:tmpl w:val="9118E4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BCC3683"/>
    <w:multiLevelType w:val="hybridMultilevel"/>
    <w:tmpl w:val="F0F46C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3612388">
    <w:abstractNumId w:val="0"/>
  </w:num>
  <w:num w:numId="2" w16cid:durableId="729574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WxNLMEkqaWRmZGBko6SsGpxcWZ+XkgBSa1ABuqXAosAAAA"/>
  </w:docVars>
  <w:rsids>
    <w:rsidRoot w:val="004B5A76"/>
    <w:rsid w:val="000110D2"/>
    <w:rsid w:val="00073DA6"/>
    <w:rsid w:val="000A0D51"/>
    <w:rsid w:val="000D75EA"/>
    <w:rsid w:val="001D73CF"/>
    <w:rsid w:val="002806DB"/>
    <w:rsid w:val="00285F85"/>
    <w:rsid w:val="002C75AA"/>
    <w:rsid w:val="0034170E"/>
    <w:rsid w:val="0034651B"/>
    <w:rsid w:val="003854F3"/>
    <w:rsid w:val="003A7B53"/>
    <w:rsid w:val="004A25B5"/>
    <w:rsid w:val="004B5A76"/>
    <w:rsid w:val="004C1CB1"/>
    <w:rsid w:val="00532C5B"/>
    <w:rsid w:val="005D173E"/>
    <w:rsid w:val="006154E4"/>
    <w:rsid w:val="006754A9"/>
    <w:rsid w:val="007B21A0"/>
    <w:rsid w:val="008303D7"/>
    <w:rsid w:val="0084044A"/>
    <w:rsid w:val="00847143"/>
    <w:rsid w:val="008547A6"/>
    <w:rsid w:val="008A321B"/>
    <w:rsid w:val="008D3FD0"/>
    <w:rsid w:val="00913FE3"/>
    <w:rsid w:val="00935A61"/>
    <w:rsid w:val="00960A2E"/>
    <w:rsid w:val="00A504D4"/>
    <w:rsid w:val="00AB433B"/>
    <w:rsid w:val="00B04827"/>
    <w:rsid w:val="00B10170"/>
    <w:rsid w:val="00B87B61"/>
    <w:rsid w:val="00BB04BA"/>
    <w:rsid w:val="00D27DB1"/>
    <w:rsid w:val="00DB1AF7"/>
    <w:rsid w:val="00DF6FE7"/>
    <w:rsid w:val="00F67170"/>
    <w:rsid w:val="00FC5038"/>
    <w:rsid w:val="00FE4914"/>
    <w:rsid w:val="00FE6D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A05C"/>
  <w15:chartTrackingRefBased/>
  <w15:docId w15:val="{E9FCFDF2-3813-43EB-B1B4-A81439841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A76"/>
    <w:pPr>
      <w:spacing w:after="40" w:line="360" w:lineRule="auto"/>
      <w:jc w:val="both"/>
    </w:pPr>
    <w:rPr>
      <w:rFonts w:ascii="Arial" w:hAnsi="Arial"/>
      <w:sz w:val="24"/>
    </w:rPr>
  </w:style>
  <w:style w:type="paragraph" w:styleId="Heading1">
    <w:name w:val="heading 1"/>
    <w:basedOn w:val="Normal"/>
    <w:next w:val="Normal"/>
    <w:link w:val="Heading1Char"/>
    <w:uiPriority w:val="9"/>
    <w:qFormat/>
    <w:rsid w:val="004B5A76"/>
    <w:pPr>
      <w:keepNext/>
      <w:keepLines/>
      <w:spacing w:before="240" w:after="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4B5A76"/>
    <w:pPr>
      <w:keepNext/>
      <w:keepLines/>
      <w:spacing w:before="40" w:after="0"/>
      <w:outlineLvl w:val="1"/>
    </w:pPr>
    <w:rPr>
      <w:rFonts w:eastAsiaTheme="majorEastAsia"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4B5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A76"/>
    <w:pPr>
      <w:keepNext/>
      <w:keepLines/>
      <w:spacing w:before="8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A76"/>
    <w:pPr>
      <w:keepNext/>
      <w:keepLines/>
      <w:spacing w:before="8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A76"/>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4B5A76"/>
    <w:rPr>
      <w:rFonts w:ascii="Arial" w:eastAsiaTheme="majorEastAsia" w:hAnsi="Arial" w:cstheme="majorBidi"/>
      <w:i/>
      <w:color w:val="0F4761" w:themeColor="accent1" w:themeShade="BF"/>
      <w:sz w:val="24"/>
      <w:szCs w:val="32"/>
    </w:rPr>
  </w:style>
  <w:style w:type="character" w:customStyle="1" w:styleId="Heading3Char">
    <w:name w:val="Heading 3 Char"/>
    <w:basedOn w:val="DefaultParagraphFont"/>
    <w:link w:val="Heading3"/>
    <w:uiPriority w:val="9"/>
    <w:semiHidden/>
    <w:rsid w:val="004B5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A76"/>
    <w:rPr>
      <w:rFonts w:eastAsiaTheme="majorEastAsia" w:cstheme="majorBidi"/>
      <w:color w:val="272727" w:themeColor="text1" w:themeTint="D8"/>
    </w:rPr>
  </w:style>
  <w:style w:type="paragraph" w:styleId="Title">
    <w:name w:val="Title"/>
    <w:basedOn w:val="Normal"/>
    <w:next w:val="Normal"/>
    <w:link w:val="TitleChar"/>
    <w:uiPriority w:val="10"/>
    <w:qFormat/>
    <w:rsid w:val="004B5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A76"/>
    <w:pPr>
      <w:spacing w:before="160"/>
      <w:jc w:val="center"/>
    </w:pPr>
    <w:rPr>
      <w:i/>
      <w:iCs/>
      <w:color w:val="404040" w:themeColor="text1" w:themeTint="BF"/>
    </w:rPr>
  </w:style>
  <w:style w:type="character" w:customStyle="1" w:styleId="QuoteChar">
    <w:name w:val="Quote Char"/>
    <w:basedOn w:val="DefaultParagraphFont"/>
    <w:link w:val="Quote"/>
    <w:uiPriority w:val="29"/>
    <w:rsid w:val="004B5A76"/>
    <w:rPr>
      <w:i/>
      <w:iCs/>
      <w:color w:val="404040" w:themeColor="text1" w:themeTint="BF"/>
    </w:rPr>
  </w:style>
  <w:style w:type="paragraph" w:styleId="ListParagraph">
    <w:name w:val="List Paragraph"/>
    <w:basedOn w:val="Normal"/>
    <w:uiPriority w:val="34"/>
    <w:qFormat/>
    <w:rsid w:val="004B5A76"/>
    <w:pPr>
      <w:ind w:left="720"/>
      <w:contextualSpacing/>
    </w:pPr>
  </w:style>
  <w:style w:type="character" w:styleId="IntenseEmphasis">
    <w:name w:val="Intense Emphasis"/>
    <w:basedOn w:val="DefaultParagraphFont"/>
    <w:uiPriority w:val="21"/>
    <w:qFormat/>
    <w:rsid w:val="004B5A76"/>
    <w:rPr>
      <w:i/>
      <w:iCs/>
      <w:color w:val="0F4761" w:themeColor="accent1" w:themeShade="BF"/>
    </w:rPr>
  </w:style>
  <w:style w:type="paragraph" w:styleId="IntenseQuote">
    <w:name w:val="Intense Quote"/>
    <w:basedOn w:val="Normal"/>
    <w:next w:val="Normal"/>
    <w:link w:val="IntenseQuoteChar"/>
    <w:uiPriority w:val="30"/>
    <w:qFormat/>
    <w:rsid w:val="004B5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A76"/>
    <w:rPr>
      <w:i/>
      <w:iCs/>
      <w:color w:val="0F4761" w:themeColor="accent1" w:themeShade="BF"/>
    </w:rPr>
  </w:style>
  <w:style w:type="character" w:styleId="IntenseReference">
    <w:name w:val="Intense Reference"/>
    <w:basedOn w:val="DefaultParagraphFont"/>
    <w:uiPriority w:val="32"/>
    <w:qFormat/>
    <w:rsid w:val="004B5A76"/>
    <w:rPr>
      <w:b/>
      <w:bCs/>
      <w:smallCaps/>
      <w:color w:val="0F4761" w:themeColor="accent1" w:themeShade="BF"/>
      <w:spacing w:val="5"/>
    </w:rPr>
  </w:style>
  <w:style w:type="paragraph" w:styleId="Header">
    <w:name w:val="header"/>
    <w:basedOn w:val="Normal"/>
    <w:link w:val="HeaderChar"/>
    <w:uiPriority w:val="99"/>
    <w:unhideWhenUsed/>
    <w:rsid w:val="00B87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B61"/>
    <w:rPr>
      <w:rFonts w:ascii="Arial" w:hAnsi="Arial"/>
      <w:sz w:val="24"/>
    </w:rPr>
  </w:style>
  <w:style w:type="paragraph" w:styleId="Footer">
    <w:name w:val="footer"/>
    <w:basedOn w:val="Normal"/>
    <w:link w:val="FooterChar"/>
    <w:uiPriority w:val="99"/>
    <w:unhideWhenUsed/>
    <w:rsid w:val="00B87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B61"/>
    <w:rPr>
      <w:rFonts w:ascii="Arial" w:hAnsi="Arial"/>
      <w:sz w:val="24"/>
    </w:rPr>
  </w:style>
  <w:style w:type="character" w:styleId="Strong">
    <w:name w:val="Strong"/>
    <w:basedOn w:val="DefaultParagraphFont"/>
    <w:uiPriority w:val="22"/>
    <w:qFormat/>
    <w:rsid w:val="00B87B61"/>
    <w:rPr>
      <w:b/>
      <w:bCs/>
    </w:rPr>
  </w:style>
  <w:style w:type="paragraph" w:styleId="NormalWeb">
    <w:name w:val="Normal (Web)"/>
    <w:basedOn w:val="Normal"/>
    <w:uiPriority w:val="99"/>
    <w:unhideWhenUsed/>
    <w:rsid w:val="00B87B61"/>
    <w:pPr>
      <w:spacing w:before="100" w:beforeAutospacing="1" w:after="100" w:afterAutospacing="1" w:line="240" w:lineRule="auto"/>
      <w:jc w:val="left"/>
    </w:pPr>
    <w:rPr>
      <w:rFonts w:ascii="Times New Roman" w:eastAsia="Times New Roman" w:hAnsi="Times New Roman" w:cs="Times New Roman"/>
      <w:kern w:val="0"/>
      <w:szCs w:val="24"/>
      <w:lang w:eastAsia="en-IN"/>
      <w14:ligatures w14:val="none"/>
    </w:rPr>
  </w:style>
  <w:style w:type="character" w:styleId="Hyperlink">
    <w:name w:val="Hyperlink"/>
    <w:basedOn w:val="DefaultParagraphFont"/>
    <w:uiPriority w:val="99"/>
    <w:unhideWhenUsed/>
    <w:rsid w:val="00B87B61"/>
    <w:rPr>
      <w:color w:val="0000FF"/>
      <w:u w:val="single"/>
    </w:rPr>
  </w:style>
  <w:style w:type="character" w:styleId="Emphasis">
    <w:name w:val="Emphasis"/>
    <w:basedOn w:val="DefaultParagraphFont"/>
    <w:uiPriority w:val="20"/>
    <w:qFormat/>
    <w:rsid w:val="00B87B61"/>
    <w:rPr>
      <w:i/>
      <w:iCs/>
    </w:rPr>
  </w:style>
  <w:style w:type="paragraph" w:styleId="TOCHeading">
    <w:name w:val="TOC Heading"/>
    <w:basedOn w:val="Heading1"/>
    <w:next w:val="Normal"/>
    <w:uiPriority w:val="39"/>
    <w:unhideWhenUsed/>
    <w:qFormat/>
    <w:rsid w:val="00285F85"/>
    <w:pPr>
      <w:spacing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285F85"/>
    <w:pPr>
      <w:spacing w:after="100"/>
    </w:pPr>
  </w:style>
  <w:style w:type="paragraph" w:styleId="Caption">
    <w:name w:val="caption"/>
    <w:basedOn w:val="Normal"/>
    <w:next w:val="Normal"/>
    <w:uiPriority w:val="35"/>
    <w:unhideWhenUsed/>
    <w:qFormat/>
    <w:rsid w:val="00D27DB1"/>
    <w:pPr>
      <w:spacing w:after="200" w:line="240" w:lineRule="auto"/>
    </w:pPr>
    <w:rPr>
      <w:i/>
      <w:iCs/>
      <w:color w:val="0E2841" w:themeColor="text2"/>
      <w:sz w:val="18"/>
      <w:szCs w:val="18"/>
    </w:rPr>
  </w:style>
  <w:style w:type="character" w:customStyle="1" w:styleId="UnresolvedMention1">
    <w:name w:val="Unresolved Mention1"/>
    <w:basedOn w:val="DefaultParagraphFont"/>
    <w:uiPriority w:val="99"/>
    <w:semiHidden/>
    <w:unhideWhenUsed/>
    <w:rsid w:val="002C75AA"/>
    <w:rPr>
      <w:color w:val="605E5C"/>
      <w:shd w:val="clear" w:color="auto" w:fill="E1DFDD"/>
    </w:rPr>
  </w:style>
  <w:style w:type="table" w:styleId="TableGrid">
    <w:name w:val="Table Grid"/>
    <w:basedOn w:val="TableNormal"/>
    <w:uiPriority w:val="39"/>
    <w:rsid w:val="00346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D73C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2898264">
      <w:bodyDiv w:val="1"/>
      <w:marLeft w:val="0"/>
      <w:marRight w:val="0"/>
      <w:marTop w:val="0"/>
      <w:marBottom w:val="0"/>
      <w:divBdr>
        <w:top w:val="none" w:sz="0" w:space="0" w:color="auto"/>
        <w:left w:val="none" w:sz="0" w:space="0" w:color="auto"/>
        <w:bottom w:val="none" w:sz="0" w:space="0" w:color="auto"/>
        <w:right w:val="none" w:sz="0" w:space="0" w:color="auto"/>
      </w:divBdr>
      <w:divsChild>
        <w:div w:id="799962444">
          <w:marLeft w:val="0"/>
          <w:marRight w:val="0"/>
          <w:marTop w:val="0"/>
          <w:marBottom w:val="0"/>
          <w:divBdr>
            <w:top w:val="none" w:sz="0" w:space="0" w:color="auto"/>
            <w:left w:val="none" w:sz="0" w:space="0" w:color="auto"/>
            <w:bottom w:val="none" w:sz="0" w:space="0" w:color="auto"/>
            <w:right w:val="none" w:sz="0" w:space="0" w:color="auto"/>
          </w:divBdr>
        </w:div>
        <w:div w:id="2113863897">
          <w:marLeft w:val="0"/>
          <w:marRight w:val="0"/>
          <w:marTop w:val="0"/>
          <w:marBottom w:val="0"/>
          <w:divBdr>
            <w:top w:val="none" w:sz="0" w:space="0" w:color="auto"/>
            <w:left w:val="none" w:sz="0" w:space="0" w:color="auto"/>
            <w:bottom w:val="none" w:sz="0" w:space="0" w:color="auto"/>
            <w:right w:val="none" w:sz="0" w:space="0" w:color="auto"/>
          </w:divBdr>
        </w:div>
        <w:div w:id="522402625">
          <w:marLeft w:val="0"/>
          <w:marRight w:val="0"/>
          <w:marTop w:val="0"/>
          <w:marBottom w:val="0"/>
          <w:divBdr>
            <w:top w:val="none" w:sz="0" w:space="0" w:color="auto"/>
            <w:left w:val="none" w:sz="0" w:space="0" w:color="auto"/>
            <w:bottom w:val="none" w:sz="0" w:space="0" w:color="auto"/>
            <w:right w:val="none" w:sz="0" w:space="0" w:color="auto"/>
          </w:divBdr>
        </w:div>
        <w:div w:id="1302880881">
          <w:marLeft w:val="0"/>
          <w:marRight w:val="0"/>
          <w:marTop w:val="0"/>
          <w:marBottom w:val="0"/>
          <w:divBdr>
            <w:top w:val="none" w:sz="0" w:space="0" w:color="auto"/>
            <w:left w:val="none" w:sz="0" w:space="0" w:color="auto"/>
            <w:bottom w:val="none" w:sz="0" w:space="0" w:color="auto"/>
            <w:right w:val="none" w:sz="0" w:space="0" w:color="auto"/>
          </w:divBdr>
        </w:div>
        <w:div w:id="10868519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77/09721509221145414?utm_source=chatgpt.com" TargetMode="External" /><Relationship Id="rId18" Type="http://schemas.openxmlformats.org/officeDocument/2006/relationships/hyperlink" Target="https://doi.org/10.1038/s41598-024-67122-6" TargetMode="External" /><Relationship Id="rId3" Type="http://schemas.openxmlformats.org/officeDocument/2006/relationships/styles" Target="styles.xml" /><Relationship Id="rId21" Type="http://schemas.openxmlformats.org/officeDocument/2006/relationships/hyperlink" Target="https://doi.org/10.3389/fpsyg.2022.919993?utm_source=chatgpt.com" TargetMode="External" /><Relationship Id="rId7" Type="http://schemas.openxmlformats.org/officeDocument/2006/relationships/endnotes" Target="endnotes.xml" /><Relationship Id="rId12" Type="http://schemas.openxmlformats.org/officeDocument/2006/relationships/hyperlink" Target="https://doi.org/10.1177/09721509221145414?utm_source=chatgpt.com" TargetMode="External" /><Relationship Id="rId17" Type="http://schemas.openxmlformats.org/officeDocument/2006/relationships/hyperlink" Target="https://doi.org/10.1146/annurev-orgpsych-120920-055217?utm_source=chatgpt.com" TargetMode="External" /><Relationship Id="rId2" Type="http://schemas.openxmlformats.org/officeDocument/2006/relationships/numbering" Target="numbering.xml" /><Relationship Id="rId16" Type="http://schemas.openxmlformats.org/officeDocument/2006/relationships/hyperlink" Target="https://doi.org/10.1146/annurev-orgpsych-120920-055217?utm_source=chatgpt.com" TargetMode="External" /><Relationship Id="rId20" Type="http://schemas.openxmlformats.org/officeDocument/2006/relationships/hyperlink" Target="https://www.researchgate.net/figure/Underlying-Principles-of-High-Performance-Work-Systems_fig2_42605046"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nimblework.com/blog/managing-a-hybrid-workforce/"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38/s41586-024-07500-2?utm_source=chatgpt.com" TargetMode="External" /><Relationship Id="rId23" Type="http://schemas.openxmlformats.org/officeDocument/2006/relationships/fontTable" Target="fontTable.xml" /><Relationship Id="rId10" Type="http://schemas.openxmlformats.org/officeDocument/2006/relationships/image" Target="media/image3.jpeg" /><Relationship Id="rId19" Type="http://schemas.openxmlformats.org/officeDocument/2006/relationships/hyperlink" Target="https://pmc.ncbi.nlm.nih.gov/articles/PMC11269655/?utm_source=chatgpt.co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38/s41586-024-07500-2?utm_source=chatgpt.com"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D861DA-85CF-4EE4-98DC-37C99D7AEE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3494</Words>
  <Characters>19918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Joshi Sujal</cp:lastModifiedBy>
  <cp:revision>2</cp:revision>
  <dcterms:created xsi:type="dcterms:W3CDTF">2026-10-14T13:57:00Z</dcterms:created>
  <dcterms:modified xsi:type="dcterms:W3CDTF">2026-10-14T13:57:00Z</dcterms:modified>
</cp:coreProperties>
</file>