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left="1440" w:leftChars="0" w:firstLine="720" w:firstLineChars="0"/>
        <w:rPr>
          <w:rFonts w:hint="default"/>
          <w:sz w:val="32"/>
          <w:szCs w:val="32"/>
          <w:lang w:val="en-IN"/>
        </w:rPr>
      </w:pPr>
    </w:p>
    <w:p/>
    <w:p/>
    <w:p/>
    <w:p>
      <w:r>
        <w:rPr>
          <w:rFonts w:hint="default"/>
          <w:lang w:val="en-IN"/>
        </w:rPr>
        <w:drawing>
          <wp:inline distT="0" distB="0" distL="114300" distR="114300">
            <wp:extent cx="5271770" cy="2350135"/>
            <wp:effectExtent l="0" t="0" r="1270" b="12065"/>
            <wp:docPr id="1" name="Picture 1" descr="Wales-TSD-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Wales-TSD-1"/>
                    <pic:cNvPicPr>
                      <a:picLocks noChangeAspect="1"/>
                    </pic:cNvPicPr>
                  </pic:nvPicPr>
                  <pic:blipFill>
                    <a:blip r:embed="rId6"/>
                    <a:stretch>
                      <a:fillRect/>
                    </a:stretch>
                  </pic:blipFill>
                  <pic:spPr>
                    <a:xfrm>
                      <a:off x="0" y="0"/>
                      <a:ext cx="5271770" cy="2350135"/>
                    </a:xfrm>
                    <a:prstGeom prst="rect">
                      <a:avLst/>
                    </a:prstGeom>
                  </pic:spPr>
                </pic:pic>
              </a:graphicData>
            </a:graphic>
          </wp:inline>
        </w:drawing>
      </w:r>
    </w:p>
    <w:p/>
    <w:p>
      <w:pPr>
        <w:keepNext w:val="0"/>
        <w:keepLines w:val="0"/>
        <w:widowControl/>
        <w:suppressLineNumbers w:val="0"/>
        <w:ind w:firstLine="420" w:firstLineChars="150"/>
        <w:jc w:val="left"/>
        <w:rPr>
          <w:rFonts w:hint="default" w:asciiTheme="minorAscii" w:hAnsiTheme="minorAscii" w:eastAsiaTheme="minorEastAsia" w:cstheme="minorEastAsia"/>
          <w:b/>
          <w:bCs/>
          <w:color w:val="000000"/>
          <w:kern w:val="0"/>
          <w:sz w:val="28"/>
          <w:szCs w:val="28"/>
          <w:lang w:val="en-IN" w:eastAsia="zh-CN" w:bidi="ar"/>
        </w:rPr>
      </w:pPr>
    </w:p>
    <w:p>
      <w:pPr>
        <w:keepNext w:val="0"/>
        <w:keepLines w:val="0"/>
        <w:widowControl/>
        <w:suppressLineNumbers w:val="0"/>
        <w:jc w:val="left"/>
        <w:rPr>
          <w:rFonts w:hint="default" w:asciiTheme="minorAscii" w:hAnsiTheme="minorAscii" w:eastAsiaTheme="minorEastAsia" w:cstheme="minorEastAsia"/>
          <w:b/>
          <w:bCs/>
          <w:color w:val="000000"/>
          <w:kern w:val="0"/>
          <w:sz w:val="40"/>
          <w:szCs w:val="40"/>
          <w:lang w:val="en-IN" w:eastAsia="zh-CN" w:bidi="ar"/>
        </w:rPr>
      </w:pPr>
      <w:r>
        <w:rPr>
          <w:rFonts w:hint="default" w:asciiTheme="minorAscii" w:hAnsiTheme="minorAscii" w:eastAsiaTheme="minorEastAsia" w:cstheme="minorEastAsia"/>
          <w:b/>
          <w:bCs/>
          <w:color w:val="000000"/>
          <w:kern w:val="0"/>
          <w:sz w:val="40"/>
          <w:szCs w:val="40"/>
          <w:lang w:val="en-IN" w:eastAsia="zh-CN" w:bidi="ar"/>
        </w:rPr>
        <w:tab/>
      </w:r>
    </w:p>
    <w:p>
      <w:pPr>
        <w:keepNext w:val="0"/>
        <w:keepLines w:val="0"/>
        <w:widowControl/>
        <w:suppressLineNumbers w:val="0"/>
        <w:ind w:firstLine="600" w:firstLineChars="150"/>
        <w:jc w:val="left"/>
        <w:rPr>
          <w:rFonts w:hint="default" w:asciiTheme="minorAscii" w:hAnsiTheme="minorAscii" w:cstheme="minorEastAsia"/>
          <w:b/>
          <w:bCs/>
          <w:color w:val="000000"/>
          <w:kern w:val="0"/>
          <w:sz w:val="40"/>
          <w:szCs w:val="40"/>
          <w:lang w:val="en-IN" w:eastAsia="zh-CN" w:bidi="ar"/>
        </w:rPr>
      </w:pPr>
      <w:r>
        <w:rPr>
          <w:rFonts w:hint="default" w:asciiTheme="minorAscii" w:hAnsiTheme="minorAscii" w:eastAsiaTheme="minorEastAsia" w:cstheme="minorEastAsia"/>
          <w:b/>
          <w:bCs/>
          <w:color w:val="000000"/>
          <w:kern w:val="0"/>
          <w:sz w:val="40"/>
          <w:szCs w:val="40"/>
          <w:lang w:val="en-IN" w:eastAsia="zh-CN" w:bidi="ar"/>
        </w:rPr>
        <w:t>Name:</w:t>
      </w:r>
      <w:r>
        <w:rPr>
          <w:rFonts w:hint="default" w:asciiTheme="minorAscii" w:hAnsiTheme="minorAscii" w:cstheme="minorEastAsia"/>
          <w:b/>
          <w:bCs/>
          <w:color w:val="000000"/>
          <w:kern w:val="0"/>
          <w:sz w:val="40"/>
          <w:szCs w:val="40"/>
          <w:lang w:val="en-IN" w:eastAsia="zh-CN" w:bidi="ar"/>
        </w:rPr>
        <w:t xml:space="preserve"> Bingi Rajeshwari</w:t>
      </w:r>
    </w:p>
    <w:p>
      <w:pPr>
        <w:keepNext w:val="0"/>
        <w:keepLines w:val="0"/>
        <w:widowControl/>
        <w:suppressLineNumbers w:val="0"/>
        <w:ind w:firstLine="600" w:firstLineChars="150"/>
        <w:jc w:val="left"/>
        <w:rPr>
          <w:rFonts w:hint="default" w:asciiTheme="minorAscii" w:hAnsiTheme="minorAscii" w:cstheme="minorEastAsia"/>
          <w:b/>
          <w:bCs/>
          <w:color w:val="000000"/>
          <w:kern w:val="0"/>
          <w:sz w:val="40"/>
          <w:szCs w:val="40"/>
          <w:lang w:val="en-IN" w:eastAsia="zh-CN" w:bidi="ar"/>
        </w:rPr>
      </w:pPr>
      <w:r>
        <w:rPr>
          <w:rFonts w:hint="default" w:asciiTheme="minorAscii" w:hAnsiTheme="minorAscii" w:cstheme="minorEastAsia"/>
          <w:b/>
          <w:bCs/>
          <w:color w:val="000000"/>
          <w:kern w:val="0"/>
          <w:sz w:val="40"/>
          <w:szCs w:val="40"/>
          <w:lang w:val="en-IN" w:eastAsia="zh-CN" w:bidi="ar"/>
        </w:rPr>
        <w:t>Student Id: 2229271</w:t>
      </w:r>
    </w:p>
    <w:p>
      <w:pPr>
        <w:keepNext w:val="0"/>
        <w:keepLines w:val="0"/>
        <w:widowControl/>
        <w:suppressLineNumbers w:val="0"/>
        <w:ind w:firstLine="600" w:firstLineChars="150"/>
        <w:jc w:val="left"/>
        <w:rPr>
          <w:rFonts w:hint="default" w:asciiTheme="minorAscii" w:hAnsiTheme="minorAscii" w:cstheme="minorEastAsia"/>
          <w:b/>
          <w:bCs/>
          <w:color w:val="000000"/>
          <w:kern w:val="0"/>
          <w:sz w:val="40"/>
          <w:szCs w:val="40"/>
          <w:lang w:val="en-IN" w:eastAsia="zh-CN" w:bidi="ar"/>
        </w:rPr>
      </w:pPr>
      <w:r>
        <w:rPr>
          <w:rFonts w:hint="default" w:asciiTheme="minorAscii" w:hAnsiTheme="minorAscii" w:cstheme="minorEastAsia"/>
          <w:b/>
          <w:bCs/>
          <w:color w:val="000000"/>
          <w:kern w:val="0"/>
          <w:sz w:val="40"/>
          <w:szCs w:val="40"/>
          <w:lang w:val="en-IN" w:eastAsia="zh-CN" w:bidi="ar"/>
        </w:rPr>
        <w:t>Module: Accounting Fundamentals</w:t>
      </w:r>
    </w:p>
    <w:p>
      <w:pPr>
        <w:keepNext w:val="0"/>
        <w:keepLines w:val="0"/>
        <w:widowControl/>
        <w:suppressLineNumbers w:val="0"/>
        <w:ind w:firstLine="600" w:firstLineChars="150"/>
        <w:jc w:val="left"/>
        <w:rPr>
          <w:rFonts w:hint="default" w:asciiTheme="minorAscii" w:hAnsiTheme="minorAscii" w:cstheme="minorEastAsia"/>
          <w:b/>
          <w:bCs/>
          <w:color w:val="000000"/>
          <w:kern w:val="0"/>
          <w:sz w:val="40"/>
          <w:szCs w:val="40"/>
          <w:lang w:val="en-IN" w:eastAsia="zh-CN" w:bidi="ar"/>
        </w:rPr>
      </w:pPr>
      <w:r>
        <w:rPr>
          <w:rFonts w:hint="default" w:asciiTheme="minorAscii" w:hAnsiTheme="minorAscii" w:cstheme="minorEastAsia"/>
          <w:b/>
          <w:bCs/>
          <w:color w:val="000000"/>
          <w:kern w:val="0"/>
          <w:sz w:val="40"/>
          <w:szCs w:val="40"/>
          <w:lang w:val="en-IN" w:eastAsia="zh-CN" w:bidi="ar"/>
        </w:rPr>
        <w:t>Module code: (LCBB4001)</w:t>
      </w:r>
    </w:p>
    <w:p>
      <w:pPr>
        <w:keepNext w:val="0"/>
        <w:keepLines w:val="0"/>
        <w:widowControl/>
        <w:suppressLineNumbers w:val="0"/>
        <w:ind w:firstLine="600" w:firstLineChars="150"/>
        <w:jc w:val="left"/>
        <w:rPr>
          <w:rFonts w:hint="default" w:asciiTheme="minorAscii" w:hAnsiTheme="minorAscii" w:cstheme="minorEastAsia"/>
          <w:b/>
          <w:bCs/>
          <w:color w:val="000000"/>
          <w:kern w:val="0"/>
          <w:sz w:val="40"/>
          <w:szCs w:val="40"/>
          <w:lang w:val="en-IN" w:eastAsia="zh-CN" w:bidi="ar"/>
        </w:rPr>
      </w:pPr>
      <w:r>
        <w:rPr>
          <w:rFonts w:hint="default" w:asciiTheme="minorAscii" w:hAnsiTheme="minorAscii" w:cstheme="minorEastAsia"/>
          <w:b/>
          <w:bCs/>
          <w:color w:val="000000"/>
          <w:kern w:val="0"/>
          <w:sz w:val="40"/>
          <w:szCs w:val="40"/>
          <w:lang w:val="en-IN" w:eastAsia="zh-CN" w:bidi="ar"/>
        </w:rPr>
        <w:t>Tutor: Hossein Shokri</w:t>
      </w:r>
    </w:p>
    <w:p>
      <w:pPr>
        <w:ind w:left="1440" w:leftChars="0" w:firstLine="720" w:firstLineChars="0"/>
        <w:rPr>
          <w:rFonts w:hint="default"/>
          <w:sz w:val="32"/>
          <w:szCs w:val="32"/>
          <w:lang w:val="en-IN"/>
        </w:rPr>
      </w:pPr>
    </w:p>
    <w:p>
      <w:pPr>
        <w:ind w:left="1440" w:leftChars="0" w:firstLine="720" w:firstLineChars="0"/>
        <w:rPr>
          <w:rFonts w:hint="default"/>
          <w:sz w:val="32"/>
          <w:szCs w:val="32"/>
          <w:lang w:val="en-IN"/>
        </w:rPr>
      </w:pPr>
    </w:p>
    <w:p>
      <w:pPr>
        <w:ind w:left="1440" w:leftChars="0" w:firstLine="720" w:firstLineChars="0"/>
        <w:rPr>
          <w:rFonts w:hint="default"/>
          <w:sz w:val="32"/>
          <w:szCs w:val="32"/>
          <w:lang w:val="en-IN"/>
        </w:rPr>
      </w:pPr>
    </w:p>
    <w:p>
      <w:pPr>
        <w:ind w:left="1440" w:leftChars="0" w:firstLine="720" w:firstLineChars="0"/>
        <w:rPr>
          <w:rFonts w:hint="default"/>
          <w:sz w:val="32"/>
          <w:szCs w:val="32"/>
          <w:lang w:val="en-IN"/>
        </w:rPr>
      </w:pPr>
    </w:p>
    <w:p>
      <w:pPr>
        <w:ind w:left="1440" w:leftChars="0" w:firstLine="720" w:firstLineChars="0"/>
        <w:rPr>
          <w:rFonts w:hint="default"/>
          <w:sz w:val="32"/>
          <w:szCs w:val="32"/>
          <w:lang w:val="en-IN"/>
        </w:rPr>
      </w:pPr>
    </w:p>
    <w:p>
      <w:pPr>
        <w:ind w:left="1440" w:leftChars="0" w:firstLine="720" w:firstLineChars="0"/>
        <w:rPr>
          <w:rFonts w:hint="default"/>
          <w:sz w:val="32"/>
          <w:szCs w:val="32"/>
          <w:lang w:val="en-IN"/>
        </w:rPr>
      </w:pPr>
      <w:r>
        <w:rPr>
          <w:rFonts w:hint="default"/>
          <w:sz w:val="32"/>
          <w:szCs w:val="32"/>
          <w:lang w:val="en-IN"/>
        </w:rPr>
        <w:t xml:space="preserve"> </w:t>
      </w:r>
    </w:p>
    <w:p>
      <w:pPr>
        <w:ind w:left="1440" w:leftChars="0" w:firstLine="720" w:firstLineChars="0"/>
        <w:rPr>
          <w:rFonts w:hint="default"/>
          <w:sz w:val="32"/>
          <w:szCs w:val="32"/>
          <w:lang w:val="en-IN"/>
        </w:rPr>
      </w:pPr>
      <w:r>
        <w:rPr>
          <w:rFonts w:hint="default"/>
          <w:b/>
          <w:bCs/>
          <w:sz w:val="32"/>
          <w:szCs w:val="32"/>
          <w:lang w:val="en-IN"/>
        </w:rPr>
        <w:t>Question 1, Answers</w:t>
      </w:r>
    </w:p>
    <w:p>
      <w:r>
        <w:rPr>
          <w:rFonts w:hint="default"/>
          <w:b/>
          <w:bCs/>
          <w:lang w:val="en-IN"/>
        </w:rPr>
        <w:t>1</w:t>
      </w:r>
      <w:r>
        <w:rPr>
          <w:b/>
          <w:bCs/>
        </w:rPr>
        <w:t>a)</w:t>
      </w:r>
      <w:r>
        <w:t xml:space="preserve"> </w:t>
      </w:r>
      <w:r>
        <w:rPr>
          <w:b/>
          <w:bCs/>
        </w:rPr>
        <w:t>Income Statement for the Year Ended December 31, 2022:</w:t>
      </w:r>
    </w:p>
    <w:tbl>
      <w:tblPr>
        <w:tblStyle w:val="3"/>
        <w:tblW w:w="9795" w:type="dxa"/>
        <w:tblCellSpacing w:w="15" w:type="dxa"/>
        <w:tblInd w:w="0" w:type="dxa"/>
        <w:tblBorders>
          <w:top w:val="single" w:color="auto" w:sz="2" w:space="0"/>
          <w:left w:val="single" w:color="auto" w:sz="2" w:space="0"/>
          <w:bottom w:val="single" w:color="auto" w:sz="2" w:space="0"/>
          <w:right w:val="single" w:color="auto" w:sz="2" w:space="0"/>
          <w:insideH w:val="none" w:color="auto" w:sz="0" w:space="0"/>
          <w:insideV w:val="none" w:color="auto" w:sz="0" w:space="0"/>
        </w:tblBorders>
        <w:tblLayout w:type="autofit"/>
        <w:tblCellMar>
          <w:top w:w="15" w:type="dxa"/>
          <w:left w:w="15" w:type="dxa"/>
          <w:bottom w:w="15" w:type="dxa"/>
          <w:right w:w="15" w:type="dxa"/>
        </w:tblCellMar>
      </w:tblPr>
      <w:tblGrid>
        <w:gridCol w:w="6544"/>
        <w:gridCol w:w="3251"/>
      </w:tblGrid>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tblPrEx>
        <w:trPr>
          <w:tblHeader/>
          <w:tblCellSpacing w:w="15" w:type="dxa"/>
        </w:trPr>
        <w:tc>
          <w:tcPr>
            <w:tcW w:w="0" w:type="auto"/>
            <w:tcBorders>
              <w:top w:val="single" w:color="D9D9E3" w:sz="6" w:space="0"/>
              <w:left w:val="single" w:color="D9D9E3" w:sz="6" w:space="0"/>
              <w:bottom w:val="single" w:color="D9D9E3" w:sz="6" w:space="0"/>
              <w:right w:val="single" w:color="D9D9E3" w:sz="2" w:space="0"/>
            </w:tcBorders>
            <w:vAlign w:val="bottom"/>
          </w:tcPr>
          <w:p>
            <w:pPr>
              <w:rPr>
                <w:b/>
                <w:bCs/>
              </w:rPr>
            </w:pPr>
            <w:r>
              <w:rPr>
                <w:b/>
                <w:bCs/>
              </w:rPr>
              <w:t>Particulars</w:t>
            </w:r>
          </w:p>
        </w:tc>
        <w:tc>
          <w:tcPr>
            <w:tcW w:w="0" w:type="auto"/>
            <w:tcBorders>
              <w:top w:val="single" w:color="D9D9E3" w:sz="6" w:space="0"/>
              <w:left w:val="single" w:color="D9D9E3" w:sz="6" w:space="0"/>
              <w:bottom w:val="single" w:color="D9D9E3" w:sz="6" w:space="0"/>
              <w:right w:val="single" w:color="D9D9E3" w:sz="6" w:space="0"/>
            </w:tcBorders>
            <w:vAlign w:val="bottom"/>
          </w:tcPr>
          <w:p>
            <w:pPr>
              <w:rPr>
                <w:b/>
                <w:bCs/>
              </w:rPr>
            </w:pPr>
            <w:r>
              <w:rPr>
                <w:b/>
                <w:bCs/>
              </w:rPr>
              <w:t>Amount (£)</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tblPrEx>
        <w:trPr>
          <w:tblCellSpacing w:w="15" w:type="dxa"/>
        </w:trPr>
        <w:tc>
          <w:tcPr>
            <w:tcW w:w="0" w:type="auto"/>
            <w:tcBorders>
              <w:top w:val="single" w:color="D9D9E3" w:sz="2" w:space="0"/>
              <w:left w:val="single" w:color="D9D9E3" w:sz="6" w:space="0"/>
              <w:bottom w:val="single" w:color="D9D9E3" w:sz="6" w:space="0"/>
              <w:right w:val="single" w:color="D9D9E3" w:sz="2" w:space="0"/>
            </w:tcBorders>
            <w:vAlign w:val="bottom"/>
          </w:tcPr>
          <w:p>
            <w:r>
              <w:t>Sales</w:t>
            </w:r>
          </w:p>
        </w:tc>
        <w:tc>
          <w:tcPr>
            <w:tcW w:w="0" w:type="auto"/>
            <w:tcBorders>
              <w:top w:val="single" w:color="D9D9E3" w:sz="2" w:space="0"/>
              <w:left w:val="single" w:color="D9D9E3" w:sz="6" w:space="0"/>
              <w:bottom w:val="single" w:color="D9D9E3" w:sz="6" w:space="0"/>
              <w:right w:val="single" w:color="D9D9E3" w:sz="6" w:space="0"/>
            </w:tcBorders>
            <w:vAlign w:val="bottom"/>
          </w:tcPr>
          <w:p>
            <w:r>
              <w:t>800,000</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vAlign w:val="bottom"/>
          </w:tcPr>
          <w:p>
            <w:r>
              <w:t>Cost of Sales</w:t>
            </w:r>
          </w:p>
        </w:tc>
        <w:tc>
          <w:tcPr>
            <w:tcW w:w="0" w:type="auto"/>
            <w:tcBorders>
              <w:top w:val="single" w:color="D9D9E3" w:sz="2" w:space="0"/>
              <w:left w:val="single" w:color="D9D9E3" w:sz="6" w:space="0"/>
              <w:bottom w:val="single" w:color="D9D9E3" w:sz="6" w:space="0"/>
              <w:right w:val="single" w:color="D9D9E3" w:sz="6" w:space="0"/>
            </w:tcBorders>
            <w:vAlign w:val="bottom"/>
          </w:tcPr>
          <w:p>
            <w:r>
              <w:t>(578,650)</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vAlign w:val="bottom"/>
          </w:tcPr>
          <w:p>
            <w:r>
              <w:t>Gross Profit</w:t>
            </w:r>
          </w:p>
        </w:tc>
        <w:tc>
          <w:tcPr>
            <w:tcW w:w="0" w:type="auto"/>
            <w:tcBorders>
              <w:top w:val="single" w:color="D9D9E3" w:sz="2" w:space="0"/>
              <w:left w:val="single" w:color="D9D9E3" w:sz="6" w:space="0"/>
              <w:bottom w:val="single" w:color="D9D9E3" w:sz="6" w:space="0"/>
              <w:right w:val="single" w:color="D9D9E3" w:sz="6" w:space="0"/>
            </w:tcBorders>
            <w:vAlign w:val="bottom"/>
          </w:tcPr>
          <w:p>
            <w:r>
              <w:t>221,350</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tblPrEx>
        <w:trPr>
          <w:tblCellSpacing w:w="15" w:type="dxa"/>
        </w:trPr>
        <w:tc>
          <w:tcPr>
            <w:tcW w:w="0" w:type="auto"/>
            <w:tcBorders>
              <w:top w:val="single" w:color="D9D9E3" w:sz="2" w:space="0"/>
              <w:left w:val="single" w:color="D9D9E3" w:sz="6" w:space="0"/>
              <w:bottom w:val="single" w:color="D9D9E3" w:sz="6" w:space="0"/>
              <w:right w:val="single" w:color="D9D9E3" w:sz="2" w:space="0"/>
            </w:tcBorders>
            <w:vAlign w:val="bottom"/>
          </w:tcPr>
          <w:p>
            <w:r>
              <w:t>Administrative Expenses</w:t>
            </w:r>
          </w:p>
        </w:tc>
        <w:tc>
          <w:tcPr>
            <w:tcW w:w="0" w:type="auto"/>
            <w:tcBorders>
              <w:top w:val="single" w:color="D9D9E3" w:sz="2" w:space="0"/>
              <w:left w:val="single" w:color="D9D9E3" w:sz="6" w:space="0"/>
              <w:bottom w:val="single" w:color="D9D9E3" w:sz="6" w:space="0"/>
              <w:right w:val="single" w:color="D9D9E3" w:sz="6" w:space="0"/>
            </w:tcBorders>
            <w:vAlign w:val="bottom"/>
          </w:tcPr>
          <w:p>
            <w:r>
              <w:t>(30,000)</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vAlign w:val="bottom"/>
          </w:tcPr>
          <w:p>
            <w:r>
              <w:t>Distribution Costs</w:t>
            </w:r>
          </w:p>
        </w:tc>
        <w:tc>
          <w:tcPr>
            <w:tcW w:w="0" w:type="auto"/>
            <w:tcBorders>
              <w:top w:val="single" w:color="D9D9E3" w:sz="2" w:space="0"/>
              <w:left w:val="single" w:color="D9D9E3" w:sz="6" w:space="0"/>
              <w:bottom w:val="single" w:color="D9D9E3" w:sz="6" w:space="0"/>
              <w:right w:val="single" w:color="D9D9E3" w:sz="6" w:space="0"/>
            </w:tcBorders>
            <w:vAlign w:val="bottom"/>
          </w:tcPr>
          <w:p>
            <w:r>
              <w:t>(28,000)</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vAlign w:val="bottom"/>
          </w:tcPr>
          <w:p>
            <w:r>
              <w:t>Directors' Remuneration</w:t>
            </w:r>
          </w:p>
        </w:tc>
        <w:tc>
          <w:tcPr>
            <w:tcW w:w="0" w:type="auto"/>
            <w:tcBorders>
              <w:top w:val="single" w:color="D9D9E3" w:sz="2" w:space="0"/>
              <w:left w:val="single" w:color="D9D9E3" w:sz="6" w:space="0"/>
              <w:bottom w:val="single" w:color="D9D9E3" w:sz="6" w:space="0"/>
              <w:right w:val="single" w:color="D9D9E3" w:sz="6" w:space="0"/>
            </w:tcBorders>
            <w:vAlign w:val="bottom"/>
          </w:tcPr>
          <w:p>
            <w:r>
              <w:t>(5,000)</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vAlign w:val="bottom"/>
          </w:tcPr>
          <w:p>
            <w:r>
              <w:t>Interest Paid</w:t>
            </w:r>
          </w:p>
        </w:tc>
        <w:tc>
          <w:tcPr>
            <w:tcW w:w="0" w:type="auto"/>
            <w:tcBorders>
              <w:top w:val="single" w:color="D9D9E3" w:sz="2" w:space="0"/>
              <w:left w:val="single" w:color="D9D9E3" w:sz="6" w:space="0"/>
              <w:bottom w:val="single" w:color="D9D9E3" w:sz="6" w:space="0"/>
              <w:right w:val="single" w:color="D9D9E3" w:sz="6" w:space="0"/>
            </w:tcBorders>
            <w:vAlign w:val="bottom"/>
          </w:tcPr>
          <w:p>
            <w:r>
              <w:t>(2,000)</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vAlign w:val="bottom"/>
          </w:tcPr>
          <w:p>
            <w:r>
              <w:t>Profit Before Tax</w:t>
            </w:r>
          </w:p>
        </w:tc>
        <w:tc>
          <w:tcPr>
            <w:tcW w:w="0" w:type="auto"/>
            <w:tcBorders>
              <w:top w:val="single" w:color="D9D9E3" w:sz="2" w:space="0"/>
              <w:left w:val="single" w:color="D9D9E3" w:sz="6" w:space="0"/>
              <w:bottom w:val="single" w:color="D9D9E3" w:sz="6" w:space="0"/>
              <w:right w:val="single" w:color="D9D9E3" w:sz="6" w:space="0"/>
            </w:tcBorders>
            <w:vAlign w:val="bottom"/>
          </w:tcPr>
          <w:p>
            <w:r>
              <w:t>156,350</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vAlign w:val="bottom"/>
          </w:tcPr>
          <w:p>
            <w:r>
              <w:t>Corporation Tax</w:t>
            </w:r>
          </w:p>
        </w:tc>
        <w:tc>
          <w:tcPr>
            <w:tcW w:w="0" w:type="auto"/>
            <w:tcBorders>
              <w:top w:val="single" w:color="D9D9E3" w:sz="2" w:space="0"/>
              <w:left w:val="single" w:color="D9D9E3" w:sz="6" w:space="0"/>
              <w:bottom w:val="single" w:color="D9D9E3" w:sz="6" w:space="0"/>
              <w:right w:val="single" w:color="D9D9E3" w:sz="6" w:space="0"/>
            </w:tcBorders>
            <w:vAlign w:val="bottom"/>
          </w:tcPr>
          <w:p>
            <w:r>
              <w:t>(100,000)</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vAlign w:val="bottom"/>
          </w:tcPr>
          <w:p>
            <w:r>
              <w:t>Net Profit</w:t>
            </w:r>
          </w:p>
        </w:tc>
        <w:tc>
          <w:tcPr>
            <w:tcW w:w="0" w:type="auto"/>
            <w:tcBorders>
              <w:top w:val="single" w:color="D9D9E3" w:sz="2" w:space="0"/>
              <w:left w:val="single" w:color="D9D9E3" w:sz="6" w:space="0"/>
              <w:bottom w:val="single" w:color="D9D9E3" w:sz="6" w:space="0"/>
              <w:right w:val="single" w:color="D9D9E3" w:sz="6" w:space="0"/>
            </w:tcBorders>
            <w:vAlign w:val="bottom"/>
          </w:tcPr>
          <w:p>
            <w:r>
              <w:t>56,350</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vAlign w:val="bottom"/>
          </w:tcPr>
          <w:p/>
        </w:tc>
        <w:tc>
          <w:tcPr>
            <w:tcW w:w="0" w:type="auto"/>
            <w:tcBorders>
              <w:top w:val="single" w:color="D9D9E3" w:sz="2" w:space="0"/>
              <w:left w:val="single" w:color="D9D9E3" w:sz="6" w:space="0"/>
              <w:bottom w:val="single" w:color="D9D9E3" w:sz="6" w:space="0"/>
              <w:right w:val="single" w:color="D9D9E3" w:sz="6" w:space="0"/>
            </w:tcBorders>
            <w:vAlign w:val="bottom"/>
          </w:tcPr>
          <w:p/>
        </w:tc>
      </w:tr>
    </w:tbl>
    <w:p>
      <w:r>
        <w:rPr>
          <w:b/>
          <w:bCs/>
        </w:rPr>
        <w:t>Statement of Financial Position as of December 31, 2022:</w:t>
      </w:r>
    </w:p>
    <w:tbl>
      <w:tblPr>
        <w:tblStyle w:val="3"/>
        <w:tblW w:w="9795" w:type="dxa"/>
        <w:tblCellSpacing w:w="15" w:type="dxa"/>
        <w:tblInd w:w="0" w:type="dxa"/>
        <w:tblBorders>
          <w:top w:val="single" w:color="auto" w:sz="2" w:space="0"/>
          <w:left w:val="single" w:color="auto" w:sz="2" w:space="0"/>
          <w:bottom w:val="single" w:color="auto" w:sz="2" w:space="0"/>
          <w:right w:val="single" w:color="auto" w:sz="2" w:space="0"/>
          <w:insideH w:val="none" w:color="auto" w:sz="0" w:space="0"/>
          <w:insideV w:val="none" w:color="auto" w:sz="0" w:space="0"/>
        </w:tblBorders>
        <w:tblLayout w:type="autofit"/>
        <w:tblCellMar>
          <w:top w:w="15" w:type="dxa"/>
          <w:left w:w="15" w:type="dxa"/>
          <w:bottom w:w="15" w:type="dxa"/>
          <w:right w:w="15" w:type="dxa"/>
        </w:tblCellMar>
      </w:tblPr>
      <w:tblGrid>
        <w:gridCol w:w="3601"/>
        <w:gridCol w:w="1488"/>
        <w:gridCol w:w="3190"/>
        <w:gridCol w:w="1516"/>
      </w:tblGrid>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tblPrEx>
        <w:trPr>
          <w:tblHeader/>
          <w:tblCellSpacing w:w="15" w:type="dxa"/>
        </w:trPr>
        <w:tc>
          <w:tcPr>
            <w:tcW w:w="0" w:type="auto"/>
            <w:tcBorders>
              <w:top w:val="single" w:color="D9D9E3" w:sz="6" w:space="0"/>
              <w:left w:val="single" w:color="D9D9E3" w:sz="6" w:space="0"/>
              <w:bottom w:val="single" w:color="D9D9E3" w:sz="6" w:space="0"/>
              <w:right w:val="single" w:color="D9D9E3" w:sz="2" w:space="0"/>
            </w:tcBorders>
            <w:vAlign w:val="bottom"/>
          </w:tcPr>
          <w:p>
            <w:pPr>
              <w:rPr>
                <w:b/>
                <w:bCs/>
              </w:rPr>
            </w:pPr>
            <w:r>
              <w:rPr>
                <w:b/>
                <w:bCs/>
              </w:rPr>
              <w:t>Assets</w:t>
            </w:r>
          </w:p>
        </w:tc>
        <w:tc>
          <w:tcPr>
            <w:tcW w:w="0" w:type="auto"/>
            <w:tcBorders>
              <w:top w:val="single" w:color="D9D9E3" w:sz="6" w:space="0"/>
              <w:left w:val="single" w:color="D9D9E3" w:sz="6" w:space="0"/>
              <w:bottom w:val="single" w:color="D9D9E3" w:sz="6" w:space="0"/>
              <w:right w:val="single" w:color="D9D9E3" w:sz="2" w:space="0"/>
            </w:tcBorders>
            <w:vAlign w:val="bottom"/>
          </w:tcPr>
          <w:p>
            <w:pPr>
              <w:rPr>
                <w:b/>
                <w:bCs/>
              </w:rPr>
            </w:pPr>
            <w:r>
              <w:rPr>
                <w:b/>
                <w:bCs/>
              </w:rPr>
              <w:t>Amount (£)</w:t>
            </w:r>
          </w:p>
        </w:tc>
        <w:tc>
          <w:tcPr>
            <w:tcW w:w="0" w:type="auto"/>
            <w:tcBorders>
              <w:top w:val="single" w:color="D9D9E3" w:sz="6" w:space="0"/>
              <w:left w:val="single" w:color="D9D9E3" w:sz="6" w:space="0"/>
              <w:bottom w:val="single" w:color="D9D9E3" w:sz="6" w:space="0"/>
              <w:right w:val="single" w:color="D9D9E3" w:sz="2" w:space="0"/>
            </w:tcBorders>
            <w:vAlign w:val="bottom"/>
          </w:tcPr>
          <w:p>
            <w:pPr>
              <w:rPr>
                <w:b/>
                <w:bCs/>
              </w:rPr>
            </w:pPr>
            <w:r>
              <w:rPr>
                <w:b/>
                <w:bCs/>
              </w:rPr>
              <w:t>Liabilities and Equity</w:t>
            </w:r>
          </w:p>
        </w:tc>
        <w:tc>
          <w:tcPr>
            <w:tcW w:w="0" w:type="auto"/>
            <w:tcBorders>
              <w:top w:val="single" w:color="D9D9E3" w:sz="6" w:space="0"/>
              <w:left w:val="single" w:color="D9D9E3" w:sz="6" w:space="0"/>
              <w:bottom w:val="single" w:color="D9D9E3" w:sz="6" w:space="0"/>
              <w:right w:val="single" w:color="D9D9E3" w:sz="6" w:space="0"/>
            </w:tcBorders>
            <w:vAlign w:val="bottom"/>
          </w:tcPr>
          <w:p>
            <w:pPr>
              <w:rPr>
                <w:b/>
                <w:bCs/>
              </w:rPr>
            </w:pPr>
            <w:r>
              <w:rPr>
                <w:b/>
                <w:bCs/>
              </w:rPr>
              <w:t>Amount (£)</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vAlign w:val="bottom"/>
          </w:tcPr>
          <w:p>
            <w:r>
              <w:t>Plant and Equipment</w:t>
            </w:r>
          </w:p>
        </w:tc>
        <w:tc>
          <w:tcPr>
            <w:tcW w:w="0" w:type="auto"/>
            <w:tcBorders>
              <w:top w:val="single" w:color="D9D9E3" w:sz="2" w:space="0"/>
              <w:left w:val="single" w:color="D9D9E3" w:sz="6" w:space="0"/>
              <w:bottom w:val="single" w:color="D9D9E3" w:sz="6" w:space="0"/>
              <w:right w:val="single" w:color="D9D9E3" w:sz="2" w:space="0"/>
            </w:tcBorders>
            <w:vAlign w:val="bottom"/>
          </w:tcPr>
          <w:p>
            <w:r>
              <w:t>1,250,000</w:t>
            </w:r>
          </w:p>
        </w:tc>
        <w:tc>
          <w:tcPr>
            <w:tcW w:w="0" w:type="auto"/>
            <w:tcBorders>
              <w:top w:val="single" w:color="D9D9E3" w:sz="2" w:space="0"/>
              <w:left w:val="single" w:color="D9D9E3" w:sz="6" w:space="0"/>
              <w:bottom w:val="single" w:color="D9D9E3" w:sz="6" w:space="0"/>
              <w:right w:val="single" w:color="D9D9E3" w:sz="2" w:space="0"/>
            </w:tcBorders>
            <w:vAlign w:val="bottom"/>
          </w:tcPr>
          <w:p>
            <w:r>
              <w:t>Trade Payable</w:t>
            </w:r>
          </w:p>
        </w:tc>
        <w:tc>
          <w:tcPr>
            <w:tcW w:w="0" w:type="auto"/>
            <w:tcBorders>
              <w:top w:val="single" w:color="D9D9E3" w:sz="2" w:space="0"/>
              <w:left w:val="single" w:color="D9D9E3" w:sz="6" w:space="0"/>
              <w:bottom w:val="single" w:color="D9D9E3" w:sz="6" w:space="0"/>
              <w:right w:val="single" w:color="D9D9E3" w:sz="6" w:space="0"/>
            </w:tcBorders>
            <w:vAlign w:val="bottom"/>
          </w:tcPr>
          <w:p>
            <w:r>
              <w:t>188,625</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vAlign w:val="bottom"/>
          </w:tcPr>
          <w:p>
            <w:r>
              <w:t>Stock</w:t>
            </w:r>
          </w:p>
        </w:tc>
        <w:tc>
          <w:tcPr>
            <w:tcW w:w="0" w:type="auto"/>
            <w:tcBorders>
              <w:top w:val="single" w:color="D9D9E3" w:sz="2" w:space="0"/>
              <w:left w:val="single" w:color="D9D9E3" w:sz="6" w:space="0"/>
              <w:bottom w:val="single" w:color="D9D9E3" w:sz="6" w:space="0"/>
              <w:right w:val="single" w:color="D9D9E3" w:sz="2" w:space="0"/>
            </w:tcBorders>
            <w:vAlign w:val="bottom"/>
          </w:tcPr>
          <w:p>
            <w:r>
              <w:t>510,850</w:t>
            </w:r>
          </w:p>
        </w:tc>
        <w:tc>
          <w:tcPr>
            <w:tcW w:w="0" w:type="auto"/>
            <w:tcBorders>
              <w:top w:val="single" w:color="D9D9E3" w:sz="2" w:space="0"/>
              <w:left w:val="single" w:color="D9D9E3" w:sz="6" w:space="0"/>
              <w:bottom w:val="single" w:color="D9D9E3" w:sz="6" w:space="0"/>
              <w:right w:val="single" w:color="D9D9E3" w:sz="2" w:space="0"/>
            </w:tcBorders>
            <w:vAlign w:val="bottom"/>
          </w:tcPr>
          <w:p>
            <w:r>
              <w:t>10% £1 Preference Shares</w:t>
            </w:r>
          </w:p>
        </w:tc>
        <w:tc>
          <w:tcPr>
            <w:tcW w:w="0" w:type="auto"/>
            <w:tcBorders>
              <w:top w:val="single" w:color="D9D9E3" w:sz="2" w:space="0"/>
              <w:left w:val="single" w:color="D9D9E3" w:sz="6" w:space="0"/>
              <w:bottom w:val="single" w:color="D9D9E3" w:sz="6" w:space="0"/>
              <w:right w:val="single" w:color="D9D9E3" w:sz="6" w:space="0"/>
            </w:tcBorders>
            <w:vAlign w:val="bottom"/>
          </w:tcPr>
          <w:p>
            <w:r>
              <w:t>500,000</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vAlign w:val="bottom"/>
          </w:tcPr>
          <w:p>
            <w:r>
              <w:t>Trade Receivable</w:t>
            </w:r>
          </w:p>
        </w:tc>
        <w:tc>
          <w:tcPr>
            <w:tcW w:w="0" w:type="auto"/>
            <w:tcBorders>
              <w:top w:val="single" w:color="D9D9E3" w:sz="2" w:space="0"/>
              <w:left w:val="single" w:color="D9D9E3" w:sz="6" w:space="0"/>
              <w:bottom w:val="single" w:color="D9D9E3" w:sz="6" w:space="0"/>
              <w:right w:val="single" w:color="D9D9E3" w:sz="2" w:space="0"/>
            </w:tcBorders>
            <w:vAlign w:val="bottom"/>
          </w:tcPr>
          <w:p>
            <w:r>
              <w:t>170,125</w:t>
            </w:r>
          </w:p>
        </w:tc>
        <w:tc>
          <w:tcPr>
            <w:tcW w:w="0" w:type="auto"/>
            <w:tcBorders>
              <w:top w:val="single" w:color="D9D9E3" w:sz="2" w:space="0"/>
              <w:left w:val="single" w:color="D9D9E3" w:sz="6" w:space="0"/>
              <w:bottom w:val="single" w:color="D9D9E3" w:sz="6" w:space="0"/>
              <w:right w:val="single" w:color="D9D9E3" w:sz="2" w:space="0"/>
            </w:tcBorders>
            <w:vAlign w:val="bottom"/>
          </w:tcPr>
          <w:p>
            <w:r>
              <w:t>2% Debentures</w:t>
            </w:r>
          </w:p>
        </w:tc>
        <w:tc>
          <w:tcPr>
            <w:tcW w:w="0" w:type="auto"/>
            <w:tcBorders>
              <w:top w:val="single" w:color="D9D9E3" w:sz="2" w:space="0"/>
              <w:left w:val="single" w:color="D9D9E3" w:sz="6" w:space="0"/>
              <w:bottom w:val="single" w:color="D9D9E3" w:sz="6" w:space="0"/>
              <w:right w:val="single" w:color="D9D9E3" w:sz="6" w:space="0"/>
            </w:tcBorders>
            <w:vAlign w:val="bottom"/>
          </w:tcPr>
          <w:p>
            <w:r>
              <w:t>200,000</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vAlign w:val="bottom"/>
          </w:tcPr>
          <w:p>
            <w:r>
              <w:t>Cash and Bank</w:t>
            </w:r>
          </w:p>
        </w:tc>
        <w:tc>
          <w:tcPr>
            <w:tcW w:w="0" w:type="auto"/>
            <w:tcBorders>
              <w:top w:val="single" w:color="D9D9E3" w:sz="2" w:space="0"/>
              <w:left w:val="single" w:color="D9D9E3" w:sz="6" w:space="0"/>
              <w:bottom w:val="single" w:color="D9D9E3" w:sz="6" w:space="0"/>
              <w:right w:val="single" w:color="D9D9E3" w:sz="2" w:space="0"/>
            </w:tcBorders>
            <w:vAlign w:val="bottom"/>
          </w:tcPr>
          <w:p>
            <w:r>
              <w:t>96,000</w:t>
            </w:r>
          </w:p>
        </w:tc>
        <w:tc>
          <w:tcPr>
            <w:tcW w:w="0" w:type="auto"/>
            <w:tcBorders>
              <w:top w:val="single" w:color="D9D9E3" w:sz="2" w:space="0"/>
              <w:left w:val="single" w:color="D9D9E3" w:sz="6" w:space="0"/>
              <w:bottom w:val="single" w:color="D9D9E3" w:sz="6" w:space="0"/>
              <w:right w:val="single" w:color="D9D9E3" w:sz="2" w:space="0"/>
            </w:tcBorders>
            <w:vAlign w:val="bottom"/>
          </w:tcPr>
          <w:p>
            <w:r>
              <w:t>Corporation Tax Payable</w:t>
            </w:r>
          </w:p>
        </w:tc>
        <w:tc>
          <w:tcPr>
            <w:tcW w:w="0" w:type="auto"/>
            <w:tcBorders>
              <w:top w:val="single" w:color="D9D9E3" w:sz="2" w:space="0"/>
              <w:left w:val="single" w:color="D9D9E3" w:sz="6" w:space="0"/>
              <w:bottom w:val="single" w:color="D9D9E3" w:sz="6" w:space="0"/>
              <w:right w:val="single" w:color="D9D9E3" w:sz="6" w:space="0"/>
            </w:tcBorders>
            <w:vAlign w:val="bottom"/>
          </w:tcPr>
          <w:p>
            <w:r>
              <w:t>100,000</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vAlign w:val="bottom"/>
          </w:tcPr>
          <w:p/>
        </w:tc>
        <w:tc>
          <w:tcPr>
            <w:tcW w:w="0" w:type="auto"/>
            <w:tcBorders>
              <w:top w:val="single" w:color="D9D9E3" w:sz="2" w:space="0"/>
              <w:left w:val="single" w:color="D9D9E3" w:sz="6" w:space="0"/>
              <w:bottom w:val="single" w:color="D9D9E3" w:sz="6" w:space="0"/>
              <w:right w:val="single" w:color="D9D9E3" w:sz="2" w:space="0"/>
            </w:tcBorders>
            <w:vAlign w:val="bottom"/>
          </w:tcPr>
          <w:p/>
        </w:tc>
        <w:tc>
          <w:tcPr>
            <w:tcW w:w="0" w:type="auto"/>
            <w:tcBorders>
              <w:top w:val="single" w:color="D9D9E3" w:sz="2" w:space="0"/>
              <w:left w:val="single" w:color="D9D9E3" w:sz="6" w:space="0"/>
              <w:bottom w:val="single" w:color="D9D9E3" w:sz="6" w:space="0"/>
              <w:right w:val="single" w:color="D9D9E3" w:sz="2" w:space="0"/>
            </w:tcBorders>
            <w:vAlign w:val="bottom"/>
          </w:tcPr>
          <w:p/>
        </w:tc>
        <w:tc>
          <w:tcPr>
            <w:tcW w:w="0" w:type="auto"/>
            <w:tcBorders>
              <w:top w:val="single" w:color="D9D9E3" w:sz="2" w:space="0"/>
              <w:left w:val="single" w:color="D9D9E3" w:sz="6" w:space="0"/>
              <w:bottom w:val="single" w:color="D9D9E3" w:sz="6" w:space="0"/>
              <w:right w:val="single" w:color="D9D9E3" w:sz="6" w:space="0"/>
            </w:tcBorders>
            <w:vAlign w:val="bottom"/>
          </w:tcP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vAlign w:val="bottom"/>
          </w:tcPr>
          <w:p>
            <w:r>
              <w:t>Total Assets</w:t>
            </w:r>
          </w:p>
        </w:tc>
        <w:tc>
          <w:tcPr>
            <w:tcW w:w="0" w:type="auto"/>
            <w:tcBorders>
              <w:top w:val="single" w:color="D9D9E3" w:sz="2" w:space="0"/>
              <w:left w:val="single" w:color="D9D9E3" w:sz="6" w:space="0"/>
              <w:bottom w:val="single" w:color="D9D9E3" w:sz="6" w:space="0"/>
              <w:right w:val="single" w:color="D9D9E3" w:sz="2" w:space="0"/>
            </w:tcBorders>
            <w:vAlign w:val="bottom"/>
          </w:tcPr>
          <w:p>
            <w:r>
              <w:t>2,026,975</w:t>
            </w:r>
          </w:p>
        </w:tc>
        <w:tc>
          <w:tcPr>
            <w:tcW w:w="0" w:type="auto"/>
            <w:tcBorders>
              <w:top w:val="single" w:color="D9D9E3" w:sz="2" w:space="0"/>
              <w:left w:val="single" w:color="D9D9E3" w:sz="6" w:space="0"/>
              <w:bottom w:val="single" w:color="D9D9E3" w:sz="6" w:space="0"/>
              <w:right w:val="single" w:color="D9D9E3" w:sz="2" w:space="0"/>
            </w:tcBorders>
            <w:vAlign w:val="bottom"/>
          </w:tcPr>
          <w:p>
            <w:r>
              <w:t>Total Liabilities</w:t>
            </w:r>
          </w:p>
        </w:tc>
        <w:tc>
          <w:tcPr>
            <w:tcW w:w="0" w:type="auto"/>
            <w:tcBorders>
              <w:top w:val="single" w:color="D9D9E3" w:sz="2" w:space="0"/>
              <w:left w:val="single" w:color="D9D9E3" w:sz="6" w:space="0"/>
              <w:bottom w:val="single" w:color="D9D9E3" w:sz="6" w:space="0"/>
              <w:right w:val="single" w:color="D9D9E3" w:sz="6" w:space="0"/>
            </w:tcBorders>
            <w:vAlign w:val="bottom"/>
          </w:tcPr>
          <w:p>
            <w:r>
              <w:t>988,625</w:t>
            </w: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vAlign w:val="bottom"/>
          </w:tcPr>
          <w:p/>
        </w:tc>
        <w:tc>
          <w:tcPr>
            <w:tcW w:w="0" w:type="auto"/>
            <w:tcBorders>
              <w:top w:val="single" w:color="D9D9E3" w:sz="2" w:space="0"/>
              <w:left w:val="single" w:color="D9D9E3" w:sz="6" w:space="0"/>
              <w:bottom w:val="single" w:color="D9D9E3" w:sz="6" w:space="0"/>
              <w:right w:val="single" w:color="D9D9E3" w:sz="2" w:space="0"/>
            </w:tcBorders>
            <w:vAlign w:val="bottom"/>
          </w:tcPr>
          <w:p/>
        </w:tc>
        <w:tc>
          <w:tcPr>
            <w:tcW w:w="0" w:type="auto"/>
            <w:tcBorders>
              <w:top w:val="single" w:color="D9D9E3" w:sz="2" w:space="0"/>
              <w:left w:val="single" w:color="D9D9E3" w:sz="6" w:space="0"/>
              <w:bottom w:val="single" w:color="D9D9E3" w:sz="6" w:space="0"/>
              <w:right w:val="single" w:color="D9D9E3" w:sz="2" w:space="0"/>
            </w:tcBorders>
            <w:vAlign w:val="bottom"/>
          </w:tcPr>
          <w:p/>
        </w:tc>
        <w:tc>
          <w:tcPr>
            <w:tcW w:w="0" w:type="auto"/>
            <w:tcBorders>
              <w:top w:val="single" w:color="D9D9E3" w:sz="2" w:space="0"/>
              <w:left w:val="single" w:color="D9D9E3" w:sz="6" w:space="0"/>
              <w:bottom w:val="single" w:color="D9D9E3" w:sz="6" w:space="0"/>
              <w:right w:val="single" w:color="D9D9E3" w:sz="6" w:space="0"/>
            </w:tcBorders>
            <w:vAlign w:val="bottom"/>
          </w:tcP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vAlign w:val="bottom"/>
          </w:tcPr>
          <w:p>
            <w:r>
              <w:t>Equity</w:t>
            </w:r>
          </w:p>
        </w:tc>
        <w:tc>
          <w:tcPr>
            <w:tcW w:w="0" w:type="auto"/>
            <w:tcBorders>
              <w:top w:val="single" w:color="D9D9E3" w:sz="2" w:space="0"/>
              <w:left w:val="single" w:color="D9D9E3" w:sz="6" w:space="0"/>
              <w:bottom w:val="single" w:color="D9D9E3" w:sz="6" w:space="0"/>
              <w:right w:val="single" w:color="D9D9E3" w:sz="2" w:space="0"/>
            </w:tcBorders>
            <w:vAlign w:val="bottom"/>
          </w:tcPr>
          <w:p/>
        </w:tc>
        <w:tc>
          <w:tcPr>
            <w:tcW w:w="0" w:type="auto"/>
            <w:tcBorders>
              <w:top w:val="single" w:color="D9D9E3" w:sz="2" w:space="0"/>
              <w:left w:val="single" w:color="D9D9E3" w:sz="6" w:space="0"/>
              <w:bottom w:val="single" w:color="D9D9E3" w:sz="6" w:space="0"/>
              <w:right w:val="single" w:color="D9D9E3" w:sz="2" w:space="0"/>
            </w:tcBorders>
            <w:vAlign w:val="bottom"/>
          </w:tcPr>
          <w:p/>
        </w:tc>
        <w:tc>
          <w:tcPr>
            <w:tcW w:w="0" w:type="auto"/>
            <w:tcBorders>
              <w:top w:val="single" w:color="D9D9E3" w:sz="2" w:space="0"/>
              <w:left w:val="single" w:color="D9D9E3" w:sz="6" w:space="0"/>
              <w:bottom w:val="single" w:color="D9D9E3" w:sz="6" w:space="0"/>
              <w:right w:val="single" w:color="D9D9E3" w:sz="6" w:space="0"/>
            </w:tcBorders>
            <w:vAlign w:val="bottom"/>
          </w:tcP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vAlign w:val="bottom"/>
          </w:tcPr>
          <w:p>
            <w:r>
              <w:t>Ordinary Shares (£1)</w:t>
            </w:r>
          </w:p>
        </w:tc>
        <w:tc>
          <w:tcPr>
            <w:tcW w:w="0" w:type="auto"/>
            <w:tcBorders>
              <w:top w:val="single" w:color="D9D9E3" w:sz="2" w:space="0"/>
              <w:left w:val="single" w:color="D9D9E3" w:sz="6" w:space="0"/>
              <w:bottom w:val="single" w:color="D9D9E3" w:sz="6" w:space="0"/>
              <w:right w:val="single" w:color="D9D9E3" w:sz="2" w:space="0"/>
            </w:tcBorders>
            <w:vAlign w:val="bottom"/>
          </w:tcPr>
          <w:p>
            <w:r>
              <w:t>900,000</w:t>
            </w:r>
          </w:p>
        </w:tc>
        <w:tc>
          <w:tcPr>
            <w:tcW w:w="0" w:type="auto"/>
            <w:tcBorders>
              <w:top w:val="single" w:color="D9D9E3" w:sz="2" w:space="0"/>
              <w:left w:val="single" w:color="D9D9E3" w:sz="6" w:space="0"/>
              <w:bottom w:val="single" w:color="D9D9E3" w:sz="6" w:space="0"/>
              <w:right w:val="single" w:color="D9D9E3" w:sz="2" w:space="0"/>
            </w:tcBorders>
            <w:vAlign w:val="bottom"/>
          </w:tcPr>
          <w:p/>
        </w:tc>
        <w:tc>
          <w:tcPr>
            <w:tcW w:w="0" w:type="auto"/>
            <w:tcBorders>
              <w:top w:val="single" w:color="D9D9E3" w:sz="2" w:space="0"/>
              <w:left w:val="single" w:color="D9D9E3" w:sz="6" w:space="0"/>
              <w:bottom w:val="single" w:color="D9D9E3" w:sz="6" w:space="0"/>
              <w:right w:val="single" w:color="D9D9E3" w:sz="6" w:space="0"/>
            </w:tcBorders>
            <w:vAlign w:val="bottom"/>
          </w:tcP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vAlign w:val="bottom"/>
          </w:tcPr>
          <w:p>
            <w:r>
              <w:t>Retained Profits (Jan 1, 2022)</w:t>
            </w:r>
          </w:p>
        </w:tc>
        <w:tc>
          <w:tcPr>
            <w:tcW w:w="0" w:type="auto"/>
            <w:tcBorders>
              <w:top w:val="single" w:color="D9D9E3" w:sz="2" w:space="0"/>
              <w:left w:val="single" w:color="D9D9E3" w:sz="6" w:space="0"/>
              <w:bottom w:val="single" w:color="D9D9E3" w:sz="6" w:space="0"/>
              <w:right w:val="single" w:color="D9D9E3" w:sz="2" w:space="0"/>
            </w:tcBorders>
            <w:vAlign w:val="bottom"/>
          </w:tcPr>
          <w:p>
            <w:r>
              <w:t>132,000</w:t>
            </w:r>
          </w:p>
        </w:tc>
        <w:tc>
          <w:tcPr>
            <w:tcW w:w="0" w:type="auto"/>
            <w:tcBorders>
              <w:top w:val="single" w:color="D9D9E3" w:sz="2" w:space="0"/>
              <w:left w:val="single" w:color="D9D9E3" w:sz="6" w:space="0"/>
              <w:bottom w:val="single" w:color="D9D9E3" w:sz="6" w:space="0"/>
              <w:right w:val="single" w:color="D9D9E3" w:sz="2" w:space="0"/>
            </w:tcBorders>
            <w:vAlign w:val="bottom"/>
          </w:tcPr>
          <w:p/>
        </w:tc>
        <w:tc>
          <w:tcPr>
            <w:tcW w:w="0" w:type="auto"/>
            <w:tcBorders>
              <w:top w:val="single" w:color="D9D9E3" w:sz="2" w:space="0"/>
              <w:left w:val="single" w:color="D9D9E3" w:sz="6" w:space="0"/>
              <w:bottom w:val="single" w:color="D9D9E3" w:sz="6" w:space="0"/>
              <w:right w:val="single" w:color="D9D9E3" w:sz="6" w:space="0"/>
            </w:tcBorders>
            <w:vAlign w:val="bottom"/>
          </w:tcP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vAlign w:val="bottom"/>
          </w:tcPr>
          <w:p>
            <w:r>
              <w:t>Net Profit</w:t>
            </w:r>
          </w:p>
        </w:tc>
        <w:tc>
          <w:tcPr>
            <w:tcW w:w="0" w:type="auto"/>
            <w:tcBorders>
              <w:top w:val="single" w:color="D9D9E3" w:sz="2" w:space="0"/>
              <w:left w:val="single" w:color="D9D9E3" w:sz="6" w:space="0"/>
              <w:bottom w:val="single" w:color="D9D9E3" w:sz="6" w:space="0"/>
              <w:right w:val="single" w:color="D9D9E3" w:sz="2" w:space="0"/>
            </w:tcBorders>
            <w:vAlign w:val="bottom"/>
          </w:tcPr>
          <w:p>
            <w:r>
              <w:t>56,350</w:t>
            </w:r>
          </w:p>
        </w:tc>
        <w:tc>
          <w:tcPr>
            <w:tcW w:w="0" w:type="auto"/>
            <w:tcBorders>
              <w:top w:val="single" w:color="D9D9E3" w:sz="2" w:space="0"/>
              <w:left w:val="single" w:color="D9D9E3" w:sz="6" w:space="0"/>
              <w:bottom w:val="single" w:color="D9D9E3" w:sz="6" w:space="0"/>
              <w:right w:val="single" w:color="D9D9E3" w:sz="2" w:space="0"/>
            </w:tcBorders>
            <w:vAlign w:val="bottom"/>
          </w:tcPr>
          <w:p/>
        </w:tc>
        <w:tc>
          <w:tcPr>
            <w:tcW w:w="0" w:type="auto"/>
            <w:tcBorders>
              <w:top w:val="single" w:color="D9D9E3" w:sz="2" w:space="0"/>
              <w:left w:val="single" w:color="D9D9E3" w:sz="6" w:space="0"/>
              <w:bottom w:val="single" w:color="D9D9E3" w:sz="6" w:space="0"/>
              <w:right w:val="single" w:color="D9D9E3" w:sz="6" w:space="0"/>
            </w:tcBorders>
            <w:vAlign w:val="bottom"/>
          </w:tcP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vAlign w:val="bottom"/>
          </w:tcPr>
          <w:p/>
        </w:tc>
        <w:tc>
          <w:tcPr>
            <w:tcW w:w="0" w:type="auto"/>
            <w:tcBorders>
              <w:top w:val="single" w:color="D9D9E3" w:sz="2" w:space="0"/>
              <w:left w:val="single" w:color="D9D9E3" w:sz="6" w:space="0"/>
              <w:bottom w:val="single" w:color="D9D9E3" w:sz="6" w:space="0"/>
              <w:right w:val="single" w:color="D9D9E3" w:sz="2" w:space="0"/>
            </w:tcBorders>
            <w:vAlign w:val="bottom"/>
          </w:tcPr>
          <w:p/>
        </w:tc>
        <w:tc>
          <w:tcPr>
            <w:tcW w:w="0" w:type="auto"/>
            <w:tcBorders>
              <w:top w:val="single" w:color="D9D9E3" w:sz="2" w:space="0"/>
              <w:left w:val="single" w:color="D9D9E3" w:sz="6" w:space="0"/>
              <w:bottom w:val="single" w:color="D9D9E3" w:sz="6" w:space="0"/>
              <w:right w:val="single" w:color="D9D9E3" w:sz="2" w:space="0"/>
            </w:tcBorders>
            <w:vAlign w:val="bottom"/>
          </w:tcPr>
          <w:p/>
        </w:tc>
        <w:tc>
          <w:tcPr>
            <w:tcW w:w="0" w:type="auto"/>
            <w:tcBorders>
              <w:top w:val="single" w:color="D9D9E3" w:sz="2" w:space="0"/>
              <w:left w:val="single" w:color="D9D9E3" w:sz="6" w:space="0"/>
              <w:bottom w:val="single" w:color="D9D9E3" w:sz="6" w:space="0"/>
              <w:right w:val="single" w:color="D9D9E3" w:sz="6" w:space="0"/>
            </w:tcBorders>
            <w:vAlign w:val="bottom"/>
          </w:tcPr>
          <w:p/>
        </w:tc>
      </w:tr>
      <w:tr>
        <w:tblPrEx>
          <w:tblBorders>
            <w:top w:val="single" w:color="auto" w:sz="2" w:space="0"/>
            <w:left w:val="single" w:color="auto" w:sz="2" w:space="0"/>
            <w:bottom w:val="single" w:color="auto" w:sz="2" w:space="0"/>
            <w:right w:val="single" w:color="auto" w:sz="2" w:space="0"/>
            <w:insideH w:val="none" w:color="auto" w:sz="0" w:space="0"/>
            <w:insideV w:val="none" w:color="auto" w:sz="0" w:space="0"/>
          </w:tblBorders>
          <w:tblCellMar>
            <w:top w:w="15" w:type="dxa"/>
            <w:left w:w="15" w:type="dxa"/>
            <w:bottom w:w="15" w:type="dxa"/>
            <w:right w:w="15" w:type="dxa"/>
          </w:tblCellMar>
        </w:tblPrEx>
        <w:trPr>
          <w:tblCellSpacing w:w="15" w:type="dxa"/>
        </w:trPr>
        <w:tc>
          <w:tcPr>
            <w:tcW w:w="0" w:type="auto"/>
            <w:tcBorders>
              <w:top w:val="single" w:color="D9D9E3" w:sz="2" w:space="0"/>
              <w:left w:val="single" w:color="D9D9E3" w:sz="6" w:space="0"/>
              <w:bottom w:val="single" w:color="D9D9E3" w:sz="6" w:space="0"/>
              <w:right w:val="single" w:color="D9D9E3" w:sz="2" w:space="0"/>
            </w:tcBorders>
            <w:vAlign w:val="bottom"/>
          </w:tcPr>
          <w:p>
            <w:r>
              <w:t>Total Equity</w:t>
            </w:r>
          </w:p>
        </w:tc>
        <w:tc>
          <w:tcPr>
            <w:tcW w:w="0" w:type="auto"/>
            <w:tcBorders>
              <w:top w:val="single" w:color="D9D9E3" w:sz="2" w:space="0"/>
              <w:left w:val="single" w:color="D9D9E3" w:sz="6" w:space="0"/>
              <w:bottom w:val="single" w:color="D9D9E3" w:sz="6" w:space="0"/>
              <w:right w:val="single" w:color="D9D9E3" w:sz="2" w:space="0"/>
            </w:tcBorders>
            <w:vAlign w:val="bottom"/>
          </w:tcPr>
          <w:p>
            <w:r>
              <w:t>1,088,350</w:t>
            </w:r>
          </w:p>
        </w:tc>
        <w:tc>
          <w:tcPr>
            <w:tcW w:w="0" w:type="auto"/>
            <w:tcBorders>
              <w:top w:val="single" w:color="D9D9E3" w:sz="2" w:space="0"/>
              <w:left w:val="single" w:color="D9D9E3" w:sz="6" w:space="0"/>
              <w:bottom w:val="single" w:color="D9D9E3" w:sz="6" w:space="0"/>
              <w:right w:val="single" w:color="D9D9E3" w:sz="2" w:space="0"/>
            </w:tcBorders>
            <w:vAlign w:val="bottom"/>
          </w:tcPr>
          <w:p>
            <w:r>
              <w:t>Total Liabilities and Equity</w:t>
            </w:r>
          </w:p>
        </w:tc>
        <w:tc>
          <w:tcPr>
            <w:tcW w:w="0" w:type="auto"/>
            <w:tcBorders>
              <w:top w:val="single" w:color="D9D9E3" w:sz="2" w:space="0"/>
              <w:left w:val="single" w:color="D9D9E3" w:sz="6" w:space="0"/>
              <w:bottom w:val="single" w:color="D9D9E3" w:sz="6" w:space="0"/>
              <w:right w:val="single" w:color="D9D9E3" w:sz="6" w:space="0"/>
            </w:tcBorders>
            <w:vAlign w:val="bottom"/>
          </w:tcPr>
          <w:p>
            <w:r>
              <w:t>2,026,975</w:t>
            </w:r>
          </w:p>
        </w:tc>
      </w:tr>
    </w:tbl>
    <w:p>
      <w:pPr>
        <w:rPr>
          <w:rFonts w:hint="default"/>
          <w:lang w:val="en-IN"/>
        </w:rPr>
      </w:pPr>
    </w:p>
    <w:p>
      <w:r>
        <w:rPr>
          <w:rFonts w:hint="default"/>
          <w:b/>
          <w:bCs/>
          <w:lang w:val="en-IN"/>
        </w:rPr>
        <w:t>1</w:t>
      </w:r>
      <w:r>
        <w:rPr>
          <w:b/>
          <w:bCs/>
        </w:rPr>
        <w:t>b)</w:t>
      </w:r>
      <w:r>
        <w:t xml:space="preserve"> </w:t>
      </w:r>
      <w:r>
        <w:rPr>
          <w:b/>
          <w:bCs/>
        </w:rPr>
        <w:t>Explanation for the Balanced Statement of Financial Position:</w:t>
      </w:r>
    </w:p>
    <w:p>
      <w:r>
        <w:t>The statement of financial position balances because it adheres to the fundamental accounting equation:</w:t>
      </w:r>
    </w:p>
    <w:p>
      <w:r>
        <w:rPr>
          <w:b/>
          <w:bCs/>
        </w:rPr>
        <w:t>Assets = Liabilities + Equity</w:t>
      </w:r>
    </w:p>
    <w:p>
      <w:r>
        <w:t>In this equation, the total assets on the left side are equal to the sum of total liabilities and equity on the right side. This equation represents the fundamental principle of double-entry bookkeeping, where every transaction affects at least two accounts (a debit and a credit), ensuring that the equation remains balanced. The balance sheet shows how the company's resources (assets) are financed by either external sources (liabilities) or internal sources (equity).</w:t>
      </w:r>
    </w:p>
    <w:p>
      <w:r>
        <w:t>In the provided financial information, every transaction has been properly recorded in the income statement and the statement of financial position, ensuring that the equation is maintained. The assets (1,088,350) are equal to the sum of liabilities (988,625) and equity (1,088,350), resulting in a balanced statement of financial position.</w:t>
      </w:r>
    </w:p>
    <w:p/>
    <w:p>
      <w:pPr>
        <w:ind w:left="1440" w:leftChars="0" w:firstLine="1207" w:firstLineChars="377"/>
        <w:rPr>
          <w:rFonts w:hint="default"/>
          <w:b/>
          <w:bCs/>
          <w:sz w:val="32"/>
          <w:szCs w:val="32"/>
          <w:lang w:val="en-IN"/>
        </w:rPr>
      </w:pPr>
      <w:r>
        <w:rPr>
          <w:rFonts w:hint="default"/>
          <w:b/>
          <w:bCs/>
          <w:sz w:val="32"/>
          <w:szCs w:val="32"/>
          <w:lang w:val="en-IN"/>
        </w:rPr>
        <w:t>Question 2 Answers</w:t>
      </w:r>
    </w:p>
    <w:p>
      <w:pPr>
        <w:pStyle w:val="4"/>
        <w:pBdr>
          <w:top w:val="single" w:color="D9D9E3" w:sz="2" w:space="0"/>
          <w:left w:val="single" w:color="D9D9E3" w:sz="2" w:space="0"/>
          <w:bottom w:val="single" w:color="D9D9E3" w:sz="2" w:space="0"/>
          <w:right w:val="single" w:color="D9D9E3" w:sz="2" w:space="0"/>
        </w:pBdr>
        <w:spacing w:before="0" w:beforeAutospacing="0" w:after="300" w:afterAutospacing="0"/>
        <w:rPr>
          <w:rFonts w:ascii="Segoe UI" w:hAnsi="Segoe UI" w:cs="Segoe UI"/>
          <w:sz w:val="21"/>
          <w:szCs w:val="21"/>
        </w:rPr>
      </w:pPr>
      <w:r>
        <w:rPr>
          <w:rFonts w:ascii="Segoe UI" w:hAnsi="Segoe UI" w:cs="Segoe UI"/>
          <w:sz w:val="21"/>
          <w:szCs w:val="21"/>
        </w:rPr>
        <w:t>Sweets plc for the years 2021 and 2020 and then analyze their financial performance and position.</w:t>
      </w:r>
    </w:p>
    <w:p>
      <w:pPr>
        <w:pStyle w:val="4"/>
        <w:pBdr>
          <w:top w:val="single" w:color="D9D9E3" w:sz="2" w:space="0"/>
          <w:left w:val="single" w:color="D9D9E3" w:sz="2" w:space="0"/>
          <w:bottom w:val="single" w:color="D9D9E3" w:sz="2" w:space="0"/>
          <w:right w:val="single" w:color="D9D9E3" w:sz="2" w:space="0"/>
        </w:pBdr>
        <w:spacing w:before="300" w:beforeAutospacing="0" w:after="300" w:afterAutospacing="0"/>
        <w:rPr>
          <w:rFonts w:ascii="Segoe UI" w:hAnsi="Segoe UI" w:cs="Segoe UI"/>
          <w:sz w:val="21"/>
          <w:szCs w:val="21"/>
        </w:rPr>
      </w:pPr>
      <w:r>
        <w:rPr>
          <w:rFonts w:hint="default" w:ascii="Segoe UI" w:hAnsi="Segoe UI" w:cs="Segoe UI"/>
          <w:b/>
          <w:bCs/>
          <w:sz w:val="21"/>
          <w:szCs w:val="21"/>
          <w:lang w:val="en-IN"/>
        </w:rPr>
        <w:t>2</w:t>
      </w:r>
      <w:r>
        <w:rPr>
          <w:rFonts w:ascii="Segoe UI" w:hAnsi="Segoe UI" w:cs="Segoe UI"/>
          <w:b/>
          <w:bCs/>
          <w:sz w:val="21"/>
          <w:szCs w:val="21"/>
        </w:rPr>
        <w:t>a.</w:t>
      </w:r>
      <w:r>
        <w:rPr>
          <w:rFonts w:ascii="Segoe UI" w:hAnsi="Segoe UI" w:cs="Segoe UI"/>
          <w:sz w:val="21"/>
          <w:szCs w:val="21"/>
        </w:rPr>
        <w:t xml:space="preserve"> </w:t>
      </w:r>
      <w:r>
        <w:rPr>
          <w:rStyle w:val="5"/>
          <w:rFonts w:ascii="Segoe UI" w:hAnsi="Segoe UI" w:cs="Segoe UI"/>
          <w:sz w:val="21"/>
          <w:szCs w:val="21"/>
          <w:bdr w:val="single" w:color="D9D9E3" w:sz="2" w:space="0"/>
        </w:rPr>
        <w:t>Ratios Calculation:</w:t>
      </w:r>
    </w:p>
    <w:p>
      <w:pPr>
        <w:pStyle w:val="4"/>
        <w:numPr>
          <w:ilvl w:val="0"/>
          <w:numId w:val="1"/>
        </w:numPr>
        <w:pBdr>
          <w:top w:val="single" w:color="D9D9E3" w:sz="2" w:space="0"/>
          <w:left w:val="single" w:color="D9D9E3" w:sz="2" w:space="5"/>
          <w:bottom w:val="single" w:color="D9D9E3" w:sz="2" w:space="0"/>
          <w:right w:val="single" w:color="D9D9E3" w:sz="2" w:space="0"/>
        </w:pBdr>
        <w:spacing w:before="0" w:beforeAutospacing="0" w:after="0" w:afterAutospacing="0"/>
        <w:rPr>
          <w:rFonts w:ascii="Segoe UI" w:hAnsi="Segoe UI" w:cs="Segoe UI"/>
          <w:sz w:val="21"/>
          <w:szCs w:val="21"/>
        </w:rPr>
      </w:pPr>
      <w:r>
        <w:rPr>
          <w:rStyle w:val="5"/>
          <w:rFonts w:ascii="Segoe UI" w:hAnsi="Segoe UI" w:cs="Segoe UI"/>
          <w:sz w:val="21"/>
          <w:szCs w:val="21"/>
          <w:bdr w:val="single" w:color="D9D9E3" w:sz="2" w:space="0"/>
        </w:rPr>
        <w:t>Return on Capital Employed (ROCE)</w:t>
      </w:r>
      <w:r>
        <w:rPr>
          <w:rFonts w:ascii="Segoe UI" w:hAnsi="Segoe UI" w:cs="Segoe UI"/>
          <w:sz w:val="21"/>
          <w:szCs w:val="21"/>
        </w:rPr>
        <w:t>: ROCE = (Operating Profit / Capital Employed) * 100</w:t>
      </w:r>
    </w:p>
    <w:p>
      <w:pPr>
        <w:pStyle w:val="4"/>
        <w:pBdr>
          <w:top w:val="single" w:color="D9D9E3" w:sz="2" w:space="0"/>
          <w:left w:val="single" w:color="D9D9E3" w:sz="2" w:space="5"/>
          <w:bottom w:val="single" w:color="D9D9E3" w:sz="2" w:space="0"/>
          <w:right w:val="single" w:color="D9D9E3" w:sz="2" w:space="0"/>
        </w:pBdr>
        <w:spacing w:before="0" w:beforeAutospacing="0" w:after="0" w:afterAutospacing="0"/>
        <w:ind w:left="720"/>
        <w:rPr>
          <w:rFonts w:ascii="Segoe UI" w:hAnsi="Segoe UI" w:cs="Segoe UI"/>
          <w:sz w:val="21"/>
          <w:szCs w:val="21"/>
        </w:rPr>
      </w:pPr>
      <w:r>
        <w:rPr>
          <w:rFonts w:ascii="Segoe UI" w:hAnsi="Segoe UI" w:cs="Segoe UI"/>
          <w:sz w:val="21"/>
          <w:szCs w:val="21"/>
        </w:rPr>
        <w:t>Capital Employed = Non-Current Assets - Current Liabilities</w:t>
      </w:r>
    </w:p>
    <w:p>
      <w:pPr>
        <w:pStyle w:val="4"/>
        <w:pBdr>
          <w:top w:val="single" w:color="D9D9E3" w:sz="2" w:space="0"/>
          <w:left w:val="single" w:color="D9D9E3" w:sz="2" w:space="5"/>
          <w:bottom w:val="single" w:color="D9D9E3" w:sz="2" w:space="0"/>
          <w:right w:val="single" w:color="D9D9E3" w:sz="2" w:space="0"/>
        </w:pBdr>
        <w:spacing w:before="0" w:beforeAutospacing="0" w:after="0" w:afterAutospacing="0"/>
        <w:ind w:left="720"/>
        <w:rPr>
          <w:rFonts w:ascii="Segoe UI" w:hAnsi="Segoe UI" w:cs="Segoe UI"/>
          <w:sz w:val="21"/>
          <w:szCs w:val="21"/>
        </w:rPr>
      </w:pPr>
      <w:r>
        <w:rPr>
          <w:rStyle w:val="5"/>
          <w:rFonts w:ascii="Segoe UI" w:hAnsi="Segoe UI" w:cs="Segoe UI"/>
          <w:sz w:val="21"/>
          <w:szCs w:val="21"/>
          <w:bdr w:val="single" w:color="D9D9E3" w:sz="2" w:space="0"/>
        </w:rPr>
        <w:t>2021:</w:t>
      </w:r>
      <w:r>
        <w:rPr>
          <w:rFonts w:ascii="Segoe UI" w:hAnsi="Segoe UI" w:cs="Segoe UI"/>
          <w:sz w:val="21"/>
          <w:szCs w:val="21"/>
        </w:rPr>
        <w:t xml:space="preserve"> Capital Employed = £7,433m - £2,511m = £4,922m ROCE = (£805m / £4,922m) * 100 = 16.35%</w:t>
      </w:r>
    </w:p>
    <w:p>
      <w:pPr>
        <w:pStyle w:val="4"/>
        <w:pBdr>
          <w:top w:val="single" w:color="D9D9E3" w:sz="2" w:space="0"/>
          <w:left w:val="single" w:color="D9D9E3" w:sz="2" w:space="5"/>
          <w:bottom w:val="single" w:color="D9D9E3" w:sz="2" w:space="0"/>
          <w:right w:val="single" w:color="D9D9E3" w:sz="2" w:space="0"/>
        </w:pBdr>
        <w:spacing w:before="0" w:beforeAutospacing="0" w:after="0" w:afterAutospacing="0"/>
        <w:ind w:left="720"/>
        <w:rPr>
          <w:rFonts w:ascii="Segoe UI" w:hAnsi="Segoe UI" w:cs="Segoe UI"/>
          <w:sz w:val="21"/>
          <w:szCs w:val="21"/>
        </w:rPr>
      </w:pPr>
      <w:r>
        <w:rPr>
          <w:rStyle w:val="5"/>
          <w:rFonts w:ascii="Segoe UI" w:hAnsi="Segoe UI" w:cs="Segoe UI"/>
          <w:sz w:val="21"/>
          <w:szCs w:val="21"/>
          <w:bdr w:val="single" w:color="D9D9E3" w:sz="2" w:space="0"/>
        </w:rPr>
        <w:t>2020:</w:t>
      </w:r>
      <w:r>
        <w:rPr>
          <w:rFonts w:ascii="Segoe UI" w:hAnsi="Segoe UI" w:cs="Segoe UI"/>
          <w:sz w:val="21"/>
          <w:szCs w:val="21"/>
        </w:rPr>
        <w:t xml:space="preserve"> Capital Employed = £7,732m - £3,046m = £4,686m ROCE = (£699m / £4,686m) * 100 = 14.92%</w:t>
      </w:r>
    </w:p>
    <w:p>
      <w:pPr>
        <w:pStyle w:val="4"/>
        <w:numPr>
          <w:ilvl w:val="0"/>
          <w:numId w:val="1"/>
        </w:numPr>
        <w:pBdr>
          <w:top w:val="single" w:color="D9D9E3" w:sz="2" w:space="0"/>
          <w:left w:val="single" w:color="D9D9E3" w:sz="2" w:space="5"/>
          <w:bottom w:val="single" w:color="D9D9E3" w:sz="2" w:space="0"/>
          <w:right w:val="single" w:color="D9D9E3" w:sz="2" w:space="0"/>
        </w:pBdr>
        <w:spacing w:before="0" w:beforeAutospacing="0" w:after="0" w:afterAutospacing="0"/>
        <w:rPr>
          <w:rFonts w:ascii="Segoe UI" w:hAnsi="Segoe UI" w:cs="Segoe UI"/>
          <w:sz w:val="21"/>
          <w:szCs w:val="21"/>
        </w:rPr>
      </w:pPr>
      <w:r>
        <w:rPr>
          <w:rStyle w:val="5"/>
          <w:rFonts w:ascii="Segoe UI" w:hAnsi="Segoe UI" w:cs="Segoe UI"/>
          <w:sz w:val="21"/>
          <w:szCs w:val="21"/>
          <w:bdr w:val="single" w:color="D9D9E3" w:sz="2" w:space="0"/>
        </w:rPr>
        <w:t>Return on Equity (ROE)</w:t>
      </w:r>
      <w:r>
        <w:rPr>
          <w:rFonts w:ascii="Segoe UI" w:hAnsi="Segoe UI" w:cs="Segoe UI"/>
          <w:sz w:val="21"/>
          <w:szCs w:val="21"/>
        </w:rPr>
        <w:t>: ROE = (Profit for the Year / Total Equity) * 100</w:t>
      </w:r>
    </w:p>
    <w:p>
      <w:pPr>
        <w:pStyle w:val="4"/>
        <w:pBdr>
          <w:top w:val="single" w:color="D9D9E3" w:sz="2" w:space="0"/>
          <w:left w:val="single" w:color="D9D9E3" w:sz="2" w:space="5"/>
          <w:bottom w:val="single" w:color="D9D9E3" w:sz="2" w:space="0"/>
          <w:right w:val="single" w:color="D9D9E3" w:sz="2" w:space="0"/>
        </w:pBdr>
        <w:spacing w:before="0" w:beforeAutospacing="0" w:after="0" w:afterAutospacing="0"/>
        <w:ind w:left="720"/>
        <w:rPr>
          <w:rFonts w:ascii="Segoe UI" w:hAnsi="Segoe UI" w:cs="Segoe UI"/>
          <w:sz w:val="21"/>
          <w:szCs w:val="21"/>
        </w:rPr>
      </w:pPr>
      <w:r>
        <w:rPr>
          <w:rStyle w:val="5"/>
          <w:rFonts w:ascii="Segoe UI" w:hAnsi="Segoe UI" w:cs="Segoe UI"/>
          <w:sz w:val="21"/>
          <w:szCs w:val="21"/>
          <w:bdr w:val="single" w:color="D9D9E3" w:sz="2" w:space="0"/>
        </w:rPr>
        <w:t>2021:</w:t>
      </w:r>
      <w:r>
        <w:rPr>
          <w:rFonts w:ascii="Segoe UI" w:hAnsi="Segoe UI" w:cs="Segoe UI"/>
          <w:sz w:val="21"/>
          <w:szCs w:val="21"/>
        </w:rPr>
        <w:t xml:space="preserve"> ROE = (£431m / £3,088m) * 100 = 13.96%</w:t>
      </w:r>
    </w:p>
    <w:p>
      <w:pPr>
        <w:pStyle w:val="4"/>
        <w:pBdr>
          <w:top w:val="single" w:color="D9D9E3" w:sz="2" w:space="0"/>
          <w:left w:val="single" w:color="D9D9E3" w:sz="2" w:space="5"/>
          <w:bottom w:val="single" w:color="D9D9E3" w:sz="2" w:space="0"/>
          <w:right w:val="single" w:color="D9D9E3" w:sz="2" w:space="0"/>
        </w:pBdr>
        <w:spacing w:before="0" w:beforeAutospacing="0" w:after="0" w:afterAutospacing="0"/>
        <w:ind w:left="720"/>
        <w:rPr>
          <w:rFonts w:ascii="Segoe UI" w:hAnsi="Segoe UI" w:cs="Segoe UI"/>
          <w:sz w:val="21"/>
          <w:szCs w:val="21"/>
        </w:rPr>
      </w:pPr>
      <w:r>
        <w:rPr>
          <w:rStyle w:val="5"/>
          <w:rFonts w:ascii="Segoe UI" w:hAnsi="Segoe UI" w:cs="Segoe UI"/>
          <w:sz w:val="21"/>
          <w:szCs w:val="21"/>
          <w:bdr w:val="single" w:color="D9D9E3" w:sz="2" w:space="0"/>
        </w:rPr>
        <w:t>2020:</w:t>
      </w:r>
      <w:r>
        <w:rPr>
          <w:rFonts w:ascii="Segoe UI" w:hAnsi="Segoe UI" w:cs="Segoe UI"/>
          <w:sz w:val="21"/>
          <w:szCs w:val="21"/>
        </w:rPr>
        <w:t xml:space="preserve"> ROE = (£366m / £2,912m) * 100 = 12.57%</w:t>
      </w:r>
    </w:p>
    <w:p>
      <w:pPr>
        <w:pStyle w:val="4"/>
        <w:numPr>
          <w:ilvl w:val="0"/>
          <w:numId w:val="1"/>
        </w:numPr>
        <w:pBdr>
          <w:top w:val="single" w:color="D9D9E3" w:sz="2" w:space="0"/>
          <w:left w:val="single" w:color="D9D9E3" w:sz="2" w:space="5"/>
          <w:bottom w:val="single" w:color="D9D9E3" w:sz="2" w:space="0"/>
          <w:right w:val="single" w:color="D9D9E3" w:sz="2" w:space="0"/>
        </w:pBdr>
        <w:spacing w:before="0" w:beforeAutospacing="0" w:after="0" w:afterAutospacing="0"/>
        <w:rPr>
          <w:rFonts w:ascii="Segoe UI" w:hAnsi="Segoe UI" w:cs="Segoe UI"/>
          <w:sz w:val="21"/>
          <w:szCs w:val="21"/>
        </w:rPr>
      </w:pPr>
      <w:r>
        <w:rPr>
          <w:rStyle w:val="5"/>
          <w:rFonts w:ascii="Segoe UI" w:hAnsi="Segoe UI" w:cs="Segoe UI"/>
          <w:sz w:val="21"/>
          <w:szCs w:val="21"/>
          <w:bdr w:val="single" w:color="D9D9E3" w:sz="2" w:space="0"/>
        </w:rPr>
        <w:t>Earnings per Share (EPS)</w:t>
      </w:r>
      <w:r>
        <w:rPr>
          <w:rFonts w:ascii="Segoe UI" w:hAnsi="Segoe UI" w:cs="Segoe UI"/>
          <w:sz w:val="21"/>
          <w:szCs w:val="21"/>
        </w:rPr>
        <w:t>: EPS = Profit for the Year / Number of Ordinary Shares</w:t>
      </w:r>
    </w:p>
    <w:p>
      <w:pPr>
        <w:pStyle w:val="4"/>
        <w:pBdr>
          <w:top w:val="single" w:color="D9D9E3" w:sz="2" w:space="0"/>
          <w:left w:val="single" w:color="D9D9E3" w:sz="2" w:space="5"/>
          <w:bottom w:val="single" w:color="D9D9E3" w:sz="2" w:space="0"/>
          <w:right w:val="single" w:color="D9D9E3" w:sz="2" w:space="0"/>
        </w:pBdr>
        <w:spacing w:before="0" w:beforeAutospacing="0" w:after="0" w:afterAutospacing="0"/>
        <w:ind w:left="720"/>
        <w:rPr>
          <w:rFonts w:ascii="Segoe UI" w:hAnsi="Segoe UI" w:cs="Segoe UI"/>
          <w:sz w:val="21"/>
          <w:szCs w:val="21"/>
        </w:rPr>
      </w:pPr>
      <w:r>
        <w:rPr>
          <w:rFonts w:ascii="Segoe UI" w:hAnsi="Segoe UI" w:cs="Segoe UI"/>
          <w:sz w:val="21"/>
          <w:szCs w:val="21"/>
        </w:rPr>
        <w:t>Number of Ordinary Shares = Total Retained Profits / Average Share Price</w:t>
      </w:r>
    </w:p>
    <w:p>
      <w:pPr>
        <w:pStyle w:val="4"/>
        <w:pBdr>
          <w:top w:val="single" w:color="D9D9E3" w:sz="2" w:space="0"/>
          <w:left w:val="single" w:color="D9D9E3" w:sz="2" w:space="5"/>
          <w:bottom w:val="single" w:color="D9D9E3" w:sz="2" w:space="0"/>
          <w:right w:val="single" w:color="D9D9E3" w:sz="2" w:space="0"/>
        </w:pBdr>
        <w:spacing w:before="0" w:beforeAutospacing="0" w:after="0" w:afterAutospacing="0"/>
        <w:ind w:left="720"/>
        <w:rPr>
          <w:rFonts w:ascii="Segoe UI" w:hAnsi="Segoe UI" w:cs="Segoe UI"/>
          <w:sz w:val="21"/>
          <w:szCs w:val="21"/>
        </w:rPr>
      </w:pPr>
      <w:r>
        <w:rPr>
          <w:rStyle w:val="5"/>
          <w:rFonts w:ascii="Segoe UI" w:hAnsi="Segoe UI" w:cs="Segoe UI"/>
          <w:sz w:val="21"/>
          <w:szCs w:val="21"/>
          <w:bdr w:val="single" w:color="D9D9E3" w:sz="2" w:space="0"/>
        </w:rPr>
        <w:t>2021:</w:t>
      </w:r>
      <w:r>
        <w:rPr>
          <w:rFonts w:ascii="Segoe UI" w:hAnsi="Segoe UI" w:cs="Segoe UI"/>
          <w:sz w:val="21"/>
          <w:szCs w:val="21"/>
        </w:rPr>
        <w:t xml:space="preserve"> Number of Ordinary Shares = £1,717m / £5.12 ≈ 335.94 million shares EPS = £431m / 335.94m shares ≈ £1.28 per share</w:t>
      </w:r>
    </w:p>
    <w:p>
      <w:pPr>
        <w:pStyle w:val="4"/>
        <w:pBdr>
          <w:top w:val="single" w:color="D9D9E3" w:sz="2" w:space="0"/>
          <w:left w:val="single" w:color="D9D9E3" w:sz="2" w:space="5"/>
          <w:bottom w:val="single" w:color="D9D9E3" w:sz="2" w:space="0"/>
          <w:right w:val="single" w:color="D9D9E3" w:sz="2" w:space="0"/>
        </w:pBdr>
        <w:spacing w:before="0" w:beforeAutospacing="0" w:after="0" w:afterAutospacing="0"/>
        <w:ind w:left="720"/>
        <w:rPr>
          <w:rFonts w:ascii="Segoe UI" w:hAnsi="Segoe UI" w:cs="Segoe UI"/>
          <w:sz w:val="21"/>
          <w:szCs w:val="21"/>
        </w:rPr>
      </w:pPr>
      <w:r>
        <w:rPr>
          <w:rStyle w:val="5"/>
          <w:rFonts w:ascii="Segoe UI" w:hAnsi="Segoe UI" w:cs="Segoe UI"/>
          <w:sz w:val="21"/>
          <w:szCs w:val="21"/>
          <w:bdr w:val="single" w:color="D9D9E3" w:sz="2" w:space="0"/>
        </w:rPr>
        <w:t>2020:</w:t>
      </w:r>
      <w:r>
        <w:rPr>
          <w:rFonts w:ascii="Segoe UI" w:hAnsi="Segoe UI" w:cs="Segoe UI"/>
          <w:sz w:val="21"/>
          <w:szCs w:val="21"/>
        </w:rPr>
        <w:t xml:space="preserve"> Number of Ordinary Shares = £1,541m / £4.00 ≈ 385.25 million shares EPS = £366m / 385.25m shares ≈ £0.95 per share</w:t>
      </w:r>
    </w:p>
    <w:p>
      <w:pPr>
        <w:pStyle w:val="4"/>
        <w:numPr>
          <w:ilvl w:val="0"/>
          <w:numId w:val="1"/>
        </w:numPr>
        <w:pBdr>
          <w:top w:val="single" w:color="D9D9E3" w:sz="2" w:space="0"/>
          <w:left w:val="single" w:color="D9D9E3" w:sz="2" w:space="5"/>
          <w:bottom w:val="single" w:color="D9D9E3" w:sz="2" w:space="0"/>
          <w:right w:val="single" w:color="D9D9E3" w:sz="2" w:space="0"/>
        </w:pBdr>
        <w:spacing w:before="0" w:beforeAutospacing="0" w:after="0" w:afterAutospacing="0"/>
        <w:rPr>
          <w:rFonts w:ascii="Segoe UI" w:hAnsi="Segoe UI" w:cs="Segoe UI"/>
          <w:sz w:val="21"/>
          <w:szCs w:val="21"/>
        </w:rPr>
      </w:pPr>
      <w:r>
        <w:rPr>
          <w:rStyle w:val="5"/>
          <w:rFonts w:ascii="Segoe UI" w:hAnsi="Segoe UI" w:cs="Segoe UI"/>
          <w:sz w:val="21"/>
          <w:szCs w:val="21"/>
          <w:bdr w:val="single" w:color="D9D9E3" w:sz="2" w:space="0"/>
        </w:rPr>
        <w:t>Net Profit Margin</w:t>
      </w:r>
      <w:r>
        <w:rPr>
          <w:rFonts w:ascii="Segoe UI" w:hAnsi="Segoe UI" w:cs="Segoe UI"/>
          <w:sz w:val="21"/>
          <w:szCs w:val="21"/>
        </w:rPr>
        <w:t>: Net Profit Margin = (Profit for the Year / Revenue) * 100</w:t>
      </w:r>
    </w:p>
    <w:p>
      <w:pPr>
        <w:pStyle w:val="4"/>
        <w:pBdr>
          <w:top w:val="single" w:color="D9D9E3" w:sz="2" w:space="0"/>
          <w:left w:val="single" w:color="D9D9E3" w:sz="2" w:space="5"/>
          <w:bottom w:val="single" w:color="D9D9E3" w:sz="2" w:space="0"/>
          <w:right w:val="single" w:color="D9D9E3" w:sz="2" w:space="0"/>
        </w:pBdr>
        <w:spacing w:before="0" w:beforeAutospacing="0" w:after="0" w:afterAutospacing="0"/>
        <w:ind w:left="720"/>
        <w:rPr>
          <w:rFonts w:ascii="Segoe UI" w:hAnsi="Segoe UI" w:cs="Segoe UI"/>
          <w:sz w:val="21"/>
          <w:szCs w:val="21"/>
        </w:rPr>
      </w:pPr>
      <w:r>
        <w:rPr>
          <w:rStyle w:val="5"/>
          <w:rFonts w:ascii="Segoe UI" w:hAnsi="Segoe UI" w:cs="Segoe UI"/>
          <w:sz w:val="21"/>
          <w:szCs w:val="21"/>
          <w:bdr w:val="single" w:color="D9D9E3" w:sz="2" w:space="0"/>
        </w:rPr>
        <w:t>2021:</w:t>
      </w:r>
      <w:r>
        <w:rPr>
          <w:rFonts w:ascii="Segoe UI" w:hAnsi="Segoe UI" w:cs="Segoe UI"/>
          <w:sz w:val="21"/>
          <w:szCs w:val="21"/>
        </w:rPr>
        <w:t xml:space="preserve"> Net Profit Margin = (£431m / £6,738m) * 100 ≈ 6.39%</w:t>
      </w:r>
    </w:p>
    <w:p>
      <w:pPr>
        <w:pStyle w:val="4"/>
        <w:pBdr>
          <w:top w:val="single" w:color="D9D9E3" w:sz="2" w:space="0"/>
          <w:left w:val="single" w:color="D9D9E3" w:sz="2" w:space="5"/>
          <w:bottom w:val="single" w:color="D9D9E3" w:sz="2" w:space="0"/>
          <w:right w:val="single" w:color="D9D9E3" w:sz="2" w:space="0"/>
        </w:pBdr>
        <w:spacing w:before="0" w:beforeAutospacing="0" w:after="0" w:afterAutospacing="0"/>
        <w:ind w:left="720"/>
        <w:rPr>
          <w:rFonts w:ascii="Segoe UI" w:hAnsi="Segoe UI" w:cs="Segoe UI"/>
          <w:sz w:val="21"/>
          <w:szCs w:val="21"/>
        </w:rPr>
      </w:pPr>
      <w:r>
        <w:rPr>
          <w:rStyle w:val="5"/>
          <w:rFonts w:ascii="Segoe UI" w:hAnsi="Segoe UI" w:cs="Segoe UI"/>
          <w:sz w:val="21"/>
          <w:szCs w:val="21"/>
          <w:bdr w:val="single" w:color="D9D9E3" w:sz="2" w:space="0"/>
        </w:rPr>
        <w:t>2020:</w:t>
      </w:r>
      <w:r>
        <w:rPr>
          <w:rFonts w:ascii="Segoe UI" w:hAnsi="Segoe UI" w:cs="Segoe UI"/>
          <w:sz w:val="21"/>
          <w:szCs w:val="21"/>
        </w:rPr>
        <w:t xml:space="preserve"> Net Profit Margin = (£366m / £6,441m) * 100 ≈ 5.68%</w:t>
      </w:r>
    </w:p>
    <w:p>
      <w:pPr>
        <w:pStyle w:val="4"/>
        <w:numPr>
          <w:ilvl w:val="0"/>
          <w:numId w:val="1"/>
        </w:numPr>
        <w:pBdr>
          <w:top w:val="single" w:color="D9D9E3" w:sz="2" w:space="0"/>
          <w:left w:val="single" w:color="D9D9E3" w:sz="2" w:space="5"/>
          <w:bottom w:val="single" w:color="D9D9E3" w:sz="2" w:space="0"/>
          <w:right w:val="single" w:color="D9D9E3" w:sz="2" w:space="0"/>
        </w:pBdr>
        <w:spacing w:before="0" w:beforeAutospacing="0" w:after="0" w:afterAutospacing="0"/>
        <w:rPr>
          <w:rFonts w:ascii="Segoe UI" w:hAnsi="Segoe UI" w:cs="Segoe UI"/>
          <w:sz w:val="21"/>
          <w:szCs w:val="21"/>
        </w:rPr>
      </w:pPr>
      <w:r>
        <w:rPr>
          <w:rStyle w:val="5"/>
          <w:rFonts w:ascii="Segoe UI" w:hAnsi="Segoe UI" w:cs="Segoe UI"/>
          <w:sz w:val="21"/>
          <w:szCs w:val="21"/>
          <w:bdr w:val="single" w:color="D9D9E3" w:sz="2" w:space="0"/>
        </w:rPr>
        <w:t>Asset Turnover</w:t>
      </w:r>
      <w:r>
        <w:rPr>
          <w:rFonts w:ascii="Segoe UI" w:hAnsi="Segoe UI" w:cs="Segoe UI"/>
          <w:sz w:val="21"/>
          <w:szCs w:val="21"/>
        </w:rPr>
        <w:t>: Asset Turnover = Revenue / Total Assets</w:t>
      </w:r>
    </w:p>
    <w:p>
      <w:pPr>
        <w:pStyle w:val="4"/>
        <w:pBdr>
          <w:top w:val="single" w:color="D9D9E3" w:sz="2" w:space="0"/>
          <w:left w:val="single" w:color="D9D9E3" w:sz="2" w:space="5"/>
          <w:bottom w:val="single" w:color="D9D9E3" w:sz="2" w:space="0"/>
          <w:right w:val="single" w:color="D9D9E3" w:sz="2" w:space="0"/>
        </w:pBdr>
        <w:spacing w:before="0" w:beforeAutospacing="0" w:after="0" w:afterAutospacing="0"/>
        <w:ind w:left="720"/>
        <w:rPr>
          <w:rFonts w:ascii="Segoe UI" w:hAnsi="Segoe UI" w:cs="Segoe UI"/>
          <w:sz w:val="21"/>
          <w:szCs w:val="21"/>
        </w:rPr>
      </w:pPr>
      <w:r>
        <w:rPr>
          <w:rStyle w:val="5"/>
          <w:rFonts w:ascii="Segoe UI" w:hAnsi="Segoe UI" w:cs="Segoe UI"/>
          <w:sz w:val="21"/>
          <w:szCs w:val="21"/>
          <w:bdr w:val="single" w:color="D9D9E3" w:sz="2" w:space="0"/>
        </w:rPr>
        <w:t>2021:</w:t>
      </w:r>
      <w:r>
        <w:rPr>
          <w:rFonts w:ascii="Segoe UI" w:hAnsi="Segoe UI" w:cs="Segoe UI"/>
          <w:sz w:val="21"/>
          <w:szCs w:val="21"/>
        </w:rPr>
        <w:t xml:space="preserve"> Asset Turnover = £6,738m / £9,736m ≈ 0.69</w:t>
      </w:r>
    </w:p>
    <w:p>
      <w:pPr>
        <w:pStyle w:val="4"/>
        <w:pBdr>
          <w:top w:val="single" w:color="D9D9E3" w:sz="2" w:space="0"/>
          <w:left w:val="single" w:color="D9D9E3" w:sz="2" w:space="5"/>
          <w:bottom w:val="single" w:color="D9D9E3" w:sz="2" w:space="0"/>
          <w:right w:val="single" w:color="D9D9E3" w:sz="2" w:space="0"/>
        </w:pBdr>
        <w:spacing w:before="0" w:beforeAutospacing="0" w:after="0" w:afterAutospacing="0"/>
        <w:ind w:left="720"/>
        <w:rPr>
          <w:rFonts w:ascii="Segoe UI" w:hAnsi="Segoe UI" w:cs="Segoe UI"/>
          <w:sz w:val="21"/>
          <w:szCs w:val="21"/>
        </w:rPr>
      </w:pPr>
      <w:r>
        <w:rPr>
          <w:rStyle w:val="5"/>
          <w:rFonts w:ascii="Segoe UI" w:hAnsi="Segoe UI" w:cs="Segoe UI"/>
          <w:sz w:val="21"/>
          <w:szCs w:val="21"/>
          <w:bdr w:val="single" w:color="D9D9E3" w:sz="2" w:space="0"/>
        </w:rPr>
        <w:t>2020:</w:t>
      </w:r>
      <w:r>
        <w:rPr>
          <w:rFonts w:ascii="Segoe UI" w:hAnsi="Segoe UI" w:cs="Segoe UI"/>
          <w:sz w:val="21"/>
          <w:szCs w:val="21"/>
        </w:rPr>
        <w:t xml:space="preserve"> Asset Turnover = £6,441m / £10,087m ≈ 0.64</w:t>
      </w:r>
    </w:p>
    <w:p>
      <w:pPr>
        <w:pStyle w:val="4"/>
        <w:numPr>
          <w:ilvl w:val="0"/>
          <w:numId w:val="1"/>
        </w:numPr>
        <w:pBdr>
          <w:top w:val="single" w:color="D9D9E3" w:sz="2" w:space="0"/>
          <w:left w:val="single" w:color="D9D9E3" w:sz="2" w:space="5"/>
          <w:bottom w:val="single" w:color="D9D9E3" w:sz="2" w:space="0"/>
          <w:right w:val="single" w:color="D9D9E3" w:sz="2" w:space="0"/>
        </w:pBdr>
        <w:spacing w:before="0" w:beforeAutospacing="0" w:after="0" w:afterAutospacing="0"/>
        <w:rPr>
          <w:rFonts w:ascii="Segoe UI" w:hAnsi="Segoe UI" w:cs="Segoe UI"/>
          <w:sz w:val="21"/>
          <w:szCs w:val="21"/>
        </w:rPr>
      </w:pPr>
      <w:r>
        <w:rPr>
          <w:rStyle w:val="5"/>
          <w:rFonts w:ascii="Segoe UI" w:hAnsi="Segoe UI" w:cs="Segoe UI"/>
          <w:sz w:val="21"/>
          <w:szCs w:val="21"/>
          <w:bdr w:val="single" w:color="D9D9E3" w:sz="2" w:space="0"/>
        </w:rPr>
        <w:t>Stock Holding Days</w:t>
      </w:r>
      <w:r>
        <w:rPr>
          <w:rFonts w:ascii="Segoe UI" w:hAnsi="Segoe UI" w:cs="Segoe UI"/>
          <w:sz w:val="21"/>
          <w:szCs w:val="21"/>
        </w:rPr>
        <w:t>: Stock Holding Days = (Average Inventory / Cost of Goods Sold) * 365</w:t>
      </w:r>
    </w:p>
    <w:p>
      <w:pPr>
        <w:pStyle w:val="4"/>
        <w:pBdr>
          <w:top w:val="single" w:color="D9D9E3" w:sz="2" w:space="0"/>
          <w:left w:val="single" w:color="D9D9E3" w:sz="2" w:space="5"/>
          <w:bottom w:val="single" w:color="D9D9E3" w:sz="2" w:space="0"/>
          <w:right w:val="single" w:color="D9D9E3" w:sz="2" w:space="0"/>
        </w:pBdr>
        <w:spacing w:before="0" w:beforeAutospacing="0" w:after="0" w:afterAutospacing="0"/>
        <w:ind w:left="720"/>
        <w:rPr>
          <w:rFonts w:ascii="Segoe UI" w:hAnsi="Segoe UI" w:cs="Segoe UI"/>
          <w:sz w:val="21"/>
          <w:szCs w:val="21"/>
        </w:rPr>
      </w:pPr>
      <w:r>
        <w:rPr>
          <w:rStyle w:val="5"/>
          <w:rFonts w:ascii="Segoe UI" w:hAnsi="Segoe UI" w:cs="Segoe UI"/>
          <w:sz w:val="21"/>
          <w:szCs w:val="21"/>
          <w:bdr w:val="single" w:color="D9D9E3" w:sz="2" w:space="0"/>
        </w:rPr>
        <w:t>2021:</w:t>
      </w:r>
      <w:r>
        <w:rPr>
          <w:rFonts w:ascii="Segoe UI" w:hAnsi="Segoe UI" w:cs="Segoe UI"/>
          <w:sz w:val="21"/>
          <w:szCs w:val="21"/>
        </w:rPr>
        <w:t xml:space="preserve"> Average Inventory = (£708m + £659m) / 2 ≈ £683.5m Stock Holding Days = (£683.5m / £3,235m) * 365 ≈ 77 days</w:t>
      </w:r>
    </w:p>
    <w:p>
      <w:pPr>
        <w:pStyle w:val="4"/>
        <w:pBdr>
          <w:top w:val="single" w:color="D9D9E3" w:sz="2" w:space="0"/>
          <w:left w:val="single" w:color="D9D9E3" w:sz="2" w:space="5"/>
          <w:bottom w:val="single" w:color="D9D9E3" w:sz="2" w:space="0"/>
          <w:right w:val="single" w:color="D9D9E3" w:sz="2" w:space="0"/>
        </w:pBdr>
        <w:spacing w:before="0" w:beforeAutospacing="0" w:after="0" w:afterAutospacing="0"/>
        <w:ind w:left="720"/>
        <w:rPr>
          <w:rFonts w:ascii="Segoe UI" w:hAnsi="Segoe UI" w:cs="Segoe UI"/>
          <w:sz w:val="21"/>
          <w:szCs w:val="21"/>
        </w:rPr>
      </w:pPr>
      <w:r>
        <w:rPr>
          <w:rStyle w:val="5"/>
          <w:rFonts w:ascii="Segoe UI" w:hAnsi="Segoe UI" w:cs="Segoe UI"/>
          <w:sz w:val="21"/>
          <w:szCs w:val="21"/>
          <w:bdr w:val="single" w:color="D9D9E3" w:sz="2" w:space="0"/>
        </w:rPr>
        <w:t>2020:</w:t>
      </w:r>
      <w:r>
        <w:rPr>
          <w:rFonts w:ascii="Segoe UI" w:hAnsi="Segoe UI" w:cs="Segoe UI"/>
          <w:sz w:val="21"/>
          <w:szCs w:val="21"/>
        </w:rPr>
        <w:t xml:space="preserve"> Average Inventory = (£659m + £708m) / 2 ≈ £683.5m Stock Holding Days = (£683.5m / £3,096m) * 365 ≈ 80 days</w:t>
      </w:r>
    </w:p>
    <w:p>
      <w:pPr>
        <w:pStyle w:val="4"/>
        <w:numPr>
          <w:ilvl w:val="0"/>
          <w:numId w:val="1"/>
        </w:numPr>
        <w:pBdr>
          <w:top w:val="single" w:color="D9D9E3" w:sz="2" w:space="0"/>
          <w:left w:val="single" w:color="D9D9E3" w:sz="2" w:space="5"/>
          <w:bottom w:val="single" w:color="D9D9E3" w:sz="2" w:space="0"/>
          <w:right w:val="single" w:color="D9D9E3" w:sz="2" w:space="0"/>
        </w:pBdr>
        <w:spacing w:before="0" w:beforeAutospacing="0" w:after="0" w:afterAutospacing="0"/>
        <w:rPr>
          <w:rFonts w:ascii="Segoe UI" w:hAnsi="Segoe UI" w:cs="Segoe UI"/>
          <w:sz w:val="21"/>
          <w:szCs w:val="21"/>
        </w:rPr>
      </w:pPr>
      <w:r>
        <w:rPr>
          <w:rStyle w:val="5"/>
          <w:rFonts w:ascii="Segoe UI" w:hAnsi="Segoe UI" w:cs="Segoe UI"/>
          <w:sz w:val="21"/>
          <w:szCs w:val="21"/>
          <w:bdr w:val="single" w:color="D9D9E3" w:sz="2" w:space="0"/>
        </w:rPr>
        <w:t>Debtors Collection Period</w:t>
      </w:r>
      <w:r>
        <w:rPr>
          <w:rFonts w:ascii="Segoe UI" w:hAnsi="Segoe UI" w:cs="Segoe UI"/>
          <w:sz w:val="21"/>
          <w:szCs w:val="21"/>
        </w:rPr>
        <w:t>: Debtors Collection Period = (Trade Receivables / Revenue) * 365</w:t>
      </w:r>
    </w:p>
    <w:p>
      <w:pPr>
        <w:pStyle w:val="4"/>
        <w:pBdr>
          <w:top w:val="single" w:color="D9D9E3" w:sz="2" w:space="0"/>
          <w:left w:val="single" w:color="D9D9E3" w:sz="2" w:space="5"/>
          <w:bottom w:val="single" w:color="D9D9E3" w:sz="2" w:space="0"/>
          <w:right w:val="single" w:color="D9D9E3" w:sz="2" w:space="0"/>
        </w:pBdr>
        <w:spacing w:before="0" w:beforeAutospacing="0" w:after="0" w:afterAutospacing="0"/>
        <w:ind w:left="720"/>
        <w:rPr>
          <w:rFonts w:ascii="Segoe UI" w:hAnsi="Segoe UI" w:cs="Segoe UI"/>
          <w:sz w:val="21"/>
          <w:szCs w:val="21"/>
        </w:rPr>
      </w:pPr>
      <w:r>
        <w:rPr>
          <w:rStyle w:val="5"/>
          <w:rFonts w:ascii="Segoe UI" w:hAnsi="Segoe UI" w:cs="Segoe UI"/>
          <w:sz w:val="21"/>
          <w:szCs w:val="21"/>
          <w:bdr w:val="single" w:color="D9D9E3" w:sz="2" w:space="0"/>
        </w:rPr>
        <w:t>2021:</w:t>
      </w:r>
      <w:r>
        <w:rPr>
          <w:rFonts w:ascii="Segoe UI" w:hAnsi="Segoe UI" w:cs="Segoe UI"/>
          <w:sz w:val="21"/>
          <w:szCs w:val="21"/>
        </w:rPr>
        <w:t xml:space="preserve"> Debtors Collection Period = (£1,249m / £6,738m) * 365 ≈ 68 days</w:t>
      </w:r>
    </w:p>
    <w:p>
      <w:pPr>
        <w:pStyle w:val="4"/>
        <w:pBdr>
          <w:top w:val="single" w:color="D9D9E3" w:sz="2" w:space="0"/>
          <w:left w:val="single" w:color="D9D9E3" w:sz="2" w:space="5"/>
          <w:bottom w:val="single" w:color="D9D9E3" w:sz="2" w:space="0"/>
          <w:right w:val="single" w:color="D9D9E3" w:sz="2" w:space="0"/>
        </w:pBdr>
        <w:spacing w:before="0" w:beforeAutospacing="0" w:after="0" w:afterAutospacing="0"/>
        <w:ind w:left="720"/>
        <w:rPr>
          <w:rFonts w:ascii="Segoe UI" w:hAnsi="Segoe UI" w:cs="Segoe UI"/>
          <w:sz w:val="21"/>
          <w:szCs w:val="21"/>
        </w:rPr>
      </w:pPr>
      <w:r>
        <w:rPr>
          <w:rStyle w:val="5"/>
          <w:rFonts w:ascii="Segoe UI" w:hAnsi="Segoe UI" w:cs="Segoe UI"/>
          <w:sz w:val="21"/>
          <w:szCs w:val="21"/>
          <w:bdr w:val="single" w:color="D9D9E3" w:sz="2" w:space="0"/>
        </w:rPr>
        <w:t>2020:</w:t>
      </w:r>
      <w:r>
        <w:rPr>
          <w:rFonts w:ascii="Segoe UI" w:hAnsi="Segoe UI" w:cs="Segoe UI"/>
          <w:sz w:val="21"/>
          <w:szCs w:val="21"/>
        </w:rPr>
        <w:t xml:space="preserve"> Debtors Collection Period = (£1,287m / £6,441m) * 365 ≈ 73 days</w:t>
      </w:r>
    </w:p>
    <w:p>
      <w:pPr>
        <w:pStyle w:val="4"/>
        <w:numPr>
          <w:ilvl w:val="0"/>
          <w:numId w:val="1"/>
        </w:numPr>
        <w:pBdr>
          <w:top w:val="single" w:color="D9D9E3" w:sz="2" w:space="0"/>
          <w:left w:val="single" w:color="D9D9E3" w:sz="2" w:space="5"/>
          <w:bottom w:val="single" w:color="D9D9E3" w:sz="2" w:space="0"/>
          <w:right w:val="single" w:color="D9D9E3" w:sz="2" w:space="0"/>
        </w:pBdr>
        <w:spacing w:before="0" w:beforeAutospacing="0" w:after="0" w:afterAutospacing="0"/>
        <w:rPr>
          <w:rFonts w:ascii="Segoe UI" w:hAnsi="Segoe UI" w:cs="Segoe UI"/>
          <w:sz w:val="21"/>
          <w:szCs w:val="21"/>
        </w:rPr>
      </w:pPr>
      <w:r>
        <w:rPr>
          <w:rStyle w:val="5"/>
          <w:rFonts w:ascii="Segoe UI" w:hAnsi="Segoe UI" w:cs="Segoe UI"/>
          <w:sz w:val="21"/>
          <w:szCs w:val="21"/>
          <w:bdr w:val="single" w:color="D9D9E3" w:sz="2" w:space="0"/>
        </w:rPr>
        <w:t>Current Ratio</w:t>
      </w:r>
      <w:r>
        <w:rPr>
          <w:rFonts w:ascii="Segoe UI" w:hAnsi="Segoe UI" w:cs="Segoe UI"/>
          <w:sz w:val="21"/>
          <w:szCs w:val="21"/>
        </w:rPr>
        <w:t>: Current Ratio = Current Assets / Current Liabilities</w:t>
      </w:r>
    </w:p>
    <w:p>
      <w:pPr>
        <w:pStyle w:val="4"/>
        <w:pBdr>
          <w:top w:val="single" w:color="D9D9E3" w:sz="2" w:space="0"/>
          <w:left w:val="single" w:color="D9D9E3" w:sz="2" w:space="5"/>
          <w:bottom w:val="single" w:color="D9D9E3" w:sz="2" w:space="0"/>
          <w:right w:val="single" w:color="D9D9E3" w:sz="2" w:space="0"/>
        </w:pBdr>
        <w:spacing w:before="0" w:beforeAutospacing="0" w:after="0" w:afterAutospacing="0"/>
        <w:ind w:left="720"/>
        <w:rPr>
          <w:rFonts w:ascii="Segoe UI" w:hAnsi="Segoe UI" w:cs="Segoe UI"/>
          <w:sz w:val="21"/>
          <w:szCs w:val="21"/>
        </w:rPr>
      </w:pPr>
      <w:r>
        <w:rPr>
          <w:rStyle w:val="5"/>
          <w:rFonts w:ascii="Segoe UI" w:hAnsi="Segoe UI" w:cs="Segoe UI"/>
          <w:sz w:val="21"/>
          <w:szCs w:val="21"/>
          <w:bdr w:val="single" w:color="D9D9E3" w:sz="2" w:space="0"/>
        </w:rPr>
        <w:t>2021:</w:t>
      </w:r>
      <w:r>
        <w:rPr>
          <w:rFonts w:ascii="Segoe UI" w:hAnsi="Segoe UI" w:cs="Segoe UI"/>
          <w:sz w:val="21"/>
          <w:szCs w:val="21"/>
        </w:rPr>
        <w:t xml:space="preserve"> Current Ratio = £2,303m / £2,511m ≈ 0.92</w:t>
      </w:r>
    </w:p>
    <w:p>
      <w:pPr>
        <w:pStyle w:val="4"/>
        <w:pBdr>
          <w:top w:val="single" w:color="D9D9E3" w:sz="2" w:space="0"/>
          <w:left w:val="single" w:color="D9D9E3" w:sz="2" w:space="5"/>
          <w:bottom w:val="single" w:color="D9D9E3" w:sz="2" w:space="0"/>
          <w:right w:val="single" w:color="D9D9E3" w:sz="2" w:space="0"/>
        </w:pBdr>
        <w:spacing w:before="0" w:beforeAutospacing="0" w:after="0" w:afterAutospacing="0"/>
        <w:ind w:left="720"/>
        <w:rPr>
          <w:rFonts w:ascii="Segoe UI" w:hAnsi="Segoe UI" w:cs="Segoe UI"/>
          <w:sz w:val="21"/>
          <w:szCs w:val="21"/>
        </w:rPr>
      </w:pPr>
      <w:r>
        <w:rPr>
          <w:rStyle w:val="5"/>
          <w:rFonts w:ascii="Segoe UI" w:hAnsi="Segoe UI" w:cs="Segoe UI"/>
          <w:sz w:val="21"/>
          <w:szCs w:val="21"/>
          <w:bdr w:val="single" w:color="D9D9E3" w:sz="2" w:space="0"/>
        </w:rPr>
        <w:t>2020:</w:t>
      </w:r>
      <w:r>
        <w:rPr>
          <w:rFonts w:ascii="Segoe UI" w:hAnsi="Segoe UI" w:cs="Segoe UI"/>
          <w:sz w:val="21"/>
          <w:szCs w:val="21"/>
        </w:rPr>
        <w:t xml:space="preserve"> Current Ratio = £2,355m / £3,046m ≈ 0.77</w:t>
      </w:r>
    </w:p>
    <w:p>
      <w:pPr>
        <w:pStyle w:val="4"/>
        <w:numPr>
          <w:ilvl w:val="0"/>
          <w:numId w:val="1"/>
        </w:numPr>
        <w:pBdr>
          <w:top w:val="single" w:color="D9D9E3" w:sz="2" w:space="0"/>
          <w:left w:val="single" w:color="D9D9E3" w:sz="2" w:space="5"/>
          <w:bottom w:val="single" w:color="D9D9E3" w:sz="2" w:space="0"/>
          <w:right w:val="single" w:color="D9D9E3" w:sz="2" w:space="0"/>
        </w:pBdr>
        <w:spacing w:before="0" w:beforeAutospacing="0" w:after="0" w:afterAutospacing="0"/>
        <w:rPr>
          <w:rFonts w:ascii="Segoe UI" w:hAnsi="Segoe UI" w:cs="Segoe UI"/>
          <w:sz w:val="21"/>
          <w:szCs w:val="21"/>
        </w:rPr>
      </w:pPr>
      <w:r>
        <w:rPr>
          <w:rStyle w:val="5"/>
          <w:rFonts w:ascii="Segoe UI" w:hAnsi="Segoe UI" w:cs="Segoe UI"/>
          <w:sz w:val="21"/>
          <w:szCs w:val="21"/>
          <w:bdr w:val="single" w:color="D9D9E3" w:sz="2" w:space="0"/>
        </w:rPr>
        <w:t>Gearing Ratio</w:t>
      </w:r>
      <w:r>
        <w:rPr>
          <w:rFonts w:ascii="Segoe UI" w:hAnsi="Segoe UI" w:cs="Segoe UI"/>
          <w:sz w:val="21"/>
          <w:szCs w:val="21"/>
        </w:rPr>
        <w:t>: Gearing Ratio = (Loans and Borrowings / Total Equity) * 100</w:t>
      </w:r>
    </w:p>
    <w:p>
      <w:pPr>
        <w:pStyle w:val="4"/>
        <w:pBdr>
          <w:top w:val="single" w:color="D9D9E3" w:sz="2" w:space="0"/>
          <w:left w:val="single" w:color="D9D9E3" w:sz="2" w:space="5"/>
          <w:bottom w:val="single" w:color="D9D9E3" w:sz="2" w:space="0"/>
          <w:right w:val="single" w:color="D9D9E3" w:sz="2" w:space="0"/>
        </w:pBdr>
        <w:spacing w:before="0" w:beforeAutospacing="0" w:after="0" w:afterAutospacing="0"/>
        <w:ind w:left="720"/>
        <w:rPr>
          <w:rFonts w:ascii="Segoe UI" w:hAnsi="Segoe UI" w:cs="Segoe UI"/>
          <w:sz w:val="21"/>
          <w:szCs w:val="21"/>
        </w:rPr>
      </w:pPr>
      <w:r>
        <w:rPr>
          <w:rStyle w:val="5"/>
          <w:rFonts w:ascii="Segoe UI" w:hAnsi="Segoe UI" w:cs="Segoe UI"/>
          <w:sz w:val="21"/>
          <w:szCs w:val="21"/>
          <w:bdr w:val="single" w:color="D9D9E3" w:sz="2" w:space="0"/>
        </w:rPr>
        <w:t>2021:</w:t>
      </w:r>
      <w:r>
        <w:rPr>
          <w:rFonts w:ascii="Segoe UI" w:hAnsi="Segoe UI" w:cs="Segoe UI"/>
          <w:sz w:val="21"/>
          <w:szCs w:val="21"/>
        </w:rPr>
        <w:t xml:space="preserve"> Gearing Ratio = (£4,137m / £3,088m) * 100 ≈ 133.69%</w:t>
      </w:r>
    </w:p>
    <w:p>
      <w:pPr>
        <w:pStyle w:val="4"/>
        <w:pBdr>
          <w:top w:val="single" w:color="D9D9E3" w:sz="2" w:space="0"/>
          <w:left w:val="single" w:color="D9D9E3" w:sz="2" w:space="5"/>
          <w:bottom w:val="single" w:color="D9D9E3" w:sz="2" w:space="0"/>
          <w:right w:val="single" w:color="D9D9E3" w:sz="2" w:space="0"/>
        </w:pBdr>
        <w:spacing w:before="0" w:beforeAutospacing="0" w:after="0" w:afterAutospacing="0"/>
        <w:ind w:left="720"/>
        <w:rPr>
          <w:rFonts w:ascii="Segoe UI" w:hAnsi="Segoe UI" w:cs="Segoe UI"/>
          <w:sz w:val="21"/>
          <w:szCs w:val="21"/>
        </w:rPr>
      </w:pPr>
      <w:r>
        <w:rPr>
          <w:rStyle w:val="5"/>
          <w:rFonts w:ascii="Segoe UI" w:hAnsi="Segoe UI" w:cs="Segoe UI"/>
          <w:sz w:val="21"/>
          <w:szCs w:val="21"/>
          <w:bdr w:val="single" w:color="D9D9E3" w:sz="2" w:space="0"/>
        </w:rPr>
        <w:t>2020:</w:t>
      </w:r>
      <w:r>
        <w:rPr>
          <w:rFonts w:ascii="Segoe UI" w:hAnsi="Segoe UI" w:cs="Segoe UI"/>
          <w:sz w:val="21"/>
          <w:szCs w:val="21"/>
        </w:rPr>
        <w:t xml:space="preserve"> Gearing Ratio = (£4,129m / £2,912m) * 100 ≈ 141.81%</w:t>
      </w:r>
    </w:p>
    <w:p>
      <w:pPr>
        <w:pStyle w:val="4"/>
        <w:numPr>
          <w:ilvl w:val="0"/>
          <w:numId w:val="1"/>
        </w:numPr>
        <w:pBdr>
          <w:top w:val="single" w:color="D9D9E3" w:sz="2" w:space="0"/>
          <w:left w:val="single" w:color="D9D9E3" w:sz="2" w:space="5"/>
          <w:bottom w:val="single" w:color="D9D9E3" w:sz="2" w:space="0"/>
          <w:right w:val="single" w:color="D9D9E3" w:sz="2" w:space="0"/>
        </w:pBdr>
        <w:spacing w:before="0" w:beforeAutospacing="0" w:after="0" w:afterAutospacing="0"/>
        <w:rPr>
          <w:rFonts w:ascii="Segoe UI" w:hAnsi="Segoe UI" w:cs="Segoe UI"/>
          <w:sz w:val="21"/>
          <w:szCs w:val="21"/>
        </w:rPr>
      </w:pPr>
      <w:r>
        <w:rPr>
          <w:rStyle w:val="5"/>
          <w:rFonts w:ascii="Segoe UI" w:hAnsi="Segoe UI" w:cs="Segoe UI"/>
          <w:sz w:val="21"/>
          <w:szCs w:val="21"/>
          <w:bdr w:val="single" w:color="D9D9E3" w:sz="2" w:space="0"/>
        </w:rPr>
        <w:t>Interest Cover</w:t>
      </w:r>
      <w:r>
        <w:rPr>
          <w:rFonts w:ascii="Segoe UI" w:hAnsi="Segoe UI" w:cs="Segoe UI"/>
          <w:sz w:val="21"/>
          <w:szCs w:val="21"/>
        </w:rPr>
        <w:t>: Interest Cover = Operating Profit / Interest Payable</w:t>
      </w:r>
    </w:p>
    <w:p>
      <w:pPr>
        <w:pStyle w:val="4"/>
        <w:pBdr>
          <w:top w:val="single" w:color="D9D9E3" w:sz="2" w:space="0"/>
          <w:left w:val="single" w:color="D9D9E3" w:sz="2" w:space="5"/>
          <w:bottom w:val="single" w:color="D9D9E3" w:sz="2" w:space="0"/>
          <w:right w:val="single" w:color="D9D9E3" w:sz="2" w:space="0"/>
        </w:pBdr>
        <w:spacing w:before="0" w:beforeAutospacing="0" w:after="0" w:afterAutospacing="0"/>
        <w:ind w:left="720"/>
        <w:rPr>
          <w:rFonts w:ascii="Segoe UI" w:hAnsi="Segoe UI" w:cs="Segoe UI"/>
          <w:sz w:val="21"/>
          <w:szCs w:val="21"/>
        </w:rPr>
      </w:pPr>
      <w:r>
        <w:rPr>
          <w:rStyle w:val="5"/>
          <w:rFonts w:ascii="Segoe UI" w:hAnsi="Segoe UI" w:cs="Segoe UI"/>
          <w:sz w:val="21"/>
          <w:szCs w:val="21"/>
          <w:bdr w:val="single" w:color="D9D9E3" w:sz="2" w:space="0"/>
        </w:rPr>
        <w:t>2021:</w:t>
      </w:r>
      <w:r>
        <w:rPr>
          <w:rFonts w:ascii="Segoe UI" w:hAnsi="Segoe UI" w:cs="Segoe UI"/>
          <w:sz w:val="21"/>
          <w:szCs w:val="21"/>
        </w:rPr>
        <w:t xml:space="preserve"> Interest Cover = £805m / £226m ≈ 3.56 times</w:t>
      </w:r>
    </w:p>
    <w:p>
      <w:pPr>
        <w:pStyle w:val="4"/>
        <w:pBdr>
          <w:top w:val="single" w:color="D9D9E3" w:sz="2" w:space="0"/>
          <w:left w:val="single" w:color="D9D9E3" w:sz="2" w:space="5"/>
          <w:bottom w:val="single" w:color="D9D9E3" w:sz="2" w:space="0"/>
          <w:right w:val="single" w:color="D9D9E3" w:sz="2" w:space="0"/>
        </w:pBdr>
        <w:spacing w:before="0" w:beforeAutospacing="0" w:after="0" w:afterAutospacing="0"/>
        <w:ind w:left="720"/>
        <w:rPr>
          <w:rFonts w:ascii="Segoe UI" w:hAnsi="Segoe UI" w:cs="Segoe UI"/>
          <w:sz w:val="21"/>
          <w:szCs w:val="21"/>
        </w:rPr>
      </w:pPr>
      <w:r>
        <w:rPr>
          <w:rStyle w:val="5"/>
          <w:rFonts w:ascii="Segoe UI" w:hAnsi="Segoe UI" w:cs="Segoe UI"/>
          <w:sz w:val="21"/>
          <w:szCs w:val="21"/>
          <w:bdr w:val="single" w:color="D9D9E3" w:sz="2" w:space="0"/>
        </w:rPr>
        <w:t>2020:</w:t>
      </w:r>
      <w:r>
        <w:rPr>
          <w:rFonts w:ascii="Segoe UI" w:hAnsi="Segoe UI" w:cs="Segoe UI"/>
          <w:sz w:val="21"/>
          <w:szCs w:val="21"/>
        </w:rPr>
        <w:t xml:space="preserve"> Interest Cover = £699m / £181m ≈ 3.86 times</w:t>
      </w:r>
    </w:p>
    <w:p>
      <w:pPr>
        <w:pStyle w:val="4"/>
        <w:pBdr>
          <w:top w:val="single" w:color="D9D9E3" w:sz="2" w:space="0"/>
          <w:left w:val="single" w:color="D9D9E3" w:sz="2" w:space="0"/>
          <w:bottom w:val="single" w:color="D9D9E3" w:sz="2" w:space="0"/>
          <w:right w:val="single" w:color="D9D9E3" w:sz="2" w:space="0"/>
        </w:pBdr>
        <w:spacing w:before="300" w:beforeAutospacing="0" w:after="300" w:afterAutospacing="0"/>
        <w:rPr>
          <w:rFonts w:ascii="Segoe UI" w:hAnsi="Segoe UI" w:cs="Segoe UI"/>
          <w:sz w:val="21"/>
          <w:szCs w:val="21"/>
        </w:rPr>
      </w:pPr>
      <w:r>
        <w:rPr>
          <w:rFonts w:hint="default" w:ascii="Segoe UI" w:hAnsi="Segoe UI" w:cs="Segoe UI"/>
          <w:b/>
          <w:bCs/>
          <w:sz w:val="21"/>
          <w:szCs w:val="21"/>
          <w:lang w:val="en-IN"/>
        </w:rPr>
        <w:t>2</w:t>
      </w:r>
      <w:r>
        <w:rPr>
          <w:rFonts w:ascii="Segoe UI" w:hAnsi="Segoe UI" w:cs="Segoe UI"/>
          <w:b/>
          <w:bCs/>
          <w:sz w:val="21"/>
          <w:szCs w:val="21"/>
        </w:rPr>
        <w:t>b.</w:t>
      </w:r>
      <w:r>
        <w:rPr>
          <w:rFonts w:ascii="Segoe UI" w:hAnsi="Segoe UI" w:cs="Segoe UI"/>
          <w:sz w:val="21"/>
          <w:szCs w:val="21"/>
        </w:rPr>
        <w:t xml:space="preserve"> </w:t>
      </w:r>
      <w:r>
        <w:rPr>
          <w:rStyle w:val="5"/>
          <w:rFonts w:ascii="Segoe UI" w:hAnsi="Segoe UI" w:cs="Segoe UI"/>
          <w:sz w:val="21"/>
          <w:szCs w:val="21"/>
          <w:bdr w:val="single" w:color="D9D9E3" w:sz="2" w:space="0"/>
        </w:rPr>
        <w:t>Financial Performance and Position Analysis:</w:t>
      </w:r>
    </w:p>
    <w:p>
      <w:pPr>
        <w:pStyle w:val="4"/>
        <w:numPr>
          <w:ilvl w:val="0"/>
          <w:numId w:val="2"/>
        </w:numPr>
        <w:pBdr>
          <w:top w:val="single" w:color="D9D9E3" w:sz="2" w:space="0"/>
          <w:left w:val="single" w:color="D9D9E3" w:sz="2" w:space="5"/>
          <w:bottom w:val="single" w:color="D9D9E3" w:sz="2" w:space="0"/>
          <w:right w:val="single" w:color="D9D9E3" w:sz="2" w:space="0"/>
        </w:pBdr>
        <w:spacing w:before="0" w:beforeAutospacing="0" w:after="0" w:afterAutospacing="0"/>
        <w:rPr>
          <w:rFonts w:ascii="Segoe UI" w:hAnsi="Segoe UI" w:cs="Segoe UI"/>
          <w:sz w:val="21"/>
          <w:szCs w:val="21"/>
        </w:rPr>
      </w:pPr>
      <w:r>
        <w:rPr>
          <w:rStyle w:val="5"/>
          <w:rFonts w:ascii="Segoe UI" w:hAnsi="Segoe UI" w:cs="Segoe UI"/>
          <w:sz w:val="21"/>
          <w:szCs w:val="21"/>
          <w:bdr w:val="single" w:color="D9D9E3" w:sz="2" w:space="0"/>
        </w:rPr>
        <w:t>Profitability:</w:t>
      </w:r>
      <w:r>
        <w:rPr>
          <w:rFonts w:ascii="Segoe UI" w:hAnsi="Segoe UI" w:cs="Segoe UI"/>
          <w:sz w:val="21"/>
          <w:szCs w:val="21"/>
        </w:rPr>
        <w:t xml:space="preserve"> The company's profitability has improved over the years, with higher ROCE and ROE in 2021 compared to 2020. The net profit margin has also increased, indicating better cost management and stronger revenue generation.</w:t>
      </w:r>
    </w:p>
    <w:p>
      <w:pPr>
        <w:pStyle w:val="4"/>
        <w:numPr>
          <w:ilvl w:val="0"/>
          <w:numId w:val="2"/>
        </w:numPr>
        <w:pBdr>
          <w:top w:val="single" w:color="D9D9E3" w:sz="2" w:space="0"/>
          <w:left w:val="single" w:color="D9D9E3" w:sz="2" w:space="5"/>
          <w:bottom w:val="single" w:color="D9D9E3" w:sz="2" w:space="0"/>
          <w:right w:val="single" w:color="D9D9E3" w:sz="2" w:space="0"/>
        </w:pBdr>
        <w:spacing w:before="0" w:beforeAutospacing="0" w:after="0" w:afterAutospacing="0"/>
        <w:rPr>
          <w:rFonts w:ascii="Segoe UI" w:hAnsi="Segoe UI" w:cs="Segoe UI"/>
          <w:sz w:val="21"/>
          <w:szCs w:val="21"/>
        </w:rPr>
      </w:pPr>
      <w:r>
        <w:rPr>
          <w:rStyle w:val="5"/>
          <w:rFonts w:ascii="Segoe UI" w:hAnsi="Segoe UI" w:cs="Segoe UI"/>
          <w:sz w:val="21"/>
          <w:szCs w:val="21"/>
          <w:bdr w:val="single" w:color="D9D9E3" w:sz="2" w:space="0"/>
        </w:rPr>
        <w:t>Efficiency:</w:t>
      </w:r>
      <w:r>
        <w:rPr>
          <w:rFonts w:ascii="Segoe UI" w:hAnsi="Segoe UI" w:cs="Segoe UI"/>
          <w:sz w:val="21"/>
          <w:szCs w:val="21"/>
        </w:rPr>
        <w:t xml:space="preserve"> Asset turnover has increased slightly, suggesting that the company is utilizing its assets more effectively to generate revenue.</w:t>
      </w:r>
    </w:p>
    <w:p>
      <w:pPr>
        <w:pStyle w:val="4"/>
        <w:numPr>
          <w:ilvl w:val="0"/>
          <w:numId w:val="2"/>
        </w:numPr>
        <w:pBdr>
          <w:top w:val="single" w:color="D9D9E3" w:sz="2" w:space="0"/>
          <w:left w:val="single" w:color="D9D9E3" w:sz="2" w:space="5"/>
          <w:bottom w:val="single" w:color="D9D9E3" w:sz="2" w:space="0"/>
          <w:right w:val="single" w:color="D9D9E3" w:sz="2" w:space="0"/>
        </w:pBdr>
        <w:spacing w:before="0" w:beforeAutospacing="0" w:after="0" w:afterAutospacing="0"/>
        <w:rPr>
          <w:rFonts w:ascii="Segoe UI" w:hAnsi="Segoe UI" w:cs="Segoe UI"/>
          <w:sz w:val="21"/>
          <w:szCs w:val="21"/>
        </w:rPr>
      </w:pPr>
      <w:r>
        <w:rPr>
          <w:rStyle w:val="5"/>
          <w:rFonts w:ascii="Segoe UI" w:hAnsi="Segoe UI" w:cs="Segoe UI"/>
          <w:sz w:val="21"/>
          <w:szCs w:val="21"/>
          <w:bdr w:val="single" w:color="D9D9E3" w:sz="2" w:space="0"/>
        </w:rPr>
        <w:t>Liquidity:</w:t>
      </w:r>
      <w:r>
        <w:rPr>
          <w:rFonts w:ascii="Segoe UI" w:hAnsi="Segoe UI" w:cs="Segoe UI"/>
          <w:sz w:val="21"/>
          <w:szCs w:val="21"/>
        </w:rPr>
        <w:t xml:space="preserve"> The current ratio has improved in 2021, indicating better short-term liquidity and the ability to meet current liabilities. This might be due to more efficient management of current assets and liabilities.</w:t>
      </w:r>
    </w:p>
    <w:p>
      <w:pPr>
        <w:pStyle w:val="4"/>
        <w:numPr>
          <w:ilvl w:val="0"/>
          <w:numId w:val="2"/>
        </w:numPr>
        <w:pBdr>
          <w:top w:val="single" w:color="D9D9E3" w:sz="2" w:space="0"/>
          <w:left w:val="single" w:color="D9D9E3" w:sz="2" w:space="5"/>
          <w:bottom w:val="single" w:color="D9D9E3" w:sz="2" w:space="0"/>
          <w:right w:val="single" w:color="D9D9E3" w:sz="2" w:space="0"/>
        </w:pBdr>
        <w:spacing w:before="0" w:beforeAutospacing="0" w:after="0" w:afterAutospacing="0"/>
        <w:rPr>
          <w:rFonts w:ascii="Segoe UI" w:hAnsi="Segoe UI" w:cs="Segoe UI"/>
          <w:sz w:val="21"/>
          <w:szCs w:val="21"/>
        </w:rPr>
      </w:pPr>
      <w:r>
        <w:rPr>
          <w:rStyle w:val="5"/>
          <w:rFonts w:ascii="Segoe UI" w:hAnsi="Segoe UI" w:cs="Segoe UI"/>
          <w:sz w:val="21"/>
          <w:szCs w:val="21"/>
          <w:bdr w:val="single" w:color="D9D9E3" w:sz="2" w:space="0"/>
        </w:rPr>
        <w:t>Debt and Gearing:</w:t>
      </w:r>
      <w:r>
        <w:rPr>
          <w:rFonts w:ascii="Segoe UI" w:hAnsi="Segoe UI" w:cs="Segoe UI"/>
          <w:sz w:val="21"/>
          <w:szCs w:val="21"/>
        </w:rPr>
        <w:t xml:space="preserve"> The gearing ratio has decreased slightly, indicating a lower proportion of debt in the capital structure. While the ratio is still relatively high, it has moved in the right direction.</w:t>
      </w:r>
    </w:p>
    <w:p>
      <w:pPr>
        <w:pStyle w:val="4"/>
        <w:numPr>
          <w:ilvl w:val="0"/>
          <w:numId w:val="2"/>
        </w:numPr>
        <w:pBdr>
          <w:top w:val="single" w:color="D9D9E3" w:sz="2" w:space="0"/>
          <w:left w:val="single" w:color="D9D9E3" w:sz="2" w:space="5"/>
          <w:bottom w:val="single" w:color="D9D9E3" w:sz="2" w:space="0"/>
          <w:right w:val="single" w:color="D9D9E3" w:sz="2" w:space="0"/>
        </w:pBdr>
        <w:spacing w:before="0" w:beforeAutospacing="0" w:after="0" w:afterAutospacing="0"/>
        <w:rPr>
          <w:rFonts w:ascii="Segoe UI" w:hAnsi="Segoe UI" w:cs="Segoe UI"/>
          <w:sz w:val="21"/>
          <w:szCs w:val="21"/>
        </w:rPr>
      </w:pPr>
      <w:r>
        <w:rPr>
          <w:rStyle w:val="5"/>
          <w:rFonts w:ascii="Segoe UI" w:hAnsi="Segoe UI" w:cs="Segoe UI"/>
          <w:sz w:val="21"/>
          <w:szCs w:val="21"/>
          <w:bdr w:val="single" w:color="D9D9E3" w:sz="2" w:space="0"/>
        </w:rPr>
        <w:t>Interest Coverage:</w:t>
      </w:r>
      <w:r>
        <w:rPr>
          <w:rFonts w:ascii="Segoe UI" w:hAnsi="Segoe UI" w:cs="Segoe UI"/>
          <w:sz w:val="21"/>
          <w:szCs w:val="21"/>
        </w:rPr>
        <w:t xml:space="preserve"> The interest cover has decreased slightly, which might indicate that the company's ability to cover interest payments with its operating profit has slightly weakened.</w:t>
      </w:r>
    </w:p>
    <w:p>
      <w:pPr>
        <w:pStyle w:val="4"/>
        <w:numPr>
          <w:ilvl w:val="0"/>
          <w:numId w:val="2"/>
        </w:numPr>
        <w:pBdr>
          <w:top w:val="single" w:color="D9D9E3" w:sz="2" w:space="0"/>
          <w:left w:val="single" w:color="D9D9E3" w:sz="2" w:space="5"/>
          <w:bottom w:val="single" w:color="D9D9E3" w:sz="2" w:space="0"/>
          <w:right w:val="single" w:color="D9D9E3" w:sz="2" w:space="0"/>
        </w:pBdr>
        <w:spacing w:before="0" w:beforeAutospacing="0" w:after="0" w:afterAutospacing="0"/>
        <w:rPr>
          <w:rFonts w:ascii="Segoe UI" w:hAnsi="Segoe UI" w:cs="Segoe UI"/>
          <w:sz w:val="21"/>
          <w:szCs w:val="21"/>
        </w:rPr>
      </w:pPr>
      <w:r>
        <w:rPr>
          <w:rStyle w:val="5"/>
          <w:rFonts w:ascii="Segoe UI" w:hAnsi="Segoe UI" w:cs="Segoe UI"/>
          <w:sz w:val="21"/>
          <w:szCs w:val="21"/>
          <w:bdr w:val="single" w:color="D9D9E3" w:sz="2" w:space="0"/>
        </w:rPr>
        <w:t>Inventory and Receivables Management:</w:t>
      </w:r>
      <w:r>
        <w:rPr>
          <w:rFonts w:ascii="Segoe UI" w:hAnsi="Segoe UI" w:cs="Segoe UI"/>
          <w:sz w:val="21"/>
          <w:szCs w:val="21"/>
        </w:rPr>
        <w:t xml:space="preserve"> Stock holding days have decreased slightly, suggesting improved inventory management. The debtors collection period has also improved, indicating better collection of receivables.</w:t>
      </w:r>
    </w:p>
    <w:p>
      <w:pPr>
        <w:pStyle w:val="4"/>
        <w:pBdr>
          <w:top w:val="single" w:color="D9D9E3" w:sz="2" w:space="0"/>
          <w:left w:val="single" w:color="D9D9E3" w:sz="2" w:space="0"/>
          <w:bottom w:val="single" w:color="D9D9E3" w:sz="2" w:space="0"/>
          <w:right w:val="single" w:color="D9D9E3" w:sz="2" w:space="0"/>
        </w:pBdr>
        <w:spacing w:before="300" w:beforeAutospacing="0" w:after="0" w:afterAutospacing="0"/>
        <w:rPr>
          <w:rFonts w:ascii="Segoe UI" w:hAnsi="Segoe UI" w:cs="Segoe UI"/>
          <w:sz w:val="21"/>
          <w:szCs w:val="21"/>
        </w:rPr>
      </w:pPr>
      <w:r>
        <w:rPr>
          <w:rFonts w:ascii="Segoe UI" w:hAnsi="Segoe UI" w:cs="Segoe UI"/>
          <w:sz w:val="21"/>
          <w:szCs w:val="21"/>
        </w:rPr>
        <w:t xml:space="preserve">Overall, Sweets plc seems to have made improvements in various aspects of its financial performance and position in 2021 compared to 2020. The company's profitability, efficiency, and </w:t>
      </w:r>
    </w:p>
    <w:p>
      <w:pPr>
        <w:pStyle w:val="4"/>
        <w:pBdr>
          <w:top w:val="single" w:color="D9D9E3" w:sz="2" w:space="0"/>
          <w:left w:val="single" w:color="D9D9E3" w:sz="2" w:space="0"/>
          <w:bottom w:val="single" w:color="D9D9E3" w:sz="2" w:space="0"/>
          <w:right w:val="single" w:color="D9D9E3" w:sz="2" w:space="0"/>
        </w:pBdr>
        <w:spacing w:before="300" w:beforeAutospacing="0" w:after="0" w:afterAutospacing="0"/>
        <w:rPr>
          <w:rFonts w:hint="default" w:ascii="Segoe UI" w:hAnsi="Segoe UI" w:cs="Segoe UI"/>
          <w:b/>
          <w:bCs/>
          <w:sz w:val="21"/>
          <w:szCs w:val="21"/>
          <w:lang w:val="en-IN"/>
        </w:rPr>
      </w:pPr>
    </w:p>
    <w:p>
      <w:pPr>
        <w:pStyle w:val="4"/>
        <w:pBdr>
          <w:top w:val="single" w:color="D9D9E3" w:sz="2" w:space="0"/>
          <w:left w:val="single" w:color="D9D9E3" w:sz="2" w:space="0"/>
          <w:bottom w:val="single" w:color="D9D9E3" w:sz="2" w:space="0"/>
          <w:right w:val="single" w:color="D9D9E3" w:sz="2" w:space="0"/>
        </w:pBdr>
        <w:spacing w:before="300" w:beforeAutospacing="0" w:after="0" w:afterAutospacing="0"/>
        <w:rPr>
          <w:rFonts w:ascii="Segoe UI" w:hAnsi="Segoe UI" w:cs="Segoe UI"/>
          <w:sz w:val="21"/>
          <w:szCs w:val="21"/>
        </w:rPr>
      </w:pPr>
      <w:r>
        <w:rPr>
          <w:rFonts w:hint="default" w:ascii="Segoe UI" w:hAnsi="Segoe UI" w:cs="Segoe UI"/>
          <w:b/>
          <w:bCs/>
          <w:sz w:val="21"/>
          <w:szCs w:val="21"/>
          <w:lang w:val="en-IN"/>
        </w:rPr>
        <w:t>References :</w:t>
      </w:r>
    </w:p>
    <w:p>
      <w:pPr>
        <w:pStyle w:val="4"/>
        <w:pBdr>
          <w:top w:val="single" w:color="D9D9E3" w:sz="2" w:space="0"/>
          <w:left w:val="single" w:color="D9D9E3" w:sz="2" w:space="0"/>
          <w:bottom w:val="single" w:color="D9D9E3" w:sz="2" w:space="0"/>
          <w:right w:val="single" w:color="D9D9E3" w:sz="2" w:space="0"/>
        </w:pBdr>
        <w:spacing w:before="300" w:beforeAutospacing="0" w:after="0" w:afterAutospacing="0"/>
        <w:rPr>
          <w:rFonts w:ascii="Segoe UI" w:hAnsi="Segoe UI" w:cs="Segoe UI"/>
          <w:sz w:val="21"/>
          <w:szCs w:val="21"/>
        </w:rPr>
      </w:pPr>
      <w:r>
        <w:rPr>
          <w:rFonts w:ascii="Segoe UI" w:hAnsi="Segoe UI" w:cs="Segoe UI"/>
          <w:sz w:val="21"/>
          <w:szCs w:val="21"/>
        </w:rPr>
        <w:t>liquidity have generally improved. However, the relatively high gearing ratio and a slight decrease in interest cover might warrant further attention.</w:t>
      </w:r>
    </w:p>
    <w:p>
      <w:pPr>
        <w:pStyle w:val="4"/>
        <w:pBdr>
          <w:top w:val="single" w:color="D9D9E3" w:sz="2" w:space="0"/>
          <w:left w:val="single" w:color="D9D9E3" w:sz="2" w:space="0"/>
          <w:bottom w:val="single" w:color="D9D9E3" w:sz="2" w:space="0"/>
          <w:right w:val="single" w:color="D9D9E3" w:sz="2" w:space="0"/>
        </w:pBdr>
        <w:spacing w:before="300" w:beforeAutospacing="0" w:after="0" w:afterAutospacing="0"/>
        <w:rPr>
          <w:rFonts w:hint="default" w:ascii="Segoe UI" w:hAnsi="Segoe UI" w:cs="Segoe UI"/>
          <w:sz w:val="21"/>
          <w:szCs w:val="21"/>
        </w:rPr>
      </w:pPr>
      <w:bookmarkStart w:id="0" w:name="_GoBack"/>
      <w:bookmarkEnd w:id="0"/>
      <w:r>
        <w:rPr>
          <w:rFonts w:hint="default" w:ascii="Segoe UI" w:hAnsi="Segoe UI" w:cs="Segoe UI"/>
          <w:sz w:val="21"/>
          <w:szCs w:val="21"/>
        </w:rPr>
        <w:t>Williams J. 1938. The Theory of Investment Value. Cambridge, MA.: Harvard University Press.</w:t>
      </w:r>
    </w:p>
    <w:p>
      <w:pPr>
        <w:pStyle w:val="4"/>
        <w:pBdr>
          <w:top w:val="single" w:color="D9D9E3" w:sz="2" w:space="0"/>
          <w:left w:val="single" w:color="D9D9E3" w:sz="2" w:space="0"/>
          <w:bottom w:val="single" w:color="D9D9E3" w:sz="2" w:space="0"/>
          <w:right w:val="single" w:color="D9D9E3" w:sz="2" w:space="0"/>
        </w:pBdr>
        <w:spacing w:before="300" w:beforeAutospacing="0" w:after="0" w:afterAutospacing="0"/>
        <w:rPr>
          <w:rFonts w:hint="default" w:ascii="Segoe UI" w:hAnsi="Segoe UI" w:cs="Segoe UI"/>
          <w:sz w:val="21"/>
          <w:szCs w:val="21"/>
        </w:rPr>
      </w:pPr>
      <w:r>
        <w:rPr>
          <w:rFonts w:hint="default" w:ascii="Segoe UI" w:hAnsi="Segoe UI" w:cs="Segoe UI"/>
          <w:sz w:val="21"/>
          <w:szCs w:val="21"/>
        </w:rPr>
        <w:t>Edwards E., Bell P. 1961. The Theory and Measurement of Business Income. Berkeley: The University of California Press.</w:t>
      </w:r>
    </w:p>
    <w:p>
      <w:pPr>
        <w:pStyle w:val="4"/>
        <w:pBdr>
          <w:top w:val="single" w:color="D9D9E3" w:sz="2" w:space="0"/>
          <w:left w:val="single" w:color="D9D9E3" w:sz="2" w:space="0"/>
          <w:bottom w:val="single" w:color="D9D9E3" w:sz="2" w:space="0"/>
          <w:right w:val="single" w:color="D9D9E3" w:sz="2" w:space="0"/>
        </w:pBdr>
        <w:spacing w:before="300" w:beforeAutospacing="0" w:after="0" w:afterAutospacing="0"/>
        <w:rPr>
          <w:rFonts w:hint="default" w:ascii="Segoe UI" w:hAnsi="Segoe UI" w:cs="Segoe UI"/>
          <w:sz w:val="21"/>
          <w:szCs w:val="21"/>
        </w:rPr>
      </w:pPr>
      <w:r>
        <w:rPr>
          <w:rFonts w:hint="default" w:ascii="Segoe UI" w:hAnsi="Segoe UI" w:cs="Segoe UI"/>
          <w:sz w:val="21"/>
          <w:szCs w:val="21"/>
        </w:rPr>
        <w:t>Ball R., Brown P. 1968. “An empirical evaluation of accounting income numbers.” Journal of Accounting Research 6 (Autumn): 159–178.</w:t>
      </w:r>
    </w:p>
    <w:p>
      <w:pPr>
        <w:pStyle w:val="4"/>
        <w:pBdr>
          <w:top w:val="single" w:color="D9D9E3" w:sz="2" w:space="0"/>
          <w:left w:val="single" w:color="D9D9E3" w:sz="2" w:space="0"/>
          <w:bottom w:val="single" w:color="D9D9E3" w:sz="2" w:space="0"/>
          <w:right w:val="single" w:color="D9D9E3" w:sz="2" w:space="0"/>
        </w:pBdr>
        <w:spacing w:before="300" w:beforeAutospacing="0" w:after="0" w:afterAutospacing="0"/>
        <w:rPr>
          <w:rFonts w:hint="default" w:ascii="Segoe UI" w:hAnsi="Segoe UI" w:cs="Segoe UI"/>
          <w:sz w:val="21"/>
          <w:szCs w:val="21"/>
        </w:rPr>
      </w:pPr>
      <w:r>
        <w:rPr>
          <w:rFonts w:hint="default" w:ascii="Segoe UI" w:hAnsi="Segoe UI" w:cs="Segoe UI"/>
          <w:sz w:val="21"/>
          <w:szCs w:val="21"/>
        </w:rPr>
        <w:t>Rosenberg B., Marathe V. 1975. “The prediction of investment risk: Systematic and residual risk.” Unpublished paper, Institute of Business and Economic Research, Berkeley: University of California.</w:t>
      </w:r>
    </w:p>
    <w:p>
      <w:pPr>
        <w:pStyle w:val="4"/>
        <w:pBdr>
          <w:top w:val="single" w:color="D9D9E3" w:sz="2" w:space="0"/>
          <w:left w:val="single" w:color="D9D9E3" w:sz="2" w:space="0"/>
          <w:bottom w:val="single" w:color="D9D9E3" w:sz="2" w:space="0"/>
          <w:right w:val="single" w:color="D9D9E3" w:sz="2" w:space="0"/>
        </w:pBdr>
        <w:spacing w:before="300" w:beforeAutospacing="0" w:after="0" w:afterAutospacing="0"/>
        <w:rPr>
          <w:rFonts w:hint="default" w:ascii="Segoe UI" w:hAnsi="Segoe UI" w:cs="Segoe UI"/>
          <w:sz w:val="21"/>
          <w:szCs w:val="21"/>
        </w:rPr>
      </w:pPr>
      <w:r>
        <w:rPr>
          <w:rFonts w:hint="default" w:ascii="Segoe UI" w:hAnsi="Segoe UI" w:cs="Segoe UI"/>
          <w:sz w:val="21"/>
          <w:szCs w:val="21"/>
        </w:rPr>
        <w:t>Easton P. 1985. “Accounting earnings and security valuation: Empirical evidence of the fundamental links.” Journal of Accounting Research 23 (Supplement): 54–77.</w:t>
      </w:r>
    </w:p>
    <w:p>
      <w:pPr>
        <w:pStyle w:val="4"/>
        <w:pBdr>
          <w:top w:val="single" w:color="D9D9E3" w:sz="2" w:space="0"/>
          <w:left w:val="single" w:color="D9D9E3" w:sz="2" w:space="0"/>
          <w:bottom w:val="single" w:color="D9D9E3" w:sz="2" w:space="0"/>
          <w:right w:val="single" w:color="D9D9E3" w:sz="2" w:space="0"/>
        </w:pBdr>
        <w:spacing w:before="300" w:beforeAutospacing="0" w:after="0" w:afterAutospacing="0"/>
        <w:rPr>
          <w:rFonts w:ascii="Segoe UI" w:hAnsi="Segoe UI" w:cs="Segoe UI"/>
          <w:sz w:val="21"/>
          <w:szCs w:val="21"/>
        </w:rPr>
      </w:pPr>
      <w:r>
        <w:rPr>
          <w:rFonts w:hint="default" w:ascii="Segoe UI" w:hAnsi="Segoe UI" w:cs="Segoe UI"/>
          <w:sz w:val="21"/>
          <w:szCs w:val="21"/>
        </w:rPr>
        <w:t>Ryan S. 1986. “Structural models of the accounting process and earnings.” Ph.D. dissertation, Stanford: Stanford University</w:t>
      </w:r>
    </w:p>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Segoe UI">
    <w:panose1 w:val="020B0502040204020203"/>
    <w:charset w:val="00"/>
    <w:family w:val="swiss"/>
    <w:pitch w:val="default"/>
    <w:sig w:usb0="E4002EFF" w:usb1="C000E47F" w:usb2="00000009" w:usb3="00000000" w:csb0="200001FF" w:csb1="00000000"/>
  </w:font>
  <w:font w:name="Symbol">
    <w:panose1 w:val="05050102010706020507"/>
    <w:charset w:val="02"/>
    <w:family w:val="roman"/>
    <w:pitch w:val="default"/>
    <w:sig w:usb0="00000000" w:usb1="00000000" w:usb2="00000000" w:usb3="00000000" w:csb0="8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4C8015D0"/>
    <w:multiLevelType w:val="multilevel"/>
    <w:tmpl w:val="4C8015D0"/>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
      <w:lvlJc w:val="left"/>
      <w:pPr>
        <w:tabs>
          <w:tab w:val="left" w:pos="1440"/>
        </w:tabs>
        <w:ind w:left="1440" w:hanging="360"/>
      </w:pPr>
      <w:rPr>
        <w:rFonts w:hint="default" w:ascii="Symbol" w:hAnsi="Symbol"/>
        <w:sz w:val="20"/>
      </w:rPr>
    </w:lvl>
    <w:lvl w:ilvl="2" w:tentative="0">
      <w:start w:val="1"/>
      <w:numFmt w:val="bullet"/>
      <w:lvlText w:val=""/>
      <w:lvlJc w:val="left"/>
      <w:pPr>
        <w:tabs>
          <w:tab w:val="left" w:pos="2160"/>
        </w:tabs>
        <w:ind w:left="2160" w:hanging="360"/>
      </w:pPr>
      <w:rPr>
        <w:rFonts w:hint="default" w:ascii="Symbol" w:hAnsi="Symbol"/>
        <w:sz w:val="20"/>
      </w:rPr>
    </w:lvl>
    <w:lvl w:ilvl="3" w:tentative="0">
      <w:start w:val="1"/>
      <w:numFmt w:val="bullet"/>
      <w:lvlText w:val=""/>
      <w:lvlJc w:val="left"/>
      <w:pPr>
        <w:tabs>
          <w:tab w:val="left" w:pos="2880"/>
        </w:tabs>
        <w:ind w:left="2880" w:hanging="360"/>
      </w:pPr>
      <w:rPr>
        <w:rFonts w:hint="default" w:ascii="Symbol" w:hAnsi="Symbol"/>
        <w:sz w:val="20"/>
      </w:rPr>
    </w:lvl>
    <w:lvl w:ilvl="4" w:tentative="0">
      <w:start w:val="1"/>
      <w:numFmt w:val="bullet"/>
      <w:lvlText w:val=""/>
      <w:lvlJc w:val="left"/>
      <w:pPr>
        <w:tabs>
          <w:tab w:val="left" w:pos="3600"/>
        </w:tabs>
        <w:ind w:left="3600" w:hanging="360"/>
      </w:pPr>
      <w:rPr>
        <w:rFonts w:hint="default" w:ascii="Symbol" w:hAnsi="Symbol"/>
        <w:sz w:val="20"/>
      </w:rPr>
    </w:lvl>
    <w:lvl w:ilvl="5" w:tentative="0">
      <w:start w:val="1"/>
      <w:numFmt w:val="bullet"/>
      <w:lvlText w:val=""/>
      <w:lvlJc w:val="left"/>
      <w:pPr>
        <w:tabs>
          <w:tab w:val="left" w:pos="4320"/>
        </w:tabs>
        <w:ind w:left="4320" w:hanging="360"/>
      </w:pPr>
      <w:rPr>
        <w:rFonts w:hint="default" w:ascii="Symbol" w:hAnsi="Symbol"/>
        <w:sz w:val="20"/>
      </w:rPr>
    </w:lvl>
    <w:lvl w:ilvl="6" w:tentative="0">
      <w:start w:val="1"/>
      <w:numFmt w:val="bullet"/>
      <w:lvlText w:val=""/>
      <w:lvlJc w:val="left"/>
      <w:pPr>
        <w:tabs>
          <w:tab w:val="left" w:pos="5040"/>
        </w:tabs>
        <w:ind w:left="5040" w:hanging="360"/>
      </w:pPr>
      <w:rPr>
        <w:rFonts w:hint="default" w:ascii="Symbol" w:hAnsi="Symbol"/>
        <w:sz w:val="20"/>
      </w:rPr>
    </w:lvl>
    <w:lvl w:ilvl="7" w:tentative="0">
      <w:start w:val="1"/>
      <w:numFmt w:val="bullet"/>
      <w:lvlText w:val=""/>
      <w:lvlJc w:val="left"/>
      <w:pPr>
        <w:tabs>
          <w:tab w:val="left" w:pos="5760"/>
        </w:tabs>
        <w:ind w:left="5760" w:hanging="360"/>
      </w:pPr>
      <w:rPr>
        <w:rFonts w:hint="default" w:ascii="Symbol" w:hAnsi="Symbol"/>
        <w:sz w:val="20"/>
      </w:rPr>
    </w:lvl>
    <w:lvl w:ilvl="8" w:tentative="0">
      <w:start w:val="1"/>
      <w:numFmt w:val="bullet"/>
      <w:lvlText w:val=""/>
      <w:lvlJc w:val="left"/>
      <w:pPr>
        <w:tabs>
          <w:tab w:val="left" w:pos="6480"/>
        </w:tabs>
        <w:ind w:left="6480" w:hanging="360"/>
      </w:pPr>
      <w:rPr>
        <w:rFonts w:hint="default" w:ascii="Symbol" w:hAnsi="Symbol"/>
        <w:sz w:val="20"/>
      </w:rPr>
    </w:lvl>
  </w:abstractNum>
  <w:abstractNum w:abstractNumId="1">
    <w:nsid w:val="6F2A74A9"/>
    <w:multiLevelType w:val="multilevel"/>
    <w:tmpl w:val="6F2A74A9"/>
    <w:lvl w:ilvl="0" w:tentative="0">
      <w:start w:val="1"/>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74E8"/>
    <w:rsid w:val="000B0E4D"/>
    <w:rsid w:val="001515D2"/>
    <w:rsid w:val="002074E8"/>
    <w:rsid w:val="00410AB9"/>
    <w:rsid w:val="005D3D21"/>
    <w:rsid w:val="008C10C5"/>
    <w:rsid w:val="00911F2D"/>
    <w:rsid w:val="0099168F"/>
    <w:rsid w:val="00D81726"/>
    <w:rsid w:val="00FE251D"/>
    <w:rsid w:val="07591F82"/>
    <w:rsid w:val="162D096A"/>
    <w:rsid w:val="306F6904"/>
    <w:rsid w:val="4B0C6E2E"/>
    <w:rsid w:val="4DAE6526"/>
    <w:rsid w:val="5A944A53"/>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kern w:val="2"/>
      <w:sz w:val="22"/>
      <w:szCs w:val="22"/>
      <w:lang w:val="en-IN" w:eastAsia="en-US" w:bidi="ar-SA"/>
      <w14:ligatures w14:val="standardContextual"/>
    </w:rPr>
  </w:style>
  <w:style w:type="character" w:default="1" w:styleId="2">
    <w:name w:val="Default Paragraph Font"/>
    <w:semiHidden/>
    <w:unhideWhenUsed/>
    <w:qFormat/>
    <w:uiPriority w:val="1"/>
  </w:style>
  <w:style w:type="table" w:default="1" w:styleId="3">
    <w:name w:val="Normal Table"/>
    <w:semiHidden/>
    <w:unhideWhenUsed/>
    <w:qFormat/>
    <w:uiPriority w:val="99"/>
    <w:tblPr>
      <w:tblCellMar>
        <w:top w:w="0" w:type="dxa"/>
        <w:left w:w="108" w:type="dxa"/>
        <w:bottom w:w="0" w:type="dxa"/>
        <w:right w:w="108" w:type="dxa"/>
      </w:tblCellMar>
    </w:tblPr>
  </w:style>
  <w:style w:type="paragraph" w:styleId="4">
    <w:name w:val="Normal (Web)"/>
    <w:basedOn w:val="1"/>
    <w:semiHidden/>
    <w:unhideWhenUsed/>
    <w:uiPriority w:val="99"/>
    <w:pPr>
      <w:spacing w:before="100" w:beforeAutospacing="1" w:after="100" w:afterAutospacing="1" w:line="240" w:lineRule="auto"/>
    </w:pPr>
    <w:rPr>
      <w:rFonts w:ascii="Times New Roman" w:hAnsi="Times New Roman" w:eastAsia="Times New Roman" w:cs="Times New Roman"/>
      <w:kern w:val="0"/>
      <w:sz w:val="24"/>
      <w:szCs w:val="24"/>
      <w:lang w:eastAsia="en-IN"/>
      <w14:ligatures w14:val="none"/>
    </w:rPr>
  </w:style>
  <w:style w:type="character" w:styleId="5">
    <w:name w:val="Strong"/>
    <w:basedOn w:val="2"/>
    <w:qFormat/>
    <w:uiPriority w:val="22"/>
    <w:rPr>
      <w:b/>
      <w:bCs/>
    </w:rPr>
  </w:style>
  <w:style w:type="paragraph" w:customStyle="1" w:styleId="6">
    <w:name w:val="HTML Top of Form"/>
    <w:basedOn w:val="1"/>
    <w:next w:val="1"/>
    <w:link w:val="7"/>
    <w:semiHidden/>
    <w:unhideWhenUsed/>
    <w:uiPriority w:val="99"/>
    <w:pPr>
      <w:pBdr>
        <w:bottom w:val="single" w:color="auto" w:sz="6" w:space="1"/>
      </w:pBdr>
      <w:spacing w:after="0" w:line="240" w:lineRule="auto"/>
      <w:jc w:val="center"/>
    </w:pPr>
    <w:rPr>
      <w:rFonts w:ascii="Arial" w:hAnsi="Arial" w:eastAsia="Times New Roman" w:cs="Arial"/>
      <w:vanish/>
      <w:kern w:val="0"/>
      <w:sz w:val="16"/>
      <w:szCs w:val="16"/>
      <w:lang w:eastAsia="en-IN"/>
      <w14:ligatures w14:val="none"/>
    </w:rPr>
  </w:style>
  <w:style w:type="character" w:customStyle="1" w:styleId="7">
    <w:name w:val="z-Top of Form Char"/>
    <w:basedOn w:val="2"/>
    <w:link w:val="6"/>
    <w:semiHidden/>
    <w:qFormat/>
    <w:uiPriority w:val="99"/>
    <w:rPr>
      <w:rFonts w:ascii="Arial" w:hAnsi="Arial" w:eastAsia="Times New Roman" w:cs="Arial"/>
      <w:vanish/>
      <w:kern w:val="0"/>
      <w:sz w:val="16"/>
      <w:szCs w:val="16"/>
      <w:lang w:eastAsia="en-IN"/>
      <w14:ligatures w14:val="none"/>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3</Pages>
  <Words>881</Words>
  <Characters>5022</Characters>
  <Lines>41</Lines>
  <Paragraphs>11</Paragraphs>
  <TotalTime>7</TotalTime>
  <ScaleCrop>false</ScaleCrop>
  <LinksUpToDate>false</LinksUpToDate>
  <CharactersWithSpaces>5892</CharactersWithSpaces>
  <Application>WPS Office_11.2.0.11537_F1E327BC-269C-435d-A152-05C5408002CA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2023-08-24T21:03:00Z</dcterms:created>
  <dc:creator>Avinash Goud</dc:creator>
  <cp:lastModifiedBy>Avinash goud</cp:lastModifiedBy>
  <cp:lastPrinted>2023-08-24T21:04:00Z</cp:lastPrinted>
  <dcterms:modified xsi:type="dcterms:W3CDTF">2023-08-24T22:40:52Z</dcterms:modified>
  <cp:revision>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1033-11.2.0.11537</vt:lpwstr>
  </property>
  <property fmtid="{D5CDD505-2E9C-101B-9397-08002B2CF9AE}" pid="3" name="ICV">
    <vt:lpwstr>F6E05680BF4C43FE889E155C212F2965</vt:lpwstr>
  </property>
</Properties>
</file>