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45189" w:rsidP="2FBF2B2D" w:rsidRDefault="00B45189" w14:paraId="1C45EB3E" w14:textId="2E1AA282">
      <w:pPr>
        <w:pStyle w:val="Heading1"/>
        <w:spacing w:line="360" w:lineRule="auto"/>
        <w:jc w:val="center"/>
        <w:rPr>
          <w:rFonts w:ascii="Arial" w:hAnsi="Arial" w:cs="Arial"/>
          <w:color w:val="000000" w:themeColor="text1" w:themeTint="FF" w:themeShade="FF"/>
          <w:kern w:val="36"/>
          <w:sz w:val="28"/>
          <w:szCs w:val="28"/>
          <w:u w:val="single"/>
          <w:lang w:val="en-US" w:eastAsia="en-PK"/>
          <w14:ligatures w14:val="none"/>
        </w:rPr>
      </w:pPr>
      <w:r w:rsidRPr="2FBF2B2D" w:rsidR="00DA4ACA">
        <w:rPr>
          <w:rFonts w:ascii="Arial" w:hAnsi="Arial" w:cs="Arial"/>
          <w:color w:val="000000" w:themeColor="text1" w:themeTint="FF" w:themeShade="FF"/>
          <w:sz w:val="28"/>
          <w:szCs w:val="28"/>
          <w:u w:val="single"/>
        </w:rPr>
        <w:t>Portfolio (Poster + Essay)</w:t>
      </w:r>
    </w:p>
    <w:p w:rsidRPr="00B45189" w:rsidR="00B45189" w:rsidP="2FBF2B2D" w:rsidRDefault="00B45189" w14:paraId="67A3C628" w14:textId="50F5F4A0">
      <w:pPr>
        <w:spacing w:line="360" w:lineRule="auto"/>
        <w:jc w:val="center"/>
        <w:rPr>
          <w:rFonts w:ascii="Arial" w:hAnsi="Arial" w:eastAsia="Times New Roman" w:cs="Arial"/>
          <w:b w:val="1"/>
          <w:bCs w:val="1"/>
          <w:color w:val="0F1115"/>
          <w:kern w:val="36"/>
          <w:lang w:val="en-US" w:eastAsia="en-US"/>
          <w14:ligatures w14:val="none"/>
        </w:rPr>
      </w:pPr>
      <w:r w:rsidRPr="2FBF2B2D" w:rsidR="00B45189">
        <w:rPr>
          <w:rFonts w:ascii="Arial" w:hAnsi="Arial" w:eastAsia="Times New Roman" w:cs="Arial"/>
          <w:b w:val="1"/>
          <w:bCs w:val="1"/>
          <w:color w:val="0F1115"/>
          <w:kern w:val="36"/>
          <w:lang w:val="en-US" w:eastAsia="en-US"/>
          <w14:ligatures w14:val="none"/>
        </w:rPr>
        <w:t>Name:</w:t>
      </w:r>
      <w:r w:rsidRPr="2FBF2B2D" w:rsidR="139ABC47">
        <w:rPr>
          <w:rFonts w:ascii="Arial" w:hAnsi="Arial" w:eastAsia="Times New Roman" w:cs="Arial"/>
          <w:b w:val="1"/>
          <w:bCs w:val="1"/>
          <w:color w:val="0F1115"/>
          <w:kern w:val="36"/>
          <w:lang w:val="en-US" w:eastAsia="en-US"/>
          <w14:ligatures w14:val="none"/>
        </w:rPr>
        <w:t xml:space="preserve"> Azhar</w:t>
      </w:r>
      <w:r w:rsidRPr="2FBF2B2D" w:rsidR="139ABC47">
        <w:rPr>
          <w:rFonts w:ascii="Arial" w:hAnsi="Arial" w:eastAsia="Times New Roman" w:cs="Arial"/>
          <w:b w:val="1"/>
          <w:bCs w:val="1"/>
          <w:color w:val="0F1115"/>
          <w:kern w:val="36"/>
          <w:lang w:val="en-US" w:eastAsia="en-US"/>
          <w14:ligatures w14:val="none"/>
        </w:rPr>
        <w:t xml:space="preserve"> Khan</w:t>
      </w:r>
    </w:p>
    <w:p w:rsidRPr="00B45189" w:rsidR="00B45189" w:rsidP="2FBF2B2D" w:rsidRDefault="00B45189" w14:paraId="10F5E458" w14:textId="445D64E8">
      <w:pPr>
        <w:spacing w:line="360" w:lineRule="auto"/>
        <w:jc w:val="center"/>
        <w:rPr>
          <w:rFonts w:ascii="Arial" w:hAnsi="Arial" w:eastAsia="Times New Roman" w:cs="Arial"/>
          <w:b w:val="1"/>
          <w:bCs w:val="1"/>
          <w:color w:val="0F1115"/>
          <w:kern w:val="36"/>
          <w:lang w:val="en-US" w:eastAsia="en-US"/>
          <w14:ligatures w14:val="none"/>
        </w:rPr>
      </w:pPr>
      <w:r w:rsidRPr="2FBF2B2D" w:rsidR="139ABC47">
        <w:rPr>
          <w:rFonts w:ascii="Arial" w:hAnsi="Arial" w:eastAsia="Times New Roman" w:cs="Arial"/>
          <w:b w:val="1"/>
          <w:bCs w:val="1"/>
          <w:color w:val="0F1115"/>
          <w:kern w:val="36"/>
          <w:lang w:val="en-US" w:eastAsia="en-US"/>
          <w14:ligatures w14:val="none"/>
        </w:rPr>
        <w:t>Student number: 222</w:t>
      </w:r>
      <w:r w:rsidRPr="2FBF2B2D" w:rsidR="0AE9198F">
        <w:rPr>
          <w:rFonts w:ascii="Arial" w:hAnsi="Arial" w:eastAsia="Times New Roman" w:cs="Arial"/>
          <w:b w:val="1"/>
          <w:bCs w:val="1"/>
          <w:color w:val="0F1115"/>
          <w:kern w:val="36"/>
          <w:lang w:val="en-US" w:eastAsia="en-US"/>
          <w14:ligatures w14:val="none"/>
        </w:rPr>
        <w:t>5240</w:t>
      </w:r>
    </w:p>
    <w:p w:rsidR="139ABC47" w:rsidP="2FBF2B2D" w:rsidRDefault="139ABC47" w14:paraId="6C478F7A" w14:textId="0756FD68">
      <w:pPr>
        <w:spacing w:line="360" w:lineRule="auto"/>
        <w:jc w:val="center"/>
        <w:rPr>
          <w:rFonts w:ascii="Arial" w:hAnsi="Arial" w:eastAsia="Times New Roman" w:cs="Arial"/>
          <w:b w:val="1"/>
          <w:bCs w:val="1"/>
          <w:color w:val="0F1115"/>
          <w:lang w:val="en-US" w:eastAsia="en-US"/>
        </w:rPr>
      </w:pPr>
      <w:r w:rsidRPr="2FBF2B2D" w:rsidR="139ABC47">
        <w:rPr>
          <w:rFonts w:ascii="Arial" w:hAnsi="Arial" w:eastAsia="Times New Roman" w:cs="Arial"/>
          <w:b w:val="1"/>
          <w:bCs w:val="1"/>
          <w:color w:val="0F1115"/>
          <w:lang w:val="en-US" w:eastAsia="en-US"/>
        </w:rPr>
        <w:t>Module</w:t>
      </w:r>
      <w:r w:rsidRPr="2FBF2B2D" w:rsidR="139ABC47">
        <w:rPr>
          <w:rFonts w:ascii="Arial" w:hAnsi="Arial" w:eastAsia="Times New Roman" w:cs="Arial"/>
          <w:b w:val="1"/>
          <w:bCs w:val="1"/>
          <w:color w:val="0F1115"/>
          <w:lang w:val="en-US" w:eastAsia="en-US"/>
        </w:rPr>
        <w:t xml:space="preserve"> code: LCHS4003</w:t>
      </w:r>
    </w:p>
    <w:p w:rsidR="139ABC47" w:rsidP="2FBF2B2D" w:rsidRDefault="139ABC47" w14:paraId="15EB1F7B" w14:textId="3EFEF04E">
      <w:pPr>
        <w:spacing w:line="360" w:lineRule="auto"/>
        <w:jc w:val="center"/>
        <w:rPr>
          <w:rFonts w:ascii="Arial" w:hAnsi="Arial" w:eastAsia="Times New Roman" w:cs="Arial"/>
          <w:b w:val="1"/>
          <w:bCs w:val="1"/>
          <w:color w:val="0F1115"/>
          <w:lang w:val="en-US" w:eastAsia="en-US"/>
        </w:rPr>
      </w:pPr>
      <w:r w:rsidRPr="2FBF2B2D" w:rsidR="139ABC47">
        <w:rPr>
          <w:rFonts w:ascii="Arial" w:hAnsi="Arial" w:eastAsia="Times New Roman" w:cs="Arial"/>
          <w:b w:val="1"/>
          <w:bCs w:val="1"/>
          <w:color w:val="0F1115"/>
          <w:lang w:val="en-US" w:eastAsia="en-US"/>
        </w:rPr>
        <w:t xml:space="preserve">Title: </w:t>
      </w:r>
      <w:r w:rsidRPr="2FBF2B2D" w:rsidR="139ABC47">
        <w:rPr>
          <w:rFonts w:ascii="Arial" w:hAnsi="Arial" w:eastAsia="Times New Roman" w:cs="Arial"/>
          <w:b w:val="1"/>
          <w:bCs w:val="1"/>
          <w:color w:val="0F1115"/>
          <w:lang w:val="en-US" w:eastAsia="en-US"/>
        </w:rPr>
        <w:t>Introduction</w:t>
      </w:r>
      <w:r w:rsidRPr="2FBF2B2D" w:rsidR="139ABC47">
        <w:rPr>
          <w:rFonts w:ascii="Arial" w:hAnsi="Arial" w:eastAsia="Times New Roman" w:cs="Arial"/>
          <w:b w:val="1"/>
          <w:bCs w:val="1"/>
          <w:color w:val="0F1115"/>
          <w:lang w:val="en-US" w:eastAsia="en-US"/>
        </w:rPr>
        <w:t xml:space="preserve"> to Health and Social care </w:t>
      </w:r>
    </w:p>
    <w:p w:rsidR="139ABC47" w:rsidP="2FBF2B2D" w:rsidRDefault="139ABC47" w14:paraId="5CBF0448" w14:textId="108F176B">
      <w:pPr>
        <w:spacing w:line="360" w:lineRule="auto"/>
        <w:jc w:val="center"/>
        <w:rPr>
          <w:rFonts w:ascii="Arial" w:hAnsi="Arial" w:eastAsia="Times New Roman" w:cs="Arial"/>
          <w:b w:val="1"/>
          <w:bCs w:val="1"/>
          <w:color w:val="0F1115"/>
          <w:lang w:val="en-US" w:eastAsia="en-US"/>
        </w:rPr>
      </w:pPr>
      <w:r w:rsidRPr="2FBF2B2D" w:rsidR="139ABC47">
        <w:rPr>
          <w:rFonts w:ascii="Arial" w:hAnsi="Arial" w:eastAsia="Times New Roman" w:cs="Arial"/>
          <w:b w:val="1"/>
          <w:bCs w:val="1"/>
          <w:color w:val="0F1115"/>
          <w:lang w:val="en-US" w:eastAsia="en-US"/>
        </w:rPr>
        <w:t>Lecturer name: Dr Helen Parson</w:t>
      </w:r>
    </w:p>
    <w:p w:rsidR="00B45189" w:rsidP="2FBF2B2D" w:rsidRDefault="00B45189" w14:paraId="5C593837" w14:textId="4445C874">
      <w:pPr>
        <w:spacing w:line="360" w:lineRule="auto"/>
        <w:jc w:val="center"/>
        <w:rPr>
          <w:rFonts w:ascii="Arial" w:hAnsi="Arial" w:eastAsia="Times New Roman" w:cs="Arial"/>
          <w:b w:val="1"/>
          <w:bCs w:val="1"/>
          <w:color w:val="0F1115"/>
          <w:kern w:val="36"/>
          <w:lang w:val="en-US" w:eastAsia="en-US"/>
          <w14:ligatures w14:val="none"/>
        </w:rPr>
      </w:pPr>
      <w:r w:rsidRPr="2FBF2B2D" w:rsidR="41219B5B">
        <w:rPr>
          <w:rFonts w:ascii="Arial" w:hAnsi="Arial" w:eastAsia="Times New Roman" w:cs="Arial"/>
          <w:b w:val="1"/>
          <w:bCs w:val="1"/>
          <w:color w:val="0F1115"/>
          <w:kern w:val="36"/>
          <w:lang w:val="en-US" w:eastAsia="en-US"/>
          <w14:ligatures w14:val="none"/>
        </w:rPr>
        <w:t xml:space="preserve">Component 1 </w:t>
      </w:r>
    </w:p>
    <w:p w:rsidR="00B45189" w:rsidP="00E87DA4" w:rsidRDefault="00B45189" w14:paraId="3B570074"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439B053A"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678AA3F1"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08B9EAB6"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1BA70D62"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42461F23"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0E27F46B"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61738250"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6D256E42"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3C80035C"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24E3AE37"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71F5346B"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0DED857B" w14:textId="77777777">
      <w:pPr>
        <w:spacing w:line="360" w:lineRule="auto"/>
        <w:jc w:val="both"/>
        <w:rPr>
          <w:rFonts w:ascii="Arial" w:hAnsi="Arial" w:eastAsia="Times New Roman" w:cs="Arial"/>
          <w:b/>
          <w:bCs/>
          <w:color w:val="0F1115"/>
          <w:kern w:val="36"/>
          <w:lang w:val="en-US" w:eastAsia="en-PK"/>
          <w14:ligatures w14:val="none"/>
        </w:rPr>
      </w:pPr>
    </w:p>
    <w:p w:rsidR="00B45189" w:rsidP="00E87DA4" w:rsidRDefault="00B45189" w14:paraId="1C58C3D5" w14:textId="77777777">
      <w:pPr>
        <w:spacing w:line="360" w:lineRule="auto"/>
        <w:jc w:val="both"/>
        <w:rPr>
          <w:rFonts w:ascii="Arial" w:hAnsi="Arial" w:eastAsia="Times New Roman" w:cs="Arial"/>
          <w:b/>
          <w:bCs/>
          <w:color w:val="0F1115"/>
          <w:kern w:val="36"/>
          <w:lang w:val="en-US" w:eastAsia="en-PK"/>
          <w14:ligatures w14:val="none"/>
        </w:rPr>
      </w:pPr>
    </w:p>
    <w:p w:rsidR="00B45189" w:rsidP="2FBF2B2D" w:rsidRDefault="00B45189" w14:paraId="50FCB5F6" w14:textId="1E110AD5">
      <w:pPr>
        <w:pStyle w:val="Normal"/>
        <w:spacing w:line="360" w:lineRule="auto"/>
        <w:jc w:val="both"/>
        <w:rPr>
          <w:rFonts w:ascii="Arial" w:hAnsi="Arial" w:eastAsia="Times New Roman" w:cs="Arial"/>
          <w:b w:val="1"/>
          <w:bCs w:val="1"/>
          <w:color w:val="0F1115"/>
          <w:kern w:val="36"/>
          <w:lang w:val="en-US" w:eastAsia="en-US"/>
          <w14:ligatures w14:val="none"/>
        </w:rPr>
      </w:pPr>
    </w:p>
    <w:p w:rsidR="2FBF2B2D" w:rsidP="2FBF2B2D" w:rsidRDefault="2FBF2B2D" w14:paraId="1A12AA1A" w14:textId="693FA38F">
      <w:pPr>
        <w:pStyle w:val="Normal"/>
        <w:spacing w:line="360" w:lineRule="auto"/>
        <w:jc w:val="both"/>
        <w:rPr>
          <w:rFonts w:ascii="Arial" w:hAnsi="Arial" w:eastAsia="Times New Roman" w:cs="Arial"/>
          <w:b w:val="1"/>
          <w:bCs w:val="1"/>
          <w:color w:val="0F1115"/>
          <w:lang w:val="en-US" w:eastAsia="en-US"/>
        </w:rPr>
      </w:pPr>
    </w:p>
    <w:p w:rsidRPr="00E87DA4" w:rsidR="006E5E41" w:rsidP="2FBF2B2D" w:rsidRDefault="006E5E41" w14:paraId="35A8170C" w14:textId="36F8CF12">
      <w:pPr>
        <w:spacing w:line="360" w:lineRule="auto"/>
        <w:jc w:val="both"/>
        <w:rPr>
          <w:rFonts w:ascii="Arial" w:hAnsi="Arial" w:eastAsia="Times New Roman" w:cs="Arial"/>
          <w:b w:val="1"/>
          <w:bCs w:val="1"/>
          <w:color w:val="0F1115"/>
          <w:kern w:val="36"/>
          <w:lang w:val="en-US" w:eastAsia="en-US"/>
          <w14:ligatures w14:val="none"/>
        </w:rPr>
      </w:pPr>
      <w:r w:rsidRPr="2FBF2B2D" w:rsidR="006E5E41">
        <w:rPr>
          <w:rFonts w:ascii="Arial" w:hAnsi="Arial" w:eastAsia="Times New Roman" w:cs="Arial"/>
          <w:b w:val="1"/>
          <w:bCs w:val="1"/>
          <w:color w:val="0F1115"/>
          <w:kern w:val="36"/>
          <w:lang w:val="en-US" w:eastAsia="en-US"/>
          <w14:ligatures w14:val="none"/>
        </w:rPr>
        <w:t>Task 1</w:t>
      </w:r>
      <w:r w:rsidRPr="2FBF2B2D" w:rsidR="047F58A8">
        <w:rPr>
          <w:rFonts w:ascii="Arial" w:hAnsi="Arial" w:eastAsia="Times New Roman" w:cs="Arial"/>
          <w:b w:val="1"/>
          <w:bCs w:val="1"/>
          <w:color w:val="0F1115"/>
          <w:kern w:val="36"/>
          <w:lang w:val="en-US" w:eastAsia="en-US"/>
          <w14:ligatures w14:val="none"/>
        </w:rPr>
        <w:t xml:space="preserve"> -</w:t>
      </w:r>
      <w:r w:rsidRPr="2FBF2B2D" w:rsidR="00366A2F">
        <w:rPr>
          <w:rFonts w:ascii="Arial" w:hAnsi="Arial" w:eastAsia="Times New Roman" w:cs="Arial"/>
          <w:b w:val="1"/>
          <w:bCs w:val="1"/>
          <w:color w:val="0F1115"/>
          <w:kern w:val="36"/>
          <w:lang w:val="en-US" w:eastAsia="en-US"/>
          <w14:ligatures w14:val="none"/>
        </w:rPr>
        <w:t>POSTER</w:t>
      </w:r>
    </w:p>
    <w:p w:rsidRPr="00E87DA4" w:rsidR="006E5E41" w:rsidP="00452866" w:rsidRDefault="006E5E41" w14:paraId="24F99050" w14:textId="57E2789E">
      <w:pPr>
        <w:spacing w:line="360" w:lineRule="auto"/>
        <w:jc w:val="center"/>
        <w:rPr>
          <w:rFonts w:ascii="Arial" w:hAnsi="Arial" w:eastAsia="Times New Roman" w:cs="Arial"/>
          <w:b/>
          <w:bCs/>
          <w:color w:val="0F1115"/>
          <w:kern w:val="36"/>
          <w:lang w:val="en-US" w:eastAsia="en-PK"/>
          <w14:ligatures w14:val="none"/>
        </w:rPr>
      </w:pPr>
      <w:r w:rsidRPr="00E87DA4">
        <w:rPr>
          <w:rFonts w:ascii="Arial" w:hAnsi="Arial" w:eastAsia="Times New Roman" w:cs="Arial"/>
          <w:b/>
          <w:bCs/>
          <w:noProof/>
          <w:color w:val="0F1115"/>
          <w:kern w:val="36"/>
          <w:lang w:val="en-US" w:eastAsia="en-PK"/>
        </w:rPr>
        <w:lastRenderedPageBreak/>
        <w:drawing>
          <wp:inline distT="0" distB="0" distL="0" distR="0" wp14:anchorId="263A3019" wp14:editId="0C6DBE68">
            <wp:extent cx="5219700" cy="738346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22420" cy="7387313"/>
                    </a:xfrm>
                    <a:prstGeom prst="rect">
                      <a:avLst/>
                    </a:prstGeom>
                  </pic:spPr>
                </pic:pic>
              </a:graphicData>
            </a:graphic>
          </wp:inline>
        </w:drawing>
      </w:r>
    </w:p>
    <w:p w:rsidRPr="00E87DA4" w:rsidR="006E5E41" w:rsidP="00E87DA4" w:rsidRDefault="006E5E41" w14:paraId="39566F92" w14:textId="41AE9FA3">
      <w:pPr>
        <w:spacing w:line="360" w:lineRule="auto"/>
        <w:jc w:val="both"/>
        <w:rPr>
          <w:rFonts w:ascii="Arial" w:hAnsi="Arial" w:eastAsia="Times New Roman" w:cs="Arial"/>
          <w:b/>
          <w:bCs/>
          <w:color w:val="0F1115"/>
          <w:kern w:val="36"/>
          <w:lang w:val="en-US" w:eastAsia="en-PK"/>
          <w14:ligatures w14:val="none"/>
        </w:rPr>
      </w:pPr>
    </w:p>
    <w:p w:rsidRPr="00E87DA4" w:rsidR="006E5E41" w:rsidP="00E87DA4" w:rsidRDefault="006E5E41" w14:paraId="632F143E" w14:textId="20287B2C">
      <w:pPr>
        <w:spacing w:line="360" w:lineRule="auto"/>
        <w:jc w:val="both"/>
        <w:rPr>
          <w:rFonts w:ascii="Arial" w:hAnsi="Arial" w:eastAsia="Times New Roman" w:cs="Arial"/>
          <w:b/>
          <w:bCs/>
          <w:color w:val="0F1115"/>
          <w:kern w:val="36"/>
          <w:lang w:val="en-US" w:eastAsia="en-PK"/>
          <w14:ligatures w14:val="none"/>
        </w:rPr>
      </w:pPr>
      <w:r w:rsidRPr="00E87DA4">
        <w:rPr>
          <w:rFonts w:ascii="Arial" w:hAnsi="Arial" w:eastAsia="Times New Roman" w:cs="Arial"/>
          <w:b/>
          <w:bCs/>
          <w:color w:val="0F1115"/>
          <w:kern w:val="36"/>
          <w:lang w:val="en-US" w:eastAsia="en-PK"/>
          <w14:ligatures w14:val="none"/>
        </w:rPr>
        <w:br w:type="page"/>
      </w:r>
    </w:p>
    <w:p w:rsidRPr="00E87DA4" w:rsidR="006E5E41" w:rsidP="00E87DA4" w:rsidRDefault="006E5E41" w14:paraId="4C0A08FF" w14:textId="77777777">
      <w:pPr>
        <w:spacing w:line="360" w:lineRule="auto"/>
        <w:jc w:val="both"/>
        <w:rPr>
          <w:rFonts w:ascii="Arial" w:hAnsi="Arial" w:eastAsia="Times New Roman" w:cs="Arial"/>
          <w:b/>
          <w:bCs/>
          <w:color w:val="0F1115"/>
          <w:kern w:val="36"/>
          <w:lang w:val="en-US" w:eastAsia="en-PK"/>
          <w14:ligatures w14:val="none"/>
        </w:rPr>
      </w:pPr>
    </w:p>
    <w:p w:rsidRPr="00E87DA4" w:rsidR="00E3394A" w:rsidP="00E87DA4" w:rsidRDefault="00E3394A" w14:paraId="569A0A56" w14:textId="49FA091C">
      <w:pPr>
        <w:shd w:val="clear" w:color="auto" w:fill="FFFFFF"/>
        <w:spacing w:before="100" w:beforeAutospacing="1" w:after="240" w:line="360" w:lineRule="auto"/>
        <w:jc w:val="both"/>
        <w:outlineLvl w:val="0"/>
        <w:rPr>
          <w:rFonts w:ascii="Arial" w:hAnsi="Arial" w:eastAsia="Times New Roman" w:cs="Arial"/>
          <w:b/>
          <w:bCs/>
          <w:color w:val="0F1115"/>
          <w:kern w:val="36"/>
          <w:lang w:val="en-US" w:eastAsia="en-PK"/>
          <w14:ligatures w14:val="none"/>
        </w:rPr>
      </w:pPr>
      <w:r w:rsidRPr="00E87DA4">
        <w:rPr>
          <w:rFonts w:ascii="Arial" w:hAnsi="Arial" w:eastAsia="Times New Roman" w:cs="Arial"/>
          <w:b/>
          <w:bCs/>
          <w:color w:val="0F1115"/>
          <w:kern w:val="36"/>
          <w:lang w:val="en-US" w:eastAsia="en-PK"/>
          <w14:ligatures w14:val="none"/>
        </w:rPr>
        <w:t>TASK 2</w:t>
      </w:r>
    </w:p>
    <w:p w:rsidRPr="00E87DA4" w:rsidR="00F5147F" w:rsidP="00E87DA4" w:rsidRDefault="00F5147F" w14:paraId="2352A0DA" w14:textId="6E3DDED2">
      <w:pPr>
        <w:shd w:val="clear" w:color="auto" w:fill="FFFFFF"/>
        <w:spacing w:before="100" w:beforeAutospacing="1" w:after="240" w:line="360" w:lineRule="auto"/>
        <w:jc w:val="both"/>
        <w:outlineLvl w:val="0"/>
        <w:rPr>
          <w:rFonts w:ascii="Arial" w:hAnsi="Arial" w:eastAsia="Times New Roman" w:cs="Arial"/>
          <w:b/>
          <w:bCs/>
          <w:color w:val="0F1115"/>
          <w:kern w:val="36"/>
          <w:lang w:val="en-PK" w:eastAsia="en-PK"/>
          <w14:ligatures w14:val="none"/>
        </w:rPr>
      </w:pPr>
      <w:r w:rsidRPr="00E87DA4">
        <w:rPr>
          <w:rFonts w:ascii="Arial" w:hAnsi="Arial" w:eastAsia="Times New Roman" w:cs="Arial"/>
          <w:b/>
          <w:bCs/>
          <w:color w:val="0F1115"/>
          <w:kern w:val="36"/>
          <w:lang w:val="en-PK" w:eastAsia="en-PK"/>
          <w14:ligatures w14:val="none"/>
        </w:rPr>
        <w:t>ESSAY</w:t>
      </w:r>
      <w:r w:rsidRPr="00E87DA4">
        <w:rPr>
          <w:rFonts w:ascii="Arial" w:hAnsi="Arial" w:eastAsia="Times New Roman" w:cs="Arial"/>
          <w:b/>
          <w:bCs/>
          <w:color w:val="0F1115"/>
          <w:kern w:val="36"/>
          <w:lang w:val="en-US" w:eastAsia="en-PK"/>
          <w14:ligatures w14:val="none"/>
        </w:rPr>
        <w:t xml:space="preserve"> TOPIC</w:t>
      </w:r>
      <w:r w:rsidRPr="00E87DA4">
        <w:rPr>
          <w:rFonts w:ascii="Arial" w:hAnsi="Arial" w:eastAsia="Times New Roman" w:cs="Arial"/>
          <w:b/>
          <w:bCs/>
          <w:color w:val="0F1115"/>
          <w:kern w:val="36"/>
          <w:lang w:val="en-PK" w:eastAsia="en-PK"/>
          <w14:ligatures w14:val="none"/>
        </w:rPr>
        <w:t>:</w:t>
      </w:r>
    </w:p>
    <w:p w:rsidRPr="00E87DA4" w:rsidR="00D06952" w:rsidP="00E87DA4" w:rsidRDefault="00F5147F" w14:paraId="0F2FEB64" w14:textId="3782786C">
      <w:pPr>
        <w:shd w:val="clear" w:color="auto" w:fill="FFFFFF"/>
        <w:spacing w:before="100" w:beforeAutospacing="1" w:after="240" w:line="360" w:lineRule="auto"/>
        <w:jc w:val="both"/>
        <w:outlineLvl w:val="0"/>
        <w:rPr>
          <w:rFonts w:ascii="Arial" w:hAnsi="Arial" w:eastAsia="Times New Roman" w:cs="Arial"/>
          <w:b/>
          <w:bCs/>
          <w:color w:val="0F1115"/>
          <w:kern w:val="36"/>
          <w:lang w:val="en-PK" w:eastAsia="en-PK"/>
          <w14:ligatures w14:val="none"/>
        </w:rPr>
      </w:pPr>
      <w:r w:rsidRPr="00E87DA4">
        <w:rPr>
          <w:rFonts w:ascii="Arial" w:hAnsi="Arial" w:eastAsia="Times New Roman" w:cs="Arial"/>
          <w:b/>
          <w:bCs/>
          <w:color w:val="0F1115"/>
          <w:kern w:val="36"/>
          <w:lang w:val="en-PK" w:eastAsia="en-PK"/>
          <w14:ligatures w14:val="none"/>
        </w:rPr>
        <w:t>RESIDENTIAL CARE HOMES</w:t>
      </w:r>
    </w:p>
    <w:p w:rsidRPr="00E87DA4" w:rsidR="0042295B" w:rsidP="00E87DA4" w:rsidRDefault="0042295B" w14:paraId="2926B404" w14:textId="5E897002">
      <w:pPr>
        <w:pStyle w:val="Heading1"/>
        <w:spacing w:line="360" w:lineRule="auto"/>
        <w:jc w:val="both"/>
        <w:rPr>
          <w:rFonts w:ascii="Arial" w:hAnsi="Arial" w:cs="Arial"/>
          <w:color w:val="0F1115"/>
          <w:sz w:val="22"/>
          <w:szCs w:val="22"/>
        </w:rPr>
      </w:pPr>
      <w:r w:rsidRPr="00E87DA4">
        <w:rPr>
          <w:rFonts w:ascii="Arial" w:hAnsi="Arial" w:cs="Arial"/>
          <w:sz w:val="22"/>
          <w:szCs w:val="22"/>
        </w:rPr>
        <w:t>Introduction</w:t>
      </w:r>
    </w:p>
    <w:p w:rsidRPr="00E87DA4" w:rsidR="0042295B" w:rsidP="00E87DA4" w:rsidRDefault="0042295B" w14:paraId="4CD4C23D" w14:textId="77777777">
      <w:pPr>
        <w:pStyle w:val="NormalWeb"/>
        <w:spacing w:line="360" w:lineRule="auto"/>
        <w:jc w:val="both"/>
        <w:rPr>
          <w:rFonts w:ascii="Arial" w:hAnsi="Arial" w:cs="Arial"/>
          <w:sz w:val="22"/>
          <w:szCs w:val="22"/>
        </w:rPr>
      </w:pPr>
      <w:r w:rsidRPr="00E87DA4">
        <w:rPr>
          <w:rFonts w:ascii="Arial" w:hAnsi="Arial" w:cs="Arial"/>
          <w:sz w:val="22"/>
          <w:szCs w:val="22"/>
        </w:rPr>
        <w:t>Residential care homes for elderly people are one of the most important, but historically contentious, areas of social care in contemporary Britain. Today they provide care for around 400,000 people of retirement age in the UK but have evolved significantly since their beginnings in the workhouse system of the nineteenth century. This essay explores the history of residential care, examines its effectiveness in the contemporary regulatory framework, and considers its value in improving the lives of service users.</w:t>
      </w:r>
    </w:p>
    <w:p w:rsidRPr="00E87DA4" w:rsidR="0042295B" w:rsidP="00E87DA4" w:rsidRDefault="0042295B" w14:paraId="192C6E43" w14:textId="6A8F46E2">
      <w:pPr>
        <w:pStyle w:val="Heading1"/>
        <w:spacing w:line="360" w:lineRule="auto"/>
        <w:jc w:val="both"/>
        <w:rPr>
          <w:rFonts w:ascii="Arial" w:hAnsi="Arial" w:cs="Arial"/>
          <w:sz w:val="22"/>
          <w:szCs w:val="22"/>
        </w:rPr>
      </w:pPr>
      <w:r w:rsidRPr="00E87DA4">
        <w:rPr>
          <w:rFonts w:ascii="Arial" w:hAnsi="Arial" w:cs="Arial"/>
          <w:sz w:val="22"/>
          <w:szCs w:val="22"/>
        </w:rPr>
        <w:t>The History of Residential Care</w:t>
      </w:r>
    </w:p>
    <w:p w:rsidRPr="00E87DA4" w:rsidR="0042295B" w:rsidP="2FBF2B2D" w:rsidRDefault="0042295B" w14:paraId="588EBA7C" w14:textId="6155F02E">
      <w:pPr>
        <w:pStyle w:val="NormalWeb"/>
        <w:spacing w:line="360" w:lineRule="auto"/>
        <w:jc w:val="both"/>
        <w:rPr>
          <w:rFonts w:ascii="Arial" w:hAnsi="Arial" w:cs="Arial"/>
          <w:sz w:val="22"/>
          <w:szCs w:val="22"/>
          <w:lang w:val="en-US"/>
        </w:rPr>
      </w:pPr>
      <w:r w:rsidRPr="2FBF2B2D" w:rsidR="0042295B">
        <w:rPr>
          <w:rFonts w:ascii="Arial" w:hAnsi="Arial" w:cs="Arial"/>
          <w:sz w:val="22"/>
          <w:szCs w:val="22"/>
          <w:lang w:val="en-US"/>
        </w:rPr>
        <w:t xml:space="preserve">Residential care for older people in England has strong historical foundations in the Poor Law Amendment Act 1834 and the workhouse system. In pre-1900s days, the elderly with a life expectancy of less than 60 years were mainly maintained by their families or, in the most severe cases, parish relief. In 1834 this was drastically altered by the act, which established a punitive, deterrent system and saw the elderly poor, vagrants, the ill, and those with mental illness all housed together in large prison-like institutions (Thomson, 1983). </w:t>
      </w:r>
    </w:p>
    <w:p w:rsidRPr="00E87DA4" w:rsidR="0042295B" w:rsidP="00E87DA4" w:rsidRDefault="0042295B" w14:paraId="7694FF16" w14:textId="6BCA323D">
      <w:pPr>
        <w:pStyle w:val="NormalWeb"/>
        <w:spacing w:line="360" w:lineRule="auto"/>
        <w:jc w:val="both"/>
        <w:rPr>
          <w:rFonts w:ascii="Arial" w:hAnsi="Arial" w:cs="Arial"/>
          <w:sz w:val="22"/>
          <w:szCs w:val="22"/>
        </w:rPr>
      </w:pPr>
      <w:r w:rsidRPr="00E87DA4">
        <w:rPr>
          <w:rFonts w:ascii="Arial" w:hAnsi="Arial" w:cs="Arial"/>
          <w:sz w:val="22"/>
          <w:szCs w:val="22"/>
        </w:rPr>
        <w:t>This punitive building tradition continued into the twentieth century. Many local authority dwellings after the war were just converted workhouses and are documented by Hayashi (201</w:t>
      </w:r>
      <w:r w:rsidRPr="00E87DA4" w:rsidR="00776E20">
        <w:rPr>
          <w:rFonts w:ascii="Arial" w:hAnsi="Arial" w:cs="Arial"/>
          <w:sz w:val="22"/>
          <w:szCs w:val="22"/>
          <w:lang w:val="en-US"/>
        </w:rPr>
        <w:t>5</w:t>
      </w:r>
      <w:r w:rsidRPr="00E87DA4">
        <w:rPr>
          <w:rFonts w:ascii="Arial" w:hAnsi="Arial" w:cs="Arial"/>
          <w:sz w:val="22"/>
          <w:szCs w:val="22"/>
        </w:rPr>
        <w:t>). Built as the Freebridge Lynn Union workhouse in 1836, Eastgate House was still in use with a ‘strictly utilitarian' construction and institutional practices that reflected the ‘Poor Law legacy, stigma, and pre-war measures and mentalities' long after the workhouse system was officially abolished (Hayashi, 201</w:t>
      </w:r>
      <w:r w:rsidRPr="00E87DA4" w:rsidR="00776E20">
        <w:rPr>
          <w:rFonts w:ascii="Arial" w:hAnsi="Arial" w:cs="Arial"/>
          <w:sz w:val="22"/>
          <w:szCs w:val="22"/>
          <w:lang w:val="en-US"/>
        </w:rPr>
        <w:t>5</w:t>
      </w:r>
      <w:r w:rsidRPr="00E87DA4">
        <w:rPr>
          <w:rFonts w:ascii="Arial" w:hAnsi="Arial" w:cs="Arial"/>
          <w:sz w:val="22"/>
          <w:szCs w:val="22"/>
        </w:rPr>
        <w:t>). This institutional culture was based on cost containment, regimentation, and separation of married couples, all of which the Poor Law Commissioners explicitly argued was essential to the preservation of order (Thomson 1983).</w:t>
      </w:r>
    </w:p>
    <w:p w:rsidRPr="00E87DA4" w:rsidR="0042295B" w:rsidP="2FBF2B2D" w:rsidRDefault="0042295B" w14:paraId="4D0AD93D" w14:textId="4E7345A9">
      <w:pPr>
        <w:pStyle w:val="NormalWeb"/>
        <w:spacing w:line="360" w:lineRule="auto"/>
        <w:jc w:val="both"/>
        <w:rPr>
          <w:rFonts w:ascii="Arial" w:hAnsi="Arial" w:cs="Arial"/>
          <w:sz w:val="22"/>
          <w:szCs w:val="22"/>
          <w:lang w:val="en-US"/>
        </w:rPr>
      </w:pPr>
      <w:r w:rsidRPr="2FBF2B2D" w:rsidR="0042295B">
        <w:rPr>
          <w:rFonts w:ascii="Arial" w:hAnsi="Arial" w:cs="Arial"/>
          <w:sz w:val="22"/>
          <w:szCs w:val="22"/>
          <w:lang w:val="en-US"/>
        </w:rPr>
        <w:t xml:space="preserve">The final break came with the National Assistance Act 1948, which officially ended the Poor Law and also imposed a statutory obligation on local authorities to provide residential provision for 'aged and disabled persons' who were unable to deal with the demands of their own care. (Scottish Government, 2014). It </w:t>
      </w:r>
      <w:r w:rsidRPr="2FBF2B2D" w:rsidR="0042295B">
        <w:rPr>
          <w:rFonts w:ascii="Arial" w:hAnsi="Arial" w:cs="Arial"/>
          <w:sz w:val="22"/>
          <w:szCs w:val="22"/>
          <w:lang w:val="en-US"/>
        </w:rPr>
        <w:t>signaled</w:t>
      </w:r>
      <w:r w:rsidRPr="2FBF2B2D" w:rsidR="0042295B">
        <w:rPr>
          <w:rFonts w:ascii="Arial" w:hAnsi="Arial" w:cs="Arial"/>
          <w:sz w:val="22"/>
          <w:szCs w:val="22"/>
          <w:lang w:val="en-US"/>
        </w:rPr>
        <w:t xml:space="preserve"> the shift in philosophy that took place in relation to residential care from being a punishment for poverty to being a welfare entitlement. </w:t>
      </w:r>
    </w:p>
    <w:p w:rsidRPr="00E87DA4" w:rsidR="0042295B" w:rsidP="00E87DA4" w:rsidRDefault="0042295B" w14:paraId="350CC96F" w14:textId="77777777">
      <w:pPr>
        <w:spacing w:line="360" w:lineRule="auto"/>
        <w:jc w:val="both"/>
        <w:rPr>
          <w:rFonts w:ascii="Arial" w:hAnsi="Arial" w:cs="Arial"/>
          <w:lang w:val="en-PK" w:eastAsia="en-PK"/>
        </w:rPr>
      </w:pPr>
    </w:p>
    <w:p w:rsidRPr="00E87DA4" w:rsidR="0096793C" w:rsidP="00E87DA4" w:rsidRDefault="0096793C" w14:paraId="07A00164" w14:textId="77777777">
      <w:pPr>
        <w:pStyle w:val="Heading1"/>
        <w:spacing w:line="360" w:lineRule="auto"/>
        <w:jc w:val="both"/>
        <w:rPr>
          <w:rFonts w:ascii="Arial" w:hAnsi="Arial" w:cs="Arial"/>
          <w:sz w:val="22"/>
          <w:szCs w:val="22"/>
        </w:rPr>
      </w:pPr>
      <w:r w:rsidRPr="00E87DA4">
        <w:rPr>
          <w:rFonts w:ascii="Arial" w:hAnsi="Arial" w:cs="Arial"/>
          <w:sz w:val="22"/>
          <w:szCs w:val="22"/>
        </w:rPr>
        <w:t>Current Functioning of Residential Care Homes</w:t>
      </w:r>
    </w:p>
    <w:p w:rsidRPr="00E87DA4" w:rsidR="0096793C" w:rsidP="2FBF2B2D" w:rsidRDefault="0096793C" w14:paraId="20620816" w14:textId="747AAD20">
      <w:pPr>
        <w:pStyle w:val="NormalWeb"/>
        <w:spacing w:line="360" w:lineRule="auto"/>
        <w:jc w:val="both"/>
        <w:rPr>
          <w:rFonts w:ascii="Arial" w:hAnsi="Arial" w:cs="Arial"/>
          <w:sz w:val="22"/>
          <w:szCs w:val="22"/>
          <w:lang w:val="en-US"/>
        </w:rPr>
      </w:pPr>
      <w:r w:rsidRPr="2FBF2B2D" w:rsidR="0096793C">
        <w:rPr>
          <w:rFonts w:ascii="Arial" w:hAnsi="Arial" w:cs="Arial"/>
          <w:sz w:val="22"/>
          <w:szCs w:val="22"/>
          <w:lang w:val="en-US"/>
        </w:rPr>
        <w:t xml:space="preserve">Today's residential care homes are held to a new standard of care and regulation and are funded in a very different way than previous generations. Since the 1980s successive governments have favoured a market-based approach to care, which has led to a "mixed economy of care, but with private sector predominance", in the words of the Scottish government (2014). </w:t>
      </w:r>
    </w:p>
    <w:p w:rsidRPr="00E87DA4" w:rsidR="0096793C" w:rsidP="00E87DA4" w:rsidRDefault="0096793C" w14:paraId="6BDCF4A7" w14:textId="72EFCC39">
      <w:pPr>
        <w:pStyle w:val="NormalWeb"/>
        <w:spacing w:line="360" w:lineRule="auto"/>
        <w:jc w:val="both"/>
        <w:rPr>
          <w:rFonts w:ascii="Arial" w:hAnsi="Arial" w:cs="Arial"/>
          <w:sz w:val="22"/>
          <w:szCs w:val="22"/>
        </w:rPr>
      </w:pPr>
      <w:r w:rsidRPr="00E87DA4">
        <w:rPr>
          <w:rFonts w:ascii="Arial" w:hAnsi="Arial" w:cs="Arial"/>
          <w:sz w:val="22"/>
          <w:szCs w:val="22"/>
        </w:rPr>
        <w:t xml:space="preserve">The regulatory framework is based around the Care Quality Commission (CQC), who register and inspect all residential care homes in England under the Health and Social Care Act 2008. The Health and Social Care Act 2008 (Regulated Activities) Regulations 2014 make it a requirement that settings have adequate numbers of suitably qualified, competent, skilled and experienced staff in place that can meet the needs of people using the setting at all times (UK Parliament, 2025). </w:t>
      </w:r>
    </w:p>
    <w:p w:rsidRPr="00E87DA4" w:rsidR="0096793C" w:rsidP="00E87DA4" w:rsidRDefault="0096793C" w14:paraId="781AAEFF" w14:textId="77777777">
      <w:pPr>
        <w:pStyle w:val="Heading1"/>
        <w:spacing w:line="360" w:lineRule="auto"/>
        <w:jc w:val="both"/>
        <w:rPr>
          <w:rFonts w:ascii="Arial" w:hAnsi="Arial" w:cs="Arial"/>
          <w:sz w:val="22"/>
          <w:szCs w:val="22"/>
        </w:rPr>
      </w:pPr>
      <w:r w:rsidRPr="00E87DA4">
        <w:rPr>
          <w:rFonts w:ascii="Arial" w:hAnsi="Arial" w:cs="Arial"/>
          <w:sz w:val="22"/>
          <w:szCs w:val="22"/>
        </w:rPr>
        <w:t>Improving Quality of Life: Evidence from the Field</w:t>
      </w:r>
    </w:p>
    <w:p w:rsidRPr="00E87DA4" w:rsidR="0096793C" w:rsidP="00E87DA4" w:rsidRDefault="0096793C" w14:paraId="66EF748A" w14:textId="49ABC723">
      <w:pPr>
        <w:spacing w:line="360" w:lineRule="auto"/>
        <w:jc w:val="both"/>
        <w:rPr>
          <w:rFonts w:ascii="Arial" w:hAnsi="Arial" w:eastAsia="Times New Roman" w:cs="Arial"/>
          <w:kern w:val="0"/>
          <w:lang w:val="en-PK" w:eastAsia="en-PK"/>
          <w14:ligatures w14:val="none"/>
        </w:rPr>
      </w:pPr>
      <w:r w:rsidRPr="00E87DA4">
        <w:rPr>
          <w:rFonts w:ascii="Arial" w:hAnsi="Arial" w:cs="Arial"/>
        </w:rPr>
        <w:t xml:space="preserve">There is ongoing research that challenges negative perceptions about care homes as 'places of last resort' to highlight their contribution to the quality of people's lives in a more complex way. Substantial qualitative research by </w:t>
      </w:r>
      <w:r w:rsidRPr="00E87DA4" w:rsidR="00FF5C0A">
        <w:rPr>
          <w:rFonts w:ascii="Arial" w:hAnsi="Arial" w:eastAsia="Times New Roman" w:cs="Arial"/>
          <w:kern w:val="0"/>
          <w:lang w:val="en-PK" w:eastAsia="en-PK"/>
          <w14:ligatures w14:val="none"/>
        </w:rPr>
        <w:t>Brett et al. (2024)</w:t>
      </w:r>
      <w:r w:rsidRPr="00E87DA4" w:rsidR="00FF5C0A">
        <w:rPr>
          <w:rFonts w:ascii="Arial" w:hAnsi="Arial" w:eastAsia="Times New Roman" w:cs="Arial"/>
          <w:kern w:val="0"/>
          <w:lang w:val="en-US" w:eastAsia="en-PK"/>
          <w14:ligatures w14:val="none"/>
        </w:rPr>
        <w:t xml:space="preserve">, </w:t>
      </w:r>
      <w:r w:rsidRPr="00E87DA4">
        <w:rPr>
          <w:rFonts w:ascii="Arial" w:hAnsi="Arial" w:cs="Arial"/>
        </w:rPr>
        <w:t xml:space="preserve">carried out in partnership with My Home Life England through extensive and detailed interviews with older residents, families and care staff, identified that "older people reported significantly more benefits to living in a care home than challenges". </w:t>
      </w:r>
      <w:r w:rsidRPr="00E87DA4" w:rsidR="00C055C9">
        <w:rPr>
          <w:rFonts w:ascii="Arial" w:hAnsi="Arial" w:cs="Arial"/>
          <w:lang w:val="en-US"/>
        </w:rPr>
        <w:t xml:space="preserve"> </w:t>
      </w:r>
      <w:r w:rsidRPr="00E87DA4">
        <w:rPr>
          <w:rFonts w:ascii="Arial" w:hAnsi="Arial" w:cs="Arial"/>
        </w:rPr>
        <w:t xml:space="preserve">In a recent Spanish case study, 77% of residents aged 65 and up found the satisfaction level in their dining services to be high, but the same study revealed that 40 residents had a very low satisfaction rate in the category of "lack of participation in management suggestions" </w:t>
      </w:r>
      <w:r w:rsidRPr="00E87DA4" w:rsidR="0012152E">
        <w:rPr>
          <w:rFonts w:ascii="Arial" w:hAnsi="Arial" w:eastAsia="Times New Roman" w:cs="Arial"/>
          <w:kern w:val="0"/>
          <w:lang w:val="en-PK" w:eastAsia="en-PK"/>
          <w14:ligatures w14:val="none"/>
        </w:rPr>
        <w:t>(Gil-Lacruz et al., 2026)</w:t>
      </w:r>
      <w:r w:rsidRPr="00E87DA4" w:rsidR="0012152E">
        <w:rPr>
          <w:rFonts w:ascii="Arial" w:hAnsi="Arial" w:eastAsia="Times New Roman" w:cs="Arial"/>
          <w:kern w:val="0"/>
          <w:lang w:val="en-US" w:eastAsia="en-PK"/>
          <w14:ligatures w14:val="none"/>
        </w:rPr>
        <w:t xml:space="preserve">. </w:t>
      </w:r>
      <w:r w:rsidRPr="00E87DA4">
        <w:rPr>
          <w:rFonts w:ascii="Arial" w:hAnsi="Arial" w:cs="Arial"/>
        </w:rPr>
        <w:t xml:space="preserve">Most importantly, the study found that "more educated and autonomous residents rated the care home less favourably", meaning that the interpretation of the quality of life was closely related to the residents' autonomy and their capacity to make choices in the care home </w:t>
      </w:r>
      <w:r w:rsidRPr="00E87DA4" w:rsidR="0012152E">
        <w:rPr>
          <w:rFonts w:ascii="Arial" w:hAnsi="Arial" w:eastAsia="Times New Roman" w:cs="Arial"/>
          <w:kern w:val="0"/>
          <w:lang w:val="en-PK" w:eastAsia="en-PK"/>
          <w14:ligatures w14:val="none"/>
        </w:rPr>
        <w:t>(Gil-Lacruz et al., 2026)</w:t>
      </w:r>
      <w:r w:rsidRPr="00E87DA4" w:rsidR="0012152E">
        <w:rPr>
          <w:rFonts w:ascii="Arial" w:hAnsi="Arial" w:eastAsia="Times New Roman" w:cs="Arial"/>
          <w:kern w:val="0"/>
          <w:lang w:val="en-US" w:eastAsia="en-PK"/>
          <w14:ligatures w14:val="none"/>
        </w:rPr>
        <w:t>.</w:t>
      </w:r>
    </w:p>
    <w:p w:rsidRPr="00E87DA4" w:rsidR="0096793C" w:rsidP="00E87DA4" w:rsidRDefault="0096793C" w14:paraId="0B56BEC8" w14:textId="7E200919">
      <w:pPr>
        <w:spacing w:line="360" w:lineRule="auto"/>
        <w:jc w:val="both"/>
        <w:rPr>
          <w:rFonts w:ascii="Arial" w:hAnsi="Arial" w:eastAsia="Times New Roman" w:cs="Arial"/>
          <w:kern w:val="0"/>
          <w:lang w:val="en-PK" w:eastAsia="en-PK"/>
          <w14:ligatures w14:val="none"/>
        </w:rPr>
      </w:pPr>
      <w:r w:rsidRPr="00E87DA4">
        <w:rPr>
          <w:rFonts w:ascii="Arial" w:hAnsi="Arial" w:cs="Arial"/>
        </w:rPr>
        <w:lastRenderedPageBreak/>
        <w:t>This discovery is consistent with other work on the conflict between institutional security and the autonomy of the residents. Bland (200</w:t>
      </w:r>
      <w:r w:rsidRPr="00E87DA4" w:rsidR="00BF55E0">
        <w:rPr>
          <w:rFonts w:ascii="Arial" w:hAnsi="Arial" w:cs="Arial"/>
          <w:lang w:val="en-US"/>
        </w:rPr>
        <w:t>5</w:t>
      </w:r>
      <w:r w:rsidRPr="00E87DA4">
        <w:rPr>
          <w:rFonts w:ascii="Arial" w:hAnsi="Arial" w:cs="Arial"/>
        </w:rPr>
        <w:t xml:space="preserve">) showed that the orientation of care home staff is generally "safety and the avoidance of risk", which, "although benevolent in intention", is at odds with residents' wishes to be able to exercise independence, to be able to make choices and to maintain privacy. </w:t>
      </w:r>
      <w:r w:rsidRPr="00E87DA4" w:rsidR="001F169E">
        <w:rPr>
          <w:rFonts w:ascii="Arial" w:hAnsi="Arial" w:eastAsia="Times New Roman" w:cs="Arial"/>
          <w:kern w:val="0"/>
          <w:lang w:val="en-PK" w:eastAsia="en-PK"/>
          <w14:ligatures w14:val="none"/>
        </w:rPr>
        <w:t xml:space="preserve">Börjesson and </w:t>
      </w:r>
      <w:proofErr w:type="spellStart"/>
      <w:r w:rsidRPr="00E87DA4" w:rsidR="001F169E">
        <w:rPr>
          <w:rFonts w:ascii="Arial" w:hAnsi="Arial" w:eastAsia="Times New Roman" w:cs="Arial"/>
          <w:kern w:val="0"/>
          <w:lang w:val="en-PK" w:eastAsia="en-PK"/>
          <w14:ligatures w14:val="none"/>
        </w:rPr>
        <w:t>Torgé</w:t>
      </w:r>
      <w:proofErr w:type="spellEnd"/>
      <w:r w:rsidRPr="00E87DA4" w:rsidR="001F169E">
        <w:rPr>
          <w:rFonts w:ascii="Arial" w:hAnsi="Arial" w:eastAsia="Times New Roman" w:cs="Arial"/>
          <w:kern w:val="0"/>
          <w:lang w:val="en-PK" w:eastAsia="en-PK"/>
          <w14:ligatures w14:val="none"/>
        </w:rPr>
        <w:t xml:space="preserve"> (2021)</w:t>
      </w:r>
      <w:r w:rsidRPr="00E87DA4" w:rsidR="001F169E">
        <w:rPr>
          <w:rFonts w:ascii="Arial" w:hAnsi="Arial" w:eastAsia="Times New Roman" w:cs="Arial"/>
          <w:kern w:val="0"/>
          <w:lang w:val="en-US" w:eastAsia="en-PK"/>
          <w14:ligatures w14:val="none"/>
        </w:rPr>
        <w:t xml:space="preserve"> </w:t>
      </w:r>
      <w:r w:rsidRPr="00E87DA4">
        <w:rPr>
          <w:rFonts w:ascii="Arial" w:hAnsi="Arial" w:cs="Arial"/>
        </w:rPr>
        <w:t>describe this as the basic paradox of residential care, the desire to provide a "home" in which individual and group care is embedded, yet where individual routines and schedules inevitably need to be sacrificed for group routines and schedules.</w:t>
      </w:r>
    </w:p>
    <w:p w:rsidRPr="00E87DA4" w:rsidR="0096793C" w:rsidP="00E87DA4" w:rsidRDefault="0096793C" w14:paraId="19E1C0AC" w14:textId="77777777">
      <w:pPr>
        <w:pStyle w:val="Heading1"/>
        <w:spacing w:line="360" w:lineRule="auto"/>
        <w:jc w:val="both"/>
        <w:rPr>
          <w:rFonts w:ascii="Arial" w:hAnsi="Arial" w:cs="Arial"/>
          <w:sz w:val="22"/>
          <w:szCs w:val="22"/>
        </w:rPr>
      </w:pPr>
      <w:r w:rsidRPr="00E87DA4">
        <w:rPr>
          <w:rFonts w:ascii="Arial" w:hAnsi="Arial" w:cs="Arial"/>
          <w:sz w:val="22"/>
          <w:szCs w:val="22"/>
        </w:rPr>
        <w:t>Conclusion</w:t>
      </w:r>
    </w:p>
    <w:p w:rsidRPr="00E87DA4" w:rsidR="0096793C" w:rsidP="2FBF2B2D" w:rsidRDefault="0096793C" w14:paraId="04A93AF0" w14:textId="68FF51FB">
      <w:pPr>
        <w:pStyle w:val="NormalWeb"/>
        <w:spacing w:line="360" w:lineRule="auto"/>
        <w:jc w:val="both"/>
        <w:rPr>
          <w:rFonts w:ascii="Arial" w:hAnsi="Arial" w:cs="Arial"/>
          <w:sz w:val="22"/>
          <w:szCs w:val="22"/>
          <w:lang w:val="en-US"/>
        </w:rPr>
      </w:pPr>
      <w:r w:rsidRPr="2FBF2B2D" w:rsidR="0096793C">
        <w:rPr>
          <w:rFonts w:ascii="Arial" w:hAnsi="Arial" w:cs="Arial"/>
          <w:sz w:val="22"/>
          <w:szCs w:val="22"/>
          <w:lang w:val="en-US"/>
        </w:rPr>
        <w:t xml:space="preserve">Residential care homes are no longer the harsh workhouses of the nineteenth century but are now subject to regulation and operate within a </w:t>
      </w:r>
      <w:r w:rsidRPr="2FBF2B2D" w:rsidR="000D61B6">
        <w:rPr>
          <w:rFonts w:ascii="Arial" w:hAnsi="Arial" w:cs="Arial"/>
          <w:sz w:val="22"/>
          <w:szCs w:val="22"/>
          <w:lang w:val="en-US"/>
        </w:rPr>
        <w:t>marketized</w:t>
      </w:r>
      <w:r w:rsidRPr="2FBF2B2D" w:rsidR="0096793C">
        <w:rPr>
          <w:rFonts w:ascii="Arial" w:hAnsi="Arial" w:cs="Arial"/>
          <w:sz w:val="22"/>
          <w:szCs w:val="22"/>
          <w:lang w:val="en-US"/>
        </w:rPr>
        <w:t xml:space="preserve"> system of welfare. Despite marked advances, including the end of the most humiliating institutional practices, and the introduction of enforceable measures of quality, there are still some tensions between safety and autonomy, between home hopes and institutional realities, and between private provision and public accountability. As the evidence indicates, the most successful homes are not only looked after but also actively encourage residents to participate, respect their independence and promote true communities, not just simply storage areas for those unable to live independently.</w:t>
      </w:r>
    </w:p>
    <w:p w:rsidRPr="00E87DA4" w:rsidR="00D06952" w:rsidP="00E87DA4" w:rsidRDefault="0096793C" w14:paraId="189CD2FD" w14:textId="5356E5BD">
      <w:pPr>
        <w:spacing w:line="360" w:lineRule="auto"/>
        <w:jc w:val="both"/>
        <w:rPr>
          <w:rFonts w:ascii="Arial" w:hAnsi="Arial" w:eastAsia="Times New Roman" w:cs="Arial"/>
          <w:kern w:val="0"/>
          <w:lang w:val="en-PK" w:eastAsia="en-PK"/>
          <w14:ligatures w14:val="none"/>
        </w:rPr>
      </w:pPr>
      <w:r w:rsidRPr="00E87DA4">
        <w:rPr>
          <w:rFonts w:ascii="Arial" w:hAnsi="Arial" w:eastAsia="Times New Roman" w:cs="Arial"/>
          <w:kern w:val="0"/>
          <w:lang w:val="en-PK" w:eastAsia="en-PK"/>
          <w14:ligatures w14:val="none"/>
        </w:rPr>
        <w:br w:type="page"/>
      </w:r>
    </w:p>
    <w:p w:rsidRPr="00E87DA4" w:rsidR="00D06952" w:rsidP="00E87DA4" w:rsidRDefault="00337C1D" w14:paraId="77DD1308" w14:textId="54AC3299">
      <w:pPr>
        <w:shd w:val="clear" w:color="auto" w:fill="FFFFFF"/>
        <w:spacing w:before="480" w:after="240" w:line="360" w:lineRule="auto"/>
        <w:jc w:val="both"/>
        <w:outlineLvl w:val="1"/>
        <w:rPr>
          <w:rFonts w:ascii="Arial" w:hAnsi="Arial" w:eastAsia="Times New Roman" w:cs="Arial"/>
          <w:b/>
          <w:bCs/>
          <w:color w:val="0F1115"/>
          <w:kern w:val="0"/>
          <w:lang w:val="en-PK" w:eastAsia="en-PK"/>
          <w14:ligatures w14:val="none"/>
        </w:rPr>
      </w:pPr>
      <w:r w:rsidRPr="00E87DA4">
        <w:rPr>
          <w:rFonts w:ascii="Arial" w:hAnsi="Arial" w:eastAsia="Times New Roman" w:cs="Arial"/>
          <w:b/>
          <w:bCs/>
          <w:color w:val="0F1115"/>
          <w:kern w:val="0"/>
          <w:lang w:val="en-US" w:eastAsia="en-PK"/>
          <w14:ligatures w14:val="none"/>
        </w:rPr>
        <w:lastRenderedPageBreak/>
        <w:t xml:space="preserve">Essay </w:t>
      </w:r>
      <w:r w:rsidRPr="00E87DA4" w:rsidR="00D06952">
        <w:rPr>
          <w:rFonts w:ascii="Arial" w:hAnsi="Arial" w:eastAsia="Times New Roman" w:cs="Arial"/>
          <w:b/>
          <w:bCs/>
          <w:color w:val="0F1115"/>
          <w:kern w:val="0"/>
          <w:lang w:val="en-PK" w:eastAsia="en-PK"/>
          <w14:ligatures w14:val="none"/>
        </w:rPr>
        <w:t>References</w:t>
      </w:r>
    </w:p>
    <w:p w:rsidRPr="00E87DA4" w:rsidR="00F26742" w:rsidP="00E87DA4" w:rsidRDefault="00F26742" w14:paraId="5BF760C0" w14:textId="77777777">
      <w:pPr>
        <w:pStyle w:val="ListParagraph"/>
        <w:numPr>
          <w:ilvl w:val="0"/>
          <w:numId w:val="3"/>
        </w:numPr>
        <w:shd w:val="clear" w:color="auto" w:fill="FFFFFF"/>
        <w:spacing w:before="240" w:after="240" w:line="360" w:lineRule="auto"/>
        <w:jc w:val="both"/>
        <w:rPr>
          <w:rFonts w:ascii="Arial" w:hAnsi="Arial" w:eastAsia="Times New Roman" w:cs="Arial"/>
          <w:color w:val="0F1115"/>
          <w:kern w:val="0"/>
          <w:lang w:val="en-PK" w:eastAsia="en-PK"/>
          <w14:ligatures w14:val="none"/>
        </w:rPr>
      </w:pPr>
      <w:r w:rsidRPr="00E87DA4">
        <w:rPr>
          <w:rFonts w:ascii="Arial" w:hAnsi="Arial" w:eastAsia="Times New Roman" w:cs="Arial"/>
          <w:color w:val="0F1115"/>
          <w:kern w:val="0"/>
          <w:lang w:val="en-PK" w:eastAsia="en-PK"/>
          <w14:ligatures w14:val="none"/>
        </w:rPr>
        <w:t>Bland, R. (200</w:t>
      </w:r>
      <w:r w:rsidRPr="00E87DA4">
        <w:rPr>
          <w:rFonts w:ascii="Arial" w:hAnsi="Arial" w:eastAsia="Times New Roman" w:cs="Arial"/>
          <w:color w:val="0F1115"/>
          <w:kern w:val="0"/>
          <w:lang w:val="en-US" w:eastAsia="en-PK"/>
          <w14:ligatures w14:val="none"/>
        </w:rPr>
        <w:t>5</w:t>
      </w:r>
      <w:r w:rsidRPr="00E87DA4">
        <w:rPr>
          <w:rFonts w:ascii="Arial" w:hAnsi="Arial" w:eastAsia="Times New Roman" w:cs="Arial"/>
          <w:color w:val="0F1115"/>
          <w:kern w:val="0"/>
          <w:lang w:val="en-PK" w:eastAsia="en-PK"/>
          <w14:ligatures w14:val="none"/>
        </w:rPr>
        <w:t>) </w:t>
      </w:r>
      <w:r w:rsidRPr="00E87DA4">
        <w:rPr>
          <w:rFonts w:ascii="Arial" w:hAnsi="Arial" w:eastAsia="Times New Roman" w:cs="Arial"/>
          <w:i/>
          <w:iCs/>
          <w:color w:val="0F1115"/>
          <w:kern w:val="0"/>
          <w:lang w:val="en-PK" w:eastAsia="en-PK"/>
          <w14:ligatures w14:val="none"/>
        </w:rPr>
        <w:t>Senior citizens, good practice and quality of life in residential care homes</w:t>
      </w:r>
      <w:r w:rsidRPr="00E87DA4">
        <w:rPr>
          <w:rFonts w:ascii="Arial" w:hAnsi="Arial" w:eastAsia="Times New Roman" w:cs="Arial"/>
          <w:color w:val="0F1115"/>
          <w:kern w:val="0"/>
          <w:lang w:val="en-PK" w:eastAsia="en-PK"/>
          <w14:ligatures w14:val="none"/>
        </w:rPr>
        <w:t>. PhD thesis. University of Stirling.</w:t>
      </w:r>
    </w:p>
    <w:p w:rsidRPr="00E87DA4" w:rsidR="00F26742" w:rsidP="00E87DA4" w:rsidRDefault="00F26742" w14:paraId="3C4784FC" w14:textId="77777777">
      <w:pPr>
        <w:pStyle w:val="NormalWeb"/>
        <w:numPr>
          <w:ilvl w:val="0"/>
          <w:numId w:val="3"/>
        </w:numPr>
        <w:spacing w:before="0" w:beforeAutospacing="0" w:after="240" w:afterAutospacing="0" w:line="360" w:lineRule="auto"/>
        <w:jc w:val="both"/>
        <w:rPr>
          <w:rFonts w:ascii="Arial" w:hAnsi="Arial" w:cs="Arial"/>
          <w:sz w:val="22"/>
          <w:szCs w:val="22"/>
        </w:rPr>
      </w:pPr>
      <w:r w:rsidRPr="00E87DA4">
        <w:rPr>
          <w:rFonts w:ascii="Arial" w:hAnsi="Arial" w:cs="Arial"/>
          <w:sz w:val="22"/>
          <w:szCs w:val="22"/>
        </w:rPr>
        <w:t xml:space="preserve">Börjesson, U. and </w:t>
      </w:r>
      <w:proofErr w:type="spellStart"/>
      <w:r w:rsidRPr="00E87DA4">
        <w:rPr>
          <w:rFonts w:ascii="Arial" w:hAnsi="Arial" w:cs="Arial"/>
          <w:sz w:val="22"/>
          <w:szCs w:val="22"/>
        </w:rPr>
        <w:t>Torgé</w:t>
      </w:r>
      <w:proofErr w:type="spellEnd"/>
      <w:r w:rsidRPr="00E87DA4">
        <w:rPr>
          <w:rFonts w:ascii="Arial" w:hAnsi="Arial" w:cs="Arial"/>
          <w:sz w:val="22"/>
          <w:szCs w:val="22"/>
        </w:rPr>
        <w:t xml:space="preserve">, C.J. (2021). ‘They say this is a home’: the challenge of ‘home’ in residential care settings for old and young. </w:t>
      </w:r>
      <w:r w:rsidRPr="00E87DA4">
        <w:rPr>
          <w:rFonts w:ascii="Arial" w:hAnsi="Arial" w:cs="Arial"/>
          <w:i/>
          <w:iCs/>
          <w:sz w:val="22"/>
          <w:szCs w:val="22"/>
        </w:rPr>
        <w:t>Journal of Housing and the Built Environment</w:t>
      </w:r>
      <w:r w:rsidRPr="00E87DA4">
        <w:rPr>
          <w:rFonts w:ascii="Arial" w:hAnsi="Arial" w:cs="Arial"/>
          <w:sz w:val="22"/>
          <w:szCs w:val="22"/>
        </w:rPr>
        <w:t xml:space="preserve">, 37(3), pp.1093–1108. </w:t>
      </w:r>
      <w:proofErr w:type="spellStart"/>
      <w:proofErr w:type="gramStart"/>
      <w:r w:rsidRPr="00E87DA4">
        <w:rPr>
          <w:rFonts w:ascii="Arial" w:hAnsi="Arial" w:cs="Arial"/>
          <w:sz w:val="22"/>
          <w:szCs w:val="22"/>
        </w:rPr>
        <w:t>doi:https</w:t>
      </w:r>
      <w:proofErr w:type="spellEnd"/>
      <w:r w:rsidRPr="00E87DA4">
        <w:rPr>
          <w:rFonts w:ascii="Arial" w:hAnsi="Arial" w:cs="Arial"/>
          <w:sz w:val="22"/>
          <w:szCs w:val="22"/>
        </w:rPr>
        <w:t>://doi.org/10.1007/s10901-021-09877-2</w:t>
      </w:r>
      <w:proofErr w:type="gramEnd"/>
      <w:r w:rsidRPr="00E87DA4">
        <w:rPr>
          <w:rFonts w:ascii="Arial" w:hAnsi="Arial" w:cs="Arial"/>
          <w:sz w:val="22"/>
          <w:szCs w:val="22"/>
        </w:rPr>
        <w:t>.</w:t>
      </w:r>
    </w:p>
    <w:p w:rsidRPr="00E87DA4" w:rsidR="00F26742" w:rsidP="00E87DA4" w:rsidRDefault="00F26742" w14:paraId="1EC58C38" w14:textId="77777777">
      <w:pPr>
        <w:pStyle w:val="NormalWeb"/>
        <w:numPr>
          <w:ilvl w:val="0"/>
          <w:numId w:val="3"/>
        </w:numPr>
        <w:spacing w:before="0" w:beforeAutospacing="0" w:after="240" w:afterAutospacing="0" w:line="360" w:lineRule="auto"/>
        <w:jc w:val="both"/>
        <w:rPr>
          <w:rFonts w:ascii="Arial" w:hAnsi="Arial" w:cs="Arial"/>
          <w:sz w:val="22"/>
          <w:szCs w:val="22"/>
        </w:rPr>
      </w:pPr>
      <w:r w:rsidRPr="00E87DA4">
        <w:rPr>
          <w:rFonts w:ascii="Arial" w:hAnsi="Arial" w:cs="Arial"/>
          <w:sz w:val="22"/>
          <w:szCs w:val="22"/>
        </w:rPr>
        <w:t xml:space="preserve">Brett, M., Ryan, A., Owen, T., Thompson, S., Davis, L. and Hewitt, E. (2024). Thriving in residential care: The voices of older people, families and care teams. </w:t>
      </w:r>
      <w:r w:rsidRPr="00E87DA4">
        <w:rPr>
          <w:rFonts w:ascii="Arial" w:hAnsi="Arial" w:cs="Arial"/>
          <w:i/>
          <w:iCs/>
          <w:sz w:val="22"/>
          <w:szCs w:val="22"/>
        </w:rPr>
        <w:t>City.ac.uk</w:t>
      </w:r>
      <w:r w:rsidRPr="00E87DA4">
        <w:rPr>
          <w:rFonts w:ascii="Arial" w:hAnsi="Arial" w:cs="Arial"/>
          <w:sz w:val="22"/>
          <w:szCs w:val="22"/>
        </w:rPr>
        <w:t xml:space="preserve">. [online] </w:t>
      </w:r>
      <w:proofErr w:type="gramStart"/>
      <w:r w:rsidRPr="00E87DA4">
        <w:rPr>
          <w:rFonts w:ascii="Arial" w:hAnsi="Arial" w:cs="Arial"/>
          <w:sz w:val="22"/>
          <w:szCs w:val="22"/>
        </w:rPr>
        <w:t>doi:https://openaccess.city.ac.uk/id/eprint/36708/1/Thriving-in-Residential-Care-Full-Report%20%281%29.pdf</w:t>
      </w:r>
      <w:proofErr w:type="gramEnd"/>
      <w:r w:rsidRPr="00E87DA4">
        <w:rPr>
          <w:rFonts w:ascii="Arial" w:hAnsi="Arial" w:cs="Arial"/>
          <w:sz w:val="22"/>
          <w:szCs w:val="22"/>
        </w:rPr>
        <w:t>.</w:t>
      </w:r>
    </w:p>
    <w:p w:rsidRPr="00E87DA4" w:rsidR="00F26742" w:rsidP="00E87DA4" w:rsidRDefault="00F26742" w14:paraId="1BA0FD90" w14:textId="77777777">
      <w:pPr>
        <w:pStyle w:val="NormalWeb"/>
        <w:numPr>
          <w:ilvl w:val="0"/>
          <w:numId w:val="3"/>
        </w:numPr>
        <w:spacing w:before="0" w:beforeAutospacing="0" w:after="240" w:afterAutospacing="0" w:line="360" w:lineRule="auto"/>
        <w:jc w:val="both"/>
        <w:rPr>
          <w:rFonts w:ascii="Arial" w:hAnsi="Arial" w:cs="Arial"/>
          <w:sz w:val="22"/>
          <w:szCs w:val="22"/>
        </w:rPr>
      </w:pPr>
      <w:r w:rsidRPr="00E87DA4">
        <w:rPr>
          <w:rFonts w:ascii="Arial" w:hAnsi="Arial" w:cs="Arial"/>
          <w:sz w:val="22"/>
          <w:szCs w:val="22"/>
        </w:rPr>
        <w:t xml:space="preserve">Gil-Lacruz, M., </w:t>
      </w:r>
      <w:proofErr w:type="spellStart"/>
      <w:r w:rsidRPr="00E87DA4">
        <w:rPr>
          <w:rFonts w:ascii="Arial" w:hAnsi="Arial" w:cs="Arial"/>
          <w:sz w:val="22"/>
          <w:szCs w:val="22"/>
        </w:rPr>
        <w:t>Leché</w:t>
      </w:r>
      <w:proofErr w:type="spellEnd"/>
      <w:r w:rsidRPr="00E87DA4">
        <w:rPr>
          <w:rFonts w:ascii="Arial" w:hAnsi="Arial" w:cs="Arial"/>
          <w:sz w:val="22"/>
          <w:szCs w:val="22"/>
        </w:rPr>
        <w:t xml:space="preserve">-Martín, E.A., Henning, M.A. and Gil-Lacruz, A.I. (2026). Older adults’ perspectives on their residential care homes: a case study. </w:t>
      </w:r>
      <w:r w:rsidRPr="00E87DA4">
        <w:rPr>
          <w:rFonts w:ascii="Arial" w:hAnsi="Arial" w:cs="Arial"/>
          <w:i/>
          <w:iCs/>
          <w:sz w:val="22"/>
          <w:szCs w:val="22"/>
        </w:rPr>
        <w:t>Frontiers in Public Health</w:t>
      </w:r>
      <w:r w:rsidRPr="00E87DA4">
        <w:rPr>
          <w:rFonts w:ascii="Arial" w:hAnsi="Arial" w:cs="Arial"/>
          <w:sz w:val="22"/>
          <w:szCs w:val="22"/>
        </w:rPr>
        <w:t xml:space="preserve">, 14. </w:t>
      </w:r>
      <w:proofErr w:type="spellStart"/>
      <w:proofErr w:type="gramStart"/>
      <w:r w:rsidRPr="00E87DA4">
        <w:rPr>
          <w:rFonts w:ascii="Arial" w:hAnsi="Arial" w:cs="Arial"/>
          <w:sz w:val="22"/>
          <w:szCs w:val="22"/>
        </w:rPr>
        <w:t>doi:https</w:t>
      </w:r>
      <w:proofErr w:type="spellEnd"/>
      <w:r w:rsidRPr="00E87DA4">
        <w:rPr>
          <w:rFonts w:ascii="Arial" w:hAnsi="Arial" w:cs="Arial"/>
          <w:sz w:val="22"/>
          <w:szCs w:val="22"/>
        </w:rPr>
        <w:t>://doi.org/10.3389/fpubh.2026.1698646</w:t>
      </w:r>
      <w:proofErr w:type="gramEnd"/>
      <w:r w:rsidRPr="00E87DA4">
        <w:rPr>
          <w:rFonts w:ascii="Arial" w:hAnsi="Arial" w:cs="Arial"/>
          <w:sz w:val="22"/>
          <w:szCs w:val="22"/>
        </w:rPr>
        <w:t>.</w:t>
      </w:r>
    </w:p>
    <w:p w:rsidRPr="00E87DA4" w:rsidR="00F26742" w:rsidP="00E87DA4" w:rsidRDefault="00F26742" w14:paraId="0A2C4027" w14:textId="77777777">
      <w:pPr>
        <w:pStyle w:val="NormalWeb"/>
        <w:numPr>
          <w:ilvl w:val="0"/>
          <w:numId w:val="3"/>
        </w:numPr>
        <w:spacing w:before="0" w:beforeAutospacing="0" w:after="240" w:afterAutospacing="0" w:line="360" w:lineRule="auto"/>
        <w:jc w:val="both"/>
        <w:rPr>
          <w:rFonts w:ascii="Arial" w:hAnsi="Arial" w:cs="Arial"/>
          <w:sz w:val="22"/>
          <w:szCs w:val="22"/>
        </w:rPr>
      </w:pPr>
      <w:r w:rsidRPr="00E87DA4">
        <w:rPr>
          <w:rFonts w:ascii="Arial" w:hAnsi="Arial" w:cs="Arial"/>
          <w:sz w:val="22"/>
          <w:szCs w:val="22"/>
        </w:rPr>
        <w:t xml:space="preserve">Hayashi, M. (2015). </w:t>
      </w:r>
      <w:r w:rsidRPr="00E87DA4">
        <w:rPr>
          <w:rFonts w:ascii="Arial" w:hAnsi="Arial" w:cs="Arial"/>
          <w:i/>
          <w:iCs/>
          <w:sz w:val="22"/>
          <w:szCs w:val="22"/>
        </w:rPr>
        <w:t>The Care of Older People</w:t>
      </w:r>
      <w:r w:rsidRPr="00E87DA4">
        <w:rPr>
          <w:rFonts w:ascii="Arial" w:hAnsi="Arial" w:cs="Arial"/>
          <w:sz w:val="22"/>
          <w:szCs w:val="22"/>
        </w:rPr>
        <w:t xml:space="preserve">. Routledge. </w:t>
      </w:r>
      <w:proofErr w:type="spellStart"/>
      <w:proofErr w:type="gramStart"/>
      <w:r w:rsidRPr="00E87DA4">
        <w:rPr>
          <w:rFonts w:ascii="Arial" w:hAnsi="Arial" w:cs="Arial"/>
          <w:sz w:val="22"/>
          <w:szCs w:val="22"/>
        </w:rPr>
        <w:t>doi:https</w:t>
      </w:r>
      <w:proofErr w:type="spellEnd"/>
      <w:r w:rsidRPr="00E87DA4">
        <w:rPr>
          <w:rFonts w:ascii="Arial" w:hAnsi="Arial" w:cs="Arial"/>
          <w:sz w:val="22"/>
          <w:szCs w:val="22"/>
        </w:rPr>
        <w:t>://doi.org/10.4324/9781315654560</w:t>
      </w:r>
      <w:proofErr w:type="gramEnd"/>
      <w:r w:rsidRPr="00E87DA4">
        <w:rPr>
          <w:rFonts w:ascii="Arial" w:hAnsi="Arial" w:cs="Arial"/>
          <w:sz w:val="22"/>
          <w:szCs w:val="22"/>
        </w:rPr>
        <w:t>.</w:t>
      </w:r>
    </w:p>
    <w:p w:rsidRPr="00E87DA4" w:rsidR="00F26742" w:rsidP="00E87DA4" w:rsidRDefault="00F26742" w14:paraId="5EA5CC8B" w14:textId="77777777">
      <w:pPr>
        <w:pStyle w:val="ListParagraph"/>
        <w:numPr>
          <w:ilvl w:val="0"/>
          <w:numId w:val="3"/>
        </w:numPr>
        <w:shd w:val="clear" w:color="auto" w:fill="FFFFFF"/>
        <w:spacing w:before="240" w:after="240" w:line="360" w:lineRule="auto"/>
        <w:jc w:val="both"/>
        <w:rPr>
          <w:rFonts w:ascii="Arial" w:hAnsi="Arial" w:eastAsia="Times New Roman" w:cs="Arial"/>
          <w:color w:val="0F1115"/>
          <w:kern w:val="0"/>
          <w:lang w:val="en-PK" w:eastAsia="en-PK"/>
          <w14:ligatures w14:val="none"/>
        </w:rPr>
      </w:pPr>
      <w:r w:rsidRPr="00E87DA4">
        <w:rPr>
          <w:rFonts w:ascii="Arial" w:hAnsi="Arial" w:eastAsia="Times New Roman" w:cs="Arial"/>
          <w:color w:val="0F1115"/>
          <w:kern w:val="0"/>
          <w:lang w:val="en-PK" w:eastAsia="en-PK"/>
          <w14:ligatures w14:val="none"/>
        </w:rPr>
        <w:t>Thomson, D. (1983) 'Workhouse to nursing home: Residential care of elderly people in England since 1840', </w:t>
      </w:r>
      <w:r w:rsidRPr="00E87DA4">
        <w:rPr>
          <w:rFonts w:ascii="Arial" w:hAnsi="Arial" w:eastAsia="Times New Roman" w:cs="Arial"/>
          <w:i/>
          <w:iCs/>
          <w:color w:val="0F1115"/>
          <w:kern w:val="0"/>
          <w:lang w:val="en-PK" w:eastAsia="en-PK"/>
          <w14:ligatures w14:val="none"/>
        </w:rPr>
        <w:t>Ageing &amp; Society</w:t>
      </w:r>
      <w:r w:rsidRPr="00E87DA4">
        <w:rPr>
          <w:rFonts w:ascii="Arial" w:hAnsi="Arial" w:eastAsia="Times New Roman" w:cs="Arial"/>
          <w:color w:val="0F1115"/>
          <w:kern w:val="0"/>
          <w:lang w:val="en-PK" w:eastAsia="en-PK"/>
          <w14:ligatures w14:val="none"/>
        </w:rPr>
        <w:t>, 3(1), pp. 43-69.</w:t>
      </w:r>
    </w:p>
    <w:p w:rsidRPr="00E87DA4" w:rsidR="00F26742" w:rsidP="00E87DA4" w:rsidRDefault="00F26742" w14:paraId="472CE4B6" w14:textId="1B772727">
      <w:pPr>
        <w:pStyle w:val="NormalWeb"/>
        <w:numPr>
          <w:ilvl w:val="0"/>
          <w:numId w:val="3"/>
        </w:numPr>
        <w:spacing w:line="360" w:lineRule="auto"/>
        <w:jc w:val="both"/>
        <w:rPr>
          <w:rFonts w:ascii="Arial" w:hAnsi="Arial" w:cs="Arial"/>
          <w:sz w:val="22"/>
          <w:szCs w:val="22"/>
        </w:rPr>
      </w:pPr>
      <w:r w:rsidRPr="00E87DA4">
        <w:rPr>
          <w:rFonts w:ascii="Arial" w:hAnsi="Arial" w:cs="Arial"/>
          <w:sz w:val="22"/>
          <w:szCs w:val="22"/>
        </w:rPr>
        <w:t>UK Parliament (2025) 'Written questions and answers: Continuity of care in retirement homes', 12 May 2025. Available at: </w:t>
      </w:r>
      <w:hyperlink w:tgtFrame="_blank" w:history="1" r:id="rId8">
        <w:r w:rsidRPr="00E87DA4">
          <w:rPr>
            <w:rStyle w:val="Hyperlink"/>
            <w:rFonts w:ascii="Arial" w:hAnsi="Arial" w:cs="Arial"/>
            <w:sz w:val="22"/>
            <w:szCs w:val="22"/>
          </w:rPr>
          <w:t>https://questions-statements.parliament.uk/</w:t>
        </w:r>
      </w:hyperlink>
      <w:r w:rsidRPr="00E87DA4">
        <w:rPr>
          <w:rFonts w:ascii="Arial" w:hAnsi="Arial" w:cs="Arial"/>
          <w:sz w:val="22"/>
          <w:szCs w:val="22"/>
        </w:rPr>
        <w:t> </w:t>
      </w:r>
    </w:p>
    <w:p w:rsidRPr="00E87DA4" w:rsidR="006517D0" w:rsidP="00E87DA4" w:rsidRDefault="00337C1D" w14:paraId="2EA00023" w14:textId="04E86958">
      <w:pPr>
        <w:spacing w:line="360" w:lineRule="auto"/>
        <w:jc w:val="both"/>
        <w:rPr>
          <w:rFonts w:ascii="Arial" w:hAnsi="Arial" w:cs="Arial"/>
          <w:b/>
          <w:bCs/>
        </w:rPr>
      </w:pPr>
      <w:r w:rsidRPr="00E87DA4">
        <w:rPr>
          <w:rFonts w:ascii="Arial" w:hAnsi="Arial" w:cs="Arial"/>
          <w:b/>
          <w:bCs/>
        </w:rPr>
        <w:t>Poster References:</w:t>
      </w:r>
    </w:p>
    <w:p w:rsidRPr="00E87DA4" w:rsidR="00337C1D" w:rsidP="00E87DA4" w:rsidRDefault="00337C1D" w14:paraId="737FD0AA" w14:textId="77777777">
      <w:pPr>
        <w:pStyle w:val="ListParagraph"/>
        <w:numPr>
          <w:ilvl w:val="0"/>
          <w:numId w:val="2"/>
        </w:numPr>
        <w:spacing w:before="100" w:beforeAutospacing="1" w:after="100" w:afterAutospacing="1" w:line="360" w:lineRule="auto"/>
        <w:jc w:val="both"/>
        <w:rPr>
          <w:rFonts w:ascii="Arial" w:hAnsi="Arial" w:cs="Arial"/>
          <w:lang w:val="en-PK"/>
        </w:rPr>
      </w:pPr>
      <w:r w:rsidRPr="00E87DA4">
        <w:rPr>
          <w:rStyle w:val="agcmg"/>
          <w:rFonts w:ascii="Arial" w:hAnsi="Arial" w:cs="Arial"/>
          <w:b/>
          <w:bCs/>
        </w:rPr>
        <w:t xml:space="preserve">Eaton-Williams, P., Barrett, J., Mortimer, C. and Williams, J. (2020). A national survey of ambulance paramedics on the identification of patients with </w:t>
      </w:r>
      <w:proofErr w:type="gramStart"/>
      <w:r w:rsidRPr="00E87DA4">
        <w:rPr>
          <w:rStyle w:val="agcmg"/>
          <w:rFonts w:ascii="Arial" w:hAnsi="Arial" w:cs="Arial"/>
          <w:b/>
          <w:bCs/>
        </w:rPr>
        <w:t>end of life</w:t>
      </w:r>
      <w:proofErr w:type="gramEnd"/>
      <w:r w:rsidRPr="00E87DA4">
        <w:rPr>
          <w:rStyle w:val="agcmg"/>
          <w:rFonts w:ascii="Arial" w:hAnsi="Arial" w:cs="Arial"/>
          <w:b/>
          <w:bCs/>
        </w:rPr>
        <w:t xml:space="preserve"> care needs. British Paramedic Journal, 5(3), pp.8–14. </w:t>
      </w:r>
      <w:proofErr w:type="spellStart"/>
      <w:proofErr w:type="gramStart"/>
      <w:r w:rsidRPr="00E87DA4">
        <w:rPr>
          <w:rStyle w:val="agcmg"/>
          <w:rFonts w:ascii="Arial" w:hAnsi="Arial" w:cs="Arial"/>
          <w:b/>
          <w:bCs/>
        </w:rPr>
        <w:t>doi:https</w:t>
      </w:r>
      <w:proofErr w:type="spellEnd"/>
      <w:r w:rsidRPr="00E87DA4">
        <w:rPr>
          <w:rStyle w:val="agcmg"/>
          <w:rFonts w:ascii="Arial" w:hAnsi="Arial" w:cs="Arial"/>
          <w:b/>
          <w:bCs/>
        </w:rPr>
        <w:t>://doi.org/10.29045/14784726.2020.12.5.3.8</w:t>
      </w:r>
      <w:proofErr w:type="gramEnd"/>
      <w:r w:rsidRPr="00E87DA4">
        <w:rPr>
          <w:rStyle w:val="agcmg"/>
          <w:rFonts w:ascii="Arial" w:hAnsi="Arial" w:cs="Arial"/>
          <w:b/>
          <w:bCs/>
        </w:rPr>
        <w:t>.</w:t>
      </w:r>
    </w:p>
    <w:p w:rsidRPr="00E87DA4" w:rsidR="00337C1D" w:rsidP="00E87DA4" w:rsidRDefault="00337C1D" w14:paraId="09750013" w14:textId="77777777">
      <w:pPr>
        <w:pStyle w:val="ListParagraph"/>
        <w:numPr>
          <w:ilvl w:val="0"/>
          <w:numId w:val="2"/>
        </w:numPr>
        <w:spacing w:before="100" w:beforeAutospacing="1" w:after="100" w:afterAutospacing="1" w:line="360" w:lineRule="auto"/>
        <w:jc w:val="both"/>
        <w:rPr>
          <w:rFonts w:ascii="Arial" w:hAnsi="Arial" w:cs="Arial"/>
        </w:rPr>
      </w:pPr>
      <w:r w:rsidRPr="00E87DA4">
        <w:rPr>
          <w:rStyle w:val="agcmg"/>
          <w:rFonts w:ascii="Arial" w:hAnsi="Arial" w:cs="Arial"/>
          <w:b/>
          <w:bCs/>
        </w:rPr>
        <w:t xml:space="preserve">Li, M., Zhong, X., Goldstein, J., Jensen, J.L., Hawco, T., Carter, A.J.E. and Vanberkel, P. (2026). An Empirical Analysis of the Effect of Ambulance Offload Delay on the Efficiency of the Ambulance System. Applied Sciences, 16(4), p.2074. </w:t>
      </w:r>
      <w:proofErr w:type="spellStart"/>
      <w:proofErr w:type="gramStart"/>
      <w:r w:rsidRPr="00E87DA4">
        <w:rPr>
          <w:rStyle w:val="agcmg"/>
          <w:rFonts w:ascii="Arial" w:hAnsi="Arial" w:cs="Arial"/>
          <w:b/>
          <w:bCs/>
        </w:rPr>
        <w:t>doi:https</w:t>
      </w:r>
      <w:proofErr w:type="spellEnd"/>
      <w:r w:rsidRPr="00E87DA4">
        <w:rPr>
          <w:rStyle w:val="agcmg"/>
          <w:rFonts w:ascii="Arial" w:hAnsi="Arial" w:cs="Arial"/>
          <w:b/>
          <w:bCs/>
        </w:rPr>
        <w:t>://doi.org/10.3390/app16042074</w:t>
      </w:r>
      <w:proofErr w:type="gramEnd"/>
      <w:r w:rsidRPr="00E87DA4">
        <w:rPr>
          <w:rStyle w:val="agcmg"/>
          <w:rFonts w:ascii="Arial" w:hAnsi="Arial" w:cs="Arial"/>
          <w:b/>
          <w:bCs/>
        </w:rPr>
        <w:t>.</w:t>
      </w:r>
    </w:p>
    <w:p w:rsidRPr="00E87DA4" w:rsidR="00337C1D" w:rsidP="00E87DA4" w:rsidRDefault="00337C1D" w14:paraId="6890852F" w14:textId="77777777">
      <w:pPr>
        <w:pStyle w:val="ListParagraph"/>
        <w:numPr>
          <w:ilvl w:val="0"/>
          <w:numId w:val="2"/>
        </w:numPr>
        <w:spacing w:before="100" w:beforeAutospacing="1" w:after="100" w:afterAutospacing="1" w:line="360" w:lineRule="auto"/>
        <w:jc w:val="both"/>
        <w:rPr>
          <w:rFonts w:ascii="Arial" w:hAnsi="Arial" w:cs="Arial"/>
        </w:rPr>
      </w:pPr>
      <w:r w:rsidRPr="00E87DA4">
        <w:rPr>
          <w:rStyle w:val="agcmg"/>
          <w:rFonts w:ascii="Arial" w:hAnsi="Arial" w:cs="Arial"/>
          <w:b/>
          <w:bCs/>
        </w:rPr>
        <w:lastRenderedPageBreak/>
        <w:t xml:space="preserve">McNicholl, B.P. (1994). The golden hour and prehospital trauma care. Injury, 25(4), pp.251–254. </w:t>
      </w:r>
      <w:proofErr w:type="spellStart"/>
      <w:proofErr w:type="gramStart"/>
      <w:r w:rsidRPr="00E87DA4">
        <w:rPr>
          <w:rStyle w:val="agcmg"/>
          <w:rFonts w:ascii="Arial" w:hAnsi="Arial" w:cs="Arial"/>
          <w:b/>
          <w:bCs/>
        </w:rPr>
        <w:t>doi:https</w:t>
      </w:r>
      <w:proofErr w:type="spellEnd"/>
      <w:r w:rsidRPr="00E87DA4">
        <w:rPr>
          <w:rStyle w:val="agcmg"/>
          <w:rFonts w:ascii="Arial" w:hAnsi="Arial" w:cs="Arial"/>
          <w:b/>
          <w:bCs/>
        </w:rPr>
        <w:t>://doi.org/10.1016/0020-1383(94)90073-6</w:t>
      </w:r>
      <w:proofErr w:type="gramEnd"/>
      <w:r w:rsidRPr="00E87DA4">
        <w:rPr>
          <w:rStyle w:val="agcmg"/>
          <w:rFonts w:ascii="Arial" w:hAnsi="Arial" w:cs="Arial"/>
          <w:b/>
          <w:bCs/>
        </w:rPr>
        <w:t>.</w:t>
      </w:r>
    </w:p>
    <w:p w:rsidRPr="00E87DA4" w:rsidR="00337C1D" w:rsidP="00E87DA4" w:rsidRDefault="00337C1D" w14:paraId="0B524354" w14:textId="77777777">
      <w:pPr>
        <w:pStyle w:val="ListParagraph"/>
        <w:numPr>
          <w:ilvl w:val="0"/>
          <w:numId w:val="2"/>
        </w:numPr>
        <w:spacing w:before="100" w:beforeAutospacing="1" w:after="100" w:afterAutospacing="1" w:line="360" w:lineRule="auto"/>
        <w:jc w:val="both"/>
        <w:rPr>
          <w:rFonts w:ascii="Arial" w:hAnsi="Arial" w:cs="Arial"/>
        </w:rPr>
      </w:pPr>
      <w:r w:rsidRPr="00E87DA4">
        <w:rPr>
          <w:rStyle w:val="agcmg"/>
          <w:rFonts w:ascii="Arial" w:hAnsi="Arial" w:cs="Arial"/>
          <w:b/>
          <w:bCs/>
        </w:rPr>
        <w:t xml:space="preserve">National Ambulance Data Dashboard (2024) Annual response time report – Urban category 1 performance 2019–2023. Available at: </w:t>
      </w:r>
      <w:hyperlink w:tgtFrame="_blank" w:history="1" r:id="rId9">
        <w:r w:rsidRPr="00E87DA4">
          <w:rPr>
            <w:rStyle w:val="Hyperlink"/>
            <w:rFonts w:ascii="Arial" w:hAnsi="Arial" w:cs="Arial"/>
            <w:b/>
            <w:bCs/>
          </w:rPr>
          <w:t>https://www.ambulancedata.nhs.uk/reports</w:t>
        </w:r>
      </w:hyperlink>
      <w:r w:rsidRPr="00E87DA4">
        <w:rPr>
          <w:rStyle w:val="agcmg"/>
          <w:rFonts w:ascii="Arial" w:hAnsi="Arial" w:cs="Arial"/>
          <w:b/>
          <w:bCs/>
        </w:rPr>
        <w:t xml:space="preserve"> (Accessed: 10 March 2026).</w:t>
      </w:r>
    </w:p>
    <w:p w:rsidRPr="00E87DA4" w:rsidR="00337C1D" w:rsidP="00E87DA4" w:rsidRDefault="00337C1D" w14:paraId="6DEDAC87" w14:textId="77777777">
      <w:pPr>
        <w:pStyle w:val="ListParagraph"/>
        <w:numPr>
          <w:ilvl w:val="0"/>
          <w:numId w:val="2"/>
        </w:numPr>
        <w:spacing w:before="100" w:beforeAutospacing="1" w:after="100" w:afterAutospacing="1" w:line="360" w:lineRule="auto"/>
        <w:jc w:val="both"/>
        <w:rPr>
          <w:rFonts w:ascii="Arial" w:hAnsi="Arial" w:cs="Arial"/>
        </w:rPr>
      </w:pPr>
      <w:r w:rsidRPr="00E87DA4">
        <w:rPr>
          <w:rStyle w:val="agcmg"/>
          <w:rFonts w:ascii="Arial" w:hAnsi="Arial" w:cs="Arial"/>
          <w:b/>
          <w:bCs/>
        </w:rPr>
        <w:t xml:space="preserve">NHS England (2023) *Ambulance Quality Indicators: Operational report – Quarter 3 2022/23*. Available at: </w:t>
      </w:r>
      <w:hyperlink w:tgtFrame="_blank" w:history="1" r:id="rId10">
        <w:r w:rsidRPr="00E87DA4">
          <w:rPr>
            <w:rStyle w:val="Hyperlink"/>
            <w:rFonts w:ascii="Arial" w:hAnsi="Arial" w:cs="Arial"/>
            <w:b/>
            <w:bCs/>
          </w:rPr>
          <w:t>https://www.england.nhs.uk/statistics/ambulance-quality-indicators/</w:t>
        </w:r>
      </w:hyperlink>
      <w:r w:rsidRPr="00E87DA4">
        <w:rPr>
          <w:rStyle w:val="agcmg"/>
          <w:rFonts w:ascii="Arial" w:hAnsi="Arial" w:cs="Arial"/>
          <w:b/>
          <w:bCs/>
        </w:rPr>
        <w:t xml:space="preserve"> (Accessed: 10 March 2026).</w:t>
      </w:r>
    </w:p>
    <w:p w:rsidRPr="00E87DA4" w:rsidR="00337C1D" w:rsidP="00E87DA4" w:rsidRDefault="00337C1D" w14:paraId="5200AE07" w14:textId="77777777">
      <w:pPr>
        <w:pStyle w:val="ListParagraph"/>
        <w:numPr>
          <w:ilvl w:val="0"/>
          <w:numId w:val="2"/>
        </w:numPr>
        <w:spacing w:before="100" w:beforeAutospacing="1" w:after="100" w:afterAutospacing="1" w:line="360" w:lineRule="auto"/>
        <w:jc w:val="both"/>
        <w:rPr>
          <w:rFonts w:ascii="Arial" w:hAnsi="Arial" w:cs="Arial"/>
        </w:rPr>
      </w:pPr>
      <w:r w:rsidRPr="00E87DA4">
        <w:rPr>
          <w:rStyle w:val="agcmg"/>
          <w:rFonts w:ascii="Arial" w:hAnsi="Arial" w:cs="Arial"/>
          <w:b/>
          <w:bCs/>
        </w:rPr>
        <w:t xml:space="preserve">Turner, M.D. and Shah, M.H. (2024). Dominique-Jean Larrey (1766-1842): The Founder of the Modern Triage System. Cureus, [online] 16(6). </w:t>
      </w:r>
      <w:proofErr w:type="spellStart"/>
      <w:proofErr w:type="gramStart"/>
      <w:r w:rsidRPr="00E87DA4">
        <w:rPr>
          <w:rStyle w:val="agcmg"/>
          <w:rFonts w:ascii="Arial" w:hAnsi="Arial" w:cs="Arial"/>
          <w:b/>
          <w:bCs/>
        </w:rPr>
        <w:t>doi:https</w:t>
      </w:r>
      <w:proofErr w:type="spellEnd"/>
      <w:r w:rsidRPr="00E87DA4">
        <w:rPr>
          <w:rStyle w:val="agcmg"/>
          <w:rFonts w:ascii="Arial" w:hAnsi="Arial" w:cs="Arial"/>
          <w:b/>
          <w:bCs/>
        </w:rPr>
        <w:t>://doi.org/10.7759/cureus.62375</w:t>
      </w:r>
      <w:proofErr w:type="gramEnd"/>
      <w:r w:rsidRPr="00E87DA4">
        <w:rPr>
          <w:rStyle w:val="agcmg"/>
          <w:rFonts w:ascii="Arial" w:hAnsi="Arial" w:cs="Arial"/>
          <w:b/>
          <w:bCs/>
        </w:rPr>
        <w:t>.</w:t>
      </w:r>
    </w:p>
    <w:p w:rsidRPr="00E87DA4" w:rsidR="00337C1D" w:rsidP="00E87DA4" w:rsidRDefault="00337C1D" w14:paraId="631DF988" w14:textId="77777777">
      <w:pPr>
        <w:spacing w:line="360" w:lineRule="auto"/>
        <w:jc w:val="both"/>
        <w:rPr>
          <w:rFonts w:ascii="Arial" w:hAnsi="Arial" w:cs="Arial"/>
        </w:rPr>
      </w:pPr>
    </w:p>
    <w:sectPr w:rsidRPr="00E87DA4" w:rsidR="00337C1D">
      <w:footerReference w:type="default" r:id="rId11"/>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94947" w:rsidP="00DE36BB" w:rsidRDefault="00294947" w14:paraId="51983B90" w14:textId="77777777">
      <w:pPr>
        <w:spacing w:after="0" w:line="240" w:lineRule="auto"/>
      </w:pPr>
      <w:r>
        <w:separator/>
      </w:r>
    </w:p>
  </w:endnote>
  <w:endnote w:type="continuationSeparator" w:id="0">
    <w:p w:rsidR="00294947" w:rsidP="00DE36BB" w:rsidRDefault="00294947" w14:paraId="0E25DA0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048388"/>
      <w:docPartObj>
        <w:docPartGallery w:val="Page Numbers (Bottom of Page)"/>
        <w:docPartUnique/>
      </w:docPartObj>
    </w:sdtPr>
    <w:sdtEndPr>
      <w:rPr>
        <w:noProof/>
      </w:rPr>
    </w:sdtEndPr>
    <w:sdtContent>
      <w:p w:rsidR="00DE36BB" w:rsidRDefault="00DE36BB" w14:paraId="1E6E074A" w14:textId="565199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E36BB" w:rsidRDefault="00DE36BB" w14:paraId="2D85683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94947" w:rsidP="00DE36BB" w:rsidRDefault="00294947" w14:paraId="6763A3CD" w14:textId="77777777">
      <w:pPr>
        <w:spacing w:after="0" w:line="240" w:lineRule="auto"/>
      </w:pPr>
      <w:r>
        <w:separator/>
      </w:r>
    </w:p>
  </w:footnote>
  <w:footnote w:type="continuationSeparator" w:id="0">
    <w:p w:rsidR="00294947" w:rsidP="00DE36BB" w:rsidRDefault="00294947" w14:paraId="5091758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E634E"/>
    <w:multiLevelType w:val="hybridMultilevel"/>
    <w:tmpl w:val="DE924C54"/>
    <w:lvl w:ilvl="0" w:tplc="20000001">
      <w:start w:val="1"/>
      <w:numFmt w:val="bullet"/>
      <w:lvlText w:val=""/>
      <w:lvlJc w:val="left"/>
      <w:pPr>
        <w:ind w:left="720" w:hanging="360"/>
      </w:pPr>
      <w:rPr>
        <w:rFonts w:hint="default" w:ascii="Symbol" w:hAnsi="Symbol"/>
      </w:rPr>
    </w:lvl>
    <w:lvl w:ilvl="1" w:tplc="20000003" w:tentative="1">
      <w:start w:val="1"/>
      <w:numFmt w:val="bullet"/>
      <w:lvlText w:val="o"/>
      <w:lvlJc w:val="left"/>
      <w:pPr>
        <w:ind w:left="1440" w:hanging="360"/>
      </w:pPr>
      <w:rPr>
        <w:rFonts w:hint="default" w:ascii="Courier New" w:hAnsi="Courier New" w:cs="Courier New"/>
      </w:rPr>
    </w:lvl>
    <w:lvl w:ilvl="2" w:tplc="20000005" w:tentative="1">
      <w:start w:val="1"/>
      <w:numFmt w:val="bullet"/>
      <w:lvlText w:val=""/>
      <w:lvlJc w:val="left"/>
      <w:pPr>
        <w:ind w:left="2160" w:hanging="360"/>
      </w:pPr>
      <w:rPr>
        <w:rFonts w:hint="default" w:ascii="Wingdings" w:hAnsi="Wingdings"/>
      </w:rPr>
    </w:lvl>
    <w:lvl w:ilvl="3" w:tplc="20000001" w:tentative="1">
      <w:start w:val="1"/>
      <w:numFmt w:val="bullet"/>
      <w:lvlText w:val=""/>
      <w:lvlJc w:val="left"/>
      <w:pPr>
        <w:ind w:left="2880" w:hanging="360"/>
      </w:pPr>
      <w:rPr>
        <w:rFonts w:hint="default" w:ascii="Symbol" w:hAnsi="Symbol"/>
      </w:rPr>
    </w:lvl>
    <w:lvl w:ilvl="4" w:tplc="20000003" w:tentative="1">
      <w:start w:val="1"/>
      <w:numFmt w:val="bullet"/>
      <w:lvlText w:val="o"/>
      <w:lvlJc w:val="left"/>
      <w:pPr>
        <w:ind w:left="3600" w:hanging="360"/>
      </w:pPr>
      <w:rPr>
        <w:rFonts w:hint="default" w:ascii="Courier New" w:hAnsi="Courier New" w:cs="Courier New"/>
      </w:rPr>
    </w:lvl>
    <w:lvl w:ilvl="5" w:tplc="20000005" w:tentative="1">
      <w:start w:val="1"/>
      <w:numFmt w:val="bullet"/>
      <w:lvlText w:val=""/>
      <w:lvlJc w:val="left"/>
      <w:pPr>
        <w:ind w:left="4320" w:hanging="360"/>
      </w:pPr>
      <w:rPr>
        <w:rFonts w:hint="default" w:ascii="Wingdings" w:hAnsi="Wingdings"/>
      </w:rPr>
    </w:lvl>
    <w:lvl w:ilvl="6" w:tplc="20000001" w:tentative="1">
      <w:start w:val="1"/>
      <w:numFmt w:val="bullet"/>
      <w:lvlText w:val=""/>
      <w:lvlJc w:val="left"/>
      <w:pPr>
        <w:ind w:left="5040" w:hanging="360"/>
      </w:pPr>
      <w:rPr>
        <w:rFonts w:hint="default" w:ascii="Symbol" w:hAnsi="Symbol"/>
      </w:rPr>
    </w:lvl>
    <w:lvl w:ilvl="7" w:tplc="20000003" w:tentative="1">
      <w:start w:val="1"/>
      <w:numFmt w:val="bullet"/>
      <w:lvlText w:val="o"/>
      <w:lvlJc w:val="left"/>
      <w:pPr>
        <w:ind w:left="5760" w:hanging="360"/>
      </w:pPr>
      <w:rPr>
        <w:rFonts w:hint="default" w:ascii="Courier New" w:hAnsi="Courier New" w:cs="Courier New"/>
      </w:rPr>
    </w:lvl>
    <w:lvl w:ilvl="8" w:tplc="20000005" w:tentative="1">
      <w:start w:val="1"/>
      <w:numFmt w:val="bullet"/>
      <w:lvlText w:val=""/>
      <w:lvlJc w:val="left"/>
      <w:pPr>
        <w:ind w:left="6480" w:hanging="360"/>
      </w:pPr>
      <w:rPr>
        <w:rFonts w:hint="default" w:ascii="Wingdings" w:hAnsi="Wingdings"/>
      </w:rPr>
    </w:lvl>
  </w:abstractNum>
  <w:abstractNum w:abstractNumId="1" w15:restartNumberingAfterBreak="0">
    <w:nsid w:val="165B4EB6"/>
    <w:multiLevelType w:val="multilevel"/>
    <w:tmpl w:val="C3A8AD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CB838B2"/>
    <w:multiLevelType w:val="hybridMultilevel"/>
    <w:tmpl w:val="7FD46796"/>
    <w:lvl w:ilvl="0" w:tplc="20000001">
      <w:start w:val="1"/>
      <w:numFmt w:val="bullet"/>
      <w:lvlText w:val=""/>
      <w:lvlJc w:val="left"/>
      <w:pPr>
        <w:ind w:left="1080" w:hanging="360"/>
      </w:pPr>
      <w:rPr>
        <w:rFonts w:hint="default" w:ascii="Symbol" w:hAnsi="Symbol"/>
      </w:rPr>
    </w:lvl>
    <w:lvl w:ilvl="1" w:tplc="20000003" w:tentative="1">
      <w:start w:val="1"/>
      <w:numFmt w:val="bullet"/>
      <w:lvlText w:val="o"/>
      <w:lvlJc w:val="left"/>
      <w:pPr>
        <w:ind w:left="1800" w:hanging="360"/>
      </w:pPr>
      <w:rPr>
        <w:rFonts w:hint="default" w:ascii="Courier New" w:hAnsi="Courier New" w:cs="Courier New"/>
      </w:rPr>
    </w:lvl>
    <w:lvl w:ilvl="2" w:tplc="20000005" w:tentative="1">
      <w:start w:val="1"/>
      <w:numFmt w:val="bullet"/>
      <w:lvlText w:val=""/>
      <w:lvlJc w:val="left"/>
      <w:pPr>
        <w:ind w:left="2520" w:hanging="360"/>
      </w:pPr>
      <w:rPr>
        <w:rFonts w:hint="default" w:ascii="Wingdings" w:hAnsi="Wingdings"/>
      </w:rPr>
    </w:lvl>
    <w:lvl w:ilvl="3" w:tplc="20000001" w:tentative="1">
      <w:start w:val="1"/>
      <w:numFmt w:val="bullet"/>
      <w:lvlText w:val=""/>
      <w:lvlJc w:val="left"/>
      <w:pPr>
        <w:ind w:left="3240" w:hanging="360"/>
      </w:pPr>
      <w:rPr>
        <w:rFonts w:hint="default" w:ascii="Symbol" w:hAnsi="Symbol"/>
      </w:rPr>
    </w:lvl>
    <w:lvl w:ilvl="4" w:tplc="20000003" w:tentative="1">
      <w:start w:val="1"/>
      <w:numFmt w:val="bullet"/>
      <w:lvlText w:val="o"/>
      <w:lvlJc w:val="left"/>
      <w:pPr>
        <w:ind w:left="3960" w:hanging="360"/>
      </w:pPr>
      <w:rPr>
        <w:rFonts w:hint="default" w:ascii="Courier New" w:hAnsi="Courier New" w:cs="Courier New"/>
      </w:rPr>
    </w:lvl>
    <w:lvl w:ilvl="5" w:tplc="20000005" w:tentative="1">
      <w:start w:val="1"/>
      <w:numFmt w:val="bullet"/>
      <w:lvlText w:val=""/>
      <w:lvlJc w:val="left"/>
      <w:pPr>
        <w:ind w:left="4680" w:hanging="360"/>
      </w:pPr>
      <w:rPr>
        <w:rFonts w:hint="default" w:ascii="Wingdings" w:hAnsi="Wingdings"/>
      </w:rPr>
    </w:lvl>
    <w:lvl w:ilvl="6" w:tplc="20000001" w:tentative="1">
      <w:start w:val="1"/>
      <w:numFmt w:val="bullet"/>
      <w:lvlText w:val=""/>
      <w:lvlJc w:val="left"/>
      <w:pPr>
        <w:ind w:left="5400" w:hanging="360"/>
      </w:pPr>
      <w:rPr>
        <w:rFonts w:hint="default" w:ascii="Symbol" w:hAnsi="Symbol"/>
      </w:rPr>
    </w:lvl>
    <w:lvl w:ilvl="7" w:tplc="20000003" w:tentative="1">
      <w:start w:val="1"/>
      <w:numFmt w:val="bullet"/>
      <w:lvlText w:val="o"/>
      <w:lvlJc w:val="left"/>
      <w:pPr>
        <w:ind w:left="6120" w:hanging="360"/>
      </w:pPr>
      <w:rPr>
        <w:rFonts w:hint="default" w:ascii="Courier New" w:hAnsi="Courier New" w:cs="Courier New"/>
      </w:rPr>
    </w:lvl>
    <w:lvl w:ilvl="8" w:tplc="20000005" w:tentative="1">
      <w:start w:val="1"/>
      <w:numFmt w:val="bullet"/>
      <w:lvlText w:val=""/>
      <w:lvlJc w:val="left"/>
      <w:pPr>
        <w:ind w:left="6840" w:hanging="360"/>
      </w:pPr>
      <w:rPr>
        <w:rFonts w:hint="default" w:ascii="Wingdings" w:hAnsi="Wingdings"/>
      </w:rPr>
    </w:lvl>
  </w:abstractNum>
  <w:num w:numId="1" w16cid:durableId="1273785800">
    <w:abstractNumId w:val="1"/>
  </w:num>
  <w:num w:numId="2" w16cid:durableId="685257058">
    <w:abstractNumId w:val="2"/>
  </w:num>
  <w:num w:numId="3" w16cid:durableId="1614089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952"/>
    <w:rsid w:val="00053106"/>
    <w:rsid w:val="000D61B6"/>
    <w:rsid w:val="00101490"/>
    <w:rsid w:val="0012152E"/>
    <w:rsid w:val="001F169E"/>
    <w:rsid w:val="00294947"/>
    <w:rsid w:val="00337C1D"/>
    <w:rsid w:val="00366A2F"/>
    <w:rsid w:val="003947F0"/>
    <w:rsid w:val="0042295B"/>
    <w:rsid w:val="00452866"/>
    <w:rsid w:val="004E4847"/>
    <w:rsid w:val="006517D0"/>
    <w:rsid w:val="0067206E"/>
    <w:rsid w:val="006E5E41"/>
    <w:rsid w:val="006E77BB"/>
    <w:rsid w:val="00776E20"/>
    <w:rsid w:val="00812A92"/>
    <w:rsid w:val="0096793C"/>
    <w:rsid w:val="00A0359C"/>
    <w:rsid w:val="00AA1B30"/>
    <w:rsid w:val="00AD0167"/>
    <w:rsid w:val="00AE756C"/>
    <w:rsid w:val="00B45189"/>
    <w:rsid w:val="00BF55E0"/>
    <w:rsid w:val="00C055C9"/>
    <w:rsid w:val="00CC1236"/>
    <w:rsid w:val="00D06952"/>
    <w:rsid w:val="00DA4ACA"/>
    <w:rsid w:val="00DE36BB"/>
    <w:rsid w:val="00E3394A"/>
    <w:rsid w:val="00E40D7D"/>
    <w:rsid w:val="00E87DA4"/>
    <w:rsid w:val="00F26742"/>
    <w:rsid w:val="00F5147F"/>
    <w:rsid w:val="00F85342"/>
    <w:rsid w:val="00FF5C0A"/>
    <w:rsid w:val="047F58A8"/>
    <w:rsid w:val="0AE9198F"/>
    <w:rsid w:val="139ABC47"/>
    <w:rsid w:val="145B9405"/>
    <w:rsid w:val="2FBF2B2D"/>
    <w:rsid w:val="3407B420"/>
    <w:rsid w:val="3C42E4DD"/>
    <w:rsid w:val="41219B5B"/>
    <w:rsid w:val="4254D70E"/>
    <w:rsid w:val="49D8DE22"/>
    <w:rsid w:val="54C916F3"/>
    <w:rsid w:val="7BF6E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2AD10"/>
  <w15:chartTrackingRefBased/>
  <w15:docId w15:val="{D6D130E2-74E2-4CB8-9518-29F8F1F31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link w:val="Heading1Char"/>
    <w:uiPriority w:val="9"/>
    <w:qFormat/>
    <w:rsid w:val="00D06952"/>
    <w:pPr>
      <w:spacing w:before="100" w:beforeAutospacing="1" w:after="100" w:afterAutospacing="1" w:line="240" w:lineRule="auto"/>
      <w:outlineLvl w:val="0"/>
    </w:pPr>
    <w:rPr>
      <w:rFonts w:ascii="Times New Roman" w:hAnsi="Times New Roman" w:eastAsia="Times New Roman" w:cs="Times New Roman"/>
      <w:b/>
      <w:bCs/>
      <w:kern w:val="36"/>
      <w:sz w:val="48"/>
      <w:szCs w:val="48"/>
      <w:lang w:val="en-PK" w:eastAsia="en-PK"/>
      <w14:ligatures w14:val="none"/>
    </w:rPr>
  </w:style>
  <w:style w:type="paragraph" w:styleId="Heading2">
    <w:name w:val="heading 2"/>
    <w:basedOn w:val="Normal"/>
    <w:link w:val="Heading2Char"/>
    <w:uiPriority w:val="9"/>
    <w:qFormat/>
    <w:rsid w:val="00D06952"/>
    <w:pPr>
      <w:spacing w:before="100" w:beforeAutospacing="1" w:after="100" w:afterAutospacing="1" w:line="240" w:lineRule="auto"/>
      <w:outlineLvl w:val="1"/>
    </w:pPr>
    <w:rPr>
      <w:rFonts w:ascii="Times New Roman" w:hAnsi="Times New Roman" w:eastAsia="Times New Roman" w:cs="Times New Roman"/>
      <w:b/>
      <w:bCs/>
      <w:kern w:val="0"/>
      <w:sz w:val="36"/>
      <w:szCs w:val="36"/>
      <w:lang w:val="en-PK" w:eastAsia="en-PK"/>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06952"/>
    <w:rPr>
      <w:rFonts w:ascii="Times New Roman" w:hAnsi="Times New Roman" w:eastAsia="Times New Roman" w:cs="Times New Roman"/>
      <w:b/>
      <w:bCs/>
      <w:kern w:val="36"/>
      <w:sz w:val="48"/>
      <w:szCs w:val="48"/>
      <w:lang w:val="en-PK" w:eastAsia="en-PK"/>
      <w14:ligatures w14:val="none"/>
    </w:rPr>
  </w:style>
  <w:style w:type="character" w:styleId="Heading2Char" w:customStyle="1">
    <w:name w:val="Heading 2 Char"/>
    <w:basedOn w:val="DefaultParagraphFont"/>
    <w:link w:val="Heading2"/>
    <w:uiPriority w:val="9"/>
    <w:rsid w:val="00D06952"/>
    <w:rPr>
      <w:rFonts w:ascii="Times New Roman" w:hAnsi="Times New Roman" w:eastAsia="Times New Roman" w:cs="Times New Roman"/>
      <w:b/>
      <w:bCs/>
      <w:kern w:val="0"/>
      <w:sz w:val="36"/>
      <w:szCs w:val="36"/>
      <w:lang w:val="en-PK" w:eastAsia="en-PK"/>
      <w14:ligatures w14:val="none"/>
    </w:rPr>
  </w:style>
  <w:style w:type="paragraph" w:styleId="ds-markdown-paragraph" w:customStyle="1">
    <w:name w:val="ds-markdown-paragraph"/>
    <w:basedOn w:val="Normal"/>
    <w:rsid w:val="00D06952"/>
    <w:pPr>
      <w:spacing w:before="100" w:beforeAutospacing="1" w:after="100" w:afterAutospacing="1" w:line="240" w:lineRule="auto"/>
    </w:pPr>
    <w:rPr>
      <w:rFonts w:ascii="Times New Roman" w:hAnsi="Times New Roman" w:eastAsia="Times New Roman" w:cs="Times New Roman"/>
      <w:kern w:val="0"/>
      <w:sz w:val="24"/>
      <w:szCs w:val="24"/>
      <w:lang w:val="en-PK" w:eastAsia="en-PK"/>
      <w14:ligatures w14:val="none"/>
    </w:rPr>
  </w:style>
  <w:style w:type="character" w:styleId="Emphasis">
    <w:name w:val="Emphasis"/>
    <w:basedOn w:val="DefaultParagraphFont"/>
    <w:uiPriority w:val="20"/>
    <w:qFormat/>
    <w:rsid w:val="00D06952"/>
    <w:rPr>
      <w:i/>
      <w:iCs/>
    </w:rPr>
  </w:style>
  <w:style w:type="character" w:styleId="Hyperlink">
    <w:name w:val="Hyperlink"/>
    <w:basedOn w:val="DefaultParagraphFont"/>
    <w:uiPriority w:val="99"/>
    <w:semiHidden/>
    <w:unhideWhenUsed/>
    <w:rsid w:val="00D06952"/>
    <w:rPr>
      <w:color w:val="0000FF"/>
      <w:u w:val="single"/>
    </w:rPr>
  </w:style>
  <w:style w:type="paragraph" w:styleId="NormalWeb">
    <w:name w:val="Normal (Web)"/>
    <w:basedOn w:val="Normal"/>
    <w:uiPriority w:val="99"/>
    <w:semiHidden/>
    <w:unhideWhenUsed/>
    <w:rsid w:val="0042295B"/>
    <w:pPr>
      <w:spacing w:before="100" w:beforeAutospacing="1" w:after="100" w:afterAutospacing="1" w:line="240" w:lineRule="auto"/>
    </w:pPr>
    <w:rPr>
      <w:rFonts w:ascii="Times New Roman" w:hAnsi="Times New Roman" w:eastAsia="Times New Roman" w:cs="Times New Roman"/>
      <w:kern w:val="0"/>
      <w:sz w:val="24"/>
      <w:szCs w:val="24"/>
      <w:lang w:val="en-PK" w:eastAsia="en-PK"/>
      <w14:ligatures w14:val="none"/>
    </w:rPr>
  </w:style>
  <w:style w:type="paragraph" w:styleId="Header">
    <w:name w:val="header"/>
    <w:basedOn w:val="Normal"/>
    <w:link w:val="HeaderChar"/>
    <w:uiPriority w:val="99"/>
    <w:unhideWhenUsed/>
    <w:rsid w:val="00DE36BB"/>
    <w:pPr>
      <w:tabs>
        <w:tab w:val="center" w:pos="4680"/>
        <w:tab w:val="right" w:pos="9360"/>
      </w:tabs>
      <w:spacing w:after="0" w:line="240" w:lineRule="auto"/>
    </w:pPr>
  </w:style>
  <w:style w:type="character" w:styleId="HeaderChar" w:customStyle="1">
    <w:name w:val="Header Char"/>
    <w:basedOn w:val="DefaultParagraphFont"/>
    <w:link w:val="Header"/>
    <w:uiPriority w:val="99"/>
    <w:rsid w:val="00DE36BB"/>
    <w:rPr>
      <w:lang w:val="en-GB"/>
    </w:rPr>
  </w:style>
  <w:style w:type="paragraph" w:styleId="Footer">
    <w:name w:val="footer"/>
    <w:basedOn w:val="Normal"/>
    <w:link w:val="FooterChar"/>
    <w:uiPriority w:val="99"/>
    <w:unhideWhenUsed/>
    <w:rsid w:val="00DE36BB"/>
    <w:pPr>
      <w:tabs>
        <w:tab w:val="center" w:pos="4680"/>
        <w:tab w:val="right" w:pos="9360"/>
      </w:tabs>
      <w:spacing w:after="0" w:line="240" w:lineRule="auto"/>
    </w:pPr>
  </w:style>
  <w:style w:type="character" w:styleId="FooterChar" w:customStyle="1">
    <w:name w:val="Footer Char"/>
    <w:basedOn w:val="DefaultParagraphFont"/>
    <w:link w:val="Footer"/>
    <w:uiPriority w:val="99"/>
    <w:rsid w:val="00DE36BB"/>
    <w:rPr>
      <w:lang w:val="en-GB"/>
    </w:rPr>
  </w:style>
  <w:style w:type="character" w:styleId="agcmg" w:customStyle="1">
    <w:name w:val="a_gcmg"/>
    <w:basedOn w:val="DefaultParagraphFont"/>
    <w:rsid w:val="00337C1D"/>
  </w:style>
  <w:style w:type="paragraph" w:styleId="ListParagraph">
    <w:name w:val="List Paragraph"/>
    <w:basedOn w:val="Normal"/>
    <w:uiPriority w:val="34"/>
    <w:qFormat/>
    <w:rsid w:val="00337C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866701">
      <w:bodyDiv w:val="1"/>
      <w:marLeft w:val="0"/>
      <w:marRight w:val="0"/>
      <w:marTop w:val="0"/>
      <w:marBottom w:val="0"/>
      <w:divBdr>
        <w:top w:val="none" w:sz="0" w:space="0" w:color="auto"/>
        <w:left w:val="none" w:sz="0" w:space="0" w:color="auto"/>
        <w:bottom w:val="none" w:sz="0" w:space="0" w:color="auto"/>
        <w:right w:val="none" w:sz="0" w:space="0" w:color="auto"/>
      </w:divBdr>
    </w:div>
    <w:div w:id="392629200">
      <w:bodyDiv w:val="1"/>
      <w:marLeft w:val="0"/>
      <w:marRight w:val="0"/>
      <w:marTop w:val="0"/>
      <w:marBottom w:val="0"/>
      <w:divBdr>
        <w:top w:val="none" w:sz="0" w:space="0" w:color="auto"/>
        <w:left w:val="none" w:sz="0" w:space="0" w:color="auto"/>
        <w:bottom w:val="none" w:sz="0" w:space="0" w:color="auto"/>
        <w:right w:val="none" w:sz="0" w:space="0" w:color="auto"/>
      </w:divBdr>
    </w:div>
    <w:div w:id="547493216">
      <w:bodyDiv w:val="1"/>
      <w:marLeft w:val="0"/>
      <w:marRight w:val="0"/>
      <w:marTop w:val="0"/>
      <w:marBottom w:val="0"/>
      <w:divBdr>
        <w:top w:val="none" w:sz="0" w:space="0" w:color="auto"/>
        <w:left w:val="none" w:sz="0" w:space="0" w:color="auto"/>
        <w:bottom w:val="none" w:sz="0" w:space="0" w:color="auto"/>
        <w:right w:val="none" w:sz="0" w:space="0" w:color="auto"/>
      </w:divBdr>
    </w:div>
    <w:div w:id="673456281">
      <w:bodyDiv w:val="1"/>
      <w:marLeft w:val="0"/>
      <w:marRight w:val="0"/>
      <w:marTop w:val="0"/>
      <w:marBottom w:val="0"/>
      <w:divBdr>
        <w:top w:val="none" w:sz="0" w:space="0" w:color="auto"/>
        <w:left w:val="none" w:sz="0" w:space="0" w:color="auto"/>
        <w:bottom w:val="none" w:sz="0" w:space="0" w:color="auto"/>
        <w:right w:val="none" w:sz="0" w:space="0" w:color="auto"/>
      </w:divBdr>
    </w:div>
    <w:div w:id="845751998">
      <w:bodyDiv w:val="1"/>
      <w:marLeft w:val="0"/>
      <w:marRight w:val="0"/>
      <w:marTop w:val="0"/>
      <w:marBottom w:val="0"/>
      <w:divBdr>
        <w:top w:val="none" w:sz="0" w:space="0" w:color="auto"/>
        <w:left w:val="none" w:sz="0" w:space="0" w:color="auto"/>
        <w:bottom w:val="none" w:sz="0" w:space="0" w:color="auto"/>
        <w:right w:val="none" w:sz="0" w:space="0" w:color="auto"/>
      </w:divBdr>
      <w:divsChild>
        <w:div w:id="1175614266">
          <w:marLeft w:val="0"/>
          <w:marRight w:val="0"/>
          <w:marTop w:val="0"/>
          <w:marBottom w:val="0"/>
          <w:divBdr>
            <w:top w:val="none" w:sz="0" w:space="0" w:color="auto"/>
            <w:left w:val="none" w:sz="0" w:space="0" w:color="auto"/>
            <w:bottom w:val="none" w:sz="0" w:space="0" w:color="auto"/>
            <w:right w:val="none" w:sz="0" w:space="0" w:color="auto"/>
          </w:divBdr>
        </w:div>
      </w:divsChild>
    </w:div>
    <w:div w:id="1076585406">
      <w:bodyDiv w:val="1"/>
      <w:marLeft w:val="0"/>
      <w:marRight w:val="0"/>
      <w:marTop w:val="0"/>
      <w:marBottom w:val="0"/>
      <w:divBdr>
        <w:top w:val="none" w:sz="0" w:space="0" w:color="auto"/>
        <w:left w:val="none" w:sz="0" w:space="0" w:color="auto"/>
        <w:bottom w:val="none" w:sz="0" w:space="0" w:color="auto"/>
        <w:right w:val="none" w:sz="0" w:space="0" w:color="auto"/>
      </w:divBdr>
    </w:div>
    <w:div w:id="1266041617">
      <w:bodyDiv w:val="1"/>
      <w:marLeft w:val="0"/>
      <w:marRight w:val="0"/>
      <w:marTop w:val="0"/>
      <w:marBottom w:val="0"/>
      <w:divBdr>
        <w:top w:val="none" w:sz="0" w:space="0" w:color="auto"/>
        <w:left w:val="none" w:sz="0" w:space="0" w:color="auto"/>
        <w:bottom w:val="none" w:sz="0" w:space="0" w:color="auto"/>
        <w:right w:val="none" w:sz="0" w:space="0" w:color="auto"/>
      </w:divBdr>
    </w:div>
    <w:div w:id="1788306572">
      <w:bodyDiv w:val="1"/>
      <w:marLeft w:val="0"/>
      <w:marRight w:val="0"/>
      <w:marTop w:val="0"/>
      <w:marBottom w:val="0"/>
      <w:divBdr>
        <w:top w:val="none" w:sz="0" w:space="0" w:color="auto"/>
        <w:left w:val="none" w:sz="0" w:space="0" w:color="auto"/>
        <w:bottom w:val="none" w:sz="0" w:space="0" w:color="auto"/>
        <w:right w:val="none" w:sz="0" w:space="0" w:color="auto"/>
      </w:divBdr>
    </w:div>
    <w:div w:id="1839421833">
      <w:bodyDiv w:val="1"/>
      <w:marLeft w:val="0"/>
      <w:marRight w:val="0"/>
      <w:marTop w:val="0"/>
      <w:marBottom w:val="0"/>
      <w:divBdr>
        <w:top w:val="none" w:sz="0" w:space="0" w:color="auto"/>
        <w:left w:val="none" w:sz="0" w:space="0" w:color="auto"/>
        <w:bottom w:val="none" w:sz="0" w:space="0" w:color="auto"/>
        <w:right w:val="none" w:sz="0" w:space="0" w:color="auto"/>
      </w:divBdr>
    </w:div>
    <w:div w:id="191825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questions-statements.parliament.uk/"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england.nhs.uk/statistics/ambulance-quality-indicators/" TargetMode="External" Id="rId10" /><Relationship Type="http://schemas.openxmlformats.org/officeDocument/2006/relationships/webSettings" Target="webSettings.xml" Id="rId4" /><Relationship Type="http://schemas.openxmlformats.org/officeDocument/2006/relationships/hyperlink" Target="https://www.ambulancedata.nhs.uk/reports"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CDC</dc:creator>
  <keywords/>
  <dc:description/>
  <lastModifiedBy>Guloona khan</lastModifiedBy>
  <revision>35</revision>
  <dcterms:created xsi:type="dcterms:W3CDTF">2026-06-12T01:16:00.0000000Z</dcterms:created>
  <dcterms:modified xsi:type="dcterms:W3CDTF">2026-06-20T14:29:55.9711104Z</dcterms:modified>
</coreProperties>
</file>