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E6887" w14:textId="575CAEF3" w:rsidR="00576DAC" w:rsidRDefault="00576DAC" w:rsidP="00576DAC">
      <w:pPr>
        <w:rPr>
          <w:lang w:val="en-US"/>
        </w:rPr>
      </w:pPr>
    </w:p>
    <w:p w14:paraId="19B08B0E" w14:textId="24D34558" w:rsidR="00576DAC" w:rsidRDefault="00576DAC" w:rsidP="00576DAC">
      <w:pPr>
        <w:rPr>
          <w:lang w:val="en-US"/>
        </w:rPr>
      </w:pPr>
    </w:p>
    <w:p w14:paraId="58180FB8" w14:textId="2E1FDC03" w:rsidR="00576DAC" w:rsidRDefault="00576DAC" w:rsidP="00576DAC">
      <w:pPr>
        <w:rPr>
          <w:lang w:val="en-US"/>
        </w:rPr>
      </w:pPr>
    </w:p>
    <w:p w14:paraId="17483496" w14:textId="48161BA2" w:rsidR="00576DAC" w:rsidRDefault="00576DAC" w:rsidP="00576DAC">
      <w:pPr>
        <w:rPr>
          <w:lang w:val="en-US"/>
        </w:rPr>
      </w:pPr>
    </w:p>
    <w:p w14:paraId="132EF816" w14:textId="0BF01C7E" w:rsidR="00576DAC" w:rsidRDefault="00576DAC" w:rsidP="00576DAC">
      <w:pPr>
        <w:rPr>
          <w:lang w:val="en-US"/>
        </w:rPr>
      </w:pPr>
    </w:p>
    <w:p w14:paraId="1581BF9B" w14:textId="2DA048C5" w:rsidR="00576DAC" w:rsidRDefault="00576DAC" w:rsidP="00576DAC">
      <w:pPr>
        <w:rPr>
          <w:lang w:val="en-US"/>
        </w:rPr>
      </w:pPr>
    </w:p>
    <w:p w14:paraId="79146E87" w14:textId="1FE11D64" w:rsidR="00576DAC" w:rsidRDefault="00576DAC" w:rsidP="00576DAC">
      <w:pPr>
        <w:rPr>
          <w:lang w:val="en-US"/>
        </w:rPr>
      </w:pPr>
    </w:p>
    <w:p w14:paraId="1A3151FB" w14:textId="7122DD0D" w:rsidR="00576DAC" w:rsidRDefault="00576DAC" w:rsidP="00576DAC">
      <w:pPr>
        <w:rPr>
          <w:lang w:val="en-US"/>
        </w:rPr>
      </w:pPr>
    </w:p>
    <w:p w14:paraId="618737E1" w14:textId="77777777" w:rsidR="00576DAC" w:rsidRDefault="00576DAC" w:rsidP="00576DAC">
      <w:pPr>
        <w:rPr>
          <w:lang w:val="en-US"/>
        </w:rPr>
      </w:pPr>
    </w:p>
    <w:p w14:paraId="49A0D387" w14:textId="365334BA" w:rsidR="00463A29" w:rsidRPr="00576DAC" w:rsidRDefault="006C7989" w:rsidP="00576DAC">
      <w:pPr>
        <w:jc w:val="center"/>
        <w:rPr>
          <w:b/>
          <w:lang w:val="en-US"/>
        </w:rPr>
      </w:pPr>
      <w:r w:rsidRPr="00576DAC">
        <w:rPr>
          <w:b/>
          <w:lang w:val="en-US"/>
        </w:rPr>
        <w:t>Student Name</w:t>
      </w:r>
      <w:r w:rsidR="00F13071">
        <w:rPr>
          <w:b/>
          <w:lang w:val="en-US"/>
        </w:rPr>
        <w:t xml:space="preserve"> : Ifat Batool Hussain </w:t>
      </w:r>
    </w:p>
    <w:p w14:paraId="79B798D1" w14:textId="4737EDC3" w:rsidR="0095099B" w:rsidRPr="00576DAC" w:rsidRDefault="006C7989" w:rsidP="00576DAC">
      <w:pPr>
        <w:jc w:val="center"/>
        <w:rPr>
          <w:b/>
          <w:lang w:val="en-US"/>
        </w:rPr>
      </w:pPr>
      <w:r w:rsidRPr="00576DAC">
        <w:rPr>
          <w:b/>
          <w:lang w:val="en-US"/>
        </w:rPr>
        <w:t>Module Code: BMHP5016</w:t>
      </w:r>
    </w:p>
    <w:p w14:paraId="1FAD09FB" w14:textId="3D29A4F8" w:rsidR="0095099B" w:rsidRPr="00576DAC" w:rsidRDefault="006C7989" w:rsidP="00576DAC">
      <w:pPr>
        <w:jc w:val="center"/>
        <w:rPr>
          <w:b/>
          <w:lang w:val="en-US"/>
        </w:rPr>
      </w:pPr>
      <w:r w:rsidRPr="00576DAC">
        <w:rPr>
          <w:b/>
          <w:lang w:val="en-US"/>
        </w:rPr>
        <w:t>Module Title</w:t>
      </w:r>
      <w:r w:rsidR="00177A5B" w:rsidRPr="00576DAC">
        <w:rPr>
          <w:b/>
          <w:lang w:val="en-US"/>
        </w:rPr>
        <w:t xml:space="preserve">: </w:t>
      </w:r>
      <w:r w:rsidR="00DD5D74" w:rsidRPr="00576DAC">
        <w:rPr>
          <w:b/>
          <w:lang w:val="en-US"/>
        </w:rPr>
        <w:t>Principles of Health and Social Care Practice</w:t>
      </w:r>
    </w:p>
    <w:p w14:paraId="489D9013" w14:textId="71B0B712" w:rsidR="0095099B" w:rsidRPr="00576DAC" w:rsidRDefault="006C7989" w:rsidP="00576DAC">
      <w:pPr>
        <w:jc w:val="center"/>
        <w:rPr>
          <w:b/>
        </w:rPr>
      </w:pPr>
      <w:r w:rsidRPr="00576DAC">
        <w:rPr>
          <w:b/>
          <w:lang w:val="en-US"/>
        </w:rPr>
        <w:t>Assignment Title</w:t>
      </w:r>
      <w:r w:rsidR="00DD5D74" w:rsidRPr="00576DAC">
        <w:rPr>
          <w:b/>
          <w:lang w:val="en-US"/>
        </w:rPr>
        <w:t xml:space="preserve">: </w:t>
      </w:r>
      <w:r w:rsidR="005C206B" w:rsidRPr="00576DAC">
        <w:rPr>
          <w:b/>
        </w:rPr>
        <w:t>Component 2: Written Assignment (Report)</w:t>
      </w:r>
    </w:p>
    <w:p w14:paraId="236C231B" w14:textId="2B0A2771" w:rsidR="005C206B" w:rsidRDefault="005C206B" w:rsidP="00931C9C">
      <w:pPr>
        <w:rPr>
          <w:lang w:val="en-US"/>
        </w:rPr>
      </w:pPr>
    </w:p>
    <w:p w14:paraId="3F97E355" w14:textId="40F90015" w:rsidR="008A035E" w:rsidRDefault="008A035E" w:rsidP="00931C9C">
      <w:pPr>
        <w:rPr>
          <w:lang w:val="en-US"/>
        </w:rPr>
      </w:pPr>
    </w:p>
    <w:p w14:paraId="2B84F50E" w14:textId="26B9E23E" w:rsidR="008A035E" w:rsidRDefault="008A035E">
      <w:pPr>
        <w:spacing w:line="259" w:lineRule="auto"/>
        <w:rPr>
          <w:lang w:val="en-US"/>
        </w:rPr>
      </w:pPr>
      <w:r>
        <w:rPr>
          <w:lang w:val="en-US"/>
        </w:rPr>
        <w:br w:type="page"/>
      </w:r>
    </w:p>
    <w:sdt>
      <w:sdtPr>
        <w:rPr>
          <w:rFonts w:ascii="Times New Roman" w:eastAsiaTheme="minorHAnsi" w:hAnsi="Times New Roman" w:cstheme="minorBidi"/>
          <w:color w:val="auto"/>
          <w:sz w:val="24"/>
          <w:szCs w:val="22"/>
          <w:lang w:val="en-GB"/>
        </w:rPr>
        <w:id w:val="2042474796"/>
        <w:docPartObj>
          <w:docPartGallery w:val="Table of Contents"/>
          <w:docPartUnique/>
        </w:docPartObj>
      </w:sdtPr>
      <w:sdtEndPr>
        <w:rPr>
          <w:b/>
          <w:bCs/>
          <w:noProof/>
        </w:rPr>
      </w:sdtEndPr>
      <w:sdtContent>
        <w:p w14:paraId="7956C324" w14:textId="227E3171" w:rsidR="008A035E" w:rsidRPr="00DB0DB7" w:rsidRDefault="008A035E">
          <w:pPr>
            <w:pStyle w:val="TOCHeading"/>
            <w:rPr>
              <w:rFonts w:ascii="Times New Roman" w:hAnsi="Times New Roman" w:cs="Times New Roman"/>
              <w:color w:val="auto"/>
              <w:sz w:val="24"/>
              <w:szCs w:val="24"/>
            </w:rPr>
          </w:pPr>
          <w:r w:rsidRPr="00DB0DB7">
            <w:rPr>
              <w:rFonts w:ascii="Times New Roman" w:hAnsi="Times New Roman" w:cs="Times New Roman"/>
              <w:color w:val="auto"/>
              <w:sz w:val="24"/>
              <w:szCs w:val="24"/>
            </w:rPr>
            <w:t>Table of Contents</w:t>
          </w:r>
        </w:p>
        <w:p w14:paraId="54045C0D" w14:textId="565A01A1" w:rsidR="00D278A4" w:rsidRDefault="008A035E">
          <w:pPr>
            <w:pStyle w:val="TOC1"/>
            <w:tabs>
              <w:tab w:val="right" w:leader="dot" w:pos="9350"/>
            </w:tabs>
            <w:rPr>
              <w:rFonts w:asciiTheme="minorHAnsi" w:eastAsiaTheme="minorEastAsia" w:hAnsiTheme="minorHAnsi"/>
              <w:noProof/>
              <w:sz w:val="22"/>
              <w:lang w:eastAsia="en-GB"/>
            </w:rPr>
          </w:pPr>
          <w:r w:rsidRPr="00DB0DB7">
            <w:rPr>
              <w:rFonts w:cs="Times New Roman"/>
              <w:szCs w:val="24"/>
            </w:rPr>
            <w:fldChar w:fldCharType="begin"/>
          </w:r>
          <w:r w:rsidRPr="00DB0DB7">
            <w:rPr>
              <w:rFonts w:cs="Times New Roman"/>
              <w:szCs w:val="24"/>
            </w:rPr>
            <w:instrText xml:space="preserve"> TOC \o "1-3" \h \z \u </w:instrText>
          </w:r>
          <w:r w:rsidRPr="00DB0DB7">
            <w:rPr>
              <w:rFonts w:cs="Times New Roman"/>
              <w:szCs w:val="24"/>
            </w:rPr>
            <w:fldChar w:fldCharType="separate"/>
          </w:r>
          <w:hyperlink w:anchor="_Toc234430923" w:history="1">
            <w:r w:rsidR="00D278A4" w:rsidRPr="002A1C34">
              <w:rPr>
                <w:rStyle w:val="Hyperlink"/>
                <w:noProof/>
                <w:lang w:val="en-US"/>
              </w:rPr>
              <w:t>Introduction</w:t>
            </w:r>
            <w:r w:rsidR="00D278A4">
              <w:rPr>
                <w:noProof/>
                <w:webHidden/>
              </w:rPr>
              <w:tab/>
            </w:r>
            <w:r w:rsidR="00D278A4">
              <w:rPr>
                <w:noProof/>
                <w:webHidden/>
              </w:rPr>
              <w:fldChar w:fldCharType="begin"/>
            </w:r>
            <w:r w:rsidR="00D278A4">
              <w:rPr>
                <w:noProof/>
                <w:webHidden/>
              </w:rPr>
              <w:instrText xml:space="preserve"> PAGEREF _Toc234430923 \h </w:instrText>
            </w:r>
            <w:r w:rsidR="00D278A4">
              <w:rPr>
                <w:noProof/>
                <w:webHidden/>
              </w:rPr>
            </w:r>
            <w:r w:rsidR="00D278A4">
              <w:rPr>
                <w:noProof/>
                <w:webHidden/>
              </w:rPr>
              <w:fldChar w:fldCharType="separate"/>
            </w:r>
            <w:r w:rsidR="00D278A4">
              <w:rPr>
                <w:noProof/>
                <w:webHidden/>
              </w:rPr>
              <w:t>3</w:t>
            </w:r>
            <w:r w:rsidR="00D278A4">
              <w:rPr>
                <w:noProof/>
                <w:webHidden/>
              </w:rPr>
              <w:fldChar w:fldCharType="end"/>
            </w:r>
          </w:hyperlink>
        </w:p>
        <w:p w14:paraId="464C351D" w14:textId="4D319BA5" w:rsidR="00D278A4" w:rsidRDefault="00D278A4">
          <w:pPr>
            <w:pStyle w:val="TOC1"/>
            <w:tabs>
              <w:tab w:val="right" w:leader="dot" w:pos="9350"/>
            </w:tabs>
            <w:rPr>
              <w:rFonts w:asciiTheme="minorHAnsi" w:eastAsiaTheme="minorEastAsia" w:hAnsiTheme="minorHAnsi"/>
              <w:noProof/>
              <w:sz w:val="22"/>
              <w:lang w:eastAsia="en-GB"/>
            </w:rPr>
          </w:pPr>
          <w:hyperlink w:anchor="_Toc234430924" w:history="1">
            <w:r w:rsidRPr="002A1C34">
              <w:rPr>
                <w:rStyle w:val="Hyperlink"/>
                <w:noProof/>
                <w:lang w:val="en-US"/>
              </w:rPr>
              <w:t>PCC Definition, Benefits and Limitations</w:t>
            </w:r>
            <w:r>
              <w:rPr>
                <w:noProof/>
                <w:webHidden/>
              </w:rPr>
              <w:tab/>
            </w:r>
            <w:r>
              <w:rPr>
                <w:noProof/>
                <w:webHidden/>
              </w:rPr>
              <w:fldChar w:fldCharType="begin"/>
            </w:r>
            <w:r>
              <w:rPr>
                <w:noProof/>
                <w:webHidden/>
              </w:rPr>
              <w:instrText xml:space="preserve"> PAGEREF _Toc234430924 \h </w:instrText>
            </w:r>
            <w:r>
              <w:rPr>
                <w:noProof/>
                <w:webHidden/>
              </w:rPr>
            </w:r>
            <w:r>
              <w:rPr>
                <w:noProof/>
                <w:webHidden/>
              </w:rPr>
              <w:fldChar w:fldCharType="separate"/>
            </w:r>
            <w:r>
              <w:rPr>
                <w:noProof/>
                <w:webHidden/>
              </w:rPr>
              <w:t>3</w:t>
            </w:r>
            <w:r>
              <w:rPr>
                <w:noProof/>
                <w:webHidden/>
              </w:rPr>
              <w:fldChar w:fldCharType="end"/>
            </w:r>
          </w:hyperlink>
        </w:p>
        <w:p w14:paraId="749E83EE" w14:textId="6ADE9D1C" w:rsidR="00D278A4" w:rsidRDefault="00D278A4">
          <w:pPr>
            <w:pStyle w:val="TOC1"/>
            <w:tabs>
              <w:tab w:val="right" w:leader="dot" w:pos="9350"/>
            </w:tabs>
            <w:rPr>
              <w:rFonts w:asciiTheme="minorHAnsi" w:eastAsiaTheme="minorEastAsia" w:hAnsiTheme="minorHAnsi"/>
              <w:noProof/>
              <w:sz w:val="22"/>
              <w:lang w:eastAsia="en-GB"/>
            </w:rPr>
          </w:pPr>
          <w:hyperlink w:anchor="_Toc234430925" w:history="1">
            <w:r w:rsidRPr="002A1C34">
              <w:rPr>
                <w:rStyle w:val="Hyperlink"/>
                <w:noProof/>
                <w:lang w:val="en-US"/>
              </w:rPr>
              <w:t>Theory or Model Underpinning Person-Centred Care</w:t>
            </w:r>
            <w:r>
              <w:rPr>
                <w:noProof/>
                <w:webHidden/>
              </w:rPr>
              <w:tab/>
            </w:r>
            <w:r>
              <w:rPr>
                <w:noProof/>
                <w:webHidden/>
              </w:rPr>
              <w:fldChar w:fldCharType="begin"/>
            </w:r>
            <w:r>
              <w:rPr>
                <w:noProof/>
                <w:webHidden/>
              </w:rPr>
              <w:instrText xml:space="preserve"> PAGEREF _Toc234430925 \h </w:instrText>
            </w:r>
            <w:r>
              <w:rPr>
                <w:noProof/>
                <w:webHidden/>
              </w:rPr>
            </w:r>
            <w:r>
              <w:rPr>
                <w:noProof/>
                <w:webHidden/>
              </w:rPr>
              <w:fldChar w:fldCharType="separate"/>
            </w:r>
            <w:r>
              <w:rPr>
                <w:noProof/>
                <w:webHidden/>
              </w:rPr>
              <w:t>4</w:t>
            </w:r>
            <w:r>
              <w:rPr>
                <w:noProof/>
                <w:webHidden/>
              </w:rPr>
              <w:fldChar w:fldCharType="end"/>
            </w:r>
          </w:hyperlink>
        </w:p>
        <w:p w14:paraId="00383EF8" w14:textId="53B7CB30" w:rsidR="00D278A4" w:rsidRDefault="00D278A4">
          <w:pPr>
            <w:pStyle w:val="TOC1"/>
            <w:tabs>
              <w:tab w:val="right" w:leader="dot" w:pos="9350"/>
            </w:tabs>
            <w:rPr>
              <w:rFonts w:asciiTheme="minorHAnsi" w:eastAsiaTheme="minorEastAsia" w:hAnsiTheme="minorHAnsi"/>
              <w:noProof/>
              <w:sz w:val="22"/>
              <w:lang w:eastAsia="en-GB"/>
            </w:rPr>
          </w:pPr>
          <w:hyperlink w:anchor="_Toc234430926" w:history="1">
            <w:r w:rsidRPr="002A1C34">
              <w:rPr>
                <w:rStyle w:val="Hyperlink"/>
                <w:noProof/>
                <w:lang w:val="en-US"/>
              </w:rPr>
              <w:t>Ethical Fundamentals of Health and Social Care</w:t>
            </w:r>
            <w:r>
              <w:rPr>
                <w:noProof/>
                <w:webHidden/>
              </w:rPr>
              <w:tab/>
            </w:r>
            <w:r>
              <w:rPr>
                <w:noProof/>
                <w:webHidden/>
              </w:rPr>
              <w:fldChar w:fldCharType="begin"/>
            </w:r>
            <w:r>
              <w:rPr>
                <w:noProof/>
                <w:webHidden/>
              </w:rPr>
              <w:instrText xml:space="preserve"> PAGEREF _Toc234430926 \h </w:instrText>
            </w:r>
            <w:r>
              <w:rPr>
                <w:noProof/>
                <w:webHidden/>
              </w:rPr>
            </w:r>
            <w:r>
              <w:rPr>
                <w:noProof/>
                <w:webHidden/>
              </w:rPr>
              <w:fldChar w:fldCharType="separate"/>
            </w:r>
            <w:r>
              <w:rPr>
                <w:noProof/>
                <w:webHidden/>
              </w:rPr>
              <w:t>4</w:t>
            </w:r>
            <w:r>
              <w:rPr>
                <w:noProof/>
                <w:webHidden/>
              </w:rPr>
              <w:fldChar w:fldCharType="end"/>
            </w:r>
          </w:hyperlink>
        </w:p>
        <w:p w14:paraId="08D46D2A" w14:textId="58B36D99" w:rsidR="00D278A4" w:rsidRDefault="00D278A4">
          <w:pPr>
            <w:pStyle w:val="TOC1"/>
            <w:tabs>
              <w:tab w:val="right" w:leader="dot" w:pos="9350"/>
            </w:tabs>
            <w:rPr>
              <w:rFonts w:asciiTheme="minorHAnsi" w:eastAsiaTheme="minorEastAsia" w:hAnsiTheme="minorHAnsi"/>
              <w:noProof/>
              <w:sz w:val="22"/>
              <w:lang w:eastAsia="en-GB"/>
            </w:rPr>
          </w:pPr>
          <w:hyperlink w:anchor="_Toc234430927" w:history="1">
            <w:r w:rsidRPr="002A1C34">
              <w:rPr>
                <w:rStyle w:val="Hyperlink"/>
                <w:noProof/>
                <w:lang w:val="en-US"/>
              </w:rPr>
              <w:t>Partnership Working in Health and Social Care</w:t>
            </w:r>
            <w:r>
              <w:rPr>
                <w:noProof/>
                <w:webHidden/>
              </w:rPr>
              <w:tab/>
            </w:r>
            <w:r>
              <w:rPr>
                <w:noProof/>
                <w:webHidden/>
              </w:rPr>
              <w:fldChar w:fldCharType="begin"/>
            </w:r>
            <w:r>
              <w:rPr>
                <w:noProof/>
                <w:webHidden/>
              </w:rPr>
              <w:instrText xml:space="preserve"> PAGEREF _Toc234430927 \h </w:instrText>
            </w:r>
            <w:r>
              <w:rPr>
                <w:noProof/>
                <w:webHidden/>
              </w:rPr>
            </w:r>
            <w:r>
              <w:rPr>
                <w:noProof/>
                <w:webHidden/>
              </w:rPr>
              <w:fldChar w:fldCharType="separate"/>
            </w:r>
            <w:r>
              <w:rPr>
                <w:noProof/>
                <w:webHidden/>
              </w:rPr>
              <w:t>5</w:t>
            </w:r>
            <w:r>
              <w:rPr>
                <w:noProof/>
                <w:webHidden/>
              </w:rPr>
              <w:fldChar w:fldCharType="end"/>
            </w:r>
          </w:hyperlink>
        </w:p>
        <w:p w14:paraId="586C9928" w14:textId="783463FA" w:rsidR="00D278A4" w:rsidRDefault="00D278A4">
          <w:pPr>
            <w:pStyle w:val="TOC1"/>
            <w:tabs>
              <w:tab w:val="right" w:leader="dot" w:pos="9350"/>
            </w:tabs>
            <w:rPr>
              <w:rFonts w:asciiTheme="minorHAnsi" w:eastAsiaTheme="minorEastAsia" w:hAnsiTheme="minorHAnsi"/>
              <w:noProof/>
              <w:sz w:val="22"/>
              <w:lang w:eastAsia="en-GB"/>
            </w:rPr>
          </w:pPr>
          <w:hyperlink w:anchor="_Toc234430928" w:history="1">
            <w:r w:rsidRPr="002A1C34">
              <w:rPr>
                <w:rStyle w:val="Hyperlink"/>
                <w:noProof/>
                <w:lang w:val="en-US"/>
              </w:rPr>
              <w:t>Policy and Legislation Supporting PCC and PW</w:t>
            </w:r>
            <w:r>
              <w:rPr>
                <w:noProof/>
                <w:webHidden/>
              </w:rPr>
              <w:tab/>
            </w:r>
            <w:r>
              <w:rPr>
                <w:noProof/>
                <w:webHidden/>
              </w:rPr>
              <w:fldChar w:fldCharType="begin"/>
            </w:r>
            <w:r>
              <w:rPr>
                <w:noProof/>
                <w:webHidden/>
              </w:rPr>
              <w:instrText xml:space="preserve"> PAGEREF _Toc234430928 \h </w:instrText>
            </w:r>
            <w:r>
              <w:rPr>
                <w:noProof/>
                <w:webHidden/>
              </w:rPr>
            </w:r>
            <w:r>
              <w:rPr>
                <w:noProof/>
                <w:webHidden/>
              </w:rPr>
              <w:fldChar w:fldCharType="separate"/>
            </w:r>
            <w:r>
              <w:rPr>
                <w:noProof/>
                <w:webHidden/>
              </w:rPr>
              <w:t>6</w:t>
            </w:r>
            <w:r>
              <w:rPr>
                <w:noProof/>
                <w:webHidden/>
              </w:rPr>
              <w:fldChar w:fldCharType="end"/>
            </w:r>
          </w:hyperlink>
        </w:p>
        <w:p w14:paraId="593C84E3" w14:textId="4419C211" w:rsidR="00D278A4" w:rsidRDefault="00D278A4">
          <w:pPr>
            <w:pStyle w:val="TOC1"/>
            <w:tabs>
              <w:tab w:val="right" w:leader="dot" w:pos="9350"/>
            </w:tabs>
            <w:rPr>
              <w:rFonts w:asciiTheme="minorHAnsi" w:eastAsiaTheme="minorEastAsia" w:hAnsiTheme="minorHAnsi"/>
              <w:noProof/>
              <w:sz w:val="22"/>
              <w:lang w:eastAsia="en-GB"/>
            </w:rPr>
          </w:pPr>
          <w:hyperlink w:anchor="_Toc234430929" w:history="1">
            <w:r w:rsidRPr="002A1C34">
              <w:rPr>
                <w:rStyle w:val="Hyperlink"/>
                <w:noProof/>
                <w:lang w:val="en-US"/>
              </w:rPr>
              <w:t>Recommendations for Future Development</w:t>
            </w:r>
            <w:r>
              <w:rPr>
                <w:noProof/>
                <w:webHidden/>
              </w:rPr>
              <w:tab/>
            </w:r>
            <w:r>
              <w:rPr>
                <w:noProof/>
                <w:webHidden/>
              </w:rPr>
              <w:fldChar w:fldCharType="begin"/>
            </w:r>
            <w:r>
              <w:rPr>
                <w:noProof/>
                <w:webHidden/>
              </w:rPr>
              <w:instrText xml:space="preserve"> PAGEREF _Toc234430929 \h </w:instrText>
            </w:r>
            <w:r>
              <w:rPr>
                <w:noProof/>
                <w:webHidden/>
              </w:rPr>
            </w:r>
            <w:r>
              <w:rPr>
                <w:noProof/>
                <w:webHidden/>
              </w:rPr>
              <w:fldChar w:fldCharType="separate"/>
            </w:r>
            <w:r>
              <w:rPr>
                <w:noProof/>
                <w:webHidden/>
              </w:rPr>
              <w:t>7</w:t>
            </w:r>
            <w:r>
              <w:rPr>
                <w:noProof/>
                <w:webHidden/>
              </w:rPr>
              <w:fldChar w:fldCharType="end"/>
            </w:r>
          </w:hyperlink>
        </w:p>
        <w:p w14:paraId="01C2E291" w14:textId="6AB4FA5D" w:rsidR="00D278A4" w:rsidRDefault="00D278A4">
          <w:pPr>
            <w:pStyle w:val="TOC1"/>
            <w:tabs>
              <w:tab w:val="right" w:leader="dot" w:pos="9350"/>
            </w:tabs>
            <w:rPr>
              <w:rFonts w:asciiTheme="minorHAnsi" w:eastAsiaTheme="minorEastAsia" w:hAnsiTheme="minorHAnsi"/>
              <w:noProof/>
              <w:sz w:val="22"/>
              <w:lang w:eastAsia="en-GB"/>
            </w:rPr>
          </w:pPr>
          <w:hyperlink w:anchor="_Toc234430930" w:history="1">
            <w:r w:rsidRPr="002A1C34">
              <w:rPr>
                <w:rStyle w:val="Hyperlink"/>
                <w:noProof/>
                <w:lang w:val="en-US"/>
              </w:rPr>
              <w:t>Conclusion</w:t>
            </w:r>
            <w:r>
              <w:rPr>
                <w:noProof/>
                <w:webHidden/>
              </w:rPr>
              <w:tab/>
            </w:r>
            <w:r>
              <w:rPr>
                <w:noProof/>
                <w:webHidden/>
              </w:rPr>
              <w:fldChar w:fldCharType="begin"/>
            </w:r>
            <w:r>
              <w:rPr>
                <w:noProof/>
                <w:webHidden/>
              </w:rPr>
              <w:instrText xml:space="preserve"> PAGEREF _Toc234430930 \h </w:instrText>
            </w:r>
            <w:r>
              <w:rPr>
                <w:noProof/>
                <w:webHidden/>
              </w:rPr>
            </w:r>
            <w:r>
              <w:rPr>
                <w:noProof/>
                <w:webHidden/>
              </w:rPr>
              <w:fldChar w:fldCharType="separate"/>
            </w:r>
            <w:r>
              <w:rPr>
                <w:noProof/>
                <w:webHidden/>
              </w:rPr>
              <w:t>7</w:t>
            </w:r>
            <w:r>
              <w:rPr>
                <w:noProof/>
                <w:webHidden/>
              </w:rPr>
              <w:fldChar w:fldCharType="end"/>
            </w:r>
          </w:hyperlink>
        </w:p>
        <w:p w14:paraId="2C7A8FF2" w14:textId="477F7503" w:rsidR="00D278A4" w:rsidRDefault="00D278A4">
          <w:pPr>
            <w:pStyle w:val="TOC1"/>
            <w:tabs>
              <w:tab w:val="right" w:leader="dot" w:pos="9350"/>
            </w:tabs>
            <w:rPr>
              <w:rFonts w:asciiTheme="minorHAnsi" w:eastAsiaTheme="minorEastAsia" w:hAnsiTheme="minorHAnsi"/>
              <w:noProof/>
              <w:sz w:val="22"/>
              <w:lang w:eastAsia="en-GB"/>
            </w:rPr>
          </w:pPr>
          <w:hyperlink w:anchor="_Toc234430931" w:history="1">
            <w:r w:rsidRPr="002A1C34">
              <w:rPr>
                <w:rStyle w:val="Hyperlink"/>
                <w:noProof/>
                <w:lang w:val="en-US"/>
              </w:rPr>
              <w:t>References</w:t>
            </w:r>
            <w:r>
              <w:rPr>
                <w:noProof/>
                <w:webHidden/>
              </w:rPr>
              <w:tab/>
            </w:r>
            <w:r>
              <w:rPr>
                <w:noProof/>
                <w:webHidden/>
              </w:rPr>
              <w:fldChar w:fldCharType="begin"/>
            </w:r>
            <w:r>
              <w:rPr>
                <w:noProof/>
                <w:webHidden/>
              </w:rPr>
              <w:instrText xml:space="preserve"> PAGEREF _Toc234430931 \h </w:instrText>
            </w:r>
            <w:r>
              <w:rPr>
                <w:noProof/>
                <w:webHidden/>
              </w:rPr>
            </w:r>
            <w:r>
              <w:rPr>
                <w:noProof/>
                <w:webHidden/>
              </w:rPr>
              <w:fldChar w:fldCharType="separate"/>
            </w:r>
            <w:r>
              <w:rPr>
                <w:noProof/>
                <w:webHidden/>
              </w:rPr>
              <w:t>8</w:t>
            </w:r>
            <w:r>
              <w:rPr>
                <w:noProof/>
                <w:webHidden/>
              </w:rPr>
              <w:fldChar w:fldCharType="end"/>
            </w:r>
          </w:hyperlink>
        </w:p>
        <w:p w14:paraId="10892EDF" w14:textId="4B10867E" w:rsidR="008A035E" w:rsidRDefault="008A035E">
          <w:r w:rsidRPr="00DB0DB7">
            <w:rPr>
              <w:rFonts w:cs="Times New Roman"/>
              <w:b/>
              <w:bCs/>
              <w:noProof/>
              <w:szCs w:val="24"/>
            </w:rPr>
            <w:fldChar w:fldCharType="end"/>
          </w:r>
        </w:p>
      </w:sdtContent>
    </w:sdt>
    <w:p w14:paraId="44293B4A" w14:textId="77777777" w:rsidR="008A035E" w:rsidRDefault="008A035E" w:rsidP="00931C9C">
      <w:pPr>
        <w:rPr>
          <w:lang w:val="en-US"/>
        </w:rPr>
      </w:pPr>
    </w:p>
    <w:p w14:paraId="3969CDD5" w14:textId="77777777" w:rsidR="008A035E" w:rsidRDefault="008A035E" w:rsidP="00931C9C">
      <w:pPr>
        <w:rPr>
          <w:lang w:val="en-US"/>
        </w:rPr>
      </w:pPr>
    </w:p>
    <w:p w14:paraId="2F3FE074" w14:textId="7E8D0400" w:rsidR="005C206B" w:rsidRDefault="006C7989">
      <w:pPr>
        <w:spacing w:line="259" w:lineRule="auto"/>
        <w:rPr>
          <w:lang w:val="en-US"/>
        </w:rPr>
      </w:pPr>
      <w:r>
        <w:rPr>
          <w:lang w:val="en-US"/>
        </w:rPr>
        <w:br w:type="page"/>
      </w:r>
    </w:p>
    <w:p w14:paraId="511D3089" w14:textId="6E4DFBE1" w:rsidR="00075573" w:rsidRDefault="006C7989" w:rsidP="001C2A59">
      <w:pPr>
        <w:pStyle w:val="Heading1"/>
        <w:rPr>
          <w:lang w:val="en-US"/>
        </w:rPr>
      </w:pPr>
      <w:bookmarkStart w:id="0" w:name="_Toc234430923"/>
      <w:r>
        <w:rPr>
          <w:lang w:val="en-US"/>
        </w:rPr>
        <w:lastRenderedPageBreak/>
        <w:t>Introduction</w:t>
      </w:r>
      <w:bookmarkEnd w:id="0"/>
    </w:p>
    <w:p w14:paraId="63099B21" w14:textId="0AA6B1D7" w:rsidR="00187BCE" w:rsidRPr="008867DD" w:rsidRDefault="006C7989" w:rsidP="008867DD">
      <w:r w:rsidRPr="00C8185E">
        <w:t xml:space="preserve">Person-centred care (PCC) and partnership working (PW) are two concepts applicable to modern UK Health and social care, and find their roots in moving away from professionally driven care to that based on </w:t>
      </w:r>
      <w:r w:rsidR="00EC55AD" w:rsidRPr="00C8185E">
        <w:t xml:space="preserve">PW </w:t>
      </w:r>
      <w:r w:rsidRPr="00C8185E">
        <w:t xml:space="preserve">and an individualised service delivery approach. </w:t>
      </w:r>
      <w:r w:rsidR="00EC55AD" w:rsidRPr="00C8185E">
        <w:t>PCC</w:t>
      </w:r>
      <w:r w:rsidRPr="00C8185E">
        <w:t xml:space="preserve"> involves the individual as an active partner in their own health and wellbeing decision-making, and </w:t>
      </w:r>
      <w:r w:rsidR="00EC55AD" w:rsidRPr="00C8185E">
        <w:t>PW</w:t>
      </w:r>
      <w:r w:rsidRPr="00C8185E">
        <w:t xml:space="preserve"> involves coordinated working between the health, social care, service user, family and voluntary sector communities to deliver a joined-up service, resulting in whole person outcomes (</w:t>
      </w:r>
      <w:r w:rsidR="005A6422" w:rsidRPr="00C8185E">
        <w:t>England, 2022</w:t>
      </w:r>
      <w:r w:rsidRPr="00C8185E">
        <w:t xml:space="preserve">). PCC has been shown to increase patient satisfaction, improve treatment adherence and help patients to self-manage their care, while effective </w:t>
      </w:r>
      <w:r w:rsidR="00EC55AD" w:rsidRPr="00C8185E">
        <w:t>PW</w:t>
      </w:r>
      <w:r w:rsidRPr="00C8185E">
        <w:t xml:space="preserve"> has been associated with increased continuity of care and reduced fragmentation, ensuring very safe and higher-quality services, especially for patients with complex care needs (</w:t>
      </w:r>
      <w:r w:rsidR="00CC1802" w:rsidRPr="00C8185E">
        <w:t>Khatri et al., 2023</w:t>
      </w:r>
      <w:r w:rsidRPr="00C8185E">
        <w:t xml:space="preserve">). </w:t>
      </w:r>
      <w:r w:rsidR="00EC55AD">
        <w:t>This report</w:t>
      </w:r>
      <w:r w:rsidRPr="00C8185E">
        <w:t xml:space="preserve"> reviews and appraises the principles that underpin PCC and PW, considers in critical detail one model of </w:t>
      </w:r>
      <w:r w:rsidR="00EC55AD" w:rsidRPr="00C8185E">
        <w:t>PCC</w:t>
      </w:r>
      <w:r w:rsidRPr="00C8185E">
        <w:t xml:space="preserve">, examines ethical considerations, considers </w:t>
      </w:r>
      <w:r w:rsidR="00EC55AD" w:rsidRPr="00C8185E">
        <w:t>PW</w:t>
      </w:r>
      <w:r w:rsidRPr="00C8185E">
        <w:t xml:space="preserve"> within practice, discusses relevant UK legislation and policy and makes recommendations to enhance future health and social care practice.</w:t>
      </w:r>
      <w:r w:rsidRPr="008867DD">
        <w:t xml:space="preserve"> </w:t>
      </w:r>
    </w:p>
    <w:p w14:paraId="001F5353" w14:textId="77777777" w:rsidR="000E0B21" w:rsidRDefault="000E0B21" w:rsidP="00187BCE">
      <w:pPr>
        <w:rPr>
          <w:lang w:val="en-US"/>
        </w:rPr>
      </w:pPr>
    </w:p>
    <w:p w14:paraId="5A150EF7" w14:textId="17E4A053" w:rsidR="001019F8" w:rsidRDefault="006C7989" w:rsidP="008201D5">
      <w:pPr>
        <w:pStyle w:val="Heading1"/>
        <w:rPr>
          <w:lang w:val="en-US"/>
        </w:rPr>
      </w:pPr>
      <w:bookmarkStart w:id="1" w:name="_Toc234430924"/>
      <w:r>
        <w:rPr>
          <w:lang w:val="en-US"/>
        </w:rPr>
        <w:t>PCC</w:t>
      </w:r>
      <w:r w:rsidRPr="001019F8">
        <w:rPr>
          <w:lang w:val="en-US"/>
        </w:rPr>
        <w:t xml:space="preserve"> Definition, Benefits and Limitations</w:t>
      </w:r>
      <w:bookmarkEnd w:id="1"/>
    </w:p>
    <w:p w14:paraId="50B96B61" w14:textId="3ABA9436" w:rsidR="005A4A2C" w:rsidRDefault="006C7989" w:rsidP="00443367">
      <w:pPr>
        <w:rPr>
          <w:lang w:val="en-US"/>
        </w:rPr>
      </w:pPr>
      <w:r w:rsidRPr="005A4A2C">
        <w:rPr>
          <w:lang w:val="en-US"/>
        </w:rPr>
        <w:t xml:space="preserve">PCC is a method that focuses on the person, and involves planning, providing and assessing care in a way that respects the person's preferences, values, needs and life situation, rather than their medical condition. </w:t>
      </w:r>
      <w:r w:rsidR="007345A4" w:rsidRPr="007345A4">
        <w:rPr>
          <w:lang w:val="en-US"/>
        </w:rPr>
        <w:t>Khatri</w:t>
      </w:r>
      <w:r w:rsidR="007345A4">
        <w:rPr>
          <w:lang w:val="en-US"/>
        </w:rPr>
        <w:t xml:space="preserve"> et al. </w:t>
      </w:r>
      <w:r w:rsidR="00904189">
        <w:rPr>
          <w:lang w:val="en-US"/>
        </w:rPr>
        <w:t>(</w:t>
      </w:r>
      <w:r w:rsidR="007345A4">
        <w:rPr>
          <w:lang w:val="en-US"/>
        </w:rPr>
        <w:t>2023</w:t>
      </w:r>
      <w:r w:rsidRPr="005A4A2C">
        <w:rPr>
          <w:lang w:val="en-US"/>
        </w:rPr>
        <w:t xml:space="preserve">) say PCC enables individuals to acquire skills, knowledge and confidence to manage their own health outcomes, and </w:t>
      </w:r>
      <w:r w:rsidR="0070241B" w:rsidRPr="0070241B">
        <w:rPr>
          <w:lang w:val="en-US"/>
        </w:rPr>
        <w:t>Shepherd</w:t>
      </w:r>
      <w:r w:rsidR="0070241B">
        <w:rPr>
          <w:lang w:val="en-US"/>
        </w:rPr>
        <w:t xml:space="preserve"> et al. (2022</w:t>
      </w:r>
      <w:r w:rsidRPr="005A4A2C">
        <w:rPr>
          <w:lang w:val="en-US"/>
        </w:rPr>
        <w:t xml:space="preserve">) highlight the need for Universal Personalised Care to be centred on shared decision making and personalised care planning. Likewise, </w:t>
      </w:r>
      <w:r w:rsidR="000D2332" w:rsidRPr="000D2332">
        <w:rPr>
          <w:lang w:val="en-US"/>
        </w:rPr>
        <w:t>Robinson</w:t>
      </w:r>
      <w:r w:rsidR="00CD5DB6">
        <w:rPr>
          <w:lang w:val="en-US"/>
        </w:rPr>
        <w:t xml:space="preserve"> et al. </w:t>
      </w:r>
      <w:r w:rsidR="00C63732">
        <w:rPr>
          <w:lang w:val="en-US"/>
        </w:rPr>
        <w:t>(</w:t>
      </w:r>
      <w:r w:rsidR="00CD5DB6">
        <w:rPr>
          <w:lang w:val="en-US"/>
        </w:rPr>
        <w:t>2025</w:t>
      </w:r>
      <w:r w:rsidRPr="005A4A2C">
        <w:rPr>
          <w:lang w:val="en-US"/>
        </w:rPr>
        <w:t xml:space="preserve">) consider therapeutic relationship and professional and service user collaboration and respect as best practices of PCC. </w:t>
      </w:r>
      <w:r w:rsidR="00B003A8">
        <w:rPr>
          <w:lang w:val="en-US"/>
        </w:rPr>
        <w:t>Additionally, s</w:t>
      </w:r>
      <w:r w:rsidRPr="005A4A2C">
        <w:rPr>
          <w:lang w:val="en-US"/>
        </w:rPr>
        <w:t>hared decision making is linked with increased satisfaction with services and better treatment adherence, as people are more likely to adhere to treatment plans they have helped to create (</w:t>
      </w:r>
      <w:r w:rsidR="00F21341" w:rsidRPr="00F21341">
        <w:rPr>
          <w:lang w:val="en-US"/>
        </w:rPr>
        <w:t>Dennison Himmelfarb</w:t>
      </w:r>
      <w:r w:rsidR="00F21341">
        <w:rPr>
          <w:lang w:val="en-US"/>
        </w:rPr>
        <w:t xml:space="preserve"> et al., 2023</w:t>
      </w:r>
      <w:r w:rsidRPr="005A4A2C">
        <w:rPr>
          <w:lang w:val="en-US"/>
        </w:rPr>
        <w:t>).</w:t>
      </w:r>
      <w:r>
        <w:rPr>
          <w:lang w:val="en-US"/>
        </w:rPr>
        <w:t xml:space="preserve"> </w:t>
      </w:r>
    </w:p>
    <w:p w14:paraId="17099686" w14:textId="6FB86E03" w:rsidR="00070DF0" w:rsidRDefault="006C7989" w:rsidP="00886A69">
      <w:pPr>
        <w:rPr>
          <w:lang w:val="en-US"/>
        </w:rPr>
      </w:pPr>
      <w:r w:rsidRPr="003F14EF">
        <w:rPr>
          <w:lang w:val="en-US"/>
        </w:rPr>
        <w:t>Byrne</w:t>
      </w:r>
      <w:r>
        <w:rPr>
          <w:lang w:val="en-US"/>
        </w:rPr>
        <w:t xml:space="preserve"> et al</w:t>
      </w:r>
      <w:r w:rsidR="00256177">
        <w:rPr>
          <w:lang w:val="en-US"/>
        </w:rPr>
        <w:t xml:space="preserve">. </w:t>
      </w:r>
      <w:r>
        <w:rPr>
          <w:lang w:val="en-US"/>
        </w:rPr>
        <w:t>(2026</w:t>
      </w:r>
      <w:r w:rsidRPr="00070DF0">
        <w:rPr>
          <w:lang w:val="en-US"/>
        </w:rPr>
        <w:t>) also found evidence of Person-centred approaches to health care improving health outcomes, quality of life and patient safety through continuity of care and early intervention. In the NHS, programmes that support self-management through personalised care planning for individuals with long-term conditions like diabetes and chronic obstructive pulmonary disease (COPD) have been linked to improved self-management and reduced unnecessary hospital admissions (</w:t>
      </w:r>
      <w:r w:rsidR="00041356" w:rsidRPr="00041356">
        <w:rPr>
          <w:lang w:val="en-US"/>
        </w:rPr>
        <w:t>Cravo</w:t>
      </w:r>
      <w:r w:rsidR="00041356">
        <w:rPr>
          <w:lang w:val="en-US"/>
        </w:rPr>
        <w:t xml:space="preserve"> et al., 2022</w:t>
      </w:r>
      <w:r w:rsidRPr="00070DF0">
        <w:rPr>
          <w:lang w:val="en-US"/>
        </w:rPr>
        <w:t xml:space="preserve">). Furthermore, healthcare practitioners' sensitivity toward the dignity, cultural preferences and the goals of patients can build trust and make healthcare experiences more equitable. </w:t>
      </w:r>
      <w:r w:rsidR="00D32D81">
        <w:rPr>
          <w:lang w:val="en-US"/>
        </w:rPr>
        <w:t>Nevertheless,</w:t>
      </w:r>
      <w:r w:rsidRPr="00070DF0">
        <w:rPr>
          <w:lang w:val="en-US"/>
        </w:rPr>
        <w:t xml:space="preserve"> </w:t>
      </w:r>
      <w:r w:rsidR="00D32D81">
        <w:rPr>
          <w:lang w:val="en-US"/>
        </w:rPr>
        <w:t>p</w:t>
      </w:r>
      <w:r w:rsidRPr="00070DF0">
        <w:rPr>
          <w:lang w:val="en-US"/>
        </w:rPr>
        <w:t>atient involvement in care decisions is often limited by workforce shortages, growing demand for services and limited consultation time (</w:t>
      </w:r>
      <w:r w:rsidR="006857A1" w:rsidRPr="006857A1">
        <w:rPr>
          <w:lang w:val="en-US"/>
        </w:rPr>
        <w:t>Dai</w:t>
      </w:r>
      <w:r w:rsidR="006857A1">
        <w:rPr>
          <w:lang w:val="en-US"/>
        </w:rPr>
        <w:t xml:space="preserve"> et al., 2026</w:t>
      </w:r>
      <w:r w:rsidRPr="00070DF0">
        <w:rPr>
          <w:lang w:val="en-US"/>
        </w:rPr>
        <w:t xml:space="preserve">). A culture of the organisation that focuses on achieving the goal rather </w:t>
      </w:r>
      <w:r w:rsidRPr="00070DF0">
        <w:rPr>
          <w:lang w:val="en-US"/>
        </w:rPr>
        <w:lastRenderedPageBreak/>
        <w:t xml:space="preserve">than preference </w:t>
      </w:r>
      <w:r w:rsidR="00C040D5">
        <w:rPr>
          <w:lang w:val="en-US"/>
        </w:rPr>
        <w:t>can</w:t>
      </w:r>
      <w:r w:rsidRPr="00070DF0">
        <w:rPr>
          <w:lang w:val="en-US"/>
        </w:rPr>
        <w:t xml:space="preserve"> also prevent personalising practice. Language barriers, low health literacy and/or cognitive impairment </w:t>
      </w:r>
      <w:r w:rsidR="00886A69">
        <w:rPr>
          <w:lang w:val="en-US"/>
        </w:rPr>
        <w:t>can</w:t>
      </w:r>
      <w:r w:rsidRPr="00070DF0">
        <w:rPr>
          <w:lang w:val="en-US"/>
        </w:rPr>
        <w:t xml:space="preserve"> limit patients' capacity to engage fully in communication, while professionals may be asked to juggle different goals in relation to autonomy and protection from harm.</w:t>
      </w:r>
    </w:p>
    <w:p w14:paraId="24A2C8E9" w14:textId="1D1E18E4" w:rsidR="00187BCE" w:rsidRDefault="00187BCE" w:rsidP="00187BCE">
      <w:pPr>
        <w:rPr>
          <w:lang w:val="en-US"/>
        </w:rPr>
      </w:pPr>
    </w:p>
    <w:p w14:paraId="73693673" w14:textId="0F547F7E" w:rsidR="00C27A9C" w:rsidRPr="00C27A9C" w:rsidRDefault="006C7989" w:rsidP="008A56DE">
      <w:pPr>
        <w:pStyle w:val="Heading1"/>
        <w:rPr>
          <w:lang w:val="en-US"/>
        </w:rPr>
      </w:pPr>
      <w:bookmarkStart w:id="2" w:name="_Toc234430925"/>
      <w:r w:rsidRPr="00C27A9C">
        <w:rPr>
          <w:lang w:val="en-US"/>
        </w:rPr>
        <w:t>Theory or Model Underpinning Person-Centred Care</w:t>
      </w:r>
      <w:bookmarkEnd w:id="2"/>
    </w:p>
    <w:p w14:paraId="39ACA9C2" w14:textId="3E1ED724" w:rsidR="008B7416" w:rsidRDefault="006C7989" w:rsidP="00C27A9C">
      <w:pPr>
        <w:rPr>
          <w:lang w:val="en-US"/>
        </w:rPr>
      </w:pPr>
      <w:r w:rsidRPr="009B04C0">
        <w:rPr>
          <w:lang w:val="en-US"/>
        </w:rPr>
        <w:t xml:space="preserve">One of the most influential models that underpins </w:t>
      </w:r>
      <w:r w:rsidR="00EC55AD" w:rsidRPr="00C8185E">
        <w:t>PCC</w:t>
      </w:r>
      <w:r w:rsidRPr="009B04C0">
        <w:rPr>
          <w:lang w:val="en-US"/>
        </w:rPr>
        <w:t xml:space="preserve"> in modern health and social care is the McCormack and McCance Person-Centred Practice Framework. The framework suggests that the four main areas of high-quality person-centred practice include prerequisites, the care environment, person-centred processes, and person-centred outcomes (</w:t>
      </w:r>
      <w:r w:rsidR="001658CF" w:rsidRPr="009B04C0">
        <w:rPr>
          <w:lang w:val="en-US"/>
        </w:rPr>
        <w:t xml:space="preserve">McCance </w:t>
      </w:r>
      <w:r w:rsidR="001658CF">
        <w:rPr>
          <w:lang w:val="en-US"/>
        </w:rPr>
        <w:t xml:space="preserve">and </w:t>
      </w:r>
      <w:r w:rsidRPr="009B04C0">
        <w:rPr>
          <w:lang w:val="en-US"/>
        </w:rPr>
        <w:t>McCormack, 202</w:t>
      </w:r>
      <w:r w:rsidR="001658CF">
        <w:rPr>
          <w:lang w:val="en-US"/>
        </w:rPr>
        <w:t>5</w:t>
      </w:r>
      <w:r w:rsidRPr="009B04C0">
        <w:rPr>
          <w:lang w:val="en-US"/>
        </w:rPr>
        <w:t>). The framework highlights the importance of patient-partner relationships and collaboration, equipping patients as equal partners with preferences and values that inform care delivery over a clinical intervention. The framework has been used widely across NHS services</w:t>
      </w:r>
      <w:r w:rsidR="001824E5">
        <w:rPr>
          <w:lang w:val="en-US"/>
        </w:rPr>
        <w:t xml:space="preserve"> f</w:t>
      </w:r>
      <w:r w:rsidRPr="005C621C">
        <w:rPr>
          <w:lang w:val="en-US"/>
        </w:rPr>
        <w:t>or instance, the principles of the model are reflected in NHS England's model of Universal Personalised Care, which supports shared decision making alongside personalised support planning and coordinated care (</w:t>
      </w:r>
      <w:r w:rsidR="00C655DF" w:rsidRPr="00C655DF">
        <w:rPr>
          <w:lang w:val="en-US"/>
        </w:rPr>
        <w:t>Coulter</w:t>
      </w:r>
      <w:r w:rsidR="00C655DF">
        <w:rPr>
          <w:lang w:val="en-US"/>
        </w:rPr>
        <w:t xml:space="preserve"> et al., 2022</w:t>
      </w:r>
      <w:r w:rsidRPr="005C621C">
        <w:rPr>
          <w:lang w:val="en-US"/>
        </w:rPr>
        <w:t xml:space="preserve">). </w:t>
      </w:r>
    </w:p>
    <w:p w14:paraId="077C670A" w14:textId="10D0E9F9" w:rsidR="005C621C" w:rsidRDefault="006C7989" w:rsidP="00A2568F">
      <w:pPr>
        <w:rPr>
          <w:lang w:val="en-US"/>
        </w:rPr>
      </w:pPr>
      <w:r w:rsidRPr="005C621C">
        <w:rPr>
          <w:lang w:val="en-US"/>
        </w:rPr>
        <w:t>Practice has been shown to improve patient engagement, self-management, and patient satisfaction with healthcare services (</w:t>
      </w:r>
      <w:r w:rsidR="00866F89" w:rsidRPr="00866F89">
        <w:rPr>
          <w:lang w:val="en-US"/>
        </w:rPr>
        <w:t>Marzban</w:t>
      </w:r>
      <w:r w:rsidR="00866F89">
        <w:rPr>
          <w:lang w:val="en-US"/>
        </w:rPr>
        <w:t xml:space="preserve"> et al., 2022</w:t>
      </w:r>
      <w:r w:rsidRPr="005C621C">
        <w:rPr>
          <w:lang w:val="en-US"/>
        </w:rPr>
        <w:t>). Although the framework has some advantages, it is, to some degree, practically limited. Organisational commitment is the prerequisite to success, as is enough staffing and time for effective patient-professional relationships, a factor impacted by workforce shortages and growing service challenges across the NHS (</w:t>
      </w:r>
      <w:r w:rsidR="00FB7BF8" w:rsidRPr="00FB7BF8">
        <w:rPr>
          <w:lang w:val="en-US"/>
        </w:rPr>
        <w:t xml:space="preserve">Huhtakangas, </w:t>
      </w:r>
      <w:r w:rsidR="00FB7BF8">
        <w:rPr>
          <w:lang w:val="en-US"/>
        </w:rPr>
        <w:t>2022</w:t>
      </w:r>
      <w:r w:rsidRPr="005C621C">
        <w:rPr>
          <w:lang w:val="en-US"/>
        </w:rPr>
        <w:t>). Moreover, effective shared decision-making is difficult when patients lack health literacy or cognitive capacity, needing professionals to uphold the patient's autonomy while maintaining the professional's care responsibility. However, the framework remains pertinent as it sees evidence-based principles blending with practical guidance, facilitating healthcare organisations to foster a culture that nurtures and values compassionate, respectful, and individualised care, while also enhancing patient experience and services.</w:t>
      </w:r>
    </w:p>
    <w:p w14:paraId="33A1B8FA" w14:textId="0F0F8B14" w:rsidR="00C27A9C" w:rsidRDefault="00C27A9C" w:rsidP="00C27A9C">
      <w:pPr>
        <w:rPr>
          <w:lang w:val="en-US"/>
        </w:rPr>
      </w:pPr>
    </w:p>
    <w:p w14:paraId="625745D2" w14:textId="195C3D46" w:rsidR="004923F3" w:rsidRPr="009803B3" w:rsidRDefault="006C7989" w:rsidP="009803B3">
      <w:pPr>
        <w:pStyle w:val="Heading1"/>
      </w:pPr>
      <w:bookmarkStart w:id="3" w:name="_Toc234430926"/>
      <w:r w:rsidRPr="004923F3">
        <w:rPr>
          <w:lang w:val="en-US"/>
        </w:rPr>
        <w:t>Ethical Fundamentals of Health and Social Care</w:t>
      </w:r>
      <w:bookmarkEnd w:id="3"/>
    </w:p>
    <w:p w14:paraId="5399FDAC" w14:textId="772470BF" w:rsidR="00B13884" w:rsidRDefault="006C7989" w:rsidP="004923F3">
      <w:pPr>
        <w:rPr>
          <w:lang w:val="en-US"/>
        </w:rPr>
      </w:pPr>
      <w:r w:rsidRPr="00B13884">
        <w:rPr>
          <w:lang w:val="en-US"/>
        </w:rPr>
        <w:t xml:space="preserve">Ethical practice underpins safe and effective health and social care, informing practitioners acting in situations where legalities, clinical judgement and personal preferences can intersect. There are four ethical principles in making decisions: autonomy, beneficence, non-maleficence and justice, as stated by </w:t>
      </w:r>
      <w:r w:rsidR="004C2B58" w:rsidRPr="004C2B58">
        <w:rPr>
          <w:lang w:val="en-US"/>
        </w:rPr>
        <w:t xml:space="preserve">Ferrara </w:t>
      </w:r>
      <w:r w:rsidR="00675996">
        <w:rPr>
          <w:lang w:val="en-US"/>
        </w:rPr>
        <w:t>(</w:t>
      </w:r>
      <w:r w:rsidR="004C2B58">
        <w:rPr>
          <w:lang w:val="en-US"/>
        </w:rPr>
        <w:t>2024</w:t>
      </w:r>
      <w:r w:rsidR="00FD4C7A">
        <w:rPr>
          <w:lang w:val="en-US"/>
        </w:rPr>
        <w:t>)</w:t>
      </w:r>
      <w:r w:rsidRPr="00B13884">
        <w:rPr>
          <w:lang w:val="en-US"/>
        </w:rPr>
        <w:t xml:space="preserve">. Respecting autonomy means demonstrating people's rights to make decisions about their own care, backed up by effective communication and valid consent. </w:t>
      </w:r>
      <w:r w:rsidR="00DC10C2">
        <w:rPr>
          <w:lang w:val="en-US"/>
        </w:rPr>
        <w:t>However, t</w:t>
      </w:r>
      <w:r w:rsidRPr="00B13884">
        <w:rPr>
          <w:lang w:val="en-US"/>
        </w:rPr>
        <w:t xml:space="preserve">his is not a general rule. Patient choice prioritisation can clash with the elements of non-maleficence and beneficence, which are characterised by acting in the patient's </w:t>
      </w:r>
      <w:r w:rsidRPr="00B13884">
        <w:rPr>
          <w:lang w:val="en-US"/>
        </w:rPr>
        <w:lastRenderedPageBreak/>
        <w:t xml:space="preserve">best interests and avoiding unnecessary harm, argues </w:t>
      </w:r>
      <w:r w:rsidR="00313844" w:rsidRPr="00313844">
        <w:rPr>
          <w:lang w:val="en-US"/>
        </w:rPr>
        <w:t xml:space="preserve">Abbas </w:t>
      </w:r>
      <w:r w:rsidR="00EF00EA">
        <w:rPr>
          <w:lang w:val="en-US"/>
        </w:rPr>
        <w:t>(</w:t>
      </w:r>
      <w:r w:rsidR="00313844">
        <w:rPr>
          <w:lang w:val="en-US"/>
        </w:rPr>
        <w:t>2025</w:t>
      </w:r>
      <w:r w:rsidR="008137E5">
        <w:rPr>
          <w:lang w:val="en-US"/>
        </w:rPr>
        <w:t>)</w:t>
      </w:r>
      <w:r w:rsidRPr="00B13884">
        <w:rPr>
          <w:lang w:val="en-US"/>
        </w:rPr>
        <w:t>. These conflicting dynamics are often played out in NHS practice</w:t>
      </w:r>
      <w:r w:rsidR="00A2568F">
        <w:rPr>
          <w:lang w:val="en-US"/>
        </w:rPr>
        <w:t xml:space="preserve"> for example a</w:t>
      </w:r>
      <w:r w:rsidRPr="00B13884">
        <w:rPr>
          <w:lang w:val="en-US"/>
        </w:rPr>
        <w:t xml:space="preserve">n older person who is competent may decline medicine, care in a hospital or care home setting despite being at great risk of further deterioration. Decisions </w:t>
      </w:r>
      <w:r w:rsidR="00EB3300">
        <w:rPr>
          <w:lang w:val="en-US"/>
        </w:rPr>
        <w:t xml:space="preserve">can </w:t>
      </w:r>
      <w:r w:rsidRPr="00B13884">
        <w:rPr>
          <w:lang w:val="en-US"/>
        </w:rPr>
        <w:t xml:space="preserve">be made under the Mental Capacity Act 2005 on behalf of a competent person; </w:t>
      </w:r>
      <w:r w:rsidR="00AB16E2">
        <w:rPr>
          <w:lang w:val="en-US"/>
        </w:rPr>
        <w:t>however</w:t>
      </w:r>
      <w:r w:rsidRPr="00B13884">
        <w:rPr>
          <w:lang w:val="en-US"/>
        </w:rPr>
        <w:t xml:space="preserve">, professionals have an ethical responsibility to ensure that the decision is taken voluntarily and is informed </w:t>
      </w:r>
      <w:r w:rsidR="00DF2D28" w:rsidRPr="00DF2D28">
        <w:rPr>
          <w:lang w:val="en-US"/>
        </w:rPr>
        <w:t>(GOV.UK, 2005)</w:t>
      </w:r>
      <w:r w:rsidRPr="00DF2D28">
        <w:rPr>
          <w:lang w:val="en-US"/>
        </w:rPr>
        <w:t>.</w:t>
      </w:r>
      <w:r>
        <w:rPr>
          <w:lang w:val="en-US"/>
        </w:rPr>
        <w:t xml:space="preserve"> </w:t>
      </w:r>
    </w:p>
    <w:p w14:paraId="4A4EF7E2" w14:textId="5FA8AC64" w:rsidR="00167C8A" w:rsidRDefault="006C7989" w:rsidP="008452D7">
      <w:pPr>
        <w:rPr>
          <w:lang w:val="en-US"/>
        </w:rPr>
      </w:pPr>
      <w:r w:rsidRPr="00167C8A">
        <w:rPr>
          <w:lang w:val="en-US"/>
        </w:rPr>
        <w:t>This balance is supported by the Nuffield Council on Bioethics (20</w:t>
      </w:r>
      <w:r w:rsidR="00EF048E">
        <w:rPr>
          <w:lang w:val="en-US"/>
        </w:rPr>
        <w:t>07</w:t>
      </w:r>
      <w:r w:rsidRPr="00167C8A">
        <w:rPr>
          <w:lang w:val="en-US"/>
        </w:rPr>
        <w:t xml:space="preserve">), which states that a duty of care should take precedence over respecting autonomy in cases where there is a significant risk of harm. Personal choice vs protection is also an issue in safeguarding: if there is suspected abuse or neglect, then sometimes action may need to be taken that restricts personal choice, an ongoing tension. Justice, confidentiality, dignity, equality and respect for diversity are further aspects of ethical practice that ensure that services are allocated fairly and there is no discrimination against individuals. The Equality Act 2010 builds on this with the sections that require the same treatment for care regardless of the supported characteristics </w:t>
      </w:r>
      <w:r w:rsidRPr="00FF0929">
        <w:rPr>
          <w:lang w:val="en-US"/>
        </w:rPr>
        <w:t>(</w:t>
      </w:r>
      <w:r w:rsidR="00FF0929" w:rsidRPr="00FF0929">
        <w:rPr>
          <w:lang w:val="en-US"/>
        </w:rPr>
        <w:t>GOV.UK</w:t>
      </w:r>
      <w:r w:rsidR="00FF0929">
        <w:rPr>
          <w:lang w:val="en-US"/>
        </w:rPr>
        <w:t>, 2010</w:t>
      </w:r>
      <w:r w:rsidRPr="00FF0929">
        <w:rPr>
          <w:lang w:val="en-US"/>
        </w:rPr>
        <w:t>)</w:t>
      </w:r>
      <w:r w:rsidRPr="00167C8A">
        <w:rPr>
          <w:lang w:val="en-US"/>
        </w:rPr>
        <w:t xml:space="preserve">. However, </w:t>
      </w:r>
      <w:r w:rsidR="006813A8" w:rsidRPr="006813A8">
        <w:rPr>
          <w:lang w:val="en-US"/>
        </w:rPr>
        <w:t xml:space="preserve">Campbell </w:t>
      </w:r>
      <w:r w:rsidR="00B27DE0">
        <w:rPr>
          <w:lang w:val="en-US"/>
        </w:rPr>
        <w:t>(</w:t>
      </w:r>
      <w:r w:rsidR="006813A8">
        <w:rPr>
          <w:lang w:val="en-US"/>
        </w:rPr>
        <w:t>2025</w:t>
      </w:r>
      <w:r w:rsidRPr="00167C8A">
        <w:rPr>
          <w:lang w:val="en-US"/>
        </w:rPr>
        <w:t xml:space="preserve">) states that unconsciously held beliefs and cultural misconceptions still perpetuate inequities in the health care experience among minority cultures. Ethical practice, therefore, is not only the application of abstract principles, but it is ongoing, it requires professional judgement, culturally appropriate communication and reflective practice and is a desire to balance individual rights with patient safety and deliver equitable, </w:t>
      </w:r>
      <w:r w:rsidR="00EC55AD" w:rsidRPr="00C8185E">
        <w:t>PCC</w:t>
      </w:r>
      <w:r w:rsidRPr="00167C8A">
        <w:rPr>
          <w:lang w:val="en-US"/>
        </w:rPr>
        <w:t>.</w:t>
      </w:r>
      <w:r>
        <w:rPr>
          <w:lang w:val="en-US"/>
        </w:rPr>
        <w:t xml:space="preserve"> </w:t>
      </w:r>
    </w:p>
    <w:p w14:paraId="717D8613" w14:textId="778D81C8" w:rsidR="00C13829" w:rsidRDefault="00C13829" w:rsidP="004923F3">
      <w:pPr>
        <w:rPr>
          <w:lang w:val="en-US"/>
        </w:rPr>
      </w:pPr>
    </w:p>
    <w:p w14:paraId="0AB8D1AB" w14:textId="1387E3B5" w:rsidR="00C13829" w:rsidRDefault="006C7989" w:rsidP="004B32FD">
      <w:pPr>
        <w:pStyle w:val="Heading1"/>
        <w:rPr>
          <w:lang w:val="en-US"/>
        </w:rPr>
      </w:pPr>
      <w:bookmarkStart w:id="4" w:name="_Toc234430927"/>
      <w:r w:rsidRPr="00C13829">
        <w:rPr>
          <w:lang w:val="en-US"/>
        </w:rPr>
        <w:t>Partnership Working in Health and Social Care</w:t>
      </w:r>
      <w:bookmarkEnd w:id="4"/>
    </w:p>
    <w:p w14:paraId="6C848877" w14:textId="56AC842C" w:rsidR="00172BE2" w:rsidRDefault="00EC55AD" w:rsidP="00172BE2">
      <w:pPr>
        <w:rPr>
          <w:lang w:val="en-US"/>
        </w:rPr>
      </w:pPr>
      <w:r w:rsidRPr="00C8185E">
        <w:t>PW</w:t>
      </w:r>
      <w:r w:rsidR="006C7989" w:rsidRPr="00172BE2">
        <w:rPr>
          <w:lang w:val="en-US"/>
        </w:rPr>
        <w:t xml:space="preserve"> is a way that health, social care and voluntary sector organisations co-ordinate their knowledge and skills, resources and responsibilities in a seamless way to deliver person-led services. In the UK, this is increasingly being realised through the concept of integrated care, which aims to address the disjointed provision of care by encouraging improved relationships and working together between professionals and organisations that provide services for the individual (</w:t>
      </w:r>
      <w:r w:rsidR="00474F55" w:rsidRPr="00474F55">
        <w:rPr>
          <w:lang w:val="en-US"/>
        </w:rPr>
        <w:t>Owusu-Addo</w:t>
      </w:r>
      <w:r w:rsidR="00474F55">
        <w:rPr>
          <w:lang w:val="en-US"/>
        </w:rPr>
        <w:t xml:space="preserve"> </w:t>
      </w:r>
      <w:r w:rsidR="00223C52">
        <w:rPr>
          <w:lang w:val="en-US"/>
        </w:rPr>
        <w:t>et al., 2025</w:t>
      </w:r>
      <w:r w:rsidR="006C7989" w:rsidRPr="00172BE2">
        <w:rPr>
          <w:lang w:val="en-US"/>
        </w:rPr>
        <w:t xml:space="preserve">). Good </w:t>
      </w:r>
      <w:r w:rsidRPr="00C8185E">
        <w:t>PW</w:t>
      </w:r>
      <w:r w:rsidR="006C7989" w:rsidRPr="00172BE2">
        <w:rPr>
          <w:lang w:val="en-US"/>
        </w:rPr>
        <w:t xml:space="preserve"> involves more than collaboration, and </w:t>
      </w:r>
      <w:r w:rsidR="00B77EB3">
        <w:rPr>
          <w:lang w:val="en-US"/>
        </w:rPr>
        <w:t>England (2022</w:t>
      </w:r>
      <w:r w:rsidR="006C7989" w:rsidRPr="00172BE2">
        <w:rPr>
          <w:lang w:val="en-US"/>
        </w:rPr>
        <w:t xml:space="preserve">) suggests that it involves a shared responsibility, trust and a coordinated decision-making process to meet the complex physical, psychological and social needs of the service users. </w:t>
      </w:r>
      <w:r w:rsidR="005925AF">
        <w:rPr>
          <w:lang w:val="en-US"/>
        </w:rPr>
        <w:t>Additionally</w:t>
      </w:r>
      <w:r w:rsidR="004F5B56">
        <w:rPr>
          <w:lang w:val="en-US"/>
        </w:rPr>
        <w:t xml:space="preserve">, </w:t>
      </w:r>
      <w:r w:rsidR="00897AE8" w:rsidRPr="00897AE8">
        <w:rPr>
          <w:lang w:val="en-US"/>
        </w:rPr>
        <w:t>Carrier</w:t>
      </w:r>
      <w:r w:rsidR="00897AE8">
        <w:rPr>
          <w:lang w:val="en-US"/>
        </w:rPr>
        <w:t xml:space="preserve"> et al. (2022)</w:t>
      </w:r>
      <w:r w:rsidR="006C7989" w:rsidRPr="00172BE2">
        <w:rPr>
          <w:lang w:val="en-US"/>
        </w:rPr>
        <w:t xml:space="preserve"> found that enhanced multi-disciplinary working is linked to better patient experience, effective long-term condition management and reduced avoidable admissions to hospital. The results align with the </w:t>
      </w:r>
      <w:r w:rsidR="0010273D" w:rsidRPr="0010273D">
        <w:rPr>
          <w:lang w:val="en-US"/>
        </w:rPr>
        <w:t>Khatri</w:t>
      </w:r>
      <w:r w:rsidR="0010273D">
        <w:rPr>
          <w:lang w:val="en-US"/>
        </w:rPr>
        <w:t xml:space="preserve"> et al. (2023) </w:t>
      </w:r>
      <w:r w:rsidR="006C7989" w:rsidRPr="00172BE2">
        <w:rPr>
          <w:lang w:val="en-US"/>
        </w:rPr>
        <w:t>argument that coordinated care can help professionals gauge risks early and provide more responsive interventions.</w:t>
      </w:r>
      <w:r w:rsidR="006C7989">
        <w:rPr>
          <w:lang w:val="en-US"/>
        </w:rPr>
        <w:t xml:space="preserve"> </w:t>
      </w:r>
    </w:p>
    <w:p w14:paraId="79423DFC" w14:textId="366C8550" w:rsidR="005333EE" w:rsidRPr="00C13829" w:rsidRDefault="006C7989" w:rsidP="000A7C5B">
      <w:pPr>
        <w:rPr>
          <w:lang w:val="en-US"/>
        </w:rPr>
      </w:pPr>
      <w:r w:rsidRPr="005333EE">
        <w:rPr>
          <w:lang w:val="en-US"/>
        </w:rPr>
        <w:t xml:space="preserve">In addition, multi-disciplinary team work promotes collaborative decision making through the inter-professional contributions while involving family members and patients in the process of making care decisions. </w:t>
      </w:r>
      <w:r w:rsidR="00872E8B">
        <w:rPr>
          <w:lang w:val="en-US"/>
        </w:rPr>
        <w:t xml:space="preserve">However, </w:t>
      </w:r>
      <w:r w:rsidR="008209ED" w:rsidRPr="008209ED">
        <w:rPr>
          <w:lang w:val="en-US"/>
        </w:rPr>
        <w:t xml:space="preserve">Wang </w:t>
      </w:r>
      <w:r w:rsidR="00F70942">
        <w:rPr>
          <w:lang w:val="en-US"/>
        </w:rPr>
        <w:t>(</w:t>
      </w:r>
      <w:r w:rsidR="008209ED">
        <w:rPr>
          <w:lang w:val="en-US"/>
        </w:rPr>
        <w:t>2026</w:t>
      </w:r>
      <w:r w:rsidRPr="005333EE">
        <w:rPr>
          <w:lang w:val="en-US"/>
        </w:rPr>
        <w:t xml:space="preserve">) questions how the lack of a collaborative approach to practice can be a byproduct of organisational priorities, a lack of collaboration between professionals or incompatible information systems. Though it is meant to ensure that </w:t>
      </w:r>
      <w:r w:rsidRPr="005333EE">
        <w:rPr>
          <w:lang w:val="en-US"/>
        </w:rPr>
        <w:lastRenderedPageBreak/>
        <w:t xml:space="preserve">patient information is confidential, the sharing challenges posed across organisations can cause delays and restart the consent process. </w:t>
      </w:r>
      <w:r w:rsidR="005F4225" w:rsidRPr="005F4225">
        <w:rPr>
          <w:lang w:val="en-US"/>
        </w:rPr>
        <w:t>Likewise, limited funding, staffing gaps and poor leadership can incentivise organisations to focus on individual performance targets over collective results (</w:t>
      </w:r>
      <w:r w:rsidR="00DA4F44" w:rsidRPr="00DA4F44">
        <w:rPr>
          <w:lang w:val="en-US"/>
        </w:rPr>
        <w:t>Silva</w:t>
      </w:r>
      <w:r w:rsidR="00DA4F44">
        <w:rPr>
          <w:lang w:val="en-US"/>
        </w:rPr>
        <w:t xml:space="preserve"> et al</w:t>
      </w:r>
      <w:r w:rsidR="00B20374">
        <w:rPr>
          <w:lang w:val="en-US"/>
        </w:rPr>
        <w:t xml:space="preserve">., </w:t>
      </w:r>
      <w:r w:rsidR="00DA4F44">
        <w:rPr>
          <w:lang w:val="en-US"/>
        </w:rPr>
        <w:t>2022</w:t>
      </w:r>
      <w:r w:rsidR="005F4225" w:rsidRPr="005F4225">
        <w:rPr>
          <w:lang w:val="en-US"/>
        </w:rPr>
        <w:t>)</w:t>
      </w:r>
      <w:r w:rsidRPr="005333EE">
        <w:rPr>
          <w:lang w:val="en-US"/>
        </w:rPr>
        <w:t xml:space="preserve">. </w:t>
      </w:r>
      <w:r w:rsidR="005F4225">
        <w:rPr>
          <w:lang w:val="en-US"/>
        </w:rPr>
        <w:t>H</w:t>
      </w:r>
      <w:r w:rsidRPr="005333EE">
        <w:rPr>
          <w:lang w:val="en-US"/>
        </w:rPr>
        <w:t xml:space="preserve">owever, policy commitment alone is not enough, since cultures enhance support for trust, communication and shared responsibility, which are essential for successful </w:t>
      </w:r>
      <w:r w:rsidR="00EC55AD" w:rsidRPr="00C8185E">
        <w:t>PW</w:t>
      </w:r>
      <w:r w:rsidRPr="005333EE">
        <w:rPr>
          <w:lang w:val="en-US"/>
        </w:rPr>
        <w:t>.</w:t>
      </w:r>
      <w:r>
        <w:rPr>
          <w:lang w:val="en-US"/>
        </w:rPr>
        <w:t xml:space="preserve"> </w:t>
      </w:r>
    </w:p>
    <w:p w14:paraId="10C83FF3" w14:textId="0349E7B4" w:rsidR="00C13829" w:rsidRDefault="006C7989" w:rsidP="00883F2A">
      <w:pPr>
        <w:rPr>
          <w:lang w:val="en-US"/>
        </w:rPr>
      </w:pPr>
      <w:r w:rsidRPr="00A85429">
        <w:rPr>
          <w:lang w:val="en-US"/>
        </w:rPr>
        <w:t xml:space="preserve">A real-world example is seen in NHS Integrated Care Systems (ICSs) where multi-agency practice by GP, community nurse, social worker, occupational therapist, pharmacist, mental health practitioner, voluntary organisation and family </w:t>
      </w:r>
      <w:r w:rsidR="003A0057" w:rsidRPr="00A85429">
        <w:rPr>
          <w:lang w:val="en-US"/>
        </w:rPr>
        <w:t>carer</w:t>
      </w:r>
      <w:r w:rsidRPr="00A85429">
        <w:rPr>
          <w:lang w:val="en-US"/>
        </w:rPr>
        <w:t xml:space="preserve"> supports older people with multiple long-term conditions (</w:t>
      </w:r>
      <w:r w:rsidR="00AF0349" w:rsidRPr="008329B1">
        <w:rPr>
          <w:lang w:val="en-US"/>
        </w:rPr>
        <w:t>Featherstone, 2026</w:t>
      </w:r>
      <w:r w:rsidRPr="00A85429">
        <w:rPr>
          <w:lang w:val="en-US"/>
        </w:rPr>
        <w:t xml:space="preserve">). For instance, after a stroke, the multidisciplinary team collaborates to create a care plan that covers stroke management medications, rehabilitation, home modifications, and social support after hospital discharge. Continuous multi-disciplinary meetings allow current progress to be tracked, changes to interventions to be made as they lead to realisation of risks and events, and decisions to be made along with the person and their family. While </w:t>
      </w:r>
      <w:r w:rsidR="00CB1A31" w:rsidRPr="00CB1A31">
        <w:rPr>
          <w:lang w:val="en-US"/>
        </w:rPr>
        <w:t>Sumpter</w:t>
      </w:r>
      <w:r w:rsidR="004936C3">
        <w:rPr>
          <w:lang w:val="en-US"/>
        </w:rPr>
        <w:t xml:space="preserve"> et al. (2022</w:t>
      </w:r>
      <w:r w:rsidRPr="00A85429">
        <w:rPr>
          <w:lang w:val="en-US"/>
        </w:rPr>
        <w:t>) suggest that this holistic approach helps lower the barriers of fragmented care and thereby results in better outcomes for patients, robust long-term investment, interoperable digital records and good interprofessional leadership will be required to achieve long-term success.</w:t>
      </w:r>
      <w:r>
        <w:rPr>
          <w:lang w:val="en-US"/>
        </w:rPr>
        <w:t xml:space="preserve"> </w:t>
      </w:r>
    </w:p>
    <w:p w14:paraId="75A0CA44" w14:textId="77777777" w:rsidR="00A85429" w:rsidRDefault="00A85429" w:rsidP="00C13829">
      <w:pPr>
        <w:rPr>
          <w:lang w:val="en-US"/>
        </w:rPr>
      </w:pPr>
    </w:p>
    <w:p w14:paraId="6355E13C" w14:textId="51D2EA0E" w:rsidR="004923F3" w:rsidRDefault="006C7989" w:rsidP="006B61B4">
      <w:pPr>
        <w:pStyle w:val="Heading1"/>
        <w:rPr>
          <w:lang w:val="en-US"/>
        </w:rPr>
      </w:pPr>
      <w:bookmarkStart w:id="5" w:name="_Toc234430928"/>
      <w:r w:rsidRPr="006B61B4">
        <w:rPr>
          <w:lang w:val="en-US"/>
        </w:rPr>
        <w:t xml:space="preserve">Policy and Legislation Supporting PCC and </w:t>
      </w:r>
      <w:r>
        <w:rPr>
          <w:lang w:val="en-US"/>
        </w:rPr>
        <w:t>PW</w:t>
      </w:r>
      <w:bookmarkEnd w:id="5"/>
    </w:p>
    <w:p w14:paraId="71EADE2D" w14:textId="77777777" w:rsidR="00D278A4" w:rsidRDefault="006C7989" w:rsidP="008663AA">
      <w:pPr>
        <w:rPr>
          <w:lang w:val="en-US"/>
        </w:rPr>
      </w:pPr>
      <w:r w:rsidRPr="00836A3C">
        <w:rPr>
          <w:lang w:val="en-US"/>
        </w:rPr>
        <w:t xml:space="preserve">Under the legislative and policy framework for health and social care in the UK, PCC and PW are principles and expectations of care and support that the profession must accept. </w:t>
      </w:r>
      <w:r w:rsidR="00BC626F" w:rsidRPr="00BC626F">
        <w:rPr>
          <w:lang w:val="en-US"/>
        </w:rPr>
        <w:t xml:space="preserve">The Care Act 2014 puts individual wellbeing at the heart of adult social care by placing a duty on local authorities to include individuals when considering what happens to their care and to ensure they are integrated into NHS and community services </w:t>
      </w:r>
      <w:r w:rsidR="00BC626F" w:rsidRPr="00313DB5">
        <w:rPr>
          <w:lang w:val="en-US"/>
        </w:rPr>
        <w:t>(</w:t>
      </w:r>
      <w:r w:rsidR="00313DB5">
        <w:rPr>
          <w:lang w:val="en-US"/>
        </w:rPr>
        <w:t>GOV.UK, 2014</w:t>
      </w:r>
      <w:r w:rsidR="00BC626F" w:rsidRPr="00313DB5">
        <w:rPr>
          <w:lang w:val="en-US"/>
        </w:rPr>
        <w:t>)</w:t>
      </w:r>
      <w:r w:rsidR="00BC626F" w:rsidRPr="00BC626F">
        <w:rPr>
          <w:lang w:val="en-US"/>
        </w:rPr>
        <w:t>.</w:t>
      </w:r>
      <w:r w:rsidRPr="00836A3C">
        <w:rPr>
          <w:lang w:val="en-US"/>
        </w:rPr>
        <w:t xml:space="preserve"> This legislation represented a major paradigm shift from the service-led provision to more collaborative models of care, as posited by </w:t>
      </w:r>
      <w:r w:rsidR="00761EE4" w:rsidRPr="00761EE4">
        <w:rPr>
          <w:lang w:val="en-US"/>
        </w:rPr>
        <w:t>Hollinrake</w:t>
      </w:r>
      <w:r w:rsidR="004A54F0">
        <w:rPr>
          <w:lang w:val="en-US"/>
        </w:rPr>
        <w:t xml:space="preserve"> </w:t>
      </w:r>
      <w:r w:rsidR="004374E7">
        <w:rPr>
          <w:lang w:val="en-US"/>
        </w:rPr>
        <w:t>(</w:t>
      </w:r>
      <w:r w:rsidR="00761EE4">
        <w:rPr>
          <w:lang w:val="en-US"/>
        </w:rPr>
        <w:t>2025</w:t>
      </w:r>
      <w:r w:rsidRPr="00836A3C">
        <w:rPr>
          <w:lang w:val="en-US"/>
        </w:rPr>
        <w:t xml:space="preserve">). This is complemented by the Mental Capacity Act 2005, which protects individuals' autonomy by ensuring decisions are made in accordance with their wishes and best interests if capacity is limited </w:t>
      </w:r>
      <w:r w:rsidRPr="006906F1">
        <w:rPr>
          <w:lang w:val="en-US"/>
        </w:rPr>
        <w:t>(</w:t>
      </w:r>
      <w:r w:rsidR="006906F1" w:rsidRPr="006906F1">
        <w:rPr>
          <w:lang w:val="en-US"/>
        </w:rPr>
        <w:t>GOV.UK, 2005</w:t>
      </w:r>
      <w:r w:rsidRPr="00836A3C">
        <w:rPr>
          <w:lang w:val="en-US"/>
        </w:rPr>
        <w:t xml:space="preserve">). </w:t>
      </w:r>
      <w:r w:rsidR="00FB3676" w:rsidRPr="00FB3676">
        <w:rPr>
          <w:lang w:val="en-US"/>
        </w:rPr>
        <w:t>Francis</w:t>
      </w:r>
      <w:r w:rsidR="00FB3676">
        <w:rPr>
          <w:lang w:val="en-US"/>
        </w:rPr>
        <w:t xml:space="preserve"> et al. </w:t>
      </w:r>
      <w:r w:rsidR="000B2654">
        <w:rPr>
          <w:lang w:val="en-US"/>
        </w:rPr>
        <w:t>(</w:t>
      </w:r>
      <w:r w:rsidR="00FB3676">
        <w:rPr>
          <w:lang w:val="en-US"/>
        </w:rPr>
        <w:t>2025)</w:t>
      </w:r>
      <w:r w:rsidRPr="00836A3C">
        <w:rPr>
          <w:lang w:val="en-US"/>
        </w:rPr>
        <w:t xml:space="preserve">, however, challenge the continued use of inconsistent capacity assessments for equitable decision-making in services. </w:t>
      </w:r>
    </w:p>
    <w:p w14:paraId="574F6F3F" w14:textId="54A01748" w:rsidR="006D7ABD" w:rsidRDefault="00037BAE" w:rsidP="00B325AB">
      <w:pPr>
        <w:rPr>
          <w:lang w:val="en-US"/>
        </w:rPr>
      </w:pPr>
      <w:r w:rsidRPr="00037BAE">
        <w:rPr>
          <w:lang w:val="en-US"/>
        </w:rPr>
        <w:t xml:space="preserve">The Health and Care Act 2022 also further reinforces </w:t>
      </w:r>
      <w:r w:rsidR="00EC55AD" w:rsidRPr="00C8185E">
        <w:t>PW</w:t>
      </w:r>
      <w:r w:rsidRPr="00037BAE">
        <w:rPr>
          <w:lang w:val="en-US"/>
        </w:rPr>
        <w:t xml:space="preserve"> by establishing Integrated Care Systems (ICSs) that will help ensure services are coordinated around population needs, not organisational boundaries </w:t>
      </w:r>
      <w:r w:rsidRPr="00F84A59">
        <w:rPr>
          <w:lang w:val="en-US"/>
        </w:rPr>
        <w:t>(</w:t>
      </w:r>
      <w:r w:rsidR="00F84A59" w:rsidRPr="00F84A59">
        <w:rPr>
          <w:lang w:val="en-US"/>
        </w:rPr>
        <w:t>GOV.UK</w:t>
      </w:r>
      <w:r w:rsidR="00190750">
        <w:rPr>
          <w:lang w:val="en-US"/>
        </w:rPr>
        <w:t xml:space="preserve">, </w:t>
      </w:r>
      <w:r w:rsidR="00F84A59" w:rsidRPr="00F84A59">
        <w:rPr>
          <w:lang w:val="en-US"/>
        </w:rPr>
        <w:t>2022</w:t>
      </w:r>
      <w:r w:rsidR="00F84A59">
        <w:rPr>
          <w:lang w:val="en-US"/>
        </w:rPr>
        <w:t>)</w:t>
      </w:r>
      <w:r w:rsidRPr="00037BAE">
        <w:rPr>
          <w:lang w:val="en-US"/>
        </w:rPr>
        <w:t>.</w:t>
      </w:r>
      <w:r w:rsidR="00D278A4">
        <w:rPr>
          <w:lang w:val="en-US"/>
        </w:rPr>
        <w:t xml:space="preserve"> </w:t>
      </w:r>
      <w:r w:rsidR="006C7989" w:rsidRPr="00E466EB">
        <w:rPr>
          <w:lang w:val="en-US"/>
        </w:rPr>
        <w:t>Megson</w:t>
      </w:r>
      <w:r w:rsidR="006C7989">
        <w:rPr>
          <w:lang w:val="en-US"/>
        </w:rPr>
        <w:t xml:space="preserve"> et al. (2026</w:t>
      </w:r>
      <w:r w:rsidR="006C7989" w:rsidRPr="006D7ABD">
        <w:rPr>
          <w:lang w:val="en-US"/>
        </w:rPr>
        <w:t xml:space="preserve">) also encourage shared decision making and </w:t>
      </w:r>
      <w:r w:rsidR="00EC55AD" w:rsidRPr="00C8185E">
        <w:t>PCC</w:t>
      </w:r>
      <w:r w:rsidR="006C7989" w:rsidRPr="006D7ABD">
        <w:rPr>
          <w:lang w:val="en-US"/>
        </w:rPr>
        <w:t xml:space="preserve"> plans and support </w:t>
      </w:r>
      <w:r w:rsidR="00A56963" w:rsidRPr="006D7ABD">
        <w:rPr>
          <w:lang w:val="en-US"/>
        </w:rPr>
        <w:t>self-management</w:t>
      </w:r>
      <w:r w:rsidR="006C7989" w:rsidRPr="006D7ABD">
        <w:rPr>
          <w:lang w:val="en-US"/>
        </w:rPr>
        <w:t xml:space="preserve"> as part of the Universal Personalised Care Framework. </w:t>
      </w:r>
      <w:r w:rsidR="00E730F2">
        <w:rPr>
          <w:lang w:val="en-US"/>
        </w:rPr>
        <w:t>However,</w:t>
      </w:r>
      <w:r w:rsidR="006C7989" w:rsidRPr="006D7ABD">
        <w:rPr>
          <w:lang w:val="en-US"/>
        </w:rPr>
        <w:t xml:space="preserve"> </w:t>
      </w:r>
      <w:r w:rsidR="00223CDC" w:rsidRPr="00223CDC">
        <w:rPr>
          <w:lang w:val="en-US"/>
        </w:rPr>
        <w:t>Khatoon</w:t>
      </w:r>
      <w:r w:rsidR="00223CDC">
        <w:rPr>
          <w:lang w:val="en-US"/>
        </w:rPr>
        <w:t xml:space="preserve"> et al. </w:t>
      </w:r>
      <w:r w:rsidR="00FC5357">
        <w:rPr>
          <w:lang w:val="en-US"/>
        </w:rPr>
        <w:t>(</w:t>
      </w:r>
      <w:r w:rsidR="00223CDC">
        <w:rPr>
          <w:lang w:val="en-US"/>
        </w:rPr>
        <w:t>2025)</w:t>
      </w:r>
      <w:r w:rsidR="006C7989" w:rsidRPr="006D7ABD">
        <w:rPr>
          <w:lang w:val="en-US"/>
        </w:rPr>
        <w:t xml:space="preserve"> suggest that while structural changes often </w:t>
      </w:r>
      <w:r w:rsidR="008663AA">
        <w:rPr>
          <w:lang w:val="en-US"/>
        </w:rPr>
        <w:t>cannot</w:t>
      </w:r>
      <w:r w:rsidR="006C7989" w:rsidRPr="006D7ABD">
        <w:rPr>
          <w:lang w:val="en-US"/>
        </w:rPr>
        <w:t xml:space="preserve"> exceed cultural differences, organisational silos and competing agendas among professionals. Similarly, whilst the Equality Act 2010 </w:t>
      </w:r>
      <w:r w:rsidR="006C7989" w:rsidRPr="00C67F30">
        <w:rPr>
          <w:lang w:val="en-US"/>
        </w:rPr>
        <w:t>(</w:t>
      </w:r>
      <w:r w:rsidR="005033D9">
        <w:rPr>
          <w:lang w:val="en-US"/>
        </w:rPr>
        <w:t>GOV.UK, 2010</w:t>
      </w:r>
      <w:r w:rsidR="006C7989" w:rsidRPr="005033D9">
        <w:rPr>
          <w:lang w:val="en-US"/>
        </w:rPr>
        <w:t>)</w:t>
      </w:r>
      <w:r w:rsidR="006C7989" w:rsidRPr="006D7ABD">
        <w:rPr>
          <w:lang w:val="en-US"/>
        </w:rPr>
        <w:t xml:space="preserve"> and Human </w:t>
      </w:r>
      <w:r w:rsidR="006C7989" w:rsidRPr="006D7ABD">
        <w:rPr>
          <w:lang w:val="en-US"/>
        </w:rPr>
        <w:lastRenderedPageBreak/>
        <w:t xml:space="preserve">Rights Act 1998 </w:t>
      </w:r>
      <w:r w:rsidR="006C7989" w:rsidRPr="00EE7E2B">
        <w:rPr>
          <w:lang w:val="en-US"/>
        </w:rPr>
        <w:t>(</w:t>
      </w:r>
      <w:r w:rsidR="00EE7E2B">
        <w:rPr>
          <w:lang w:val="en-US"/>
        </w:rPr>
        <w:t>GOV.UK, 19</w:t>
      </w:r>
      <w:r w:rsidR="008F295D">
        <w:rPr>
          <w:lang w:val="en-US"/>
        </w:rPr>
        <w:t>9</w:t>
      </w:r>
      <w:r w:rsidR="00EE7E2B">
        <w:rPr>
          <w:lang w:val="en-US"/>
        </w:rPr>
        <w:t>8</w:t>
      </w:r>
      <w:r w:rsidR="006C7989" w:rsidRPr="00EE7E2B">
        <w:rPr>
          <w:lang w:val="en-US"/>
        </w:rPr>
        <w:t>)</w:t>
      </w:r>
      <w:r w:rsidR="006C7989" w:rsidRPr="006D7ABD">
        <w:rPr>
          <w:lang w:val="en-US"/>
        </w:rPr>
        <w:t xml:space="preserve"> provide legal protections against discrimination and promote dignity, autonomy and respect, inequalities in access and outcomes of services and support between socioeconomically disadvantaged and minoritised groups remain evident (</w:t>
      </w:r>
      <w:r w:rsidR="00C41BD3" w:rsidRPr="00C41BD3">
        <w:rPr>
          <w:lang w:val="en-US"/>
        </w:rPr>
        <w:t>Horton</w:t>
      </w:r>
      <w:r w:rsidR="00C41BD3">
        <w:rPr>
          <w:lang w:val="en-US"/>
        </w:rPr>
        <w:t xml:space="preserve"> 2025</w:t>
      </w:r>
      <w:r w:rsidR="006C7989" w:rsidRPr="006D7ABD">
        <w:rPr>
          <w:lang w:val="en-US"/>
        </w:rPr>
        <w:t xml:space="preserve">). In addition, NICE guidance </w:t>
      </w:r>
      <w:r w:rsidR="006C7989" w:rsidRPr="00A56963">
        <w:rPr>
          <w:b/>
          <w:lang w:val="en-US"/>
        </w:rPr>
        <w:t>(</w:t>
      </w:r>
      <w:r w:rsidR="006A2B37">
        <w:t>2026)</w:t>
      </w:r>
      <w:r w:rsidR="006C7989" w:rsidRPr="006D7ABD">
        <w:rPr>
          <w:lang w:val="en-US"/>
        </w:rPr>
        <w:t xml:space="preserve"> sets out evidence-based expectations for safe, caring and person-centred practice that may not be sufficiently met due to workforce shortages and financial pressures.</w:t>
      </w:r>
    </w:p>
    <w:p w14:paraId="44ED3522" w14:textId="26B2CFE5" w:rsidR="0059326B" w:rsidRDefault="0059326B" w:rsidP="0059326B">
      <w:pPr>
        <w:rPr>
          <w:lang w:val="en-US"/>
        </w:rPr>
      </w:pPr>
    </w:p>
    <w:p w14:paraId="34DE5B42" w14:textId="7D226135" w:rsidR="008575B4" w:rsidRDefault="006C7989" w:rsidP="00804703">
      <w:pPr>
        <w:pStyle w:val="Heading1"/>
        <w:rPr>
          <w:lang w:val="en-US"/>
        </w:rPr>
      </w:pPr>
      <w:bookmarkStart w:id="6" w:name="_Toc234430929"/>
      <w:r w:rsidRPr="00E66D12">
        <w:rPr>
          <w:lang w:val="en-US"/>
        </w:rPr>
        <w:t>Recommendations for Future Development</w:t>
      </w:r>
      <w:bookmarkEnd w:id="6"/>
    </w:p>
    <w:p w14:paraId="173B8826" w14:textId="131A20F2" w:rsidR="00B22E5F" w:rsidRPr="008575B4" w:rsidRDefault="006C7989" w:rsidP="00AB2CF2">
      <w:pPr>
        <w:rPr>
          <w:lang w:val="en-US"/>
        </w:rPr>
      </w:pPr>
      <w:r w:rsidRPr="00B22E5F">
        <w:rPr>
          <w:lang w:val="en-US"/>
        </w:rPr>
        <w:t>The promotion of PCC and PW needs to be coordinated at the organisational and policy levels across health and social care in the UK. Institute person-centred communication, shared decision-making and cultural competence programmes into the continuous professional education of healthcare organisations first. McCormack and McCance (202</w:t>
      </w:r>
      <w:r w:rsidR="00C6216B">
        <w:rPr>
          <w:lang w:val="en-US"/>
        </w:rPr>
        <w:t>5</w:t>
      </w:r>
      <w:r w:rsidRPr="00B22E5F">
        <w:rPr>
          <w:lang w:val="en-US"/>
        </w:rPr>
        <w:t xml:space="preserve">) state that highly reflective and interpersonal professionals can more effectively provide "individualised" care and "therapeutic" interpersonal relationships. Second, the interoperable use of digital shared care records across NHS organisations, local authorities and voluntary services should be prioritised to facilitate better information sharing and reduce fragmented care. Integrated, digital systems have the potential to improve the continuity of care, reduce duplication, and facilitate prompt multi-disciplinary decision-making, according to </w:t>
      </w:r>
      <w:r w:rsidR="00C6216B" w:rsidRPr="00C6216B">
        <w:rPr>
          <w:lang w:val="en-US"/>
        </w:rPr>
        <w:t>Carrier</w:t>
      </w:r>
      <w:r w:rsidR="00C6216B">
        <w:rPr>
          <w:lang w:val="en-US"/>
        </w:rPr>
        <w:t xml:space="preserve"> et al. (2022)</w:t>
      </w:r>
      <w:r w:rsidRPr="00B22E5F">
        <w:rPr>
          <w:lang w:val="en-US"/>
        </w:rPr>
        <w:t>.</w:t>
      </w:r>
      <w:r>
        <w:rPr>
          <w:lang w:val="en-US"/>
        </w:rPr>
        <w:t xml:space="preserve"> </w:t>
      </w:r>
    </w:p>
    <w:p w14:paraId="5CD9B39C" w14:textId="3E34BB00" w:rsidR="00276C82" w:rsidRDefault="006C7989" w:rsidP="00AB2CF2">
      <w:pPr>
        <w:rPr>
          <w:lang w:val="en-US"/>
        </w:rPr>
      </w:pPr>
      <w:r w:rsidRPr="00276C82">
        <w:rPr>
          <w:lang w:val="en-US"/>
        </w:rPr>
        <w:t xml:space="preserve">Third, organisations should enhance multidisciplinary working by allocating protected time for regular multidisciplinary case conferences between health care professionals, social workers, patients and family carers. Results from </w:t>
      </w:r>
      <w:r w:rsidR="0080345C" w:rsidRPr="0080345C">
        <w:rPr>
          <w:lang w:val="en-US"/>
        </w:rPr>
        <w:t>Jacobs</w:t>
      </w:r>
      <w:r w:rsidR="0080345C">
        <w:rPr>
          <w:lang w:val="en-US"/>
        </w:rPr>
        <w:t xml:space="preserve"> et al. </w:t>
      </w:r>
      <w:r w:rsidR="002E7B33">
        <w:rPr>
          <w:lang w:val="en-US"/>
        </w:rPr>
        <w:t>(</w:t>
      </w:r>
      <w:r w:rsidR="0080345C">
        <w:rPr>
          <w:lang w:val="en-US"/>
        </w:rPr>
        <w:t>2024)</w:t>
      </w:r>
      <w:r w:rsidRPr="00276C82">
        <w:rPr>
          <w:lang w:val="en-US"/>
        </w:rPr>
        <w:t xml:space="preserve"> suggest that a structured multi-disciplinary approach leads to better coordination and results for people with multiple long-term conditions. Lastly, there must be long-term investment by the government and community-based initiatives into working capacity and services to back this up. However, according to </w:t>
      </w:r>
      <w:r w:rsidR="0004066F" w:rsidRPr="0004066F">
        <w:rPr>
          <w:lang w:val="en-US"/>
        </w:rPr>
        <w:t>Omowole</w:t>
      </w:r>
      <w:r w:rsidR="0004066F">
        <w:rPr>
          <w:lang w:val="en-US"/>
        </w:rPr>
        <w:t xml:space="preserve"> et al. (2024</w:t>
      </w:r>
      <w:r w:rsidRPr="00276C82">
        <w:rPr>
          <w:lang w:val="en-US"/>
        </w:rPr>
        <w:t xml:space="preserve">), a lack of staffing and funding pressures remains a key </w:t>
      </w:r>
      <w:r w:rsidR="009F67BE">
        <w:rPr>
          <w:lang w:val="en-US"/>
        </w:rPr>
        <w:t>barrier</w:t>
      </w:r>
      <w:r w:rsidRPr="00276C82">
        <w:rPr>
          <w:lang w:val="en-US"/>
        </w:rPr>
        <w:t xml:space="preserve"> to delivering a personalised, integrated approach to care routinely.</w:t>
      </w:r>
    </w:p>
    <w:p w14:paraId="6D8F493B" w14:textId="2CF95BAA" w:rsidR="00804703" w:rsidRDefault="00804703" w:rsidP="00931C9C">
      <w:pPr>
        <w:rPr>
          <w:lang w:val="en-US"/>
        </w:rPr>
      </w:pPr>
    </w:p>
    <w:p w14:paraId="753E4CB7" w14:textId="2DBDB2B9" w:rsidR="00804703" w:rsidRDefault="006C7989" w:rsidP="0088187A">
      <w:pPr>
        <w:pStyle w:val="Heading1"/>
        <w:rPr>
          <w:lang w:val="en-US"/>
        </w:rPr>
      </w:pPr>
      <w:bookmarkStart w:id="7" w:name="_Toc234430930"/>
      <w:r>
        <w:rPr>
          <w:lang w:val="en-US"/>
        </w:rPr>
        <w:t>Conclusion</w:t>
      </w:r>
      <w:bookmarkEnd w:id="7"/>
    </w:p>
    <w:p w14:paraId="18601D0E" w14:textId="43125281" w:rsidR="007424B9" w:rsidRDefault="006C7989" w:rsidP="00D278A4">
      <w:pPr>
        <w:rPr>
          <w:lang w:val="en-US"/>
        </w:rPr>
      </w:pPr>
      <w:r w:rsidRPr="00254837">
        <w:rPr>
          <w:lang w:val="en-US"/>
        </w:rPr>
        <w:t xml:space="preserve">This report has illustrated that </w:t>
      </w:r>
      <w:r w:rsidR="00EC55AD" w:rsidRPr="00C8185E">
        <w:t>PCC</w:t>
      </w:r>
      <w:r w:rsidRPr="00254837">
        <w:rPr>
          <w:lang w:val="en-US"/>
        </w:rPr>
        <w:t xml:space="preserve"> and </w:t>
      </w:r>
      <w:r w:rsidR="00EC55AD" w:rsidRPr="00C8185E">
        <w:t>PW</w:t>
      </w:r>
      <w:r w:rsidRPr="00254837">
        <w:rPr>
          <w:lang w:val="en-US"/>
        </w:rPr>
        <w:t xml:space="preserve"> are key features of safe, effective and high-quality health and social care in the United Kingdom of Great Britain. While person-centred approaches are set to enhance the care patients receive, delivering them successfully requires effective multidisciplinary working, ethical practice and enabling legislation. Issues raised in the discussion also included implementation challenges such as workforce issues and organisational barriers. Additional support for collaborative practice and investments in workforce and integrated services will need to be strengthened to support care delivery and enhance care outcomes for people and communities.</w:t>
      </w:r>
      <w:r>
        <w:rPr>
          <w:lang w:val="en-US"/>
        </w:rPr>
        <w:br w:type="page"/>
      </w:r>
    </w:p>
    <w:p w14:paraId="5CDB504B" w14:textId="55B396CE" w:rsidR="007424B9" w:rsidRDefault="006C7989" w:rsidP="007424B9">
      <w:pPr>
        <w:pStyle w:val="Heading1"/>
        <w:rPr>
          <w:lang w:val="en-US"/>
        </w:rPr>
      </w:pPr>
      <w:bookmarkStart w:id="8" w:name="_Toc234430931"/>
      <w:r>
        <w:rPr>
          <w:lang w:val="en-US"/>
        </w:rPr>
        <w:lastRenderedPageBreak/>
        <w:t>References</w:t>
      </w:r>
      <w:bookmarkEnd w:id="8"/>
    </w:p>
    <w:p w14:paraId="7F428213" w14:textId="77777777" w:rsidR="00455CAE" w:rsidRDefault="00455CAE" w:rsidP="009D21AD">
      <w:pPr>
        <w:ind w:left="720" w:hanging="720"/>
      </w:pPr>
      <w:r w:rsidRPr="0010273D">
        <w:t xml:space="preserve">Abbas, S. </w:t>
      </w:r>
      <w:r>
        <w:t>(</w:t>
      </w:r>
      <w:r w:rsidRPr="0010273D">
        <w:t>2025</w:t>
      </w:r>
      <w:r>
        <w:t>)</w:t>
      </w:r>
      <w:r w:rsidRPr="0010273D">
        <w:t>. Fundamental Principles of Medical Ethics. In </w:t>
      </w:r>
      <w:r w:rsidRPr="0010273D">
        <w:rPr>
          <w:i/>
          <w:iCs/>
        </w:rPr>
        <w:t>Medical Ethics: Soft Skills for Clinical Care Providers</w:t>
      </w:r>
      <w:r w:rsidRPr="0010273D">
        <w:t> (pp. 37-62). Singapore: Springer Nature Singapore.</w:t>
      </w:r>
      <w:r>
        <w:t xml:space="preserve"> </w:t>
      </w:r>
    </w:p>
    <w:p w14:paraId="358511E8" w14:textId="77777777" w:rsidR="00455CAE" w:rsidRDefault="00455CAE" w:rsidP="009D21AD">
      <w:pPr>
        <w:ind w:left="720" w:hanging="720"/>
      </w:pPr>
      <w:r w:rsidRPr="0010273D">
        <w:t xml:space="preserve">Byrne, A.L., Hall, A., Cutmore, E. and Mulvogue, J. </w:t>
      </w:r>
      <w:r>
        <w:t>(</w:t>
      </w:r>
      <w:r w:rsidRPr="0010273D">
        <w:t>2026</w:t>
      </w:r>
      <w:r>
        <w:t>)</w:t>
      </w:r>
      <w:r w:rsidRPr="0010273D">
        <w:t>. Beyond Satisfaction: Person‐Centred Care and the Physical Environment Revisited—An Integrative Review. </w:t>
      </w:r>
      <w:r w:rsidRPr="0010273D">
        <w:rPr>
          <w:i/>
          <w:iCs/>
        </w:rPr>
        <w:t>Nursing Open</w:t>
      </w:r>
      <w:r w:rsidRPr="0010273D">
        <w:t>, </w:t>
      </w:r>
      <w:r w:rsidRPr="0010273D">
        <w:rPr>
          <w:i/>
          <w:iCs/>
        </w:rPr>
        <w:t>13</w:t>
      </w:r>
      <w:r w:rsidRPr="0010273D">
        <w:t>(1), p.e70395.</w:t>
      </w:r>
    </w:p>
    <w:p w14:paraId="4D0CC6A0" w14:textId="77777777" w:rsidR="00455CAE" w:rsidRDefault="00455CAE" w:rsidP="009D21AD">
      <w:pPr>
        <w:ind w:left="720" w:hanging="720"/>
      </w:pPr>
      <w:r w:rsidRPr="0010273D">
        <w:t xml:space="preserve">Campbell, C.N. </w:t>
      </w:r>
      <w:r>
        <w:t>(</w:t>
      </w:r>
      <w:r w:rsidRPr="0010273D">
        <w:t>2025</w:t>
      </w:r>
      <w:r>
        <w:t>)</w:t>
      </w:r>
      <w:r w:rsidRPr="0010273D">
        <w:t>. Healthcare inequities and healthcare providers: we are part of the problem. </w:t>
      </w:r>
      <w:r w:rsidRPr="0010273D">
        <w:rPr>
          <w:i/>
          <w:iCs/>
        </w:rPr>
        <w:t>International journal for equity in health</w:t>
      </w:r>
      <w:r w:rsidRPr="0010273D">
        <w:t>, </w:t>
      </w:r>
      <w:r w:rsidRPr="0010273D">
        <w:rPr>
          <w:i/>
          <w:iCs/>
        </w:rPr>
        <w:t>24</w:t>
      </w:r>
      <w:r w:rsidRPr="0010273D">
        <w:t>(1), p.97.</w:t>
      </w:r>
    </w:p>
    <w:p w14:paraId="7E2CBDB1" w14:textId="77777777" w:rsidR="00455CAE" w:rsidRDefault="00455CAE" w:rsidP="009D21AD">
      <w:pPr>
        <w:ind w:left="720" w:hanging="720"/>
      </w:pPr>
      <w:r w:rsidRPr="009D21AD">
        <w:t xml:space="preserve">Carrier, J., Jones, A. and Newbury, G. </w:t>
      </w:r>
      <w:r>
        <w:t>(</w:t>
      </w:r>
      <w:r w:rsidRPr="009D21AD">
        <w:t>2022</w:t>
      </w:r>
      <w:r>
        <w:t>)</w:t>
      </w:r>
      <w:r w:rsidRPr="009D21AD">
        <w:t>. Care coordination and the role of multi-disciplinary teams. In </w:t>
      </w:r>
      <w:r w:rsidRPr="009D21AD">
        <w:rPr>
          <w:i/>
          <w:iCs/>
        </w:rPr>
        <w:t>Managing Long-term Conditions and Chronic Illness in Primary Care</w:t>
      </w:r>
      <w:r w:rsidRPr="009D21AD">
        <w:t> (pp. 35-49). Routledge</w:t>
      </w:r>
      <w:r>
        <w:t xml:space="preserve"> </w:t>
      </w:r>
    </w:p>
    <w:p w14:paraId="157619C7" w14:textId="77777777" w:rsidR="00455CAE" w:rsidRDefault="00455CAE" w:rsidP="009D21AD">
      <w:pPr>
        <w:ind w:left="720" w:hanging="720"/>
      </w:pPr>
      <w:r w:rsidRPr="0010273D">
        <w:t xml:space="preserve">Coulter, A., Collins, A., Edwards, A., Entwistle, V., Finnikin, S., Joseph-Williams, N., Thomas, V. and Thomson, R. </w:t>
      </w:r>
      <w:r>
        <w:t>(</w:t>
      </w:r>
      <w:r w:rsidRPr="0010273D">
        <w:t>2022</w:t>
      </w:r>
      <w:r>
        <w:t>)</w:t>
      </w:r>
      <w:r w:rsidRPr="0010273D">
        <w:t xml:space="preserve">. Implementing shared decision-making in the UK: Progress 2017–2022. </w:t>
      </w:r>
      <w:r w:rsidRPr="0010273D">
        <w:rPr>
          <w:i/>
          <w:iCs/>
        </w:rPr>
        <w:t>Zeitschrift für Evidenz, Fortbildung und Qualität im Gesundheitswesen</w:t>
      </w:r>
      <w:r w:rsidRPr="0010273D">
        <w:t>, </w:t>
      </w:r>
      <w:r w:rsidRPr="0010273D">
        <w:rPr>
          <w:i/>
          <w:iCs/>
        </w:rPr>
        <w:t>171</w:t>
      </w:r>
      <w:r w:rsidRPr="0010273D">
        <w:t>, pp.139-143.</w:t>
      </w:r>
    </w:p>
    <w:p w14:paraId="6EC79F1D" w14:textId="77777777" w:rsidR="00455CAE" w:rsidRDefault="00455CAE" w:rsidP="009D21AD">
      <w:pPr>
        <w:ind w:left="720" w:hanging="720"/>
      </w:pPr>
      <w:r w:rsidRPr="0010273D">
        <w:t xml:space="preserve">Cravo, A., Attar, D., Freeman, D., Holmes, S., Ip, L. and Singh, S.J. </w:t>
      </w:r>
      <w:r>
        <w:t>(</w:t>
      </w:r>
      <w:r w:rsidRPr="0010273D">
        <w:t>2022</w:t>
      </w:r>
      <w:r>
        <w:t>)</w:t>
      </w:r>
      <w:r w:rsidRPr="0010273D">
        <w:t>. The importance of self-management in the context of personalized care in COPD. </w:t>
      </w:r>
      <w:r w:rsidRPr="0010273D">
        <w:rPr>
          <w:i/>
          <w:iCs/>
        </w:rPr>
        <w:t>International Journal of Chronic Obstructive Pulmonary Disease</w:t>
      </w:r>
      <w:r w:rsidRPr="0010273D">
        <w:t>, pp.231-243.</w:t>
      </w:r>
    </w:p>
    <w:p w14:paraId="7B3001BC" w14:textId="77777777" w:rsidR="00455CAE" w:rsidRDefault="00455CAE" w:rsidP="009D21AD">
      <w:pPr>
        <w:ind w:left="720" w:hanging="720"/>
      </w:pPr>
      <w:r w:rsidRPr="0010273D">
        <w:t xml:space="preserve">Dai, T., McDonald, K.M. and Baumgart, D.C. </w:t>
      </w:r>
      <w:r>
        <w:t>(</w:t>
      </w:r>
      <w:r w:rsidRPr="0010273D">
        <w:t>2026</w:t>
      </w:r>
      <w:r>
        <w:t>)</w:t>
      </w:r>
      <w:r w:rsidRPr="0010273D">
        <w:t>. Global advances in health artificial intelligence: a workforce imperative. </w:t>
      </w:r>
      <w:r w:rsidRPr="0010273D">
        <w:rPr>
          <w:i/>
          <w:iCs/>
        </w:rPr>
        <w:t>The Lancet</w:t>
      </w:r>
      <w:r w:rsidRPr="0010273D">
        <w:t>.</w:t>
      </w:r>
    </w:p>
    <w:p w14:paraId="7BBF8034" w14:textId="77777777" w:rsidR="00455CAE" w:rsidRDefault="00455CAE" w:rsidP="009D21AD">
      <w:pPr>
        <w:ind w:left="720" w:hanging="720"/>
      </w:pPr>
      <w:r w:rsidRPr="00AB266B">
        <w:t xml:space="preserve">Dennison Himmelfarb, C.R., Beckie, T.M., Allen, L.A., Commodore-Mensah, Y., Davidson, P.M., Lin, G., Lutz, B., Spatz, E.S. and American Heart Association Council on Cardiovascular and Stroke Nursing </w:t>
      </w:r>
      <w:r>
        <w:t>(</w:t>
      </w:r>
      <w:r w:rsidRPr="00AB266B">
        <w:t>2023</w:t>
      </w:r>
      <w:r>
        <w:t>)</w:t>
      </w:r>
      <w:r w:rsidRPr="00AB266B">
        <w:t>. Shared decision-making and cardiovascular health: a scientific statement from the American Heart Association. </w:t>
      </w:r>
      <w:r w:rsidRPr="00AB266B">
        <w:rPr>
          <w:i/>
          <w:iCs/>
        </w:rPr>
        <w:t>Circulation</w:t>
      </w:r>
      <w:r w:rsidRPr="00AB266B">
        <w:t>, </w:t>
      </w:r>
      <w:r w:rsidRPr="00AB266B">
        <w:rPr>
          <w:i/>
          <w:iCs/>
        </w:rPr>
        <w:t>148</w:t>
      </w:r>
      <w:r w:rsidRPr="00AB266B">
        <w:t>(11), pp.912-931.</w:t>
      </w:r>
    </w:p>
    <w:p w14:paraId="7CA65548" w14:textId="77777777" w:rsidR="00455CAE" w:rsidRDefault="00455CAE" w:rsidP="009D21AD">
      <w:pPr>
        <w:ind w:left="720" w:hanging="720"/>
      </w:pPr>
      <w:r w:rsidRPr="007424B9">
        <w:t xml:space="preserve">England, N.H.S. </w:t>
      </w:r>
      <w:r>
        <w:t>(</w:t>
      </w:r>
      <w:r w:rsidRPr="007424B9">
        <w:t>2022</w:t>
      </w:r>
      <w:r>
        <w:t>)</w:t>
      </w:r>
      <w:r w:rsidRPr="007424B9">
        <w:t>. Working in partnership with people and communities: statutory guidance. </w:t>
      </w:r>
      <w:r w:rsidRPr="007424B9">
        <w:rPr>
          <w:i/>
          <w:iCs/>
        </w:rPr>
        <w:t>Care DoHS</w:t>
      </w:r>
      <w:r w:rsidRPr="007424B9">
        <w:t>.</w:t>
      </w:r>
    </w:p>
    <w:p w14:paraId="142297E1" w14:textId="77777777" w:rsidR="00455CAE" w:rsidRDefault="00455CAE" w:rsidP="009D21AD">
      <w:pPr>
        <w:ind w:left="720" w:hanging="720"/>
      </w:pPr>
      <w:r w:rsidRPr="009D21AD">
        <w:t>Featherstone, A</w:t>
      </w:r>
      <w:r>
        <w:t>.</w:t>
      </w:r>
      <w:r w:rsidRPr="009D21AD">
        <w:t xml:space="preserve"> </w:t>
      </w:r>
      <w:r>
        <w:t>(</w:t>
      </w:r>
      <w:r w:rsidRPr="009D21AD">
        <w:t>2026</w:t>
      </w:r>
      <w:r>
        <w:t>)</w:t>
      </w:r>
      <w:r w:rsidRPr="009D21AD">
        <w:t>.</w:t>
      </w:r>
      <w:r>
        <w:t xml:space="preserve"> </w:t>
      </w:r>
      <w:r w:rsidRPr="009D21AD">
        <w:t>Developing a holistic, multidisciplinary community service for frail older people. </w:t>
      </w:r>
      <w:r w:rsidRPr="009D21AD">
        <w:rPr>
          <w:i/>
          <w:iCs/>
        </w:rPr>
        <w:t>Nursing Older People</w:t>
      </w:r>
      <w:r w:rsidRPr="009D21AD">
        <w:t>, </w:t>
      </w:r>
      <w:r w:rsidRPr="009D21AD">
        <w:rPr>
          <w:i/>
          <w:iCs/>
        </w:rPr>
        <w:t>38</w:t>
      </w:r>
      <w:r w:rsidRPr="009D21AD">
        <w:t>(2).</w:t>
      </w:r>
    </w:p>
    <w:p w14:paraId="0E295BCC" w14:textId="77777777" w:rsidR="00455CAE" w:rsidRDefault="00455CAE" w:rsidP="009D21AD">
      <w:pPr>
        <w:ind w:left="720" w:hanging="720"/>
      </w:pPr>
      <w:r w:rsidRPr="0010273D">
        <w:t xml:space="preserve">Ferrara, L. </w:t>
      </w:r>
      <w:r>
        <w:t>(</w:t>
      </w:r>
      <w:r w:rsidRPr="0010273D">
        <w:t>2024</w:t>
      </w:r>
      <w:r>
        <w:t>)</w:t>
      </w:r>
      <w:r w:rsidRPr="0010273D">
        <w:t>. Ethical Principles. In </w:t>
      </w:r>
      <w:r w:rsidRPr="0010273D">
        <w:rPr>
          <w:i/>
          <w:iCs/>
        </w:rPr>
        <w:t>Ethical Reasoning in Forensic Science</w:t>
      </w:r>
      <w:r w:rsidRPr="0010273D">
        <w:t> (pp. 5-13). Cham: Springer International Publishing.</w:t>
      </w:r>
    </w:p>
    <w:p w14:paraId="63B35868" w14:textId="77777777" w:rsidR="00455CAE" w:rsidRDefault="00455CAE" w:rsidP="009D21AD">
      <w:pPr>
        <w:ind w:left="720" w:hanging="720"/>
      </w:pPr>
      <w:r w:rsidRPr="009D21AD">
        <w:t xml:space="preserve">Francis, H.M., Barry, L., Oxenham, V. and Wearne, T.A. </w:t>
      </w:r>
      <w:r>
        <w:t>(</w:t>
      </w:r>
      <w:r w:rsidRPr="009D21AD">
        <w:t>2025</w:t>
      </w:r>
      <w:r>
        <w:t>)</w:t>
      </w:r>
      <w:r w:rsidRPr="009D21AD">
        <w:t>. Advances and Challenges in the Assessment of Decision-Making Capacity in Older Adults. </w:t>
      </w:r>
      <w:r w:rsidRPr="009D21AD">
        <w:rPr>
          <w:i/>
          <w:iCs/>
        </w:rPr>
        <w:t>Advances in Psychiatry and Behavioral Health</w:t>
      </w:r>
      <w:r w:rsidRPr="009D21AD">
        <w:t>, </w:t>
      </w:r>
      <w:r w:rsidRPr="009D21AD">
        <w:rPr>
          <w:i/>
          <w:iCs/>
        </w:rPr>
        <w:t>5</w:t>
      </w:r>
      <w:r w:rsidRPr="009D21AD">
        <w:t>(1), pp.225-235.</w:t>
      </w:r>
    </w:p>
    <w:p w14:paraId="72536991" w14:textId="77777777" w:rsidR="00455CAE" w:rsidRDefault="00455CAE" w:rsidP="009D21AD">
      <w:pPr>
        <w:ind w:left="720" w:hanging="720"/>
        <w:rPr>
          <w:lang w:val="en-US"/>
        </w:rPr>
      </w:pPr>
      <w:r w:rsidRPr="0010273D">
        <w:rPr>
          <w:lang w:val="en-US"/>
        </w:rPr>
        <w:lastRenderedPageBreak/>
        <w:t xml:space="preserve">GOV.UK (2010). </w:t>
      </w:r>
      <w:r w:rsidRPr="0010273D">
        <w:rPr>
          <w:i/>
          <w:iCs/>
          <w:lang w:val="en-US"/>
        </w:rPr>
        <w:t>Equality act 2010</w:t>
      </w:r>
      <w:r w:rsidRPr="0010273D">
        <w:rPr>
          <w:lang w:val="en-US"/>
        </w:rPr>
        <w:t xml:space="preserve">. Legislation.gov.uk. </w:t>
      </w:r>
      <w:hyperlink r:id="rId11" w:history="1">
        <w:r w:rsidRPr="00A85232">
          <w:rPr>
            <w:rStyle w:val="Hyperlink"/>
            <w:lang w:val="en-US"/>
          </w:rPr>
          <w:t>https://www.legislation.gov.uk/ukpga/2010/15/contents</w:t>
        </w:r>
      </w:hyperlink>
      <w:r>
        <w:rPr>
          <w:lang w:val="en-US"/>
        </w:rPr>
        <w:t xml:space="preserve"> [Accessed Date: 8 July 2026]</w:t>
      </w:r>
    </w:p>
    <w:p w14:paraId="0505CD13" w14:textId="77777777" w:rsidR="00455CAE" w:rsidRPr="00284375" w:rsidRDefault="00455CAE" w:rsidP="009D21AD">
      <w:pPr>
        <w:ind w:left="720" w:hanging="720"/>
        <w:rPr>
          <w:b/>
          <w:lang w:val="en-US"/>
        </w:rPr>
      </w:pPr>
      <w:r w:rsidRPr="009D21AD">
        <w:rPr>
          <w:lang w:val="en-US"/>
        </w:rPr>
        <w:t xml:space="preserve">GOV.UK. (1998, November 9). </w:t>
      </w:r>
      <w:r w:rsidRPr="009D21AD">
        <w:rPr>
          <w:i/>
          <w:iCs/>
          <w:lang w:val="en-US"/>
        </w:rPr>
        <w:t>Human rights act 1998</w:t>
      </w:r>
      <w:r w:rsidRPr="009D21AD">
        <w:rPr>
          <w:lang w:val="en-US"/>
        </w:rPr>
        <w:t xml:space="preserve">. Legislation.gov.uk. </w:t>
      </w:r>
      <w:hyperlink r:id="rId12" w:history="1">
        <w:r w:rsidRPr="00A85232">
          <w:rPr>
            <w:rStyle w:val="Hyperlink"/>
            <w:lang w:val="en-US"/>
          </w:rPr>
          <w:t>https://www.legislation.gov.uk/ukpga/1998/42/contents</w:t>
        </w:r>
      </w:hyperlink>
      <w:r>
        <w:rPr>
          <w:lang w:val="en-US"/>
        </w:rPr>
        <w:t xml:space="preserve"> [Accessed Date: 8 July 2026]</w:t>
      </w:r>
    </w:p>
    <w:p w14:paraId="4A990CDF" w14:textId="77777777" w:rsidR="00455CAE" w:rsidRDefault="00455CAE" w:rsidP="009D21AD">
      <w:pPr>
        <w:ind w:left="720" w:hanging="720"/>
        <w:rPr>
          <w:lang w:val="en-US"/>
        </w:rPr>
      </w:pPr>
      <w:r w:rsidRPr="0010273D">
        <w:rPr>
          <w:lang w:val="en-US"/>
        </w:rPr>
        <w:t xml:space="preserve">GOV.UK. (2005). Mental capacity act 2005. </w:t>
      </w:r>
      <w:hyperlink r:id="rId13" w:history="1">
        <w:r w:rsidRPr="00A85232">
          <w:rPr>
            <w:rStyle w:val="Hyperlink"/>
            <w:lang w:val="en-US"/>
          </w:rPr>
          <w:t>https://www.legislation.gov.uk/ukpga/2005/9/contents</w:t>
        </w:r>
      </w:hyperlink>
      <w:r>
        <w:rPr>
          <w:lang w:val="en-US"/>
        </w:rPr>
        <w:t xml:space="preserve"> [Accessed Date: 8 July 2026]</w:t>
      </w:r>
    </w:p>
    <w:p w14:paraId="6C8F9EFA" w14:textId="77777777" w:rsidR="00455CAE" w:rsidRDefault="00455CAE" w:rsidP="009D21AD">
      <w:pPr>
        <w:ind w:left="720" w:hanging="720"/>
        <w:rPr>
          <w:lang w:val="en-US"/>
        </w:rPr>
      </w:pPr>
      <w:r w:rsidRPr="009D21AD">
        <w:rPr>
          <w:lang w:val="en-US"/>
        </w:rPr>
        <w:t xml:space="preserve">GOV.UK. (2014). Care act 2014. </w:t>
      </w:r>
      <w:hyperlink r:id="rId14" w:history="1">
        <w:r w:rsidRPr="00A85232">
          <w:rPr>
            <w:rStyle w:val="Hyperlink"/>
            <w:lang w:val="en-US"/>
          </w:rPr>
          <w:t>https://www.legislation.gov.uk/ukpga/2014/23/contents</w:t>
        </w:r>
      </w:hyperlink>
      <w:r>
        <w:rPr>
          <w:lang w:val="en-US"/>
        </w:rPr>
        <w:t xml:space="preserve"> [Accessed Date: 8 July 2026]</w:t>
      </w:r>
    </w:p>
    <w:p w14:paraId="5CD2C019" w14:textId="77777777" w:rsidR="00455CAE" w:rsidRDefault="00455CAE" w:rsidP="009D21AD">
      <w:pPr>
        <w:ind w:left="720" w:hanging="720"/>
        <w:rPr>
          <w:lang w:val="en-US"/>
        </w:rPr>
      </w:pPr>
      <w:r w:rsidRPr="009D21AD">
        <w:rPr>
          <w:lang w:val="en-US"/>
        </w:rPr>
        <w:t xml:space="preserve">GOV.UK. (2022). Health and Care Act 2022. </w:t>
      </w:r>
      <w:hyperlink r:id="rId15" w:history="1">
        <w:r w:rsidRPr="00A85232">
          <w:rPr>
            <w:rStyle w:val="Hyperlink"/>
            <w:lang w:val="en-US"/>
          </w:rPr>
          <w:t>https://www.legislation.gov.uk/ukpga/2022/31/contents</w:t>
        </w:r>
      </w:hyperlink>
      <w:r>
        <w:rPr>
          <w:lang w:val="en-US"/>
        </w:rPr>
        <w:t xml:space="preserve"> [Accessed Date: 8 July 2026]</w:t>
      </w:r>
    </w:p>
    <w:p w14:paraId="1C2072D9" w14:textId="77777777" w:rsidR="00455CAE" w:rsidRDefault="00455CAE" w:rsidP="009D21AD">
      <w:pPr>
        <w:ind w:left="720" w:hanging="720"/>
      </w:pPr>
      <w:r w:rsidRPr="009D21AD">
        <w:t xml:space="preserve">Hollinrake, S. </w:t>
      </w:r>
      <w:r>
        <w:t>(</w:t>
      </w:r>
      <w:r w:rsidRPr="009D21AD">
        <w:t>2025</w:t>
      </w:r>
      <w:r>
        <w:t>)</w:t>
      </w:r>
      <w:r w:rsidRPr="009D21AD">
        <w:t>. The legislative and policy context. In </w:t>
      </w:r>
      <w:r w:rsidRPr="009D21AD">
        <w:rPr>
          <w:i/>
          <w:iCs/>
        </w:rPr>
        <w:t>Relationship-based Social Work with Adults</w:t>
      </w:r>
      <w:r w:rsidRPr="009D21AD">
        <w:t> (pp. 26-46). Routledge.</w:t>
      </w:r>
    </w:p>
    <w:p w14:paraId="23E2BAA9" w14:textId="77777777" w:rsidR="00455CAE" w:rsidRDefault="00455CAE" w:rsidP="009D21AD">
      <w:pPr>
        <w:ind w:left="720" w:hanging="720"/>
      </w:pPr>
      <w:r w:rsidRPr="009D21AD">
        <w:t xml:space="preserve">Horton, R. </w:t>
      </w:r>
      <w:r>
        <w:t>(</w:t>
      </w:r>
      <w:r w:rsidRPr="009D21AD">
        <w:t>2025</w:t>
      </w:r>
      <w:r>
        <w:t>)</w:t>
      </w:r>
      <w:r w:rsidRPr="009D21AD">
        <w:t>. Discrimination, equality and health care rationing. In </w:t>
      </w:r>
      <w:r w:rsidRPr="009D21AD">
        <w:rPr>
          <w:i/>
          <w:iCs/>
        </w:rPr>
        <w:t>Discrimination, Equality and Health Care Rationing</w:t>
      </w:r>
      <w:r w:rsidRPr="009D21AD">
        <w:t>. Bristol University Press.</w:t>
      </w:r>
    </w:p>
    <w:p w14:paraId="4C1FB857" w14:textId="77777777" w:rsidR="00455CAE" w:rsidRDefault="00455CAE" w:rsidP="009D21AD">
      <w:pPr>
        <w:ind w:left="720" w:hanging="720"/>
      </w:pPr>
      <w:r w:rsidRPr="0010273D">
        <w:t xml:space="preserve">Huhtakangas, M. </w:t>
      </w:r>
      <w:r>
        <w:t>(</w:t>
      </w:r>
      <w:r w:rsidRPr="0010273D">
        <w:t>2022</w:t>
      </w:r>
      <w:r>
        <w:t>)</w:t>
      </w:r>
      <w:r w:rsidRPr="0010273D">
        <w:t>. Long-and short-term frequent attenders in primary healthcare: perceptions of patient-centredness, interaction and encounters with healthcare personnel.</w:t>
      </w:r>
    </w:p>
    <w:p w14:paraId="77EFBE5D" w14:textId="77777777" w:rsidR="00455CAE" w:rsidRDefault="00455CAE" w:rsidP="009D21AD">
      <w:pPr>
        <w:ind w:left="720" w:hanging="720"/>
      </w:pPr>
      <w:r w:rsidRPr="009D21AD">
        <w:t xml:space="preserve">Jacobs, J., Dougherty, A., McCarn, B., Saiyed, N.S., Ignoffo, S., Wagener, C., Miguel, C.S. and Martinez, L. </w:t>
      </w:r>
      <w:r>
        <w:t>(</w:t>
      </w:r>
      <w:r w:rsidRPr="009D21AD">
        <w:t>2024. Impact of a multi-disciplinary team-based care model for patients living with diabetes on health outcomes: a mixed-methods study. </w:t>
      </w:r>
      <w:r w:rsidRPr="009D21AD">
        <w:rPr>
          <w:i/>
          <w:iCs/>
        </w:rPr>
        <w:t>BMC Health Services Research</w:t>
      </w:r>
      <w:r w:rsidRPr="009D21AD">
        <w:t>, </w:t>
      </w:r>
      <w:r w:rsidRPr="009D21AD">
        <w:rPr>
          <w:i/>
          <w:iCs/>
        </w:rPr>
        <w:t>24</w:t>
      </w:r>
      <w:r w:rsidRPr="009D21AD">
        <w:t>(1), p.746.</w:t>
      </w:r>
    </w:p>
    <w:p w14:paraId="4366F10B" w14:textId="77777777" w:rsidR="00455CAE" w:rsidRDefault="00455CAE" w:rsidP="009D21AD">
      <w:pPr>
        <w:ind w:left="720" w:hanging="720"/>
      </w:pPr>
      <w:r w:rsidRPr="009D21AD">
        <w:t xml:space="preserve">Khatoon, U.T., Babgi, M., Hadi, N.T., Mir, R.N. and Velidandi, A. </w:t>
      </w:r>
      <w:r>
        <w:t>(</w:t>
      </w:r>
      <w:r w:rsidRPr="009D21AD">
        <w:t>2025</w:t>
      </w:r>
      <w:r>
        <w:t>)</w:t>
      </w:r>
      <w:r w:rsidRPr="009D21AD">
        <w:t>. Technology-driven change in human resource management: Reshaping talent management and organizational design. </w:t>
      </w:r>
      <w:r w:rsidRPr="009D21AD">
        <w:rPr>
          <w:i/>
          <w:iCs/>
        </w:rPr>
        <w:t>Administrative Sciences</w:t>
      </w:r>
      <w:r w:rsidRPr="009D21AD">
        <w:t>, </w:t>
      </w:r>
      <w:r w:rsidRPr="009D21AD">
        <w:rPr>
          <w:i/>
          <w:iCs/>
        </w:rPr>
        <w:t>15</w:t>
      </w:r>
      <w:r w:rsidRPr="009D21AD">
        <w:t>(11), p.452.</w:t>
      </w:r>
    </w:p>
    <w:p w14:paraId="5F3A0531" w14:textId="77777777" w:rsidR="00455CAE" w:rsidRDefault="00455CAE" w:rsidP="009D21AD">
      <w:pPr>
        <w:ind w:left="720" w:hanging="720"/>
      </w:pPr>
      <w:r w:rsidRPr="009D21AD">
        <w:t xml:space="preserve">Khatri, R., Endalamaw, A., Erku, D., Wolka, E., Nigatu, F., Zewdie, A. and Assefa, Y. </w:t>
      </w:r>
      <w:r>
        <w:t>(</w:t>
      </w:r>
      <w:r w:rsidRPr="009D21AD">
        <w:t>2023</w:t>
      </w:r>
      <w:r>
        <w:t>)</w:t>
      </w:r>
      <w:r w:rsidRPr="009D21AD">
        <w:t>. Continuity and care coordination of primary health care: a scoping review. </w:t>
      </w:r>
      <w:r w:rsidRPr="009D21AD">
        <w:rPr>
          <w:i/>
          <w:iCs/>
        </w:rPr>
        <w:t>BMC Health Services Research</w:t>
      </w:r>
      <w:r w:rsidRPr="009D21AD">
        <w:t>, </w:t>
      </w:r>
      <w:r w:rsidRPr="009D21AD">
        <w:rPr>
          <w:i/>
          <w:iCs/>
        </w:rPr>
        <w:t>23</w:t>
      </w:r>
      <w:r w:rsidRPr="009D21AD">
        <w:t>(1), p.750.</w:t>
      </w:r>
    </w:p>
    <w:p w14:paraId="4FE60C9B" w14:textId="77777777" w:rsidR="00455CAE" w:rsidRDefault="00455CAE" w:rsidP="009D21AD">
      <w:pPr>
        <w:ind w:left="720" w:hanging="720"/>
        <w:rPr>
          <w:rFonts w:ascii="Arial" w:hAnsi="Arial" w:cs="Arial"/>
          <w:color w:val="222222"/>
          <w:sz w:val="20"/>
          <w:szCs w:val="20"/>
          <w:shd w:val="clear" w:color="auto" w:fill="FFFFFF"/>
        </w:rPr>
      </w:pPr>
      <w:r w:rsidRPr="00AB266B">
        <w:t xml:space="preserve">Khatri, R.B., Wolka, E., Nigatu, F., Zewdie, A., Erku, D., Endalamaw, A. and Assefa, Y. </w:t>
      </w:r>
      <w:r>
        <w:t>(</w:t>
      </w:r>
      <w:r w:rsidRPr="00AB266B">
        <w:t>2023. People-centred primary health care: a scoping review. </w:t>
      </w:r>
      <w:r w:rsidRPr="00AB266B">
        <w:rPr>
          <w:i/>
          <w:iCs/>
        </w:rPr>
        <w:t>BMC primary care</w:t>
      </w:r>
      <w:r w:rsidRPr="00AB266B">
        <w:t>, </w:t>
      </w:r>
      <w:r w:rsidRPr="00AB266B">
        <w:rPr>
          <w:i/>
          <w:iCs/>
        </w:rPr>
        <w:t>24</w:t>
      </w:r>
      <w:r w:rsidRPr="00AB266B">
        <w:t>(1), p.236.</w:t>
      </w:r>
      <w:r w:rsidRPr="00AB266B">
        <w:rPr>
          <w:rFonts w:ascii="Arial" w:hAnsi="Arial" w:cs="Arial"/>
          <w:color w:val="222222"/>
          <w:sz w:val="20"/>
          <w:szCs w:val="20"/>
          <w:shd w:val="clear" w:color="auto" w:fill="FFFFFF"/>
        </w:rPr>
        <w:t xml:space="preserve"> </w:t>
      </w:r>
    </w:p>
    <w:p w14:paraId="477E6E0D" w14:textId="77777777" w:rsidR="00455CAE" w:rsidRDefault="00455CAE" w:rsidP="009D21AD">
      <w:pPr>
        <w:ind w:left="720" w:hanging="720"/>
      </w:pPr>
      <w:r w:rsidRPr="0010273D">
        <w:t xml:space="preserve">Marzban, S., Najafi, M., Agolli, A. and Ashrafi, E. </w:t>
      </w:r>
      <w:r>
        <w:t>(</w:t>
      </w:r>
      <w:r w:rsidRPr="0010273D">
        <w:t>2022</w:t>
      </w:r>
      <w:r>
        <w:t>)</w:t>
      </w:r>
      <w:r w:rsidRPr="0010273D">
        <w:t>. Impact of patient engagement on healthcare quality: a scoping review. </w:t>
      </w:r>
      <w:r w:rsidRPr="0010273D">
        <w:rPr>
          <w:i/>
          <w:iCs/>
        </w:rPr>
        <w:t>Journal of patient experience</w:t>
      </w:r>
      <w:r w:rsidRPr="0010273D">
        <w:t>, </w:t>
      </w:r>
      <w:r w:rsidRPr="0010273D">
        <w:rPr>
          <w:i/>
          <w:iCs/>
        </w:rPr>
        <w:t>9</w:t>
      </w:r>
      <w:r w:rsidRPr="0010273D">
        <w:t>, p.23743735221125439.</w:t>
      </w:r>
    </w:p>
    <w:p w14:paraId="5850B719" w14:textId="77777777" w:rsidR="00455CAE" w:rsidRDefault="00455CAE" w:rsidP="009D21AD">
      <w:pPr>
        <w:ind w:left="720" w:hanging="720"/>
      </w:pPr>
      <w:r w:rsidRPr="0010273D">
        <w:t xml:space="preserve">McCance, T. and McCormack, B. </w:t>
      </w:r>
      <w:r>
        <w:t>(</w:t>
      </w:r>
      <w:r w:rsidRPr="0010273D">
        <w:t>2025</w:t>
      </w:r>
      <w:r>
        <w:t>)</w:t>
      </w:r>
      <w:r w:rsidRPr="0010273D">
        <w:t>. The Person-centred Nursing Framework: a mid-range theory for nursing practice. </w:t>
      </w:r>
      <w:r w:rsidRPr="0010273D">
        <w:rPr>
          <w:i/>
          <w:iCs/>
        </w:rPr>
        <w:t>Journal of Research in Nursing</w:t>
      </w:r>
      <w:r w:rsidRPr="0010273D">
        <w:t>, </w:t>
      </w:r>
      <w:r w:rsidRPr="0010273D">
        <w:rPr>
          <w:i/>
          <w:iCs/>
        </w:rPr>
        <w:t>30</w:t>
      </w:r>
      <w:r w:rsidRPr="0010273D">
        <w:t>(1), pp.47-60.</w:t>
      </w:r>
    </w:p>
    <w:p w14:paraId="2B8D13C6" w14:textId="77777777" w:rsidR="00455CAE" w:rsidRDefault="00455CAE" w:rsidP="009D21AD">
      <w:pPr>
        <w:ind w:left="720" w:hanging="720"/>
      </w:pPr>
      <w:r w:rsidRPr="009D21AD">
        <w:lastRenderedPageBreak/>
        <w:t xml:space="preserve">Megson, M., Hilton, A., Aryankhesal, A., Blake, J., Killett, A., van Horik, J., Fox, C. and Reeve, J. </w:t>
      </w:r>
      <w:r>
        <w:t>(</w:t>
      </w:r>
      <w:r w:rsidRPr="009D21AD">
        <w:t>2026</w:t>
      </w:r>
      <w:r>
        <w:t>)</w:t>
      </w:r>
      <w:r w:rsidRPr="009D21AD">
        <w:t>. Person-Centered Multimorbidity Care in UK Primary Care: Identifying Changes to Practice. </w:t>
      </w:r>
      <w:r w:rsidRPr="009D21AD">
        <w:rPr>
          <w:i/>
          <w:iCs/>
        </w:rPr>
        <w:t>The Annals of Family Medicine</w:t>
      </w:r>
      <w:r w:rsidRPr="009D21AD">
        <w:t>, </w:t>
      </w:r>
      <w:r w:rsidRPr="009D21AD">
        <w:rPr>
          <w:i/>
          <w:iCs/>
        </w:rPr>
        <w:t>24</w:t>
      </w:r>
      <w:r w:rsidRPr="009D21AD">
        <w:t>(2), pp.117-123.</w:t>
      </w:r>
    </w:p>
    <w:p w14:paraId="5E3C56AA" w14:textId="77777777" w:rsidR="00455CAE" w:rsidRDefault="00455CAE" w:rsidP="009D21AD">
      <w:pPr>
        <w:ind w:left="720" w:hanging="720"/>
        <w:rPr>
          <w:lang w:val="en-US"/>
        </w:rPr>
      </w:pPr>
      <w:r w:rsidRPr="009D21AD">
        <w:rPr>
          <w:lang w:val="en-US"/>
        </w:rPr>
        <w:t xml:space="preserve">NICE. (2026). About nice guidelines | nice. </w:t>
      </w:r>
      <w:hyperlink r:id="rId16" w:history="1">
        <w:r w:rsidRPr="00A85232">
          <w:rPr>
            <w:rStyle w:val="Hyperlink"/>
            <w:lang w:val="en-US"/>
          </w:rPr>
          <w:t>https://www.nice.org.uk/what-nice-does/our-guidance/about-nice-guidelines</w:t>
        </w:r>
      </w:hyperlink>
      <w:r>
        <w:rPr>
          <w:lang w:val="en-US"/>
        </w:rPr>
        <w:t xml:space="preserve"> [Accessed Date: 8 July 2026]</w:t>
      </w:r>
    </w:p>
    <w:p w14:paraId="4BD59964" w14:textId="77777777" w:rsidR="00455CAE" w:rsidRPr="0010273D" w:rsidRDefault="00455CAE" w:rsidP="009D21AD">
      <w:pPr>
        <w:ind w:left="720" w:hanging="720"/>
        <w:rPr>
          <w:lang w:val="en-US"/>
        </w:rPr>
      </w:pPr>
      <w:r w:rsidRPr="0010273D">
        <w:rPr>
          <w:lang w:val="en-US"/>
        </w:rPr>
        <w:t xml:space="preserve">Nuffield Council on Bioethics (2007). Public health: Ethical issues. </w:t>
      </w:r>
      <w:hyperlink r:id="rId17" w:history="1">
        <w:r w:rsidRPr="00A85232">
          <w:rPr>
            <w:rStyle w:val="Hyperlink"/>
            <w:lang w:val="en-US"/>
          </w:rPr>
          <w:t>https://cdn.nuffieldbioethics.org/wp-content/uploads/Public-health-ethical-issues.pdf</w:t>
        </w:r>
      </w:hyperlink>
      <w:r>
        <w:rPr>
          <w:lang w:val="en-US"/>
        </w:rPr>
        <w:t xml:space="preserve"> [Accessed Date: 8 July 2026]</w:t>
      </w:r>
    </w:p>
    <w:p w14:paraId="5C6A5ECD" w14:textId="77777777" w:rsidR="00455CAE" w:rsidRDefault="00455CAE" w:rsidP="009D21AD">
      <w:pPr>
        <w:ind w:left="720" w:hanging="720"/>
      </w:pPr>
      <w:r w:rsidRPr="009D21AD">
        <w:t xml:space="preserve">Omowole, B.M., Olufemi-Philips, A.Q., Ofadile, O.C., Eyo-Udo, N.L. and Ewim, S.E. </w:t>
      </w:r>
      <w:r>
        <w:t>(</w:t>
      </w:r>
      <w:r w:rsidRPr="009D21AD">
        <w:t>2024</w:t>
      </w:r>
      <w:r>
        <w:t>)</w:t>
      </w:r>
      <w:r w:rsidRPr="009D21AD">
        <w:t>. Barriers and drivers of digital transformation in SMEs: A conceptual analysis. </w:t>
      </w:r>
      <w:r w:rsidRPr="009D21AD">
        <w:rPr>
          <w:i/>
          <w:iCs/>
        </w:rPr>
        <w:t>International Journal of Frontline Research in Multidisciplinary Studies</w:t>
      </w:r>
      <w:r w:rsidRPr="009D21AD">
        <w:t>, </w:t>
      </w:r>
      <w:r w:rsidRPr="009D21AD">
        <w:rPr>
          <w:i/>
          <w:iCs/>
        </w:rPr>
        <w:t>5</w:t>
      </w:r>
      <w:r w:rsidRPr="009D21AD">
        <w:t>(2), pp.019-036.</w:t>
      </w:r>
    </w:p>
    <w:p w14:paraId="77C3D7A1" w14:textId="77777777" w:rsidR="00455CAE" w:rsidRDefault="00455CAE" w:rsidP="009D21AD">
      <w:pPr>
        <w:ind w:left="720" w:hanging="720"/>
      </w:pPr>
      <w:r w:rsidRPr="0010273D">
        <w:t xml:space="preserve">Owusu-Addo, E., Gilbert, A.S., Feldman, P., Garratt, S.M., Mackell, P. and Brijnath, B. </w:t>
      </w:r>
      <w:r>
        <w:t>(</w:t>
      </w:r>
      <w:r w:rsidRPr="0010273D">
        <w:t>2025</w:t>
      </w:r>
      <w:r>
        <w:t>)</w:t>
      </w:r>
      <w:r w:rsidRPr="0010273D">
        <w:t>. Integrated Care Models for Older People: An Umbrella Review. </w:t>
      </w:r>
      <w:r w:rsidRPr="0010273D">
        <w:rPr>
          <w:i/>
          <w:iCs/>
        </w:rPr>
        <w:t>Ageing International</w:t>
      </w:r>
      <w:r w:rsidRPr="0010273D">
        <w:t>, </w:t>
      </w:r>
      <w:r w:rsidRPr="0010273D">
        <w:rPr>
          <w:i/>
          <w:iCs/>
        </w:rPr>
        <w:t>50</w:t>
      </w:r>
      <w:r w:rsidRPr="0010273D">
        <w:t>(3), p.35.</w:t>
      </w:r>
    </w:p>
    <w:p w14:paraId="2F3430AD" w14:textId="77777777" w:rsidR="00455CAE" w:rsidRDefault="00455CAE" w:rsidP="009D21AD">
      <w:pPr>
        <w:ind w:left="720" w:hanging="720"/>
      </w:pPr>
      <w:r w:rsidRPr="00AB266B">
        <w:t xml:space="preserve">Robinson, J., Abrams, R., Price, O. and Barley, E. </w:t>
      </w:r>
      <w:r>
        <w:t>(</w:t>
      </w:r>
      <w:r w:rsidRPr="00AB266B">
        <w:t>2025</w:t>
      </w:r>
      <w:r>
        <w:t>)</w:t>
      </w:r>
      <w:r w:rsidRPr="00AB266B">
        <w:t>. Tools used to measure the therapeutic relationship between staff and service users in adult mental health care: A scoping review. </w:t>
      </w:r>
      <w:r w:rsidRPr="00AB266B">
        <w:rPr>
          <w:i/>
          <w:iCs/>
        </w:rPr>
        <w:t>Archives of Psychiatric Nursing</w:t>
      </w:r>
      <w:r w:rsidRPr="00AB266B">
        <w:t>, </w:t>
      </w:r>
      <w:r w:rsidRPr="00AB266B">
        <w:rPr>
          <w:i/>
          <w:iCs/>
        </w:rPr>
        <w:t>54</w:t>
      </w:r>
      <w:r w:rsidRPr="00AB266B">
        <w:t>, pp.73-83.</w:t>
      </w:r>
    </w:p>
    <w:p w14:paraId="003C39FD" w14:textId="77777777" w:rsidR="00455CAE" w:rsidRDefault="00455CAE" w:rsidP="009D21AD">
      <w:pPr>
        <w:ind w:left="720" w:hanging="720"/>
      </w:pPr>
      <w:r w:rsidRPr="00AB266B">
        <w:t xml:space="preserve">Shepherd, J., Gurney, S. and Patel, H.P. </w:t>
      </w:r>
      <w:r>
        <w:t>(</w:t>
      </w:r>
      <w:r w:rsidRPr="00AB266B">
        <w:t>2022</w:t>
      </w:r>
      <w:r>
        <w:t>)</w:t>
      </w:r>
      <w:r w:rsidRPr="00AB266B">
        <w:t>. Shared decision making and personalised care support planning: pillars of integrated care for older people. </w:t>
      </w:r>
      <w:r w:rsidRPr="00AB266B">
        <w:rPr>
          <w:i/>
          <w:iCs/>
        </w:rPr>
        <w:t>Clinics in Integrated Care</w:t>
      </w:r>
      <w:r w:rsidRPr="00AB266B">
        <w:t>, </w:t>
      </w:r>
      <w:r w:rsidRPr="00AB266B">
        <w:rPr>
          <w:i/>
          <w:iCs/>
        </w:rPr>
        <w:t>12</w:t>
      </w:r>
      <w:r w:rsidRPr="00AB266B">
        <w:t>, p.100097.</w:t>
      </w:r>
    </w:p>
    <w:p w14:paraId="218949EC" w14:textId="77777777" w:rsidR="00455CAE" w:rsidRDefault="00455CAE" w:rsidP="009D21AD">
      <w:pPr>
        <w:ind w:left="720" w:hanging="720"/>
      </w:pPr>
      <w:r w:rsidRPr="009D21AD">
        <w:t xml:space="preserve">Silva, J.A.M., Mininel, V.A., Agreli, H.F., Peduzzi, M., Harrison, R. and Xyrichis, A. </w:t>
      </w:r>
      <w:r>
        <w:t>(</w:t>
      </w:r>
      <w:r w:rsidRPr="009D21AD">
        <w:t>2022</w:t>
      </w:r>
      <w:r>
        <w:t>)</w:t>
      </w:r>
      <w:r w:rsidRPr="009D21AD">
        <w:t>. Collective leadership to improve professional practice, healthcare outcomes and staff well‐being. </w:t>
      </w:r>
      <w:r w:rsidRPr="009D21AD">
        <w:rPr>
          <w:i/>
          <w:iCs/>
        </w:rPr>
        <w:t>The Cochrane database of systematic reviews</w:t>
      </w:r>
      <w:r w:rsidRPr="009D21AD">
        <w:t>, </w:t>
      </w:r>
      <w:r w:rsidRPr="009D21AD">
        <w:rPr>
          <w:i/>
          <w:iCs/>
        </w:rPr>
        <w:t>2022</w:t>
      </w:r>
      <w:r w:rsidRPr="009D21AD">
        <w:t>(10), p.CD013850.</w:t>
      </w:r>
    </w:p>
    <w:p w14:paraId="2AE5A041" w14:textId="77777777" w:rsidR="00455CAE" w:rsidRDefault="00455CAE" w:rsidP="009D21AD">
      <w:pPr>
        <w:ind w:left="720" w:hanging="720"/>
      </w:pPr>
      <w:r w:rsidRPr="009D21AD">
        <w:t xml:space="preserve">Sumpter, I.J., Phillips, S.M. and Magwood, G.S. </w:t>
      </w:r>
      <w:r>
        <w:t>(</w:t>
      </w:r>
      <w:r w:rsidRPr="009D21AD">
        <w:t>2022</w:t>
      </w:r>
      <w:r>
        <w:t>)</w:t>
      </w:r>
      <w:r w:rsidRPr="009D21AD">
        <w:t>. Approaches to reducing fragmented care in systemic lupus erythematosus (SLE) and other multimorbid conditions: A realist review. </w:t>
      </w:r>
      <w:r w:rsidRPr="009D21AD">
        <w:rPr>
          <w:i/>
          <w:iCs/>
        </w:rPr>
        <w:t>International Journal of Care Coordination</w:t>
      </w:r>
      <w:r w:rsidRPr="009D21AD">
        <w:t>, </w:t>
      </w:r>
      <w:r w:rsidRPr="009D21AD">
        <w:rPr>
          <w:i/>
          <w:iCs/>
        </w:rPr>
        <w:t>25</w:t>
      </w:r>
      <w:r w:rsidRPr="009D21AD">
        <w:t>(4), pp.103-114.</w:t>
      </w:r>
    </w:p>
    <w:p w14:paraId="4641A458" w14:textId="77777777" w:rsidR="00455CAE" w:rsidRPr="001C545C" w:rsidRDefault="00455CAE" w:rsidP="001C545C">
      <w:pPr>
        <w:ind w:left="720" w:hanging="720"/>
      </w:pPr>
      <w:r w:rsidRPr="009D21AD">
        <w:t xml:space="preserve">Wang, L. </w:t>
      </w:r>
      <w:r>
        <w:t>(</w:t>
      </w:r>
      <w:r w:rsidRPr="009D21AD">
        <w:t>2026</w:t>
      </w:r>
      <w:r>
        <w:t>)</w:t>
      </w:r>
      <w:r w:rsidRPr="009D21AD">
        <w:t>. Resolving Institutional Misfit in Collaborative Digital Transformation Projects: An action research approach. </w:t>
      </w:r>
      <w:r w:rsidRPr="009D21AD">
        <w:rPr>
          <w:i/>
          <w:iCs/>
        </w:rPr>
        <w:t>International Journal of Project Management</w:t>
      </w:r>
      <w:r w:rsidRPr="009D21AD">
        <w:t>, p.102851.</w:t>
      </w:r>
    </w:p>
    <w:sectPr w:rsidR="00455CAE" w:rsidRPr="001C545C">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0E085" w14:textId="77777777" w:rsidR="00B5095A" w:rsidRDefault="00B5095A">
      <w:pPr>
        <w:spacing w:after="0" w:line="240" w:lineRule="auto"/>
      </w:pPr>
      <w:r>
        <w:separator/>
      </w:r>
    </w:p>
  </w:endnote>
  <w:endnote w:type="continuationSeparator" w:id="0">
    <w:p w14:paraId="7CF53D30" w14:textId="77777777" w:rsidR="00B5095A" w:rsidRDefault="00B50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41B01" w14:textId="77777777" w:rsidR="00B5095A" w:rsidRDefault="00B5095A">
      <w:pPr>
        <w:spacing w:after="0" w:line="240" w:lineRule="auto"/>
      </w:pPr>
      <w:r>
        <w:separator/>
      </w:r>
    </w:p>
  </w:footnote>
  <w:footnote w:type="continuationSeparator" w:id="0">
    <w:p w14:paraId="1E50417C" w14:textId="77777777" w:rsidR="00B5095A" w:rsidRDefault="00B509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6C798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8B3AC2C4">
      <w:start w:val="1"/>
      <w:numFmt w:val="bullet"/>
      <w:lvlText w:val=""/>
      <w:lvlJc w:val="left"/>
      <w:pPr>
        <w:ind w:left="720" w:hanging="360"/>
      </w:pPr>
      <w:rPr>
        <w:rFonts w:ascii="Symbol" w:hAnsi="Symbol" w:hint="default"/>
      </w:rPr>
    </w:lvl>
    <w:lvl w:ilvl="1" w:tplc="8DCE9C3C" w:tentative="1">
      <w:start w:val="1"/>
      <w:numFmt w:val="bullet"/>
      <w:lvlText w:val="o"/>
      <w:lvlJc w:val="left"/>
      <w:pPr>
        <w:ind w:left="1440" w:hanging="360"/>
      </w:pPr>
      <w:rPr>
        <w:rFonts w:ascii="Courier New" w:hAnsi="Courier New" w:cs="Courier New" w:hint="default"/>
      </w:rPr>
    </w:lvl>
    <w:lvl w:ilvl="2" w:tplc="25BC02B6" w:tentative="1">
      <w:start w:val="1"/>
      <w:numFmt w:val="bullet"/>
      <w:lvlText w:val=""/>
      <w:lvlJc w:val="left"/>
      <w:pPr>
        <w:ind w:left="2160" w:hanging="360"/>
      </w:pPr>
      <w:rPr>
        <w:rFonts w:ascii="Wingdings" w:hAnsi="Wingdings" w:hint="default"/>
      </w:rPr>
    </w:lvl>
    <w:lvl w:ilvl="3" w:tplc="830873A2" w:tentative="1">
      <w:start w:val="1"/>
      <w:numFmt w:val="bullet"/>
      <w:lvlText w:val=""/>
      <w:lvlJc w:val="left"/>
      <w:pPr>
        <w:ind w:left="2880" w:hanging="360"/>
      </w:pPr>
      <w:rPr>
        <w:rFonts w:ascii="Symbol" w:hAnsi="Symbol" w:hint="default"/>
      </w:rPr>
    </w:lvl>
    <w:lvl w:ilvl="4" w:tplc="890E7D78" w:tentative="1">
      <w:start w:val="1"/>
      <w:numFmt w:val="bullet"/>
      <w:lvlText w:val="o"/>
      <w:lvlJc w:val="left"/>
      <w:pPr>
        <w:ind w:left="3600" w:hanging="360"/>
      </w:pPr>
      <w:rPr>
        <w:rFonts w:ascii="Courier New" w:hAnsi="Courier New" w:cs="Courier New" w:hint="default"/>
      </w:rPr>
    </w:lvl>
    <w:lvl w:ilvl="5" w:tplc="FFA2B5DE" w:tentative="1">
      <w:start w:val="1"/>
      <w:numFmt w:val="bullet"/>
      <w:lvlText w:val=""/>
      <w:lvlJc w:val="left"/>
      <w:pPr>
        <w:ind w:left="4320" w:hanging="360"/>
      </w:pPr>
      <w:rPr>
        <w:rFonts w:ascii="Wingdings" w:hAnsi="Wingdings" w:hint="default"/>
      </w:rPr>
    </w:lvl>
    <w:lvl w:ilvl="6" w:tplc="B8DC7CE0" w:tentative="1">
      <w:start w:val="1"/>
      <w:numFmt w:val="bullet"/>
      <w:lvlText w:val=""/>
      <w:lvlJc w:val="left"/>
      <w:pPr>
        <w:ind w:left="5040" w:hanging="360"/>
      </w:pPr>
      <w:rPr>
        <w:rFonts w:ascii="Symbol" w:hAnsi="Symbol" w:hint="default"/>
      </w:rPr>
    </w:lvl>
    <w:lvl w:ilvl="7" w:tplc="14B48320" w:tentative="1">
      <w:start w:val="1"/>
      <w:numFmt w:val="bullet"/>
      <w:lvlText w:val="o"/>
      <w:lvlJc w:val="left"/>
      <w:pPr>
        <w:ind w:left="5760" w:hanging="360"/>
      </w:pPr>
      <w:rPr>
        <w:rFonts w:ascii="Courier New" w:hAnsi="Courier New" w:cs="Courier New" w:hint="default"/>
      </w:rPr>
    </w:lvl>
    <w:lvl w:ilvl="8" w:tplc="CC9ABAC0"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E1926166">
      <w:start w:val="1"/>
      <w:numFmt w:val="bullet"/>
      <w:lvlText w:val=""/>
      <w:lvlJc w:val="left"/>
      <w:pPr>
        <w:ind w:left="720" w:hanging="360"/>
      </w:pPr>
      <w:rPr>
        <w:rFonts w:ascii="Symbol" w:hAnsi="Symbol" w:hint="default"/>
      </w:rPr>
    </w:lvl>
    <w:lvl w:ilvl="1" w:tplc="203268B8" w:tentative="1">
      <w:start w:val="1"/>
      <w:numFmt w:val="bullet"/>
      <w:lvlText w:val="o"/>
      <w:lvlJc w:val="left"/>
      <w:pPr>
        <w:ind w:left="1440" w:hanging="360"/>
      </w:pPr>
      <w:rPr>
        <w:rFonts w:ascii="Courier New" w:hAnsi="Courier New" w:cs="Courier New" w:hint="default"/>
      </w:rPr>
    </w:lvl>
    <w:lvl w:ilvl="2" w:tplc="F356EFB2" w:tentative="1">
      <w:start w:val="1"/>
      <w:numFmt w:val="bullet"/>
      <w:lvlText w:val=""/>
      <w:lvlJc w:val="left"/>
      <w:pPr>
        <w:ind w:left="2160" w:hanging="360"/>
      </w:pPr>
      <w:rPr>
        <w:rFonts w:ascii="Wingdings" w:hAnsi="Wingdings" w:hint="default"/>
      </w:rPr>
    </w:lvl>
    <w:lvl w:ilvl="3" w:tplc="253CDA00" w:tentative="1">
      <w:start w:val="1"/>
      <w:numFmt w:val="bullet"/>
      <w:lvlText w:val=""/>
      <w:lvlJc w:val="left"/>
      <w:pPr>
        <w:ind w:left="2880" w:hanging="360"/>
      </w:pPr>
      <w:rPr>
        <w:rFonts w:ascii="Symbol" w:hAnsi="Symbol" w:hint="default"/>
      </w:rPr>
    </w:lvl>
    <w:lvl w:ilvl="4" w:tplc="AE7AFC7E" w:tentative="1">
      <w:start w:val="1"/>
      <w:numFmt w:val="bullet"/>
      <w:lvlText w:val="o"/>
      <w:lvlJc w:val="left"/>
      <w:pPr>
        <w:ind w:left="3600" w:hanging="360"/>
      </w:pPr>
      <w:rPr>
        <w:rFonts w:ascii="Courier New" w:hAnsi="Courier New" w:cs="Courier New" w:hint="default"/>
      </w:rPr>
    </w:lvl>
    <w:lvl w:ilvl="5" w:tplc="0B8A2DF6" w:tentative="1">
      <w:start w:val="1"/>
      <w:numFmt w:val="bullet"/>
      <w:lvlText w:val=""/>
      <w:lvlJc w:val="left"/>
      <w:pPr>
        <w:ind w:left="4320" w:hanging="360"/>
      </w:pPr>
      <w:rPr>
        <w:rFonts w:ascii="Wingdings" w:hAnsi="Wingdings" w:hint="default"/>
      </w:rPr>
    </w:lvl>
    <w:lvl w:ilvl="6" w:tplc="8570BBA4" w:tentative="1">
      <w:start w:val="1"/>
      <w:numFmt w:val="bullet"/>
      <w:lvlText w:val=""/>
      <w:lvlJc w:val="left"/>
      <w:pPr>
        <w:ind w:left="5040" w:hanging="360"/>
      </w:pPr>
      <w:rPr>
        <w:rFonts w:ascii="Symbol" w:hAnsi="Symbol" w:hint="default"/>
      </w:rPr>
    </w:lvl>
    <w:lvl w:ilvl="7" w:tplc="07BE7146" w:tentative="1">
      <w:start w:val="1"/>
      <w:numFmt w:val="bullet"/>
      <w:lvlText w:val="o"/>
      <w:lvlJc w:val="left"/>
      <w:pPr>
        <w:ind w:left="5760" w:hanging="360"/>
      </w:pPr>
      <w:rPr>
        <w:rFonts w:ascii="Courier New" w:hAnsi="Courier New" w:cs="Courier New" w:hint="default"/>
      </w:rPr>
    </w:lvl>
    <w:lvl w:ilvl="8" w:tplc="1AA477E2"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42BEED74">
      <w:start w:val="1"/>
      <w:numFmt w:val="decimal"/>
      <w:lvlText w:val="%1."/>
      <w:lvlJc w:val="left"/>
      <w:pPr>
        <w:ind w:left="720" w:hanging="360"/>
      </w:pPr>
    </w:lvl>
    <w:lvl w:ilvl="1" w:tplc="0882B3C4" w:tentative="1">
      <w:start w:val="1"/>
      <w:numFmt w:val="lowerLetter"/>
      <w:lvlText w:val="%2."/>
      <w:lvlJc w:val="left"/>
      <w:pPr>
        <w:ind w:left="1440" w:hanging="360"/>
      </w:pPr>
    </w:lvl>
    <w:lvl w:ilvl="2" w:tplc="115409E6" w:tentative="1">
      <w:start w:val="1"/>
      <w:numFmt w:val="lowerRoman"/>
      <w:lvlText w:val="%3."/>
      <w:lvlJc w:val="right"/>
      <w:pPr>
        <w:ind w:left="2160" w:hanging="180"/>
      </w:pPr>
    </w:lvl>
    <w:lvl w:ilvl="3" w:tplc="0110FDDC" w:tentative="1">
      <w:start w:val="1"/>
      <w:numFmt w:val="decimal"/>
      <w:lvlText w:val="%4."/>
      <w:lvlJc w:val="left"/>
      <w:pPr>
        <w:ind w:left="2880" w:hanging="360"/>
      </w:pPr>
    </w:lvl>
    <w:lvl w:ilvl="4" w:tplc="6E923A48" w:tentative="1">
      <w:start w:val="1"/>
      <w:numFmt w:val="lowerLetter"/>
      <w:lvlText w:val="%5."/>
      <w:lvlJc w:val="left"/>
      <w:pPr>
        <w:ind w:left="3600" w:hanging="360"/>
      </w:pPr>
    </w:lvl>
    <w:lvl w:ilvl="5" w:tplc="26829AAA" w:tentative="1">
      <w:start w:val="1"/>
      <w:numFmt w:val="lowerRoman"/>
      <w:lvlText w:val="%6."/>
      <w:lvlJc w:val="right"/>
      <w:pPr>
        <w:ind w:left="4320" w:hanging="180"/>
      </w:pPr>
    </w:lvl>
    <w:lvl w:ilvl="6" w:tplc="E286E366" w:tentative="1">
      <w:start w:val="1"/>
      <w:numFmt w:val="decimal"/>
      <w:lvlText w:val="%7."/>
      <w:lvlJc w:val="left"/>
      <w:pPr>
        <w:ind w:left="5040" w:hanging="360"/>
      </w:pPr>
    </w:lvl>
    <w:lvl w:ilvl="7" w:tplc="48B8417A" w:tentative="1">
      <w:start w:val="1"/>
      <w:numFmt w:val="lowerLetter"/>
      <w:lvlText w:val="%8."/>
      <w:lvlJc w:val="left"/>
      <w:pPr>
        <w:ind w:left="5760" w:hanging="360"/>
      </w:pPr>
    </w:lvl>
    <w:lvl w:ilvl="8" w:tplc="407AF59E" w:tentative="1">
      <w:start w:val="1"/>
      <w:numFmt w:val="lowerRoman"/>
      <w:lvlText w:val="%9."/>
      <w:lvlJc w:val="right"/>
      <w:pPr>
        <w:ind w:left="6480" w:hanging="180"/>
      </w:pPr>
    </w:lvl>
  </w:abstractNum>
  <w:num w:numId="1" w16cid:durableId="1261792410">
    <w:abstractNumId w:val="0"/>
  </w:num>
  <w:num w:numId="2" w16cid:durableId="1681469138">
    <w:abstractNumId w:val="1"/>
  </w:num>
  <w:num w:numId="3" w16cid:durableId="1763333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5279"/>
    <w:rsid w:val="00017183"/>
    <w:rsid w:val="00022609"/>
    <w:rsid w:val="00023B30"/>
    <w:rsid w:val="00023E5C"/>
    <w:rsid w:val="00026344"/>
    <w:rsid w:val="000265CB"/>
    <w:rsid w:val="00030BDF"/>
    <w:rsid w:val="00034E85"/>
    <w:rsid w:val="0003765B"/>
    <w:rsid w:val="00037BAE"/>
    <w:rsid w:val="000403DC"/>
    <w:rsid w:val="0004066F"/>
    <w:rsid w:val="00040DA7"/>
    <w:rsid w:val="00041356"/>
    <w:rsid w:val="0004270B"/>
    <w:rsid w:val="00043794"/>
    <w:rsid w:val="000528D5"/>
    <w:rsid w:val="0006684D"/>
    <w:rsid w:val="00070DF0"/>
    <w:rsid w:val="00071CEB"/>
    <w:rsid w:val="00075573"/>
    <w:rsid w:val="0008149D"/>
    <w:rsid w:val="0008232F"/>
    <w:rsid w:val="00082872"/>
    <w:rsid w:val="000852CE"/>
    <w:rsid w:val="00093C6D"/>
    <w:rsid w:val="000A31C2"/>
    <w:rsid w:val="000A7C5B"/>
    <w:rsid w:val="000B23BF"/>
    <w:rsid w:val="000B263C"/>
    <w:rsid w:val="000B2654"/>
    <w:rsid w:val="000B2B02"/>
    <w:rsid w:val="000B3D75"/>
    <w:rsid w:val="000B7567"/>
    <w:rsid w:val="000D2332"/>
    <w:rsid w:val="000D56EF"/>
    <w:rsid w:val="000D7BBD"/>
    <w:rsid w:val="000E0B21"/>
    <w:rsid w:val="000E4057"/>
    <w:rsid w:val="000F0C31"/>
    <w:rsid w:val="000F3D1A"/>
    <w:rsid w:val="001019F8"/>
    <w:rsid w:val="00102444"/>
    <w:rsid w:val="0010273D"/>
    <w:rsid w:val="00104C71"/>
    <w:rsid w:val="00105F7B"/>
    <w:rsid w:val="00107498"/>
    <w:rsid w:val="00121BDD"/>
    <w:rsid w:val="00124993"/>
    <w:rsid w:val="00131A1D"/>
    <w:rsid w:val="00144F69"/>
    <w:rsid w:val="00145914"/>
    <w:rsid w:val="00145C7E"/>
    <w:rsid w:val="001506DA"/>
    <w:rsid w:val="001574FE"/>
    <w:rsid w:val="00160724"/>
    <w:rsid w:val="001658CF"/>
    <w:rsid w:val="00166857"/>
    <w:rsid w:val="00167C8A"/>
    <w:rsid w:val="00170134"/>
    <w:rsid w:val="00172BE2"/>
    <w:rsid w:val="001732CE"/>
    <w:rsid w:val="00174DE1"/>
    <w:rsid w:val="00176DAC"/>
    <w:rsid w:val="00177A5B"/>
    <w:rsid w:val="001817CB"/>
    <w:rsid w:val="0018235D"/>
    <w:rsid w:val="001824E5"/>
    <w:rsid w:val="0018545A"/>
    <w:rsid w:val="001863CD"/>
    <w:rsid w:val="00187699"/>
    <w:rsid w:val="00187BCE"/>
    <w:rsid w:val="00190750"/>
    <w:rsid w:val="00191971"/>
    <w:rsid w:val="00192B05"/>
    <w:rsid w:val="00192B0D"/>
    <w:rsid w:val="001A3032"/>
    <w:rsid w:val="001B0942"/>
    <w:rsid w:val="001B7B2A"/>
    <w:rsid w:val="001C159B"/>
    <w:rsid w:val="001C2A59"/>
    <w:rsid w:val="001C545C"/>
    <w:rsid w:val="001D0BB1"/>
    <w:rsid w:val="001D6CB9"/>
    <w:rsid w:val="001D7C27"/>
    <w:rsid w:val="001F13C7"/>
    <w:rsid w:val="001F47B9"/>
    <w:rsid w:val="00205FBC"/>
    <w:rsid w:val="002108E0"/>
    <w:rsid w:val="0022050C"/>
    <w:rsid w:val="00223C52"/>
    <w:rsid w:val="00223CDC"/>
    <w:rsid w:val="00250BAF"/>
    <w:rsid w:val="00252656"/>
    <w:rsid w:val="00254837"/>
    <w:rsid w:val="00256177"/>
    <w:rsid w:val="00256E5C"/>
    <w:rsid w:val="00257C58"/>
    <w:rsid w:val="00262325"/>
    <w:rsid w:val="00271FF3"/>
    <w:rsid w:val="00276C82"/>
    <w:rsid w:val="002815BB"/>
    <w:rsid w:val="00284375"/>
    <w:rsid w:val="00287063"/>
    <w:rsid w:val="00287DEB"/>
    <w:rsid w:val="00291E8B"/>
    <w:rsid w:val="002A2CD3"/>
    <w:rsid w:val="002C49E0"/>
    <w:rsid w:val="002C4FD1"/>
    <w:rsid w:val="002C57D1"/>
    <w:rsid w:val="002D45C2"/>
    <w:rsid w:val="002D4E24"/>
    <w:rsid w:val="002E0A58"/>
    <w:rsid w:val="002E7B33"/>
    <w:rsid w:val="002F1A05"/>
    <w:rsid w:val="002F31F6"/>
    <w:rsid w:val="002F4E92"/>
    <w:rsid w:val="0030530F"/>
    <w:rsid w:val="00307E34"/>
    <w:rsid w:val="0031302A"/>
    <w:rsid w:val="00313844"/>
    <w:rsid w:val="00313DB5"/>
    <w:rsid w:val="00316545"/>
    <w:rsid w:val="00324C80"/>
    <w:rsid w:val="0033330E"/>
    <w:rsid w:val="0033447D"/>
    <w:rsid w:val="00350909"/>
    <w:rsid w:val="00354E9B"/>
    <w:rsid w:val="003564AC"/>
    <w:rsid w:val="00361AC4"/>
    <w:rsid w:val="00381AFE"/>
    <w:rsid w:val="00392165"/>
    <w:rsid w:val="003966CB"/>
    <w:rsid w:val="00397A12"/>
    <w:rsid w:val="00397CBA"/>
    <w:rsid w:val="003A0057"/>
    <w:rsid w:val="003A3FF1"/>
    <w:rsid w:val="003A58B2"/>
    <w:rsid w:val="003B2E32"/>
    <w:rsid w:val="003B2FD9"/>
    <w:rsid w:val="003B6220"/>
    <w:rsid w:val="003B6D98"/>
    <w:rsid w:val="003B79C4"/>
    <w:rsid w:val="003C7B6B"/>
    <w:rsid w:val="003D3815"/>
    <w:rsid w:val="003D7A53"/>
    <w:rsid w:val="003E1478"/>
    <w:rsid w:val="003F0F03"/>
    <w:rsid w:val="003F14EF"/>
    <w:rsid w:val="003F1E6B"/>
    <w:rsid w:val="003F2565"/>
    <w:rsid w:val="003F3465"/>
    <w:rsid w:val="003F549B"/>
    <w:rsid w:val="00400A77"/>
    <w:rsid w:val="00407594"/>
    <w:rsid w:val="00407E47"/>
    <w:rsid w:val="00412A52"/>
    <w:rsid w:val="00416A5A"/>
    <w:rsid w:val="00422ECE"/>
    <w:rsid w:val="004374E7"/>
    <w:rsid w:val="00440D8C"/>
    <w:rsid w:val="00443367"/>
    <w:rsid w:val="004473AF"/>
    <w:rsid w:val="00454DC2"/>
    <w:rsid w:val="004552AA"/>
    <w:rsid w:val="00455CAE"/>
    <w:rsid w:val="00463A29"/>
    <w:rsid w:val="0046442B"/>
    <w:rsid w:val="00466B61"/>
    <w:rsid w:val="00466B91"/>
    <w:rsid w:val="00474F55"/>
    <w:rsid w:val="004757C3"/>
    <w:rsid w:val="004768E0"/>
    <w:rsid w:val="00477EA2"/>
    <w:rsid w:val="00481EDD"/>
    <w:rsid w:val="00483176"/>
    <w:rsid w:val="00486402"/>
    <w:rsid w:val="00486476"/>
    <w:rsid w:val="00487F16"/>
    <w:rsid w:val="00490B59"/>
    <w:rsid w:val="004923F3"/>
    <w:rsid w:val="004936C3"/>
    <w:rsid w:val="004959F3"/>
    <w:rsid w:val="0049655F"/>
    <w:rsid w:val="00496A07"/>
    <w:rsid w:val="004A02E4"/>
    <w:rsid w:val="004A351B"/>
    <w:rsid w:val="004A39F9"/>
    <w:rsid w:val="004A54F0"/>
    <w:rsid w:val="004B0727"/>
    <w:rsid w:val="004B2F21"/>
    <w:rsid w:val="004B32FD"/>
    <w:rsid w:val="004B416C"/>
    <w:rsid w:val="004C085F"/>
    <w:rsid w:val="004C0D17"/>
    <w:rsid w:val="004C2B58"/>
    <w:rsid w:val="004C30B1"/>
    <w:rsid w:val="004C5203"/>
    <w:rsid w:val="004C5212"/>
    <w:rsid w:val="004D1F75"/>
    <w:rsid w:val="004E799A"/>
    <w:rsid w:val="004F5B56"/>
    <w:rsid w:val="004F6EE0"/>
    <w:rsid w:val="00502AE6"/>
    <w:rsid w:val="005033D9"/>
    <w:rsid w:val="00505CB1"/>
    <w:rsid w:val="00505FC4"/>
    <w:rsid w:val="00511FE2"/>
    <w:rsid w:val="00512011"/>
    <w:rsid w:val="00517235"/>
    <w:rsid w:val="00521BE3"/>
    <w:rsid w:val="005236E9"/>
    <w:rsid w:val="00532E4D"/>
    <w:rsid w:val="005333EE"/>
    <w:rsid w:val="0054023C"/>
    <w:rsid w:val="00540FF6"/>
    <w:rsid w:val="005475A8"/>
    <w:rsid w:val="00551194"/>
    <w:rsid w:val="00553C1A"/>
    <w:rsid w:val="00554DCC"/>
    <w:rsid w:val="00573927"/>
    <w:rsid w:val="00576DAC"/>
    <w:rsid w:val="00581D21"/>
    <w:rsid w:val="00584CBD"/>
    <w:rsid w:val="005877CD"/>
    <w:rsid w:val="005925AF"/>
    <w:rsid w:val="0059326B"/>
    <w:rsid w:val="00595BD9"/>
    <w:rsid w:val="005A0FCA"/>
    <w:rsid w:val="005A249D"/>
    <w:rsid w:val="005A3389"/>
    <w:rsid w:val="005A4A2C"/>
    <w:rsid w:val="005A6422"/>
    <w:rsid w:val="005A6D79"/>
    <w:rsid w:val="005B2A8C"/>
    <w:rsid w:val="005B61EA"/>
    <w:rsid w:val="005C0391"/>
    <w:rsid w:val="005C1D9B"/>
    <w:rsid w:val="005C206B"/>
    <w:rsid w:val="005C2FE0"/>
    <w:rsid w:val="005C621C"/>
    <w:rsid w:val="005D505E"/>
    <w:rsid w:val="005E1D3B"/>
    <w:rsid w:val="005E5CA9"/>
    <w:rsid w:val="005F0AFF"/>
    <w:rsid w:val="005F1FBF"/>
    <w:rsid w:val="005F4225"/>
    <w:rsid w:val="005F59E6"/>
    <w:rsid w:val="0060218A"/>
    <w:rsid w:val="0060528A"/>
    <w:rsid w:val="00617AF9"/>
    <w:rsid w:val="00632FB5"/>
    <w:rsid w:val="006346CF"/>
    <w:rsid w:val="006468C0"/>
    <w:rsid w:val="006475B8"/>
    <w:rsid w:val="0065581E"/>
    <w:rsid w:val="006704B3"/>
    <w:rsid w:val="00672630"/>
    <w:rsid w:val="0067562E"/>
    <w:rsid w:val="00675996"/>
    <w:rsid w:val="0068115E"/>
    <w:rsid w:val="006813A8"/>
    <w:rsid w:val="006857A1"/>
    <w:rsid w:val="0068699B"/>
    <w:rsid w:val="006906F1"/>
    <w:rsid w:val="00693C5D"/>
    <w:rsid w:val="006A09E2"/>
    <w:rsid w:val="006A27F0"/>
    <w:rsid w:val="006A2B37"/>
    <w:rsid w:val="006A3C3F"/>
    <w:rsid w:val="006A7E2F"/>
    <w:rsid w:val="006B61B4"/>
    <w:rsid w:val="006C7989"/>
    <w:rsid w:val="006D7ABD"/>
    <w:rsid w:val="006D7BF8"/>
    <w:rsid w:val="006E4C6E"/>
    <w:rsid w:val="006E6917"/>
    <w:rsid w:val="006E7D34"/>
    <w:rsid w:val="006F3CD5"/>
    <w:rsid w:val="006F5378"/>
    <w:rsid w:val="006F66B0"/>
    <w:rsid w:val="006F789B"/>
    <w:rsid w:val="0070241B"/>
    <w:rsid w:val="007029F9"/>
    <w:rsid w:val="00703C13"/>
    <w:rsid w:val="00705B2B"/>
    <w:rsid w:val="00713C96"/>
    <w:rsid w:val="00730027"/>
    <w:rsid w:val="0073420F"/>
    <w:rsid w:val="007345A4"/>
    <w:rsid w:val="00740931"/>
    <w:rsid w:val="007424B9"/>
    <w:rsid w:val="00742BA4"/>
    <w:rsid w:val="00744C37"/>
    <w:rsid w:val="00745758"/>
    <w:rsid w:val="007469D0"/>
    <w:rsid w:val="00747D7E"/>
    <w:rsid w:val="007512DC"/>
    <w:rsid w:val="007521CF"/>
    <w:rsid w:val="00761EE4"/>
    <w:rsid w:val="00766185"/>
    <w:rsid w:val="007714D5"/>
    <w:rsid w:val="0078040D"/>
    <w:rsid w:val="00791442"/>
    <w:rsid w:val="00794C19"/>
    <w:rsid w:val="007978B8"/>
    <w:rsid w:val="007A3A32"/>
    <w:rsid w:val="007B21A0"/>
    <w:rsid w:val="007B3780"/>
    <w:rsid w:val="007B6EA8"/>
    <w:rsid w:val="007C1D00"/>
    <w:rsid w:val="007C5313"/>
    <w:rsid w:val="007D2552"/>
    <w:rsid w:val="007D46C3"/>
    <w:rsid w:val="007D4880"/>
    <w:rsid w:val="007E07BB"/>
    <w:rsid w:val="007E69F0"/>
    <w:rsid w:val="007E74A7"/>
    <w:rsid w:val="007E7801"/>
    <w:rsid w:val="007F32DB"/>
    <w:rsid w:val="007F54F4"/>
    <w:rsid w:val="0080064C"/>
    <w:rsid w:val="008006A9"/>
    <w:rsid w:val="0080084C"/>
    <w:rsid w:val="0080345C"/>
    <w:rsid w:val="00804703"/>
    <w:rsid w:val="008135AE"/>
    <w:rsid w:val="008137E5"/>
    <w:rsid w:val="00815869"/>
    <w:rsid w:val="008201D5"/>
    <w:rsid w:val="008209ED"/>
    <w:rsid w:val="00823052"/>
    <w:rsid w:val="00824BB1"/>
    <w:rsid w:val="008329B1"/>
    <w:rsid w:val="00836A3C"/>
    <w:rsid w:val="00840E87"/>
    <w:rsid w:val="00843E71"/>
    <w:rsid w:val="008452D7"/>
    <w:rsid w:val="00850DF5"/>
    <w:rsid w:val="00853131"/>
    <w:rsid w:val="00854362"/>
    <w:rsid w:val="00855AAD"/>
    <w:rsid w:val="008575B4"/>
    <w:rsid w:val="00864E38"/>
    <w:rsid w:val="008663AA"/>
    <w:rsid w:val="00866F89"/>
    <w:rsid w:val="008678FD"/>
    <w:rsid w:val="008718F9"/>
    <w:rsid w:val="00872E8B"/>
    <w:rsid w:val="00877900"/>
    <w:rsid w:val="0088187A"/>
    <w:rsid w:val="0088274F"/>
    <w:rsid w:val="00883F2A"/>
    <w:rsid w:val="008867DD"/>
    <w:rsid w:val="00886A69"/>
    <w:rsid w:val="00893735"/>
    <w:rsid w:val="00897AE8"/>
    <w:rsid w:val="008A035E"/>
    <w:rsid w:val="008A35D1"/>
    <w:rsid w:val="008A56DE"/>
    <w:rsid w:val="008B3E1A"/>
    <w:rsid w:val="008B5FF0"/>
    <w:rsid w:val="008B629F"/>
    <w:rsid w:val="008B6D49"/>
    <w:rsid w:val="008B7416"/>
    <w:rsid w:val="008C67E1"/>
    <w:rsid w:val="008D1897"/>
    <w:rsid w:val="008D27B5"/>
    <w:rsid w:val="008D404B"/>
    <w:rsid w:val="008E27BF"/>
    <w:rsid w:val="008E78C9"/>
    <w:rsid w:val="008F143E"/>
    <w:rsid w:val="008F295D"/>
    <w:rsid w:val="008F4035"/>
    <w:rsid w:val="00904189"/>
    <w:rsid w:val="00907BF9"/>
    <w:rsid w:val="00912F9E"/>
    <w:rsid w:val="00913C9D"/>
    <w:rsid w:val="0091483F"/>
    <w:rsid w:val="00916022"/>
    <w:rsid w:val="0091704F"/>
    <w:rsid w:val="00921602"/>
    <w:rsid w:val="0092632C"/>
    <w:rsid w:val="00927825"/>
    <w:rsid w:val="00930600"/>
    <w:rsid w:val="00931058"/>
    <w:rsid w:val="00931C9C"/>
    <w:rsid w:val="00935075"/>
    <w:rsid w:val="00935D66"/>
    <w:rsid w:val="00937429"/>
    <w:rsid w:val="00937C07"/>
    <w:rsid w:val="00937C4B"/>
    <w:rsid w:val="0094411A"/>
    <w:rsid w:val="0095099B"/>
    <w:rsid w:val="00955871"/>
    <w:rsid w:val="00962647"/>
    <w:rsid w:val="00967989"/>
    <w:rsid w:val="00971700"/>
    <w:rsid w:val="009721F0"/>
    <w:rsid w:val="00973745"/>
    <w:rsid w:val="009803B3"/>
    <w:rsid w:val="009803B5"/>
    <w:rsid w:val="00983947"/>
    <w:rsid w:val="00991F89"/>
    <w:rsid w:val="0099341C"/>
    <w:rsid w:val="00993DE1"/>
    <w:rsid w:val="009953C5"/>
    <w:rsid w:val="00996ACB"/>
    <w:rsid w:val="009A4EAD"/>
    <w:rsid w:val="009A5B17"/>
    <w:rsid w:val="009A5F09"/>
    <w:rsid w:val="009B019A"/>
    <w:rsid w:val="009B04C0"/>
    <w:rsid w:val="009B6724"/>
    <w:rsid w:val="009C4364"/>
    <w:rsid w:val="009C60F1"/>
    <w:rsid w:val="009D21AD"/>
    <w:rsid w:val="009F67BE"/>
    <w:rsid w:val="009F6BDF"/>
    <w:rsid w:val="00A030FF"/>
    <w:rsid w:val="00A05A71"/>
    <w:rsid w:val="00A0768B"/>
    <w:rsid w:val="00A105DC"/>
    <w:rsid w:val="00A10CAC"/>
    <w:rsid w:val="00A138DF"/>
    <w:rsid w:val="00A1651D"/>
    <w:rsid w:val="00A20253"/>
    <w:rsid w:val="00A24901"/>
    <w:rsid w:val="00A2568F"/>
    <w:rsid w:val="00A360B8"/>
    <w:rsid w:val="00A373A4"/>
    <w:rsid w:val="00A40E69"/>
    <w:rsid w:val="00A478DB"/>
    <w:rsid w:val="00A53E0A"/>
    <w:rsid w:val="00A56384"/>
    <w:rsid w:val="00A56963"/>
    <w:rsid w:val="00A610B5"/>
    <w:rsid w:val="00A61A18"/>
    <w:rsid w:val="00A655E6"/>
    <w:rsid w:val="00A67CE4"/>
    <w:rsid w:val="00A723F4"/>
    <w:rsid w:val="00A731A5"/>
    <w:rsid w:val="00A74605"/>
    <w:rsid w:val="00A8225F"/>
    <w:rsid w:val="00A85232"/>
    <w:rsid w:val="00A85429"/>
    <w:rsid w:val="00A85BE5"/>
    <w:rsid w:val="00A87576"/>
    <w:rsid w:val="00A87622"/>
    <w:rsid w:val="00A9326C"/>
    <w:rsid w:val="00A94AE9"/>
    <w:rsid w:val="00A96FC2"/>
    <w:rsid w:val="00AA099D"/>
    <w:rsid w:val="00AA6072"/>
    <w:rsid w:val="00AB16E2"/>
    <w:rsid w:val="00AB266B"/>
    <w:rsid w:val="00AB2CF2"/>
    <w:rsid w:val="00AC16D1"/>
    <w:rsid w:val="00AD3547"/>
    <w:rsid w:val="00AD4684"/>
    <w:rsid w:val="00AD5B39"/>
    <w:rsid w:val="00AE6BBF"/>
    <w:rsid w:val="00AF01F3"/>
    <w:rsid w:val="00AF0349"/>
    <w:rsid w:val="00AF1065"/>
    <w:rsid w:val="00B003A8"/>
    <w:rsid w:val="00B00B46"/>
    <w:rsid w:val="00B04C54"/>
    <w:rsid w:val="00B12550"/>
    <w:rsid w:val="00B13884"/>
    <w:rsid w:val="00B20374"/>
    <w:rsid w:val="00B214DE"/>
    <w:rsid w:val="00B22E5F"/>
    <w:rsid w:val="00B2387A"/>
    <w:rsid w:val="00B27DE0"/>
    <w:rsid w:val="00B325AB"/>
    <w:rsid w:val="00B35F0C"/>
    <w:rsid w:val="00B44CA7"/>
    <w:rsid w:val="00B45FD2"/>
    <w:rsid w:val="00B46594"/>
    <w:rsid w:val="00B47BEB"/>
    <w:rsid w:val="00B5095A"/>
    <w:rsid w:val="00B55170"/>
    <w:rsid w:val="00B669D5"/>
    <w:rsid w:val="00B7136A"/>
    <w:rsid w:val="00B7475F"/>
    <w:rsid w:val="00B77EB3"/>
    <w:rsid w:val="00B83D0E"/>
    <w:rsid w:val="00B8687F"/>
    <w:rsid w:val="00B96911"/>
    <w:rsid w:val="00BA4BE3"/>
    <w:rsid w:val="00BA5040"/>
    <w:rsid w:val="00BA5245"/>
    <w:rsid w:val="00BB3667"/>
    <w:rsid w:val="00BB7F9F"/>
    <w:rsid w:val="00BC6237"/>
    <w:rsid w:val="00BC626F"/>
    <w:rsid w:val="00BD02CE"/>
    <w:rsid w:val="00BE1926"/>
    <w:rsid w:val="00BE2228"/>
    <w:rsid w:val="00BE4741"/>
    <w:rsid w:val="00BF3462"/>
    <w:rsid w:val="00C019D3"/>
    <w:rsid w:val="00C040D5"/>
    <w:rsid w:val="00C07098"/>
    <w:rsid w:val="00C13829"/>
    <w:rsid w:val="00C23CE5"/>
    <w:rsid w:val="00C246B1"/>
    <w:rsid w:val="00C27A9C"/>
    <w:rsid w:val="00C33318"/>
    <w:rsid w:val="00C404C2"/>
    <w:rsid w:val="00C40851"/>
    <w:rsid w:val="00C40DF5"/>
    <w:rsid w:val="00C4185F"/>
    <w:rsid w:val="00C41BD3"/>
    <w:rsid w:val="00C42F44"/>
    <w:rsid w:val="00C433A3"/>
    <w:rsid w:val="00C470DE"/>
    <w:rsid w:val="00C579D7"/>
    <w:rsid w:val="00C600F0"/>
    <w:rsid w:val="00C60C92"/>
    <w:rsid w:val="00C6216B"/>
    <w:rsid w:val="00C63732"/>
    <w:rsid w:val="00C63E91"/>
    <w:rsid w:val="00C655DF"/>
    <w:rsid w:val="00C675F6"/>
    <w:rsid w:val="00C67B6F"/>
    <w:rsid w:val="00C67F30"/>
    <w:rsid w:val="00C71C6A"/>
    <w:rsid w:val="00C71FF5"/>
    <w:rsid w:val="00C73B86"/>
    <w:rsid w:val="00C76016"/>
    <w:rsid w:val="00C76260"/>
    <w:rsid w:val="00C77684"/>
    <w:rsid w:val="00C8004F"/>
    <w:rsid w:val="00C809C2"/>
    <w:rsid w:val="00C8185E"/>
    <w:rsid w:val="00C87318"/>
    <w:rsid w:val="00C91D4B"/>
    <w:rsid w:val="00C9395F"/>
    <w:rsid w:val="00C93A96"/>
    <w:rsid w:val="00C95595"/>
    <w:rsid w:val="00CA0925"/>
    <w:rsid w:val="00CA4D05"/>
    <w:rsid w:val="00CB1A31"/>
    <w:rsid w:val="00CB4C0D"/>
    <w:rsid w:val="00CC1802"/>
    <w:rsid w:val="00CC6206"/>
    <w:rsid w:val="00CD5DB6"/>
    <w:rsid w:val="00CE149A"/>
    <w:rsid w:val="00CE20FE"/>
    <w:rsid w:val="00CE6523"/>
    <w:rsid w:val="00CF40DB"/>
    <w:rsid w:val="00D00EF8"/>
    <w:rsid w:val="00D04626"/>
    <w:rsid w:val="00D10600"/>
    <w:rsid w:val="00D14394"/>
    <w:rsid w:val="00D150D6"/>
    <w:rsid w:val="00D165ED"/>
    <w:rsid w:val="00D278A4"/>
    <w:rsid w:val="00D31FAE"/>
    <w:rsid w:val="00D32A3C"/>
    <w:rsid w:val="00D32D81"/>
    <w:rsid w:val="00D33EED"/>
    <w:rsid w:val="00D35459"/>
    <w:rsid w:val="00D410CC"/>
    <w:rsid w:val="00D51288"/>
    <w:rsid w:val="00D54B7B"/>
    <w:rsid w:val="00D60DF5"/>
    <w:rsid w:val="00D66C59"/>
    <w:rsid w:val="00D82749"/>
    <w:rsid w:val="00D82995"/>
    <w:rsid w:val="00D83DAE"/>
    <w:rsid w:val="00DA4F44"/>
    <w:rsid w:val="00DB0DB7"/>
    <w:rsid w:val="00DB6CEB"/>
    <w:rsid w:val="00DC0177"/>
    <w:rsid w:val="00DC10C2"/>
    <w:rsid w:val="00DC2CC6"/>
    <w:rsid w:val="00DD5D74"/>
    <w:rsid w:val="00DD5E48"/>
    <w:rsid w:val="00DD6690"/>
    <w:rsid w:val="00DE1E73"/>
    <w:rsid w:val="00DF2D28"/>
    <w:rsid w:val="00DF610E"/>
    <w:rsid w:val="00E01A3B"/>
    <w:rsid w:val="00E13095"/>
    <w:rsid w:val="00E13BAC"/>
    <w:rsid w:val="00E30880"/>
    <w:rsid w:val="00E466EB"/>
    <w:rsid w:val="00E47C7D"/>
    <w:rsid w:val="00E5073A"/>
    <w:rsid w:val="00E51ACF"/>
    <w:rsid w:val="00E552BD"/>
    <w:rsid w:val="00E56D9A"/>
    <w:rsid w:val="00E64E41"/>
    <w:rsid w:val="00E65A2D"/>
    <w:rsid w:val="00E66D12"/>
    <w:rsid w:val="00E66DEE"/>
    <w:rsid w:val="00E7014C"/>
    <w:rsid w:val="00E730F2"/>
    <w:rsid w:val="00EA0C55"/>
    <w:rsid w:val="00EA4DED"/>
    <w:rsid w:val="00EB191A"/>
    <w:rsid w:val="00EB3300"/>
    <w:rsid w:val="00EB5E21"/>
    <w:rsid w:val="00EB6749"/>
    <w:rsid w:val="00EC153E"/>
    <w:rsid w:val="00EC2642"/>
    <w:rsid w:val="00EC45D6"/>
    <w:rsid w:val="00EC55AD"/>
    <w:rsid w:val="00ED153D"/>
    <w:rsid w:val="00ED63A9"/>
    <w:rsid w:val="00EE7E2B"/>
    <w:rsid w:val="00EF00EA"/>
    <w:rsid w:val="00EF048E"/>
    <w:rsid w:val="00EF2B53"/>
    <w:rsid w:val="00EF6D1E"/>
    <w:rsid w:val="00EF7B52"/>
    <w:rsid w:val="00F00305"/>
    <w:rsid w:val="00F01B92"/>
    <w:rsid w:val="00F04923"/>
    <w:rsid w:val="00F1129A"/>
    <w:rsid w:val="00F1212A"/>
    <w:rsid w:val="00F13071"/>
    <w:rsid w:val="00F140EB"/>
    <w:rsid w:val="00F150A3"/>
    <w:rsid w:val="00F21341"/>
    <w:rsid w:val="00F307B6"/>
    <w:rsid w:val="00F3521B"/>
    <w:rsid w:val="00F3599C"/>
    <w:rsid w:val="00F42366"/>
    <w:rsid w:val="00F42650"/>
    <w:rsid w:val="00F429CA"/>
    <w:rsid w:val="00F45EF6"/>
    <w:rsid w:val="00F47358"/>
    <w:rsid w:val="00F47FFB"/>
    <w:rsid w:val="00F50D8E"/>
    <w:rsid w:val="00F65162"/>
    <w:rsid w:val="00F66F3F"/>
    <w:rsid w:val="00F70942"/>
    <w:rsid w:val="00F720F0"/>
    <w:rsid w:val="00F73CF9"/>
    <w:rsid w:val="00F76226"/>
    <w:rsid w:val="00F76366"/>
    <w:rsid w:val="00F76964"/>
    <w:rsid w:val="00F84A59"/>
    <w:rsid w:val="00F85440"/>
    <w:rsid w:val="00F859EC"/>
    <w:rsid w:val="00F9239F"/>
    <w:rsid w:val="00F9787E"/>
    <w:rsid w:val="00FA1B76"/>
    <w:rsid w:val="00FB3676"/>
    <w:rsid w:val="00FB7BF8"/>
    <w:rsid w:val="00FC32D4"/>
    <w:rsid w:val="00FC46A5"/>
    <w:rsid w:val="00FC501E"/>
    <w:rsid w:val="00FC5357"/>
    <w:rsid w:val="00FD4C7A"/>
    <w:rsid w:val="00FD5CB7"/>
    <w:rsid w:val="00FE25FD"/>
    <w:rsid w:val="00FE5044"/>
    <w:rsid w:val="00FF0929"/>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8B6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0E0B21"/>
  </w:style>
  <w:style w:type="character" w:styleId="FollowedHyperlink">
    <w:name w:val="FollowedHyperlink"/>
    <w:basedOn w:val="DefaultParagraphFont"/>
    <w:uiPriority w:val="99"/>
    <w:semiHidden/>
    <w:unhideWhenUsed/>
    <w:rsid w:val="001C545C"/>
    <w:rPr>
      <w:color w:val="954F72" w:themeColor="followedHyperlink"/>
      <w:u w:val="single"/>
    </w:rPr>
  </w:style>
  <w:style w:type="paragraph" w:styleId="TOCHeading">
    <w:name w:val="TOC Heading"/>
    <w:basedOn w:val="Heading1"/>
    <w:next w:val="Normal"/>
    <w:uiPriority w:val="39"/>
    <w:unhideWhenUsed/>
    <w:qFormat/>
    <w:rsid w:val="008A035E"/>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8A03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05/9/content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legislation.gov.uk/ukpga/1998/42/contents" TargetMode="External"/><Relationship Id="rId17" Type="http://schemas.openxmlformats.org/officeDocument/2006/relationships/hyperlink" Target="https://cdn.nuffieldbioethics.org/wp-content/uploads/Public-health-ethical-issues.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ce.org.uk/what-nice-does/our-guidance/about-nice-guidelin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2010/15/contents"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2022/31/content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4/23/content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14ddf80abeea03cfee30d5ae77eaeef">
  <xsd:schema xmlns:xsd="http://www.w3.org/2001/XMLSchema" xmlns:xs="http://www.w3.org/2001/XMLSchema" xmlns:p="http://schemas.microsoft.com/office/2006/metadata/properties" xmlns:ns3="ccfc14db-0f45-423b-b2f5-752f8f8a0ada" targetNamespace="http://schemas.microsoft.com/office/2006/metadata/properties" ma:root="true" ma:fieldsID="1eb82cd22aedb09177826934d55c186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ECACCF68-AF71-462C-9E72-F211C244044F}">
  <ds:schemaRefs>
    <ds:schemaRef ds:uri="http://schemas.openxmlformats.org/officeDocument/2006/bibliography"/>
  </ds:schemaRefs>
</ds:datastoreItem>
</file>

<file path=customXml/itemProps2.xml><?xml version="1.0" encoding="utf-8"?>
<ds:datastoreItem xmlns:ds="http://schemas.openxmlformats.org/officeDocument/2006/customXml" ds:itemID="{BCC13F1D-68CF-4508-B140-C96E94DFF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3F7F90-4A68-4AA4-ADA6-EE12B5BEFABC}">
  <ds:schemaRefs>
    <ds:schemaRef ds:uri="http://schemas.microsoft.com/sharepoint/v3/contenttype/forms"/>
  </ds:schemaRefs>
</ds:datastoreItem>
</file>

<file path=customXml/itemProps4.xml><?xml version="1.0" encoding="utf-8"?>
<ds:datastoreItem xmlns:ds="http://schemas.openxmlformats.org/officeDocument/2006/customXml" ds:itemID="{57992A6F-73DD-488B-A1A8-0B6DD07BA838}">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Ifat Hussain</dc:creator>
  <cp:lastModifiedBy>Ifat Hussain (2419347)</cp:lastModifiedBy>
  <cp:revision>2</cp:revision>
  <dcterms:created xsi:type="dcterms:W3CDTF">2026-07-17T13:48:00Z</dcterms:created>
  <dcterms:modified xsi:type="dcterms:W3CDTF">2026-07-17T13:48:00Z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