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75E46" w14:textId="4273E367" w:rsidR="005C3546" w:rsidRDefault="005C3546" w:rsidP="002A7D69">
      <w:pPr>
        <w:spacing w:line="276" w:lineRule="auto"/>
        <w:rPr>
          <w:rFonts w:ascii="Arial" w:eastAsia="Times New Roman" w:hAnsi="Arial" w:cs="Arial"/>
          <w:b/>
          <w:bCs/>
          <w:sz w:val="22"/>
          <w:szCs w:val="22"/>
        </w:rPr>
      </w:pPr>
      <w:r>
        <w:rPr>
          <w:rFonts w:ascii="Arial" w:eastAsia="Times New Roman" w:hAnsi="Arial" w:cs="Arial"/>
          <w:b/>
          <w:bCs/>
          <w:sz w:val="22"/>
          <w:szCs w:val="22"/>
        </w:rPr>
        <w:t xml:space="preserve">Mohammed </w:t>
      </w:r>
      <w:proofErr w:type="spellStart"/>
      <w:r>
        <w:rPr>
          <w:rFonts w:ascii="Arial" w:eastAsia="Times New Roman" w:hAnsi="Arial" w:cs="Arial"/>
          <w:b/>
          <w:bCs/>
          <w:sz w:val="22"/>
          <w:szCs w:val="22"/>
        </w:rPr>
        <w:t>Ashfaq</w:t>
      </w:r>
      <w:proofErr w:type="spellEnd"/>
      <w:r>
        <w:rPr>
          <w:rFonts w:ascii="Arial" w:eastAsia="Times New Roman" w:hAnsi="Arial" w:cs="Arial"/>
          <w:b/>
          <w:bCs/>
          <w:sz w:val="22"/>
          <w:szCs w:val="22"/>
        </w:rPr>
        <w:t xml:space="preserve"> 23155</w:t>
      </w:r>
      <w:r w:rsidR="008256A8">
        <w:rPr>
          <w:rFonts w:ascii="Arial" w:eastAsia="Times New Roman" w:hAnsi="Arial" w:cs="Arial"/>
          <w:b/>
          <w:bCs/>
          <w:sz w:val="22"/>
          <w:szCs w:val="22"/>
        </w:rPr>
        <w:t>5</w:t>
      </w:r>
      <w:r>
        <w:rPr>
          <w:rFonts w:ascii="Arial" w:eastAsia="Times New Roman" w:hAnsi="Arial" w:cs="Arial"/>
          <w:b/>
          <w:bCs/>
          <w:sz w:val="22"/>
          <w:szCs w:val="22"/>
        </w:rPr>
        <w:t>7</w:t>
      </w:r>
    </w:p>
    <w:p w14:paraId="6B45785E" w14:textId="57953E92" w:rsidR="005C3546" w:rsidRDefault="005C3546">
      <w:pPr>
        <w:rPr>
          <w:rFonts w:ascii="Arial" w:eastAsia="Times New Roman" w:hAnsi="Arial" w:cs="Arial"/>
          <w:b/>
          <w:bCs/>
          <w:sz w:val="22"/>
          <w:szCs w:val="22"/>
        </w:rPr>
      </w:pPr>
      <w:r>
        <w:rPr>
          <w:rFonts w:ascii="Arial" w:eastAsia="Times New Roman" w:hAnsi="Arial" w:cs="Arial"/>
          <w:b/>
          <w:bCs/>
          <w:sz w:val="22"/>
          <w:szCs w:val="22"/>
        </w:rPr>
        <w:t xml:space="preserve">Dissertation </w:t>
      </w:r>
    </w:p>
    <w:p w14:paraId="55EB2BEC" w14:textId="0F783CC6" w:rsidR="005C3546" w:rsidRDefault="005C3546">
      <w:pPr>
        <w:rPr>
          <w:rFonts w:ascii="Arial" w:eastAsia="Times New Roman" w:hAnsi="Arial" w:cs="Arial"/>
          <w:b/>
          <w:bCs/>
          <w:sz w:val="22"/>
          <w:szCs w:val="22"/>
        </w:rPr>
      </w:pPr>
      <w:r>
        <w:rPr>
          <w:rFonts w:ascii="Arial" w:eastAsia="Times New Roman" w:hAnsi="Arial" w:cs="Arial"/>
          <w:b/>
          <w:bCs/>
          <w:sz w:val="22"/>
          <w:szCs w:val="22"/>
        </w:rPr>
        <w:t>Lecturer: Chloe Harries</w:t>
      </w:r>
    </w:p>
    <w:p w14:paraId="6FAA5955" w14:textId="2589D63B" w:rsidR="005C3546" w:rsidRDefault="005C3546">
      <w:pPr>
        <w:rPr>
          <w:rFonts w:ascii="Arial" w:eastAsia="Times New Roman" w:hAnsi="Arial" w:cs="Arial"/>
          <w:b/>
          <w:bCs/>
          <w:sz w:val="22"/>
          <w:szCs w:val="22"/>
        </w:rPr>
      </w:pPr>
      <w:r>
        <w:rPr>
          <w:rFonts w:ascii="Arial" w:eastAsia="Times New Roman" w:hAnsi="Arial" w:cs="Arial"/>
          <w:b/>
          <w:bCs/>
          <w:sz w:val="22"/>
          <w:szCs w:val="22"/>
        </w:rPr>
        <w:t>BMHP6020</w:t>
      </w:r>
    </w:p>
    <w:p w14:paraId="7B24D5D4" w14:textId="5CD5C51B" w:rsidR="005C3546" w:rsidRDefault="00906990">
      <w:pPr>
        <w:rPr>
          <w:rFonts w:ascii="Arial" w:eastAsia="Times New Roman" w:hAnsi="Arial" w:cs="Arial"/>
          <w:b/>
          <w:bCs/>
          <w:sz w:val="22"/>
          <w:szCs w:val="22"/>
        </w:rPr>
      </w:pPr>
      <w:r>
        <w:rPr>
          <w:rFonts w:ascii="Arial" w:eastAsia="Times New Roman" w:hAnsi="Arial" w:cs="Arial"/>
          <w:b/>
          <w:bCs/>
          <w:sz w:val="22"/>
          <w:szCs w:val="22"/>
        </w:rPr>
        <w:t>ELDERLY DIGITAL DIVIDE</w:t>
      </w:r>
      <w:r w:rsidR="00186A58">
        <w:rPr>
          <w:rFonts w:ascii="Arial" w:eastAsia="Times New Roman" w:hAnsi="Arial" w:cs="Arial"/>
          <w:b/>
          <w:bCs/>
          <w:sz w:val="22"/>
          <w:szCs w:val="22"/>
        </w:rPr>
        <w:t xml:space="preserve"> IN UK HEALTHCARE</w:t>
      </w:r>
    </w:p>
    <w:p w14:paraId="697B7E44" w14:textId="77777777" w:rsidR="005C3546" w:rsidRDefault="005C3546">
      <w:pPr>
        <w:rPr>
          <w:rFonts w:ascii="Arial" w:eastAsia="Times New Roman" w:hAnsi="Arial" w:cs="Arial"/>
          <w:b/>
          <w:bCs/>
          <w:sz w:val="22"/>
          <w:szCs w:val="22"/>
        </w:rPr>
      </w:pPr>
    </w:p>
    <w:p w14:paraId="346F6EEF" w14:textId="77777777" w:rsidR="00116F02" w:rsidRDefault="001A1531">
      <w:pPr>
        <w:rPr>
          <w:rFonts w:ascii="Arial" w:eastAsia="Times New Roman" w:hAnsi="Arial" w:cs="Arial"/>
          <w:sz w:val="22"/>
          <w:szCs w:val="22"/>
        </w:rPr>
      </w:pPr>
      <w:r w:rsidRPr="00E43CCE">
        <w:rPr>
          <w:rFonts w:ascii="Arial" w:eastAsia="Times New Roman" w:hAnsi="Arial" w:cs="Arial"/>
          <w:b/>
          <w:bCs/>
          <w:sz w:val="22"/>
          <w:szCs w:val="22"/>
        </w:rPr>
        <w:t>ABSTRACT</w:t>
      </w:r>
      <w:r w:rsidRPr="00E43CCE">
        <w:rPr>
          <w:rFonts w:ascii="Arial" w:eastAsia="Times New Roman" w:hAnsi="Arial" w:cs="Arial"/>
          <w:sz w:val="22"/>
          <w:szCs w:val="22"/>
        </w:rPr>
        <w:br/>
      </w:r>
      <w:r w:rsidRPr="00E43CCE">
        <w:rPr>
          <w:rFonts w:ascii="Arial" w:eastAsia="Times New Roman" w:hAnsi="Arial" w:cs="Arial"/>
          <w:b/>
          <w:bCs/>
          <w:sz w:val="22"/>
          <w:szCs w:val="22"/>
        </w:rPr>
        <w:t>a) Purpose, Aim, and Objectives:</w:t>
      </w:r>
      <w:r w:rsidRPr="00E43CCE">
        <w:rPr>
          <w:rFonts w:ascii="Arial" w:eastAsia="Times New Roman" w:hAnsi="Arial" w:cs="Arial"/>
          <w:sz w:val="22"/>
          <w:szCs w:val="22"/>
        </w:rPr>
        <w:t xml:space="preserve"> The rapid digitisation of healthcare in the United Kingdom, significantly accelerated by the COVID-19 pandemic, has transformed service delivery. However, this shift has inadvertently deepened the digital divide, disproportionately affecting the elderly population (aged 65 and over). The overall purpose of this dissertation is to explore the impact of digital exclusion on healthcare access and the psychosocial well-being of the elderly in the UK. This research is critical within health and social care as it highlights the health inequalities exacerbated by a "digital-first" NHS, ensuring that vulnerable populations are not left behind.</w:t>
      </w:r>
      <w:r w:rsidRPr="00E43CCE">
        <w:rPr>
          <w:rFonts w:ascii="Arial" w:eastAsia="Times New Roman" w:hAnsi="Arial" w:cs="Arial"/>
          <w:sz w:val="22"/>
          <w:szCs w:val="22"/>
        </w:rPr>
        <w:br/>
      </w:r>
      <w:r w:rsidRPr="00E43CCE">
        <w:rPr>
          <w:rFonts w:ascii="Arial" w:eastAsia="Times New Roman" w:hAnsi="Arial" w:cs="Arial"/>
          <w:b/>
          <w:bCs/>
          <w:sz w:val="22"/>
          <w:szCs w:val="22"/>
        </w:rPr>
        <w:t>b) Summary of Methods:</w:t>
      </w:r>
      <w:r w:rsidRPr="00E43CCE">
        <w:rPr>
          <w:rFonts w:ascii="Arial" w:eastAsia="Times New Roman" w:hAnsi="Arial" w:cs="Arial"/>
          <w:sz w:val="22"/>
          <w:szCs w:val="22"/>
        </w:rPr>
        <w:t xml:space="preserve"> This study adopted a qualitative, secondary research methodology. A systematic literature search was conducted across academic databases (PubMed, CINAHL, Google Scholar) and grey literature from UK health organisations. Following the application of inclusion and exclusion criteria and quality assessment using the CRAAP test, the selected literature was evaluated using thematic analysis to identify recurring patterns regarding digital exclusion.</w:t>
      </w:r>
      <w:r w:rsidRPr="00E43CCE">
        <w:rPr>
          <w:rFonts w:ascii="Arial" w:eastAsia="Times New Roman" w:hAnsi="Arial" w:cs="Arial"/>
          <w:sz w:val="22"/>
          <w:szCs w:val="22"/>
        </w:rPr>
        <w:br/>
      </w:r>
      <w:r w:rsidRPr="00E43CCE">
        <w:rPr>
          <w:rFonts w:ascii="Arial" w:eastAsia="Times New Roman" w:hAnsi="Arial" w:cs="Arial"/>
          <w:b/>
          <w:bCs/>
          <w:sz w:val="22"/>
          <w:szCs w:val="22"/>
        </w:rPr>
        <w:t>c) Main Findings:</w:t>
      </w:r>
      <w:r w:rsidRPr="00E43CCE">
        <w:rPr>
          <w:rFonts w:ascii="Arial" w:eastAsia="Times New Roman" w:hAnsi="Arial" w:cs="Arial"/>
          <w:sz w:val="22"/>
          <w:szCs w:val="22"/>
        </w:rPr>
        <w:t xml:space="preserve"> The thematic analysis revealed three primary themes: (1) Access and Infrastructure Barriers, noting that financial constraints and lack of reliable broadband prevent engagement with telehealth; (2) Digital and Health Literacy, highlighting that physical/cognitive decline and complex user interfaces severely limit older adults' ability to navigate digital health platforms; and (3) Social Isolation and Loss of Autonomy, demonstrating that the removal of face-to-face interactions negatively impacts the emotional well-being of the elderly, fostering feelings of disenfranchisement.</w:t>
      </w:r>
      <w:r w:rsidRPr="00E43CCE">
        <w:rPr>
          <w:rFonts w:ascii="Arial" w:eastAsia="Times New Roman" w:hAnsi="Arial" w:cs="Arial"/>
          <w:sz w:val="22"/>
          <w:szCs w:val="22"/>
        </w:rPr>
        <w:br/>
      </w:r>
      <w:r w:rsidRPr="00E43CCE">
        <w:rPr>
          <w:rFonts w:ascii="Arial" w:eastAsia="Times New Roman" w:hAnsi="Arial" w:cs="Arial"/>
          <w:b/>
          <w:bCs/>
          <w:sz w:val="22"/>
          <w:szCs w:val="22"/>
        </w:rPr>
        <w:t>d) Limitations and Barriers:</w:t>
      </w:r>
      <w:r w:rsidRPr="00E43CCE">
        <w:rPr>
          <w:rFonts w:ascii="Arial" w:eastAsia="Times New Roman" w:hAnsi="Arial" w:cs="Arial"/>
          <w:sz w:val="22"/>
          <w:szCs w:val="22"/>
        </w:rPr>
        <w:t xml:space="preserve"> The primary limitation of this research is its reliance on secondary data, which may not capture the most immediate post-pandemic realities. Furthermore, the rapid pace of technological change means some literature quickly becomes outdated. In practice, these barriers mean that policymakers must constantly update their understanding of the digital divide.</w:t>
      </w:r>
      <w:r w:rsidRPr="00E43CCE">
        <w:rPr>
          <w:rFonts w:ascii="Arial" w:eastAsia="Times New Roman" w:hAnsi="Arial" w:cs="Arial"/>
          <w:sz w:val="22"/>
          <w:szCs w:val="22"/>
        </w:rPr>
        <w:br/>
      </w:r>
      <w:r w:rsidRPr="00E43CCE">
        <w:rPr>
          <w:rFonts w:ascii="Arial" w:eastAsia="Times New Roman" w:hAnsi="Arial" w:cs="Arial"/>
          <w:b/>
          <w:bCs/>
          <w:sz w:val="22"/>
          <w:szCs w:val="22"/>
        </w:rPr>
        <w:t>e) Recommendations:</w:t>
      </w:r>
      <w:r w:rsidRPr="00E43CCE">
        <w:rPr>
          <w:rFonts w:ascii="Arial" w:eastAsia="Times New Roman" w:hAnsi="Arial" w:cs="Arial"/>
          <w:sz w:val="22"/>
          <w:szCs w:val="22"/>
        </w:rPr>
        <w:t xml:space="preserve"> Recommendations drawn from the findings include: (1) Mandating the preservation of hybrid healthcare models (retaining traditional face-to-face and telephone pathways); (2) Funding targeted, community-led digital literacy programmes tailored to older adults; and (3) Enforcing age-inclusive, co-designed user interface standards for all NHS digital platforms.</w:t>
      </w:r>
      <w:r w:rsidRPr="00E43CCE">
        <w:rPr>
          <w:rFonts w:ascii="Arial" w:eastAsia="Times New Roman" w:hAnsi="Arial" w:cs="Arial"/>
          <w:sz w:val="22"/>
          <w:szCs w:val="22"/>
        </w:rPr>
        <w:br/>
      </w:r>
      <w:r w:rsidRPr="00E43CCE">
        <w:rPr>
          <w:rFonts w:ascii="Arial" w:eastAsia="Times New Roman" w:hAnsi="Arial" w:cs="Arial"/>
          <w:b/>
          <w:bCs/>
          <w:sz w:val="22"/>
          <w:szCs w:val="22"/>
        </w:rPr>
        <w:t>Table of Contents</w:t>
      </w:r>
      <w:r w:rsidRPr="00E43CCE">
        <w:rPr>
          <w:rFonts w:ascii="Arial" w:eastAsia="Times New Roman" w:hAnsi="Arial" w:cs="Arial"/>
          <w:sz w:val="22"/>
          <w:szCs w:val="22"/>
        </w:rPr>
        <w:br/>
      </w:r>
      <w:r w:rsidRPr="00E43CCE">
        <w:rPr>
          <w:rFonts w:ascii="Arial" w:eastAsia="Times New Roman" w:hAnsi="Arial" w:cs="Arial"/>
          <w:b/>
          <w:bCs/>
          <w:sz w:val="22"/>
          <w:szCs w:val="22"/>
        </w:rPr>
        <w:t>1. CHAPTER 1: Introduction</w:t>
      </w:r>
      <w:r w:rsidRPr="00E43CCE">
        <w:rPr>
          <w:rFonts w:ascii="Arial" w:eastAsia="Times New Roman" w:hAnsi="Arial" w:cs="Arial"/>
          <w:sz w:val="22"/>
          <w:szCs w:val="22"/>
        </w:rPr>
        <w:br/>
        <w:t>• 1.1 Introduction</w:t>
      </w:r>
      <w:r w:rsidRPr="00E43CCE">
        <w:rPr>
          <w:rFonts w:ascii="Arial" w:eastAsia="Times New Roman" w:hAnsi="Arial" w:cs="Arial"/>
          <w:sz w:val="22"/>
          <w:szCs w:val="22"/>
        </w:rPr>
        <w:br/>
        <w:t>• 1.2 Definitions and Terminology</w:t>
      </w:r>
      <w:r w:rsidRPr="00E43CCE">
        <w:rPr>
          <w:rFonts w:ascii="Arial" w:eastAsia="Times New Roman" w:hAnsi="Arial" w:cs="Arial"/>
          <w:sz w:val="22"/>
          <w:szCs w:val="22"/>
        </w:rPr>
        <w:br/>
        <w:t>• 1.3 Background and Current Context</w:t>
      </w:r>
      <w:r w:rsidRPr="00E43CCE">
        <w:rPr>
          <w:rFonts w:ascii="Arial" w:eastAsia="Times New Roman" w:hAnsi="Arial" w:cs="Arial"/>
          <w:sz w:val="22"/>
          <w:szCs w:val="22"/>
        </w:rPr>
        <w:br/>
        <w:t>• 1.4 Rationale for Research / Problem Statement</w:t>
      </w:r>
      <w:r w:rsidRPr="00E43CCE">
        <w:rPr>
          <w:rFonts w:ascii="Arial" w:eastAsia="Times New Roman" w:hAnsi="Arial" w:cs="Arial"/>
          <w:sz w:val="22"/>
          <w:szCs w:val="22"/>
        </w:rPr>
        <w:br/>
        <w:t>• 1.5 Aim and Objectives</w:t>
      </w:r>
      <w:r w:rsidRPr="00E43CCE">
        <w:rPr>
          <w:rFonts w:ascii="Arial" w:eastAsia="Times New Roman" w:hAnsi="Arial" w:cs="Arial"/>
          <w:sz w:val="22"/>
          <w:szCs w:val="22"/>
        </w:rPr>
        <w:br/>
        <w:t>• 1.6 Conclusion</w:t>
      </w:r>
      <w:r w:rsidRPr="00E43CCE">
        <w:rPr>
          <w:rFonts w:ascii="Arial" w:eastAsia="Times New Roman" w:hAnsi="Arial" w:cs="Arial"/>
          <w:sz w:val="22"/>
          <w:szCs w:val="22"/>
        </w:rPr>
        <w:br/>
      </w:r>
      <w:r w:rsidRPr="00E43CCE">
        <w:rPr>
          <w:rFonts w:ascii="Arial" w:eastAsia="Times New Roman" w:hAnsi="Arial" w:cs="Arial"/>
          <w:b/>
          <w:bCs/>
          <w:sz w:val="22"/>
          <w:szCs w:val="22"/>
        </w:rPr>
        <w:t>1. CHAPTER 2: Background Information and Analysis</w:t>
      </w:r>
      <w:r w:rsidRPr="00E43CCE">
        <w:rPr>
          <w:rFonts w:ascii="Arial" w:eastAsia="Times New Roman" w:hAnsi="Arial" w:cs="Arial"/>
          <w:sz w:val="22"/>
          <w:szCs w:val="22"/>
        </w:rPr>
        <w:br/>
        <w:t>• 2.1 Introduction</w:t>
      </w:r>
      <w:r w:rsidRPr="00E43CCE">
        <w:rPr>
          <w:rFonts w:ascii="Arial" w:eastAsia="Times New Roman" w:hAnsi="Arial" w:cs="Arial"/>
          <w:sz w:val="22"/>
          <w:szCs w:val="22"/>
        </w:rPr>
        <w:br/>
        <w:t>• 2.2 Historical Background</w:t>
      </w:r>
      <w:r w:rsidRPr="00E43CCE">
        <w:rPr>
          <w:rFonts w:ascii="Arial" w:eastAsia="Times New Roman" w:hAnsi="Arial" w:cs="Arial"/>
          <w:sz w:val="22"/>
          <w:szCs w:val="22"/>
        </w:rPr>
        <w:br/>
        <w:t>• 2.3 Theoretical Background</w:t>
      </w:r>
      <w:r w:rsidRPr="00E43CCE">
        <w:rPr>
          <w:rFonts w:ascii="Arial" w:eastAsia="Times New Roman" w:hAnsi="Arial" w:cs="Arial"/>
          <w:sz w:val="22"/>
          <w:szCs w:val="22"/>
        </w:rPr>
        <w:br/>
        <w:t>• 2.4 International Context</w:t>
      </w:r>
      <w:r w:rsidRPr="00E43CCE">
        <w:rPr>
          <w:rFonts w:ascii="Arial" w:eastAsia="Times New Roman" w:hAnsi="Arial" w:cs="Arial"/>
          <w:sz w:val="22"/>
          <w:szCs w:val="22"/>
        </w:rPr>
        <w:br/>
        <w:t>• 2.5 National/Local UK Context</w:t>
      </w:r>
      <w:r w:rsidRPr="00E43CCE">
        <w:rPr>
          <w:rFonts w:ascii="Arial" w:eastAsia="Times New Roman" w:hAnsi="Arial" w:cs="Arial"/>
          <w:sz w:val="22"/>
          <w:szCs w:val="22"/>
        </w:rPr>
        <w:br/>
        <w:t>• 2.6 Conclusion</w:t>
      </w:r>
      <w:r w:rsidRPr="00E43CCE">
        <w:rPr>
          <w:rFonts w:ascii="Arial" w:eastAsia="Times New Roman" w:hAnsi="Arial" w:cs="Arial"/>
          <w:sz w:val="22"/>
          <w:szCs w:val="22"/>
        </w:rPr>
        <w:br/>
      </w:r>
      <w:r w:rsidRPr="00E43CCE">
        <w:rPr>
          <w:rFonts w:ascii="Arial" w:eastAsia="Times New Roman" w:hAnsi="Arial" w:cs="Arial"/>
          <w:b/>
          <w:bCs/>
          <w:sz w:val="22"/>
          <w:szCs w:val="22"/>
        </w:rPr>
        <w:t>1. CHAPTER 3: Methods and Search Strategy</w:t>
      </w:r>
      <w:r w:rsidRPr="00E43CCE">
        <w:rPr>
          <w:rFonts w:ascii="Arial" w:eastAsia="Times New Roman" w:hAnsi="Arial" w:cs="Arial"/>
          <w:sz w:val="22"/>
          <w:szCs w:val="22"/>
        </w:rPr>
        <w:br/>
        <w:t>• 3.1 Introduction</w:t>
      </w:r>
      <w:r w:rsidRPr="00E43CCE">
        <w:rPr>
          <w:rFonts w:ascii="Arial" w:eastAsia="Times New Roman" w:hAnsi="Arial" w:cs="Arial"/>
          <w:sz w:val="22"/>
          <w:szCs w:val="22"/>
        </w:rPr>
        <w:br/>
        <w:t>• 3.2 Search Strategy</w:t>
      </w:r>
      <w:r w:rsidRPr="00E43CCE">
        <w:rPr>
          <w:rFonts w:ascii="Arial" w:eastAsia="Times New Roman" w:hAnsi="Arial" w:cs="Arial"/>
          <w:sz w:val="22"/>
          <w:szCs w:val="22"/>
        </w:rPr>
        <w:br/>
        <w:t>• 3.3 Searching for Information</w:t>
      </w:r>
      <w:r w:rsidRPr="00E43CCE">
        <w:rPr>
          <w:rFonts w:ascii="Arial" w:eastAsia="Times New Roman" w:hAnsi="Arial" w:cs="Arial"/>
          <w:sz w:val="22"/>
          <w:szCs w:val="22"/>
        </w:rPr>
        <w:br/>
        <w:t>• 3.4 Research Validation</w:t>
      </w:r>
      <w:r w:rsidRPr="00E43CCE">
        <w:rPr>
          <w:rFonts w:ascii="Arial" w:eastAsia="Times New Roman" w:hAnsi="Arial" w:cs="Arial"/>
          <w:sz w:val="22"/>
          <w:szCs w:val="22"/>
        </w:rPr>
        <w:br/>
        <w:t>• 3.5 Inclusion and Exclusion Criteria</w:t>
      </w:r>
      <w:r w:rsidRPr="00E43CCE">
        <w:rPr>
          <w:rFonts w:ascii="Arial" w:eastAsia="Times New Roman" w:hAnsi="Arial" w:cs="Arial"/>
          <w:sz w:val="22"/>
          <w:szCs w:val="22"/>
        </w:rPr>
        <w:br/>
        <w:t>• 3.6 Analysing Research</w:t>
      </w:r>
      <w:r w:rsidRPr="00E43CCE">
        <w:rPr>
          <w:rFonts w:ascii="Arial" w:eastAsia="Times New Roman" w:hAnsi="Arial" w:cs="Arial"/>
          <w:sz w:val="22"/>
          <w:szCs w:val="22"/>
        </w:rPr>
        <w:br/>
        <w:t>• 3.7 Ethical Considerations</w:t>
      </w:r>
      <w:r w:rsidRPr="00E43CCE">
        <w:rPr>
          <w:rFonts w:ascii="Arial" w:eastAsia="Times New Roman" w:hAnsi="Arial" w:cs="Arial"/>
          <w:sz w:val="22"/>
          <w:szCs w:val="22"/>
        </w:rPr>
        <w:br/>
        <w:t>• 3.8 Chapter Conclusion</w:t>
      </w:r>
      <w:r w:rsidRPr="00E43CCE">
        <w:rPr>
          <w:rFonts w:ascii="Arial" w:eastAsia="Times New Roman" w:hAnsi="Arial" w:cs="Arial"/>
          <w:sz w:val="22"/>
          <w:szCs w:val="22"/>
        </w:rPr>
        <w:br/>
      </w:r>
      <w:r w:rsidRPr="00E43CCE">
        <w:rPr>
          <w:rFonts w:ascii="Arial" w:eastAsia="Times New Roman" w:hAnsi="Arial" w:cs="Arial"/>
          <w:b/>
          <w:bCs/>
          <w:sz w:val="22"/>
          <w:szCs w:val="22"/>
        </w:rPr>
        <w:t>1. CHAPTER 4: Findings and Discussion</w:t>
      </w:r>
      <w:r w:rsidRPr="00E43CCE">
        <w:rPr>
          <w:rFonts w:ascii="Arial" w:eastAsia="Times New Roman" w:hAnsi="Arial" w:cs="Arial"/>
          <w:sz w:val="22"/>
          <w:szCs w:val="22"/>
        </w:rPr>
        <w:br/>
        <w:t>• 4.1 Introduction</w:t>
      </w:r>
      <w:r w:rsidRPr="00E43CCE">
        <w:rPr>
          <w:rFonts w:ascii="Arial" w:eastAsia="Times New Roman" w:hAnsi="Arial" w:cs="Arial"/>
          <w:sz w:val="22"/>
          <w:szCs w:val="22"/>
        </w:rPr>
        <w:br/>
        <w:t>• 4.2 Thematic Analysis</w:t>
      </w:r>
      <w:r w:rsidRPr="00E43CCE">
        <w:rPr>
          <w:rFonts w:ascii="Arial" w:eastAsia="Times New Roman" w:hAnsi="Arial" w:cs="Arial"/>
          <w:sz w:val="22"/>
          <w:szCs w:val="22"/>
        </w:rPr>
        <w:br/>
        <w:t>• 4.3 Theme 1: Access and Infrastructure Barriers</w:t>
      </w:r>
      <w:r w:rsidRPr="00E43CCE">
        <w:rPr>
          <w:rFonts w:ascii="Arial" w:eastAsia="Times New Roman" w:hAnsi="Arial" w:cs="Arial"/>
          <w:sz w:val="22"/>
          <w:szCs w:val="22"/>
        </w:rPr>
        <w:br/>
        <w:t>• 4.4 Theme 2: Digital Health Literacy and Design Exclusion</w:t>
      </w:r>
      <w:r w:rsidRPr="00E43CCE">
        <w:rPr>
          <w:rFonts w:ascii="Arial" w:eastAsia="Times New Roman" w:hAnsi="Arial" w:cs="Arial"/>
          <w:sz w:val="22"/>
          <w:szCs w:val="22"/>
        </w:rPr>
        <w:br/>
        <w:t>• 4.5 Theme 3: Psychosocial Impact and Social Isolation</w:t>
      </w:r>
      <w:r w:rsidRPr="00E43CCE">
        <w:rPr>
          <w:rFonts w:ascii="Arial" w:eastAsia="Times New Roman" w:hAnsi="Arial" w:cs="Arial"/>
          <w:sz w:val="22"/>
          <w:szCs w:val="22"/>
        </w:rPr>
        <w:br/>
        <w:t>• 4.6 Chapter Conclusion</w:t>
      </w:r>
      <w:r w:rsidRPr="00E43CCE">
        <w:rPr>
          <w:rFonts w:ascii="Arial" w:eastAsia="Times New Roman" w:hAnsi="Arial" w:cs="Arial"/>
          <w:sz w:val="22"/>
          <w:szCs w:val="22"/>
        </w:rPr>
        <w:br/>
      </w:r>
      <w:r w:rsidRPr="00E43CCE">
        <w:rPr>
          <w:rFonts w:ascii="Arial" w:eastAsia="Times New Roman" w:hAnsi="Arial" w:cs="Arial"/>
          <w:b/>
          <w:bCs/>
          <w:sz w:val="22"/>
          <w:szCs w:val="22"/>
        </w:rPr>
        <w:t>1. CHAPTER 5: Conclusion and Recommendations</w:t>
      </w:r>
      <w:r w:rsidRPr="00E43CCE">
        <w:rPr>
          <w:rFonts w:ascii="Arial" w:eastAsia="Times New Roman" w:hAnsi="Arial" w:cs="Arial"/>
          <w:sz w:val="22"/>
          <w:szCs w:val="22"/>
        </w:rPr>
        <w:br/>
        <w:t>• 5.1 Overall Conclusion</w:t>
      </w:r>
      <w:r w:rsidRPr="00E43CCE">
        <w:rPr>
          <w:rFonts w:ascii="Arial" w:eastAsia="Times New Roman" w:hAnsi="Arial" w:cs="Arial"/>
          <w:sz w:val="22"/>
          <w:szCs w:val="22"/>
        </w:rPr>
        <w:br/>
        <w:t xml:space="preserve">• 5.2 Recommendations </w:t>
      </w:r>
      <w:r w:rsidRPr="00E43CCE">
        <w:rPr>
          <w:rFonts w:ascii="Arial" w:eastAsia="Times New Roman" w:hAnsi="Arial" w:cs="Arial"/>
          <w:sz w:val="22"/>
          <w:szCs w:val="22"/>
        </w:rPr>
        <w:br/>
        <w:t>◦ 5.2.1 Recommendation 1</w:t>
      </w:r>
      <w:r w:rsidRPr="00E43CCE">
        <w:rPr>
          <w:rFonts w:ascii="Arial" w:eastAsia="Times New Roman" w:hAnsi="Arial" w:cs="Arial"/>
          <w:sz w:val="22"/>
          <w:szCs w:val="22"/>
        </w:rPr>
        <w:br/>
        <w:t>◦ 5.2.2 Recommendation 2</w:t>
      </w:r>
      <w:r w:rsidRPr="00E43CCE">
        <w:rPr>
          <w:rFonts w:ascii="Arial" w:eastAsia="Times New Roman" w:hAnsi="Arial" w:cs="Arial"/>
          <w:sz w:val="22"/>
          <w:szCs w:val="22"/>
        </w:rPr>
        <w:br/>
        <w:t>◦ 5.2.3 Recommendation 3</w:t>
      </w:r>
      <w:r w:rsidRPr="00E43CCE">
        <w:rPr>
          <w:rFonts w:ascii="Arial" w:eastAsia="Times New Roman" w:hAnsi="Arial" w:cs="Arial"/>
          <w:sz w:val="22"/>
          <w:szCs w:val="22"/>
        </w:rPr>
        <w:br/>
      </w:r>
      <w:r w:rsidRPr="00E43CCE">
        <w:rPr>
          <w:rFonts w:ascii="Arial" w:eastAsia="Times New Roman" w:hAnsi="Arial" w:cs="Arial"/>
          <w:b/>
          <w:bCs/>
          <w:sz w:val="22"/>
          <w:szCs w:val="22"/>
        </w:rPr>
        <w:t>1. CHAPTER 6: References and Appendices</w:t>
      </w:r>
      <w:r w:rsidRPr="00E43CCE">
        <w:rPr>
          <w:rFonts w:ascii="Arial" w:eastAsia="Times New Roman" w:hAnsi="Arial" w:cs="Arial"/>
          <w:sz w:val="22"/>
          <w:szCs w:val="22"/>
        </w:rPr>
        <w:br/>
        <w:t>• 6.1 References</w:t>
      </w:r>
    </w:p>
    <w:p w14:paraId="413FB10E" w14:textId="77777777" w:rsidR="00D8041E" w:rsidRDefault="001A1531">
      <w:pPr>
        <w:rPr>
          <w:rFonts w:ascii="Arial" w:eastAsia="Times New Roman" w:hAnsi="Arial" w:cs="Arial"/>
          <w:sz w:val="22"/>
          <w:szCs w:val="22"/>
        </w:rPr>
      </w:pPr>
      <w:r w:rsidRPr="00E43CCE">
        <w:rPr>
          <w:rFonts w:ascii="Arial" w:eastAsia="Times New Roman" w:hAnsi="Arial" w:cs="Arial"/>
          <w:sz w:val="22"/>
          <w:szCs w:val="22"/>
        </w:rPr>
        <w:br/>
      </w:r>
      <w:r w:rsidRPr="00E43CCE">
        <w:rPr>
          <w:rFonts w:ascii="Arial" w:eastAsia="Times New Roman" w:hAnsi="Arial" w:cs="Arial"/>
          <w:b/>
          <w:bCs/>
          <w:sz w:val="22"/>
          <w:szCs w:val="22"/>
        </w:rPr>
        <w:t>CHAPTER 1: Introduction</w:t>
      </w:r>
      <w:r w:rsidRPr="00E43CCE">
        <w:rPr>
          <w:rFonts w:ascii="Arial" w:eastAsia="Times New Roman" w:hAnsi="Arial" w:cs="Arial"/>
          <w:sz w:val="22"/>
          <w:szCs w:val="22"/>
        </w:rPr>
        <w:br/>
      </w:r>
      <w:r w:rsidRPr="00E43CCE">
        <w:rPr>
          <w:rFonts w:ascii="Arial" w:eastAsia="Times New Roman" w:hAnsi="Arial" w:cs="Arial"/>
          <w:b/>
          <w:bCs/>
          <w:sz w:val="22"/>
          <w:szCs w:val="22"/>
        </w:rPr>
        <w:t>1.1 Introduction</w:t>
      </w:r>
      <w:r w:rsidRPr="00E43CCE">
        <w:rPr>
          <w:rFonts w:ascii="Arial" w:eastAsia="Times New Roman" w:hAnsi="Arial" w:cs="Arial"/>
          <w:sz w:val="22"/>
          <w:szCs w:val="22"/>
        </w:rPr>
        <w:br/>
        <w:t>The integration of digital technology into the United Kingdom’s National Health Service (NHS) has fundamentally altered the landscape of healthcare provision (NHS Digital, 2020). While a "digital-first" approach offers unparalleled efficiency, cost-effectiveness, and convenience for many, it has concurrently widened the digital divide, leaving a significant portion of the elderly population disenfranchised (Age UK, 2021). This dissertation investigates the profound impact of digital exclusion on healthcare access and the broader psychosocial well-being of individuals aged 65 and over in the UK.</w:t>
      </w:r>
      <w:r w:rsidRPr="00E43CCE">
        <w:rPr>
          <w:rFonts w:ascii="Arial" w:eastAsia="Times New Roman" w:hAnsi="Arial" w:cs="Arial"/>
          <w:sz w:val="22"/>
          <w:szCs w:val="22"/>
        </w:rPr>
        <w:br/>
        <w:t>This issue is of paramount importance; as life expectancy increases, the UK population is ageing, with older adults disproportionately requiring continuous healthcare management (ONS, 2021). The shift toward online booking systems, remote consultations, and health-tracking applications risks creating a two-tiered healthcare system where access is dictated by digital proficiency rather than clinical need (Marmot et al., 2020). This research explores these systemic inequalities.</w:t>
      </w:r>
      <w:r w:rsidRPr="00E43CCE">
        <w:rPr>
          <w:rFonts w:ascii="Arial" w:eastAsia="Times New Roman" w:hAnsi="Arial" w:cs="Arial"/>
          <w:sz w:val="22"/>
          <w:szCs w:val="22"/>
        </w:rPr>
        <w:br/>
      </w:r>
      <w:r w:rsidRPr="00E43CCE">
        <w:rPr>
          <w:rFonts w:ascii="Arial" w:eastAsia="Times New Roman" w:hAnsi="Arial" w:cs="Arial"/>
          <w:b/>
          <w:bCs/>
          <w:sz w:val="22"/>
          <w:szCs w:val="22"/>
        </w:rPr>
        <w:t>Structure of the Dissertation:</w:t>
      </w:r>
      <w:r w:rsidRPr="00E43CCE">
        <w:rPr>
          <w:rFonts w:ascii="Arial" w:eastAsia="Times New Roman" w:hAnsi="Arial" w:cs="Arial"/>
          <w:sz w:val="22"/>
          <w:szCs w:val="22"/>
        </w:rPr>
        <w:br/>
        <w:t>Chapter 2 provides a comprehensive background and theoretical context of the digital divide. Chapter 3 outlines the secondary research methodology, including search strategies and ethical considerations. Chapter 4 presents the findings and discussion through thematic analysis. Finally, Chapter 5 offers a conclusion and actionable recommendations for practice and policy.</w:t>
      </w:r>
      <w:r w:rsidRPr="00E43CCE">
        <w:rPr>
          <w:rFonts w:ascii="Arial" w:eastAsia="Times New Roman" w:hAnsi="Arial" w:cs="Arial"/>
          <w:sz w:val="22"/>
          <w:szCs w:val="22"/>
        </w:rPr>
        <w:br/>
      </w:r>
      <w:r w:rsidRPr="00E43CCE">
        <w:rPr>
          <w:rFonts w:ascii="Arial" w:eastAsia="Times New Roman" w:hAnsi="Arial" w:cs="Arial"/>
          <w:b/>
          <w:bCs/>
          <w:sz w:val="22"/>
          <w:szCs w:val="22"/>
        </w:rPr>
        <w:t>1.2 Definitions and Terminology</w:t>
      </w:r>
      <w:r w:rsidRPr="00E43CCE">
        <w:rPr>
          <w:rFonts w:ascii="Arial" w:eastAsia="Times New Roman" w:hAnsi="Arial" w:cs="Arial"/>
          <w:sz w:val="22"/>
          <w:szCs w:val="22"/>
        </w:rPr>
        <w:br/>
        <w:t>To ensure clarity throughout this dissertation, key terms are defined as follows:</w:t>
      </w:r>
      <w:r w:rsidRPr="00E43CCE">
        <w:rPr>
          <w:rFonts w:ascii="Arial" w:eastAsia="Times New Roman" w:hAnsi="Arial" w:cs="Arial"/>
          <w:sz w:val="22"/>
          <w:szCs w:val="22"/>
        </w:rPr>
        <w:br/>
      </w:r>
      <w:r w:rsidRPr="00E43CCE">
        <w:rPr>
          <w:rFonts w:ascii="Arial" w:eastAsia="Times New Roman" w:hAnsi="Arial" w:cs="Arial"/>
          <w:b/>
          <w:bCs/>
          <w:sz w:val="22"/>
          <w:szCs w:val="22"/>
        </w:rPr>
        <w:t>• Digital Divide:</w:t>
      </w:r>
      <w:r w:rsidRPr="00E43CCE">
        <w:rPr>
          <w:rFonts w:ascii="Arial" w:eastAsia="Times New Roman" w:hAnsi="Arial" w:cs="Arial"/>
          <w:sz w:val="22"/>
          <w:szCs w:val="22"/>
        </w:rPr>
        <w:t xml:space="preserve"> The gap between individuals who have access to modern information and communication technology (ICT) and those who do not (Van </w:t>
      </w:r>
      <w:proofErr w:type="spellStart"/>
      <w:r w:rsidRPr="00E43CCE">
        <w:rPr>
          <w:rFonts w:ascii="Arial" w:eastAsia="Times New Roman" w:hAnsi="Arial" w:cs="Arial"/>
          <w:sz w:val="22"/>
          <w:szCs w:val="22"/>
        </w:rPr>
        <w:t>Dijk</w:t>
      </w:r>
      <w:proofErr w:type="spellEnd"/>
      <w:r w:rsidRPr="00E43CCE">
        <w:rPr>
          <w:rFonts w:ascii="Arial" w:eastAsia="Times New Roman" w:hAnsi="Arial" w:cs="Arial"/>
          <w:sz w:val="22"/>
          <w:szCs w:val="22"/>
        </w:rPr>
        <w:t>, 2020). In this context, it encompasses both physical access and the skills to use technology.</w:t>
      </w:r>
      <w:r w:rsidRPr="00E43CCE">
        <w:rPr>
          <w:rFonts w:ascii="Arial" w:eastAsia="Times New Roman" w:hAnsi="Arial" w:cs="Arial"/>
          <w:sz w:val="22"/>
          <w:szCs w:val="22"/>
        </w:rPr>
        <w:br/>
      </w:r>
      <w:r w:rsidRPr="00E43CCE">
        <w:rPr>
          <w:rFonts w:ascii="Arial" w:eastAsia="Times New Roman" w:hAnsi="Arial" w:cs="Arial"/>
          <w:b/>
          <w:bCs/>
          <w:sz w:val="22"/>
          <w:szCs w:val="22"/>
        </w:rPr>
        <w:t>• Digital Exclusion:</w:t>
      </w:r>
      <w:r w:rsidRPr="00E43CCE">
        <w:rPr>
          <w:rFonts w:ascii="Arial" w:eastAsia="Times New Roman" w:hAnsi="Arial" w:cs="Arial"/>
          <w:sz w:val="22"/>
          <w:szCs w:val="22"/>
        </w:rPr>
        <w:t xml:space="preserve"> A step beyond the digital divide, referring to the social and economic disadvantages experienced by those who cannot or do not engage with digital technologies (Good Things Foundation, 2022).</w:t>
      </w:r>
      <w:r w:rsidRPr="00E43CCE">
        <w:rPr>
          <w:rFonts w:ascii="Arial" w:eastAsia="Times New Roman" w:hAnsi="Arial" w:cs="Arial"/>
          <w:sz w:val="22"/>
          <w:szCs w:val="22"/>
        </w:rPr>
        <w:br/>
      </w:r>
      <w:r w:rsidRPr="00E43CCE">
        <w:rPr>
          <w:rFonts w:ascii="Arial" w:eastAsia="Times New Roman" w:hAnsi="Arial" w:cs="Arial"/>
          <w:b/>
          <w:bCs/>
          <w:sz w:val="22"/>
          <w:szCs w:val="22"/>
        </w:rPr>
        <w:t>• eHealth Literacy:</w:t>
      </w:r>
      <w:r w:rsidRPr="00E43CCE">
        <w:rPr>
          <w:rFonts w:ascii="Arial" w:eastAsia="Times New Roman" w:hAnsi="Arial" w:cs="Arial"/>
          <w:sz w:val="22"/>
          <w:szCs w:val="22"/>
        </w:rPr>
        <w:t xml:space="preserve"> The ability to seek, find, understand, and appraise health information from electronic sources and apply the knowledge gained to addressing or solving a health problem (Norman and Skinner, 2006).</w:t>
      </w:r>
      <w:r w:rsidRPr="00E43CCE">
        <w:rPr>
          <w:rFonts w:ascii="Arial" w:eastAsia="Times New Roman" w:hAnsi="Arial" w:cs="Arial"/>
          <w:sz w:val="22"/>
          <w:szCs w:val="22"/>
        </w:rPr>
        <w:br/>
      </w:r>
      <w:r w:rsidRPr="00E43CCE">
        <w:rPr>
          <w:rFonts w:ascii="Arial" w:eastAsia="Times New Roman" w:hAnsi="Arial" w:cs="Arial"/>
          <w:b/>
          <w:bCs/>
          <w:sz w:val="22"/>
          <w:szCs w:val="22"/>
        </w:rPr>
        <w:t>• Telehealth/Telemedicine:</w:t>
      </w:r>
      <w:r w:rsidRPr="00E43CCE">
        <w:rPr>
          <w:rFonts w:ascii="Arial" w:eastAsia="Times New Roman" w:hAnsi="Arial" w:cs="Arial"/>
          <w:sz w:val="22"/>
          <w:szCs w:val="22"/>
        </w:rPr>
        <w:t xml:space="preserve"> The delivery of healthcare services and clinical information via remote telecommunications technologies, including video consultations and mobile health apps (</w:t>
      </w:r>
      <w:proofErr w:type="spellStart"/>
      <w:r w:rsidRPr="00E43CCE">
        <w:rPr>
          <w:rFonts w:ascii="Arial" w:eastAsia="Times New Roman" w:hAnsi="Arial" w:cs="Arial"/>
          <w:sz w:val="22"/>
          <w:szCs w:val="22"/>
        </w:rPr>
        <w:t>Greenhalgh</w:t>
      </w:r>
      <w:proofErr w:type="spellEnd"/>
      <w:r w:rsidRPr="00E43CCE">
        <w:rPr>
          <w:rFonts w:ascii="Arial" w:eastAsia="Times New Roman" w:hAnsi="Arial" w:cs="Arial"/>
          <w:sz w:val="22"/>
          <w:szCs w:val="22"/>
        </w:rPr>
        <w:t xml:space="preserve"> et al., 2020).</w:t>
      </w:r>
      <w:r w:rsidRPr="00E43CCE">
        <w:rPr>
          <w:rFonts w:ascii="Arial" w:eastAsia="Times New Roman" w:hAnsi="Arial" w:cs="Arial"/>
          <w:sz w:val="22"/>
          <w:szCs w:val="22"/>
        </w:rPr>
        <w:br/>
      </w:r>
      <w:r w:rsidRPr="00E43CCE">
        <w:rPr>
          <w:rFonts w:ascii="Arial" w:eastAsia="Times New Roman" w:hAnsi="Arial" w:cs="Arial"/>
          <w:b/>
          <w:bCs/>
          <w:sz w:val="22"/>
          <w:szCs w:val="22"/>
        </w:rPr>
        <w:t>• Well-being:</w:t>
      </w:r>
      <w:r w:rsidRPr="00E43CCE">
        <w:rPr>
          <w:rFonts w:ascii="Arial" w:eastAsia="Times New Roman" w:hAnsi="Arial" w:cs="Arial"/>
          <w:sz w:val="22"/>
          <w:szCs w:val="22"/>
        </w:rPr>
        <w:t xml:space="preserve"> A holistic state encompassing physical health, mental stability, and social integration, severely impacted by one's ability to access essential services and maintain independence (WHO, 2021).</w:t>
      </w:r>
      <w:r w:rsidRPr="00E43CCE">
        <w:rPr>
          <w:rFonts w:ascii="Arial" w:eastAsia="Times New Roman" w:hAnsi="Arial" w:cs="Arial"/>
          <w:sz w:val="22"/>
          <w:szCs w:val="22"/>
        </w:rPr>
        <w:br/>
      </w:r>
      <w:r w:rsidRPr="00E43CCE">
        <w:rPr>
          <w:rFonts w:ascii="Arial" w:eastAsia="Times New Roman" w:hAnsi="Arial" w:cs="Arial"/>
          <w:b/>
          <w:bCs/>
          <w:sz w:val="22"/>
          <w:szCs w:val="22"/>
        </w:rPr>
        <w:t>Acronyms and Abbreviations:</w:t>
      </w:r>
      <w:r w:rsidRPr="00E43CCE">
        <w:rPr>
          <w:rFonts w:ascii="Arial" w:eastAsia="Times New Roman" w:hAnsi="Arial" w:cs="Arial"/>
          <w:sz w:val="22"/>
          <w:szCs w:val="22"/>
        </w:rPr>
        <w:br/>
      </w:r>
      <w:r w:rsidRPr="00E43CCE">
        <w:rPr>
          <w:rFonts w:ascii="Arial" w:eastAsia="Times New Roman" w:hAnsi="Arial" w:cs="Arial"/>
          <w:b/>
          <w:bCs/>
          <w:sz w:val="22"/>
          <w:szCs w:val="22"/>
        </w:rPr>
        <w:t>• NHS:</w:t>
      </w:r>
      <w:r w:rsidRPr="00E43CCE">
        <w:rPr>
          <w:rFonts w:ascii="Arial" w:eastAsia="Times New Roman" w:hAnsi="Arial" w:cs="Arial"/>
          <w:sz w:val="22"/>
          <w:szCs w:val="22"/>
        </w:rPr>
        <w:t xml:space="preserve"> National Health Service</w:t>
      </w:r>
      <w:r w:rsidRPr="00E43CCE">
        <w:rPr>
          <w:rFonts w:ascii="Arial" w:eastAsia="Times New Roman" w:hAnsi="Arial" w:cs="Arial"/>
          <w:sz w:val="22"/>
          <w:szCs w:val="22"/>
        </w:rPr>
        <w:br/>
      </w:r>
      <w:r w:rsidRPr="00E43CCE">
        <w:rPr>
          <w:rFonts w:ascii="Arial" w:eastAsia="Times New Roman" w:hAnsi="Arial" w:cs="Arial"/>
          <w:b/>
          <w:bCs/>
          <w:sz w:val="22"/>
          <w:szCs w:val="22"/>
        </w:rPr>
        <w:t>• ONS:</w:t>
      </w:r>
      <w:r w:rsidRPr="00E43CCE">
        <w:rPr>
          <w:rFonts w:ascii="Arial" w:eastAsia="Times New Roman" w:hAnsi="Arial" w:cs="Arial"/>
          <w:sz w:val="22"/>
          <w:szCs w:val="22"/>
        </w:rPr>
        <w:t xml:space="preserve"> Office for National Statistics</w:t>
      </w:r>
      <w:r w:rsidRPr="00E43CCE">
        <w:rPr>
          <w:rFonts w:ascii="Arial" w:eastAsia="Times New Roman" w:hAnsi="Arial" w:cs="Arial"/>
          <w:sz w:val="22"/>
          <w:szCs w:val="22"/>
        </w:rPr>
        <w:br/>
      </w:r>
      <w:r w:rsidRPr="00E43CCE">
        <w:rPr>
          <w:rFonts w:ascii="Arial" w:eastAsia="Times New Roman" w:hAnsi="Arial" w:cs="Arial"/>
          <w:b/>
          <w:bCs/>
          <w:sz w:val="22"/>
          <w:szCs w:val="22"/>
        </w:rPr>
        <w:t>• ICT:</w:t>
      </w:r>
      <w:r w:rsidRPr="00E43CCE">
        <w:rPr>
          <w:rFonts w:ascii="Arial" w:eastAsia="Times New Roman" w:hAnsi="Arial" w:cs="Arial"/>
          <w:sz w:val="22"/>
          <w:szCs w:val="22"/>
        </w:rPr>
        <w:t xml:space="preserve"> Information and Communication Technology</w:t>
      </w:r>
      <w:r w:rsidRPr="00E43CCE">
        <w:rPr>
          <w:rFonts w:ascii="Arial" w:eastAsia="Times New Roman" w:hAnsi="Arial" w:cs="Arial"/>
          <w:sz w:val="22"/>
          <w:szCs w:val="22"/>
        </w:rPr>
        <w:br/>
      </w:r>
      <w:r w:rsidRPr="00E43CCE">
        <w:rPr>
          <w:rFonts w:ascii="Arial" w:eastAsia="Times New Roman" w:hAnsi="Arial" w:cs="Arial"/>
          <w:b/>
          <w:bCs/>
          <w:sz w:val="22"/>
          <w:szCs w:val="22"/>
        </w:rPr>
        <w:t>• TAM:</w:t>
      </w:r>
      <w:r w:rsidRPr="00E43CCE">
        <w:rPr>
          <w:rFonts w:ascii="Arial" w:eastAsia="Times New Roman" w:hAnsi="Arial" w:cs="Arial"/>
          <w:sz w:val="22"/>
          <w:szCs w:val="22"/>
        </w:rPr>
        <w:t xml:space="preserve"> Technology Acceptance Model</w:t>
      </w:r>
      <w:r w:rsidRPr="00E43CCE">
        <w:rPr>
          <w:rFonts w:ascii="Arial" w:eastAsia="Times New Roman" w:hAnsi="Arial" w:cs="Arial"/>
          <w:sz w:val="22"/>
          <w:szCs w:val="22"/>
        </w:rPr>
        <w:br/>
      </w:r>
      <w:r w:rsidRPr="00E43CCE">
        <w:rPr>
          <w:rFonts w:ascii="Arial" w:eastAsia="Times New Roman" w:hAnsi="Arial" w:cs="Arial"/>
          <w:b/>
          <w:bCs/>
          <w:sz w:val="22"/>
          <w:szCs w:val="22"/>
        </w:rPr>
        <w:t>1.3 Background and Current Context</w:t>
      </w:r>
      <w:r w:rsidRPr="00E43CCE">
        <w:rPr>
          <w:rFonts w:ascii="Arial" w:eastAsia="Times New Roman" w:hAnsi="Arial" w:cs="Arial"/>
          <w:sz w:val="22"/>
          <w:szCs w:val="22"/>
        </w:rPr>
        <w:br/>
      </w:r>
      <w:r w:rsidRPr="00E43CCE">
        <w:rPr>
          <w:rFonts w:ascii="Arial" w:eastAsia="Times New Roman" w:hAnsi="Arial" w:cs="Arial"/>
          <w:b/>
          <w:bCs/>
          <w:sz w:val="22"/>
          <w:szCs w:val="22"/>
        </w:rPr>
        <w:t>Background</w:t>
      </w:r>
      <w:r w:rsidRPr="00E43CCE">
        <w:rPr>
          <w:rFonts w:ascii="Arial" w:eastAsia="Times New Roman" w:hAnsi="Arial" w:cs="Arial"/>
          <w:sz w:val="22"/>
          <w:szCs w:val="22"/>
        </w:rPr>
        <w:br/>
        <w:t>Historically, UK healthcare was universally accessed via face-to-face GP appointments or telephone services. The gradual introduction of NHS Direct and early web portals marked the initial digitization of health information (Watts, 2020). However, the catalyst for radical, systemic change was the COVID-19 pandemic, which necessitated an immediate pivot to remote triage and telehealth to minimize viral transmission (</w:t>
      </w:r>
      <w:proofErr w:type="spellStart"/>
      <w:r w:rsidRPr="00E43CCE">
        <w:rPr>
          <w:rFonts w:ascii="Arial" w:eastAsia="Times New Roman" w:hAnsi="Arial" w:cs="Arial"/>
          <w:sz w:val="22"/>
          <w:szCs w:val="22"/>
        </w:rPr>
        <w:t>Honeyman</w:t>
      </w:r>
      <w:proofErr w:type="spellEnd"/>
      <w:r w:rsidRPr="00E43CCE">
        <w:rPr>
          <w:rFonts w:ascii="Arial" w:eastAsia="Times New Roman" w:hAnsi="Arial" w:cs="Arial"/>
          <w:sz w:val="22"/>
          <w:szCs w:val="22"/>
        </w:rPr>
        <w:t xml:space="preserve"> et al., 2020). This rapid shift bypassed standard transitional phases, forcing many older adults into digital engagement without adequate support or infrastructure (</w:t>
      </w:r>
      <w:proofErr w:type="spellStart"/>
      <w:r w:rsidRPr="00E43CCE">
        <w:rPr>
          <w:rFonts w:ascii="Arial" w:eastAsia="Times New Roman" w:hAnsi="Arial" w:cs="Arial"/>
          <w:sz w:val="22"/>
          <w:szCs w:val="22"/>
        </w:rPr>
        <w:t>Eruchalu</w:t>
      </w:r>
      <w:proofErr w:type="spellEnd"/>
      <w:r w:rsidRPr="00E43CCE">
        <w:rPr>
          <w:rFonts w:ascii="Arial" w:eastAsia="Times New Roman" w:hAnsi="Arial" w:cs="Arial"/>
          <w:sz w:val="22"/>
          <w:szCs w:val="22"/>
        </w:rPr>
        <w:t xml:space="preserve"> et al., 2021).</w:t>
      </w:r>
      <w:r w:rsidRPr="00E43CCE">
        <w:rPr>
          <w:rFonts w:ascii="Arial" w:eastAsia="Times New Roman" w:hAnsi="Arial" w:cs="Arial"/>
          <w:sz w:val="22"/>
          <w:szCs w:val="22"/>
        </w:rPr>
        <w:br/>
      </w:r>
      <w:r w:rsidRPr="00E43CCE">
        <w:rPr>
          <w:rFonts w:ascii="Arial" w:eastAsia="Times New Roman" w:hAnsi="Arial" w:cs="Arial"/>
          <w:b/>
          <w:bCs/>
          <w:sz w:val="22"/>
          <w:szCs w:val="22"/>
        </w:rPr>
        <w:t>Current Context</w:t>
      </w:r>
      <w:r w:rsidRPr="00E43CCE">
        <w:rPr>
          <w:rFonts w:ascii="Arial" w:eastAsia="Times New Roman" w:hAnsi="Arial" w:cs="Arial"/>
          <w:sz w:val="22"/>
          <w:szCs w:val="22"/>
        </w:rPr>
        <w:br/>
        <w:t xml:space="preserve">Today, the </w:t>
      </w:r>
      <w:r w:rsidRPr="00E43CCE">
        <w:rPr>
          <w:rFonts w:ascii="Arial" w:eastAsia="Times New Roman" w:hAnsi="Arial" w:cs="Arial"/>
          <w:i/>
          <w:iCs/>
          <w:sz w:val="22"/>
          <w:szCs w:val="22"/>
        </w:rPr>
        <w:t>NHS Long Term Plan</w:t>
      </w:r>
      <w:r w:rsidRPr="00E43CCE">
        <w:rPr>
          <w:rFonts w:ascii="Arial" w:eastAsia="Times New Roman" w:hAnsi="Arial" w:cs="Arial"/>
          <w:sz w:val="22"/>
          <w:szCs w:val="22"/>
        </w:rPr>
        <w:t xml:space="preserve"> heavily emphasizes digital care pathways, aiming for an entirely digitized health record and triage system (NHS, 2019). Despite these advancements, current statistics from the Office for National Statistics (ONS, 2023) indicate that over 3 million people in the UK remain offline, the vast majority being over the age of 65. The ongoing reliance on digital platforms for repeat prescriptions, appointment bookings, and test results means that digital exclusion is no longer just a technological issue; it is a critical determinant of health inequality (Health Foundation, 2022).</w:t>
      </w:r>
      <w:r w:rsidRPr="00E43CCE">
        <w:rPr>
          <w:rFonts w:ascii="Arial" w:eastAsia="Times New Roman" w:hAnsi="Arial" w:cs="Arial"/>
          <w:sz w:val="22"/>
          <w:szCs w:val="22"/>
        </w:rPr>
        <w:br/>
      </w:r>
      <w:r w:rsidRPr="00E43CCE">
        <w:rPr>
          <w:rFonts w:ascii="Arial" w:eastAsia="Times New Roman" w:hAnsi="Arial" w:cs="Arial"/>
          <w:b/>
          <w:bCs/>
          <w:sz w:val="22"/>
          <w:szCs w:val="22"/>
        </w:rPr>
        <w:t>1.4 Rationale for Research / Problem Statement</w:t>
      </w:r>
      <w:r w:rsidRPr="00E43CCE">
        <w:rPr>
          <w:rFonts w:ascii="Arial" w:eastAsia="Times New Roman" w:hAnsi="Arial" w:cs="Arial"/>
          <w:sz w:val="22"/>
          <w:szCs w:val="22"/>
        </w:rPr>
        <w:br/>
      </w:r>
      <w:r w:rsidRPr="00E43CCE">
        <w:rPr>
          <w:rFonts w:ascii="Arial" w:eastAsia="Times New Roman" w:hAnsi="Arial" w:cs="Arial"/>
          <w:b/>
          <w:bCs/>
          <w:sz w:val="22"/>
          <w:szCs w:val="22"/>
        </w:rPr>
        <w:t>Purpose of the Research</w:t>
      </w:r>
      <w:r w:rsidRPr="00E43CCE">
        <w:rPr>
          <w:rFonts w:ascii="Arial" w:eastAsia="Times New Roman" w:hAnsi="Arial" w:cs="Arial"/>
          <w:sz w:val="22"/>
          <w:szCs w:val="22"/>
        </w:rPr>
        <w:br/>
        <w:t>The purpose of this research is to critically examine the lived realities of digital exclusion among the UK’s elderly population. While existing literature extensively covers the technological efficacy of telehealth (</w:t>
      </w:r>
      <w:proofErr w:type="spellStart"/>
      <w:r w:rsidRPr="00E43CCE">
        <w:rPr>
          <w:rFonts w:ascii="Arial" w:eastAsia="Times New Roman" w:hAnsi="Arial" w:cs="Arial"/>
          <w:sz w:val="22"/>
          <w:szCs w:val="22"/>
        </w:rPr>
        <w:t>Mair</w:t>
      </w:r>
      <w:proofErr w:type="spellEnd"/>
      <w:r w:rsidRPr="00E43CCE">
        <w:rPr>
          <w:rFonts w:ascii="Arial" w:eastAsia="Times New Roman" w:hAnsi="Arial" w:cs="Arial"/>
          <w:sz w:val="22"/>
          <w:szCs w:val="22"/>
        </w:rPr>
        <w:t xml:space="preserve"> et al., 2012), there is a pressing need to view this transition through the lens of social justice and health equity.</w:t>
      </w:r>
      <w:r w:rsidRPr="00E43CCE">
        <w:rPr>
          <w:rFonts w:ascii="Arial" w:eastAsia="Times New Roman" w:hAnsi="Arial" w:cs="Arial"/>
          <w:sz w:val="22"/>
          <w:szCs w:val="22"/>
        </w:rPr>
        <w:br/>
      </w:r>
      <w:r w:rsidRPr="00E43CCE">
        <w:rPr>
          <w:rFonts w:ascii="Arial" w:eastAsia="Times New Roman" w:hAnsi="Arial" w:cs="Arial"/>
          <w:b/>
          <w:bCs/>
          <w:sz w:val="22"/>
          <w:szCs w:val="22"/>
        </w:rPr>
        <w:t>Research Gap or Problem</w:t>
      </w:r>
      <w:r w:rsidRPr="00E43CCE">
        <w:rPr>
          <w:rFonts w:ascii="Arial" w:eastAsia="Times New Roman" w:hAnsi="Arial" w:cs="Arial"/>
          <w:sz w:val="22"/>
          <w:szCs w:val="22"/>
        </w:rPr>
        <w:br/>
        <w:t>There is an inconsistency in current health policies, which promote universal healthcare while simultaneously deploying access methods that inherently exclude up to 20% of the older demographic (Digital Unite, 2021). Much of the existing research focuses on the mechanics of digital implementation rather than the psychosocial impact—such as increased anxiety, loss of autonomy, and social isolation—experienced by older adults navigating these systems (Seifert et al., 2020). This dissertation addresses this gap by synthesizing qualitative literature regarding well-being and access.</w:t>
      </w:r>
      <w:r w:rsidRPr="00E43CCE">
        <w:rPr>
          <w:rFonts w:ascii="Arial" w:eastAsia="Times New Roman" w:hAnsi="Arial" w:cs="Arial"/>
          <w:sz w:val="22"/>
          <w:szCs w:val="22"/>
        </w:rPr>
        <w:br/>
      </w:r>
      <w:r w:rsidRPr="00E43CCE">
        <w:rPr>
          <w:rFonts w:ascii="Arial" w:eastAsia="Times New Roman" w:hAnsi="Arial" w:cs="Arial"/>
          <w:b/>
          <w:bCs/>
          <w:sz w:val="22"/>
          <w:szCs w:val="22"/>
        </w:rPr>
        <w:t>Practical Relevance</w:t>
      </w:r>
      <w:r w:rsidRPr="00E43CCE">
        <w:rPr>
          <w:rFonts w:ascii="Arial" w:eastAsia="Times New Roman" w:hAnsi="Arial" w:cs="Arial"/>
          <w:sz w:val="22"/>
          <w:szCs w:val="22"/>
        </w:rPr>
        <w:br/>
        <w:t>The findings will benefit healthcare practitioners, policy-makers, and social care providers by highlighting the urgent need for hybrid access models. It aims to inform future NHS digital strategies to ensure they are age-inclusive and equitable.</w:t>
      </w:r>
      <w:r w:rsidRPr="00E43CCE">
        <w:rPr>
          <w:rFonts w:ascii="Arial" w:eastAsia="Times New Roman" w:hAnsi="Arial" w:cs="Arial"/>
          <w:sz w:val="22"/>
          <w:szCs w:val="22"/>
        </w:rPr>
        <w:br/>
      </w:r>
      <w:r w:rsidRPr="00E43CCE">
        <w:rPr>
          <w:rFonts w:ascii="Arial" w:eastAsia="Times New Roman" w:hAnsi="Arial" w:cs="Arial"/>
          <w:b/>
          <w:bCs/>
          <w:sz w:val="22"/>
          <w:szCs w:val="22"/>
        </w:rPr>
        <w:t>1.5 Aim and Objectives</w:t>
      </w:r>
      <w:r w:rsidRPr="00E43CCE">
        <w:rPr>
          <w:rFonts w:ascii="Arial" w:eastAsia="Times New Roman" w:hAnsi="Arial" w:cs="Arial"/>
          <w:sz w:val="22"/>
          <w:szCs w:val="22"/>
        </w:rPr>
        <w:br/>
      </w:r>
      <w:r w:rsidRPr="00E43CCE">
        <w:rPr>
          <w:rFonts w:ascii="Arial" w:eastAsia="Times New Roman" w:hAnsi="Arial" w:cs="Arial"/>
          <w:b/>
          <w:bCs/>
          <w:sz w:val="22"/>
          <w:szCs w:val="22"/>
        </w:rPr>
        <w:t>Research Aim</w:t>
      </w:r>
      <w:r w:rsidRPr="00E43CCE">
        <w:rPr>
          <w:rFonts w:ascii="Arial" w:eastAsia="Times New Roman" w:hAnsi="Arial" w:cs="Arial"/>
          <w:sz w:val="22"/>
          <w:szCs w:val="22"/>
        </w:rPr>
        <w:br/>
        <w:t>The overarching aim of this dissertation is to evaluate the impact of digital exclusion on healthcare access and the psychosocial well-being of the elderly population in the UK, based on current secondary literature.</w:t>
      </w:r>
      <w:r w:rsidRPr="00E43CCE">
        <w:rPr>
          <w:rFonts w:ascii="Arial" w:eastAsia="Times New Roman" w:hAnsi="Arial" w:cs="Arial"/>
          <w:sz w:val="22"/>
          <w:szCs w:val="22"/>
        </w:rPr>
        <w:br/>
      </w:r>
      <w:r w:rsidRPr="00E43CCE">
        <w:rPr>
          <w:rFonts w:ascii="Arial" w:eastAsia="Times New Roman" w:hAnsi="Arial" w:cs="Arial"/>
          <w:b/>
          <w:bCs/>
          <w:sz w:val="22"/>
          <w:szCs w:val="22"/>
        </w:rPr>
        <w:t>Research Objectives</w:t>
      </w:r>
      <w:r w:rsidRPr="00E43CCE">
        <w:rPr>
          <w:rFonts w:ascii="Arial" w:eastAsia="Times New Roman" w:hAnsi="Arial" w:cs="Arial"/>
          <w:sz w:val="22"/>
          <w:szCs w:val="22"/>
        </w:rPr>
        <w:br/>
      </w:r>
      <w:r w:rsidRPr="00E43CCE">
        <w:rPr>
          <w:rFonts w:ascii="Arial" w:eastAsia="Times New Roman" w:hAnsi="Arial" w:cs="Arial"/>
          <w:b/>
          <w:bCs/>
          <w:sz w:val="22"/>
          <w:szCs w:val="22"/>
        </w:rPr>
        <w:t>• Objective 1:</w:t>
      </w:r>
      <w:r w:rsidRPr="00E43CCE">
        <w:rPr>
          <w:rFonts w:ascii="Arial" w:eastAsia="Times New Roman" w:hAnsi="Arial" w:cs="Arial"/>
          <w:sz w:val="22"/>
          <w:szCs w:val="22"/>
        </w:rPr>
        <w:t xml:space="preserve"> To </w:t>
      </w:r>
      <w:r w:rsidRPr="00E43CCE">
        <w:rPr>
          <w:rFonts w:ascii="Arial" w:eastAsia="Times New Roman" w:hAnsi="Arial" w:cs="Arial"/>
          <w:i/>
          <w:iCs/>
          <w:sz w:val="22"/>
          <w:szCs w:val="22"/>
        </w:rPr>
        <w:t>define</w:t>
      </w:r>
      <w:r w:rsidRPr="00E43CCE">
        <w:rPr>
          <w:rFonts w:ascii="Arial" w:eastAsia="Times New Roman" w:hAnsi="Arial" w:cs="Arial"/>
          <w:sz w:val="22"/>
          <w:szCs w:val="22"/>
        </w:rPr>
        <w:t xml:space="preserve"> the extent and primary causes of the digital divide among individuals aged 65 and over in the UK.</w:t>
      </w:r>
      <w:r w:rsidRPr="00E43CCE">
        <w:rPr>
          <w:rFonts w:ascii="Arial" w:eastAsia="Times New Roman" w:hAnsi="Arial" w:cs="Arial"/>
          <w:sz w:val="22"/>
          <w:szCs w:val="22"/>
        </w:rPr>
        <w:br/>
      </w:r>
      <w:r w:rsidRPr="00E43CCE">
        <w:rPr>
          <w:rFonts w:ascii="Arial" w:eastAsia="Times New Roman" w:hAnsi="Arial" w:cs="Arial"/>
          <w:b/>
          <w:bCs/>
          <w:sz w:val="22"/>
          <w:szCs w:val="22"/>
        </w:rPr>
        <w:t>• Objective 2:</w:t>
      </w:r>
      <w:r w:rsidRPr="00E43CCE">
        <w:rPr>
          <w:rFonts w:ascii="Arial" w:eastAsia="Times New Roman" w:hAnsi="Arial" w:cs="Arial"/>
          <w:sz w:val="22"/>
          <w:szCs w:val="22"/>
        </w:rPr>
        <w:t xml:space="preserve"> To </w:t>
      </w:r>
      <w:r w:rsidRPr="00E43CCE">
        <w:rPr>
          <w:rFonts w:ascii="Arial" w:eastAsia="Times New Roman" w:hAnsi="Arial" w:cs="Arial"/>
          <w:i/>
          <w:iCs/>
          <w:sz w:val="22"/>
          <w:szCs w:val="22"/>
        </w:rPr>
        <w:t>analyse</w:t>
      </w:r>
      <w:r w:rsidRPr="00E43CCE">
        <w:rPr>
          <w:rFonts w:ascii="Arial" w:eastAsia="Times New Roman" w:hAnsi="Arial" w:cs="Arial"/>
          <w:sz w:val="22"/>
          <w:szCs w:val="22"/>
        </w:rPr>
        <w:t xml:space="preserve"> current literature regarding the barriers older adults face when attempting to access digital healthcare services (telehealth, NHS apps).</w:t>
      </w:r>
      <w:r w:rsidRPr="00E43CCE">
        <w:rPr>
          <w:rFonts w:ascii="Arial" w:eastAsia="Times New Roman" w:hAnsi="Arial" w:cs="Arial"/>
          <w:sz w:val="22"/>
          <w:szCs w:val="22"/>
        </w:rPr>
        <w:br/>
      </w:r>
      <w:r w:rsidRPr="00E43CCE">
        <w:rPr>
          <w:rFonts w:ascii="Arial" w:eastAsia="Times New Roman" w:hAnsi="Arial" w:cs="Arial"/>
          <w:b/>
          <w:bCs/>
          <w:sz w:val="22"/>
          <w:szCs w:val="22"/>
        </w:rPr>
        <w:t>• Objective 3:</w:t>
      </w:r>
      <w:r w:rsidRPr="00E43CCE">
        <w:rPr>
          <w:rFonts w:ascii="Arial" w:eastAsia="Times New Roman" w:hAnsi="Arial" w:cs="Arial"/>
          <w:sz w:val="22"/>
          <w:szCs w:val="22"/>
        </w:rPr>
        <w:t xml:space="preserve"> To </w:t>
      </w:r>
      <w:r w:rsidRPr="00E43CCE">
        <w:rPr>
          <w:rFonts w:ascii="Arial" w:eastAsia="Times New Roman" w:hAnsi="Arial" w:cs="Arial"/>
          <w:i/>
          <w:iCs/>
          <w:sz w:val="22"/>
          <w:szCs w:val="22"/>
        </w:rPr>
        <w:t>evaluate</w:t>
      </w:r>
      <w:r w:rsidRPr="00E43CCE">
        <w:rPr>
          <w:rFonts w:ascii="Arial" w:eastAsia="Times New Roman" w:hAnsi="Arial" w:cs="Arial"/>
          <w:sz w:val="22"/>
          <w:szCs w:val="22"/>
        </w:rPr>
        <w:t xml:space="preserve"> the impact of digital exclusion on the psychosocial well-being, autonomy, and social isolation of the elderly through thematic analysis.</w:t>
      </w:r>
      <w:r w:rsidRPr="00E43CCE">
        <w:rPr>
          <w:rFonts w:ascii="Arial" w:eastAsia="Times New Roman" w:hAnsi="Arial" w:cs="Arial"/>
          <w:sz w:val="22"/>
          <w:szCs w:val="22"/>
        </w:rPr>
        <w:br/>
      </w:r>
      <w:r w:rsidRPr="00E43CCE">
        <w:rPr>
          <w:rFonts w:ascii="Arial" w:eastAsia="Times New Roman" w:hAnsi="Arial" w:cs="Arial"/>
          <w:b/>
          <w:bCs/>
          <w:sz w:val="22"/>
          <w:szCs w:val="22"/>
        </w:rPr>
        <w:t>• Objective 4:</w:t>
      </w:r>
      <w:r w:rsidRPr="00E43CCE">
        <w:rPr>
          <w:rFonts w:ascii="Arial" w:eastAsia="Times New Roman" w:hAnsi="Arial" w:cs="Arial"/>
          <w:sz w:val="22"/>
          <w:szCs w:val="22"/>
        </w:rPr>
        <w:t xml:space="preserve"> To </w:t>
      </w:r>
      <w:r w:rsidRPr="00E43CCE">
        <w:rPr>
          <w:rFonts w:ascii="Arial" w:eastAsia="Times New Roman" w:hAnsi="Arial" w:cs="Arial"/>
          <w:i/>
          <w:iCs/>
          <w:sz w:val="22"/>
          <w:szCs w:val="22"/>
        </w:rPr>
        <w:t>recommend</w:t>
      </w:r>
      <w:r w:rsidRPr="00E43CCE">
        <w:rPr>
          <w:rFonts w:ascii="Arial" w:eastAsia="Times New Roman" w:hAnsi="Arial" w:cs="Arial"/>
          <w:sz w:val="22"/>
          <w:szCs w:val="22"/>
        </w:rPr>
        <w:t xml:space="preserve"> evidence-based improvements for health and social care practice, policy, and future inclusive technology design.</w:t>
      </w:r>
      <w:r w:rsidRPr="00E43CCE">
        <w:rPr>
          <w:rFonts w:ascii="Arial" w:eastAsia="Times New Roman" w:hAnsi="Arial" w:cs="Arial"/>
          <w:sz w:val="22"/>
          <w:szCs w:val="22"/>
        </w:rPr>
        <w:br/>
      </w:r>
      <w:r w:rsidRPr="00E43CCE">
        <w:rPr>
          <w:rFonts w:ascii="Arial" w:eastAsia="Times New Roman" w:hAnsi="Arial" w:cs="Arial"/>
          <w:b/>
          <w:bCs/>
          <w:sz w:val="22"/>
          <w:szCs w:val="22"/>
        </w:rPr>
        <w:t>1.6 Conclusion</w:t>
      </w:r>
      <w:r w:rsidRPr="00E43CCE">
        <w:rPr>
          <w:rFonts w:ascii="Arial" w:eastAsia="Times New Roman" w:hAnsi="Arial" w:cs="Arial"/>
          <w:sz w:val="22"/>
          <w:szCs w:val="22"/>
        </w:rPr>
        <w:br/>
        <w:t>Chapter 1 has established the fundamental premise of this dissertation: while the digitisation of healthcare offers systemic benefits, it concurrently marginalises the elderly population lacking digital access or literacy. The rationale highlights a critical gap between NHS policy and equitable healthcare delivery, establishing the necessity of this research. The formulated aim and objectives will guide the subsequent thematic analysis to explore this pressing issue.</w:t>
      </w:r>
      <w:r w:rsidRPr="00E43CCE">
        <w:rPr>
          <w:rFonts w:ascii="Arial" w:eastAsia="Times New Roman" w:hAnsi="Arial" w:cs="Arial"/>
          <w:sz w:val="22"/>
          <w:szCs w:val="22"/>
        </w:rPr>
        <w:br/>
        <w:t>The following chapter will provide a Background Information and Analysis of the topic through the exploration of international, national, and local perspectives, alongside relevant theory, policy, legislation, and current evidence.</w:t>
      </w:r>
    </w:p>
    <w:p w14:paraId="307FD95B" w14:textId="33C254E5" w:rsidR="00D8041E" w:rsidRDefault="001A1531">
      <w:pPr>
        <w:rPr>
          <w:rFonts w:ascii="Arial" w:eastAsia="Times New Roman" w:hAnsi="Arial" w:cs="Arial"/>
          <w:sz w:val="22"/>
          <w:szCs w:val="22"/>
        </w:rPr>
      </w:pPr>
      <w:r w:rsidRPr="00E43CCE">
        <w:rPr>
          <w:rFonts w:ascii="Arial" w:eastAsia="Times New Roman" w:hAnsi="Arial" w:cs="Arial"/>
          <w:sz w:val="22"/>
          <w:szCs w:val="22"/>
        </w:rPr>
        <w:br/>
      </w:r>
      <w:r w:rsidRPr="00E43CCE">
        <w:rPr>
          <w:rFonts w:ascii="Arial" w:eastAsia="Times New Roman" w:hAnsi="Arial" w:cs="Arial"/>
          <w:b/>
          <w:bCs/>
          <w:sz w:val="22"/>
          <w:szCs w:val="22"/>
        </w:rPr>
        <w:t>CHAPTER 2: Background Information and Analysis</w:t>
      </w:r>
      <w:r w:rsidRPr="00E43CCE">
        <w:rPr>
          <w:rFonts w:ascii="Arial" w:eastAsia="Times New Roman" w:hAnsi="Arial" w:cs="Arial"/>
          <w:sz w:val="22"/>
          <w:szCs w:val="22"/>
        </w:rPr>
        <w:br/>
      </w:r>
      <w:r w:rsidRPr="00E43CCE">
        <w:rPr>
          <w:rFonts w:ascii="Arial" w:eastAsia="Times New Roman" w:hAnsi="Arial" w:cs="Arial"/>
          <w:b/>
          <w:bCs/>
          <w:sz w:val="22"/>
          <w:szCs w:val="22"/>
        </w:rPr>
        <w:t>2.1 Introduction</w:t>
      </w:r>
      <w:r w:rsidRPr="00E43CCE">
        <w:rPr>
          <w:rFonts w:ascii="Arial" w:eastAsia="Times New Roman" w:hAnsi="Arial" w:cs="Arial"/>
          <w:sz w:val="22"/>
          <w:szCs w:val="22"/>
        </w:rPr>
        <w:br/>
        <w:t>The purpose of this chapter is to situate the phenomenon of digital exclusion among the elderly within a broader historical, theoretical, and geographical context. By exploring the trajectory of digital health implementation, the theoretical frameworks that explain technology adoption, and the differing approaches globally and locally, this chapter sets a robust foundation for the thematic analysis. It contextualises the digital divide not merely as a technological deficit, but as a complex interplay of socioeconomic, cognitive, and political factors that dictate health outcomes.</w:t>
      </w:r>
      <w:r w:rsidRPr="00E43CCE">
        <w:rPr>
          <w:rFonts w:ascii="Arial" w:eastAsia="Times New Roman" w:hAnsi="Arial" w:cs="Arial"/>
          <w:sz w:val="22"/>
          <w:szCs w:val="22"/>
        </w:rPr>
        <w:br/>
      </w:r>
      <w:r w:rsidRPr="00E43CCE">
        <w:rPr>
          <w:rFonts w:ascii="Arial" w:eastAsia="Times New Roman" w:hAnsi="Arial" w:cs="Arial"/>
          <w:b/>
          <w:bCs/>
          <w:sz w:val="22"/>
          <w:szCs w:val="22"/>
        </w:rPr>
        <w:t>2.2 Historical Background</w:t>
      </w:r>
      <w:r w:rsidRPr="00E43CCE">
        <w:rPr>
          <w:rFonts w:ascii="Arial" w:eastAsia="Times New Roman" w:hAnsi="Arial" w:cs="Arial"/>
          <w:sz w:val="22"/>
          <w:szCs w:val="22"/>
        </w:rPr>
        <w:br/>
        <w:t>The development of digital healthcare in the UK is a narrative of gradual modernization punctuated by sudden, crisis-driven acceleration. In the late 20th century, patient-practitioner interactions were exclusively analogue. The establishment of NHS Direct in 1998 marked the first major divergence, introducing telephone-based triage (Watts, 2020). By the mid-2000s, the National Programme for IT (</w:t>
      </w:r>
      <w:proofErr w:type="spellStart"/>
      <w:r w:rsidRPr="00E43CCE">
        <w:rPr>
          <w:rFonts w:ascii="Arial" w:eastAsia="Times New Roman" w:hAnsi="Arial" w:cs="Arial"/>
          <w:sz w:val="22"/>
          <w:szCs w:val="22"/>
        </w:rPr>
        <w:t>NPfIT</w:t>
      </w:r>
      <w:proofErr w:type="spellEnd"/>
      <w:r w:rsidRPr="00E43CCE">
        <w:rPr>
          <w:rFonts w:ascii="Arial" w:eastAsia="Times New Roman" w:hAnsi="Arial" w:cs="Arial"/>
          <w:sz w:val="22"/>
          <w:szCs w:val="22"/>
        </w:rPr>
        <w:t>) attempted to digitize patient records, though it largely failed to integrate patient-facing technologies (</w:t>
      </w:r>
      <w:proofErr w:type="spellStart"/>
      <w:r w:rsidRPr="00E43CCE">
        <w:rPr>
          <w:rFonts w:ascii="Arial" w:eastAsia="Times New Roman" w:hAnsi="Arial" w:cs="Arial"/>
          <w:sz w:val="22"/>
          <w:szCs w:val="22"/>
        </w:rPr>
        <w:t>Greenhalgh</w:t>
      </w:r>
      <w:proofErr w:type="spellEnd"/>
      <w:r w:rsidRPr="00E43CCE">
        <w:rPr>
          <w:rFonts w:ascii="Arial" w:eastAsia="Times New Roman" w:hAnsi="Arial" w:cs="Arial"/>
          <w:sz w:val="22"/>
          <w:szCs w:val="22"/>
        </w:rPr>
        <w:t xml:space="preserve"> et al., 2020).</w:t>
      </w:r>
      <w:r w:rsidRPr="00E43CCE">
        <w:rPr>
          <w:rFonts w:ascii="Arial" w:eastAsia="Times New Roman" w:hAnsi="Arial" w:cs="Arial"/>
          <w:sz w:val="22"/>
          <w:szCs w:val="22"/>
        </w:rPr>
        <w:br/>
        <w:t xml:space="preserve">The concept of the "digital divide" emerged in the late 1990s, initially referring solely to physical access to hardware and the internet (Van </w:t>
      </w:r>
      <w:proofErr w:type="spellStart"/>
      <w:r w:rsidRPr="00E43CCE">
        <w:rPr>
          <w:rFonts w:ascii="Arial" w:eastAsia="Times New Roman" w:hAnsi="Arial" w:cs="Arial"/>
          <w:sz w:val="22"/>
          <w:szCs w:val="22"/>
        </w:rPr>
        <w:t>Dijk</w:t>
      </w:r>
      <w:proofErr w:type="spellEnd"/>
      <w:r w:rsidRPr="00E43CCE">
        <w:rPr>
          <w:rFonts w:ascii="Arial" w:eastAsia="Times New Roman" w:hAnsi="Arial" w:cs="Arial"/>
          <w:sz w:val="22"/>
          <w:szCs w:val="22"/>
        </w:rPr>
        <w:t>, 2020). Over the last two decades, this understanding has evolved to encompass digital literacy, usage gaps, and the quality of connection—often termed the "second and third-level digital divides" (</w:t>
      </w:r>
      <w:proofErr w:type="spellStart"/>
      <w:r w:rsidRPr="00E43CCE">
        <w:rPr>
          <w:rFonts w:ascii="Arial" w:eastAsia="Times New Roman" w:hAnsi="Arial" w:cs="Arial"/>
          <w:sz w:val="22"/>
          <w:szCs w:val="22"/>
        </w:rPr>
        <w:t>Helsper</w:t>
      </w:r>
      <w:proofErr w:type="spellEnd"/>
      <w:r w:rsidRPr="00E43CCE">
        <w:rPr>
          <w:rFonts w:ascii="Arial" w:eastAsia="Times New Roman" w:hAnsi="Arial" w:cs="Arial"/>
          <w:sz w:val="22"/>
          <w:szCs w:val="22"/>
        </w:rPr>
        <w:t>, 2021).</w:t>
      </w:r>
      <w:r w:rsidRPr="00E43CCE">
        <w:rPr>
          <w:rFonts w:ascii="Arial" w:eastAsia="Times New Roman" w:hAnsi="Arial" w:cs="Arial"/>
          <w:sz w:val="22"/>
          <w:szCs w:val="22"/>
        </w:rPr>
        <w:br/>
        <w:t>Significant contributions to understanding this divide have come from organisations like Age UK and the Good Things Foundation, which have historically lobbied for digital inclusion. Their early 2010s reports highlighted that as society moved online for banking and utilities, the elderly were being left behind. However, the true historical milestone for digital healthcare was the COVID-19 pandemic in 2020. Mandates for social distancing forced the NHS to implement a "digital-first" primary care policy almost overnight (</w:t>
      </w:r>
      <w:proofErr w:type="spellStart"/>
      <w:r w:rsidRPr="00E43CCE">
        <w:rPr>
          <w:rFonts w:ascii="Arial" w:eastAsia="Times New Roman" w:hAnsi="Arial" w:cs="Arial"/>
          <w:sz w:val="22"/>
          <w:szCs w:val="22"/>
        </w:rPr>
        <w:t>Honeyman</w:t>
      </w:r>
      <w:proofErr w:type="spellEnd"/>
      <w:r w:rsidRPr="00E43CCE">
        <w:rPr>
          <w:rFonts w:ascii="Arial" w:eastAsia="Times New Roman" w:hAnsi="Arial" w:cs="Arial"/>
          <w:sz w:val="22"/>
          <w:szCs w:val="22"/>
        </w:rPr>
        <w:t xml:space="preserve"> et al., 2020). General practices shifted from 80% face-to-face appointments to predominantly remote triage within weeks (BMA, 2021). This historical shift structurally embedded digital healthcare, solidifying the exclusion of older adults who lacked the resources to adapt to this abrupt transition.</w:t>
      </w:r>
      <w:r w:rsidRPr="00E43CCE">
        <w:rPr>
          <w:rFonts w:ascii="Arial" w:eastAsia="Times New Roman" w:hAnsi="Arial" w:cs="Arial"/>
          <w:sz w:val="22"/>
          <w:szCs w:val="22"/>
        </w:rPr>
        <w:br/>
      </w:r>
      <w:r w:rsidRPr="00E43CCE">
        <w:rPr>
          <w:rFonts w:ascii="Arial" w:eastAsia="Times New Roman" w:hAnsi="Arial" w:cs="Arial"/>
          <w:b/>
          <w:bCs/>
          <w:sz w:val="22"/>
          <w:szCs w:val="22"/>
        </w:rPr>
        <w:t>2.3 Theoretical Background</w:t>
      </w:r>
      <w:r w:rsidRPr="00E43CCE">
        <w:rPr>
          <w:rFonts w:ascii="Arial" w:eastAsia="Times New Roman" w:hAnsi="Arial" w:cs="Arial"/>
          <w:sz w:val="22"/>
          <w:szCs w:val="22"/>
        </w:rPr>
        <w:br/>
        <w:t xml:space="preserve">To understand why older adults face digital exclusion, it is essential to apply relevant theoretical frameworks. The </w:t>
      </w:r>
      <w:r w:rsidRPr="00E43CCE">
        <w:rPr>
          <w:rFonts w:ascii="Arial" w:eastAsia="Times New Roman" w:hAnsi="Arial" w:cs="Arial"/>
          <w:b/>
          <w:bCs/>
          <w:sz w:val="22"/>
          <w:szCs w:val="22"/>
        </w:rPr>
        <w:t>Technology Acceptance Model (TAM)</w:t>
      </w:r>
      <w:r w:rsidRPr="00E43CCE">
        <w:rPr>
          <w:rFonts w:ascii="Arial" w:eastAsia="Times New Roman" w:hAnsi="Arial" w:cs="Arial"/>
          <w:sz w:val="22"/>
          <w:szCs w:val="22"/>
        </w:rPr>
        <w:t xml:space="preserve"> , originally proposed by Davis (1989), is foundational. TAM posits that user adoption of technology is determined by two primary factors: </w:t>
      </w:r>
      <w:r w:rsidRPr="00E43CCE">
        <w:rPr>
          <w:rFonts w:ascii="Arial" w:eastAsia="Times New Roman" w:hAnsi="Arial" w:cs="Arial"/>
          <w:i/>
          <w:iCs/>
          <w:sz w:val="22"/>
          <w:szCs w:val="22"/>
        </w:rPr>
        <w:t>Perceived Usefulness</w:t>
      </w:r>
      <w:r w:rsidRPr="00E43CCE">
        <w:rPr>
          <w:rFonts w:ascii="Arial" w:eastAsia="Times New Roman" w:hAnsi="Arial" w:cs="Arial"/>
          <w:sz w:val="22"/>
          <w:szCs w:val="22"/>
        </w:rPr>
        <w:t xml:space="preserve"> and </w:t>
      </w:r>
      <w:r w:rsidRPr="00E43CCE">
        <w:rPr>
          <w:rFonts w:ascii="Arial" w:eastAsia="Times New Roman" w:hAnsi="Arial" w:cs="Arial"/>
          <w:i/>
          <w:iCs/>
          <w:sz w:val="22"/>
          <w:szCs w:val="22"/>
        </w:rPr>
        <w:t>Perceived Ease of Use</w:t>
      </w:r>
      <w:r w:rsidRPr="00E43CCE">
        <w:rPr>
          <w:rFonts w:ascii="Arial" w:eastAsia="Times New Roman" w:hAnsi="Arial" w:cs="Arial"/>
          <w:sz w:val="22"/>
          <w:szCs w:val="22"/>
        </w:rPr>
        <w:t xml:space="preserve"> (Lee et al., 2020). In the context of the elderly, if a health application is perceived as overly complex (low ease of use), adoption fails, regardless of its clinical usefulness.</w:t>
      </w:r>
      <w:r w:rsidRPr="00E43CCE">
        <w:rPr>
          <w:rFonts w:ascii="Arial" w:eastAsia="Times New Roman" w:hAnsi="Arial" w:cs="Arial"/>
          <w:sz w:val="22"/>
          <w:szCs w:val="22"/>
        </w:rPr>
        <w:br/>
        <w:t xml:space="preserve">Another critical theory is </w:t>
      </w:r>
      <w:r w:rsidRPr="00E43CCE">
        <w:rPr>
          <w:rFonts w:ascii="Arial" w:eastAsia="Times New Roman" w:hAnsi="Arial" w:cs="Arial"/>
          <w:b/>
          <w:bCs/>
          <w:sz w:val="22"/>
          <w:szCs w:val="22"/>
        </w:rPr>
        <w:t xml:space="preserve">Van </w:t>
      </w:r>
      <w:proofErr w:type="spellStart"/>
      <w:r w:rsidRPr="00E43CCE">
        <w:rPr>
          <w:rFonts w:ascii="Arial" w:eastAsia="Times New Roman" w:hAnsi="Arial" w:cs="Arial"/>
          <w:b/>
          <w:bCs/>
          <w:sz w:val="22"/>
          <w:szCs w:val="22"/>
        </w:rPr>
        <w:t>Dijk’s</w:t>
      </w:r>
      <w:proofErr w:type="spellEnd"/>
      <w:r w:rsidRPr="00E43CCE">
        <w:rPr>
          <w:rFonts w:ascii="Arial" w:eastAsia="Times New Roman" w:hAnsi="Arial" w:cs="Arial"/>
          <w:b/>
          <w:bCs/>
          <w:sz w:val="22"/>
          <w:szCs w:val="22"/>
        </w:rPr>
        <w:t xml:space="preserve"> Resources and Appropriation Theory</w:t>
      </w:r>
      <w:r w:rsidRPr="00E43CCE">
        <w:rPr>
          <w:rFonts w:ascii="Arial" w:eastAsia="Times New Roman" w:hAnsi="Arial" w:cs="Arial"/>
          <w:sz w:val="22"/>
          <w:szCs w:val="22"/>
        </w:rPr>
        <w:t xml:space="preserve"> (2020), which deconstructs the digital divide into four successive stages of access: motivational, material (physical devices/broadband), skills (operational, informational, and strategic), and usage. This theory is highly applicable to the research topic because it explains that merely providing an elderly patient with a tablet (material access) does not equate to digital inclusion if they lack the motivation (due to anxiety) or the skills (eHealth literacy) to use it.</w:t>
      </w:r>
      <w:r w:rsidRPr="00E43CCE">
        <w:rPr>
          <w:rFonts w:ascii="Arial" w:eastAsia="Times New Roman" w:hAnsi="Arial" w:cs="Arial"/>
          <w:sz w:val="22"/>
          <w:szCs w:val="22"/>
        </w:rPr>
        <w:br/>
        <w:t xml:space="preserve">These theories have been widely applied in studies evaluating telehealth interventions. For example, </w:t>
      </w:r>
      <w:proofErr w:type="spellStart"/>
      <w:r w:rsidRPr="00E43CCE">
        <w:rPr>
          <w:rFonts w:ascii="Arial" w:eastAsia="Times New Roman" w:hAnsi="Arial" w:cs="Arial"/>
          <w:sz w:val="22"/>
          <w:szCs w:val="22"/>
        </w:rPr>
        <w:t>Cotten</w:t>
      </w:r>
      <w:proofErr w:type="spellEnd"/>
      <w:r w:rsidRPr="00E43CCE">
        <w:rPr>
          <w:rFonts w:ascii="Arial" w:eastAsia="Times New Roman" w:hAnsi="Arial" w:cs="Arial"/>
          <w:sz w:val="22"/>
          <w:szCs w:val="22"/>
        </w:rPr>
        <w:t xml:space="preserve"> et al. (2014) utilised TAM to demonstrate that older adults often reject health technologies due to poorly designed interfaces that ignore age-related sensory and cognitive decline.</w:t>
      </w:r>
      <w:r w:rsidRPr="00E43CCE">
        <w:rPr>
          <w:rFonts w:ascii="Arial" w:eastAsia="Times New Roman" w:hAnsi="Arial" w:cs="Arial"/>
          <w:sz w:val="22"/>
          <w:szCs w:val="22"/>
        </w:rPr>
        <w:br/>
        <w:t xml:space="preserve">A critical evaluation of these theories reveals certain limitations. TAM, for instance, assumes a degree of voluntary adoption. In the modern NHS context, digital pathways are often the </w:t>
      </w:r>
      <w:r w:rsidRPr="00E43CCE">
        <w:rPr>
          <w:rFonts w:ascii="Arial" w:eastAsia="Times New Roman" w:hAnsi="Arial" w:cs="Arial"/>
          <w:i/>
          <w:iCs/>
          <w:sz w:val="22"/>
          <w:szCs w:val="22"/>
        </w:rPr>
        <w:t>only</w:t>
      </w:r>
      <w:r w:rsidRPr="00E43CCE">
        <w:rPr>
          <w:rFonts w:ascii="Arial" w:eastAsia="Times New Roman" w:hAnsi="Arial" w:cs="Arial"/>
          <w:sz w:val="22"/>
          <w:szCs w:val="22"/>
        </w:rPr>
        <w:t xml:space="preserve"> accessible route, making adoption involuntary (</w:t>
      </w:r>
      <w:proofErr w:type="spellStart"/>
      <w:r w:rsidRPr="00E43CCE">
        <w:rPr>
          <w:rFonts w:ascii="Arial" w:eastAsia="Times New Roman" w:hAnsi="Arial" w:cs="Arial"/>
          <w:sz w:val="22"/>
          <w:szCs w:val="22"/>
        </w:rPr>
        <w:t>Haenssgen</w:t>
      </w:r>
      <w:proofErr w:type="spellEnd"/>
      <w:r w:rsidRPr="00E43CCE">
        <w:rPr>
          <w:rFonts w:ascii="Arial" w:eastAsia="Times New Roman" w:hAnsi="Arial" w:cs="Arial"/>
          <w:sz w:val="22"/>
          <w:szCs w:val="22"/>
        </w:rPr>
        <w:t>, 2018). When older adults are forced to use systems they find unusable, the result is not mere non-adoption, but active exclusion and subsequent deterioration in well-being. Therefore, contemporary applications of these theories must account for systemic enforcement and the structural inequalities defined by the social determinants of health (Marmot et al., 2020).</w:t>
      </w:r>
      <w:r w:rsidRPr="00E43CCE">
        <w:rPr>
          <w:rFonts w:ascii="Arial" w:eastAsia="Times New Roman" w:hAnsi="Arial" w:cs="Arial"/>
          <w:sz w:val="22"/>
          <w:szCs w:val="22"/>
        </w:rPr>
        <w:br/>
      </w:r>
      <w:r w:rsidRPr="00E43CCE">
        <w:rPr>
          <w:rFonts w:ascii="Arial" w:eastAsia="Times New Roman" w:hAnsi="Arial" w:cs="Arial"/>
          <w:b/>
          <w:bCs/>
          <w:sz w:val="22"/>
          <w:szCs w:val="22"/>
        </w:rPr>
        <w:t>2.4 International Context</w:t>
      </w:r>
      <w:r w:rsidRPr="00E43CCE">
        <w:rPr>
          <w:rFonts w:ascii="Arial" w:eastAsia="Times New Roman" w:hAnsi="Arial" w:cs="Arial"/>
          <w:sz w:val="22"/>
          <w:szCs w:val="22"/>
        </w:rPr>
        <w:br/>
        <w:t>The digital divide in elderly healthcare is a global challenge, though international responses vary significantly. The World Health Organization (WHO, 2021) recognizes digital health as a vital tool for achieving universal health coverage, yet warns against the "technological imperative" that overlooks vulnerable populations.</w:t>
      </w:r>
      <w:r w:rsidRPr="00E43CCE">
        <w:rPr>
          <w:rFonts w:ascii="Arial" w:eastAsia="Times New Roman" w:hAnsi="Arial" w:cs="Arial"/>
          <w:sz w:val="22"/>
          <w:szCs w:val="22"/>
        </w:rPr>
        <w:br/>
        <w:t>In a comparative analysis, Scandinavian countries such as Sweden and Denmark present a contrasting picture to the UK. These nations have highly digitized infrastructures with over 90% of older adults actively using the internet (</w:t>
      </w:r>
      <w:proofErr w:type="spellStart"/>
      <w:r w:rsidRPr="00E43CCE">
        <w:rPr>
          <w:rFonts w:ascii="Arial" w:eastAsia="Times New Roman" w:hAnsi="Arial" w:cs="Arial"/>
          <w:sz w:val="22"/>
          <w:szCs w:val="22"/>
        </w:rPr>
        <w:t>Hänninen</w:t>
      </w:r>
      <w:proofErr w:type="spellEnd"/>
      <w:r w:rsidRPr="00E43CCE">
        <w:rPr>
          <w:rFonts w:ascii="Arial" w:eastAsia="Times New Roman" w:hAnsi="Arial" w:cs="Arial"/>
          <w:sz w:val="22"/>
          <w:szCs w:val="22"/>
        </w:rPr>
        <w:t xml:space="preserve"> et al., 2021). Their success is rooted in decades of heavily subsidized, state-sponsored digital literacy programs and co-design policies that require technologies to be user-friendly for all ages. Conversely, the United States faces a digital divide heavily compounded by socioeconomic and geographical factors. Research by </w:t>
      </w:r>
      <w:proofErr w:type="spellStart"/>
      <w:r w:rsidRPr="00E43CCE">
        <w:rPr>
          <w:rFonts w:ascii="Arial" w:eastAsia="Times New Roman" w:hAnsi="Arial" w:cs="Arial"/>
          <w:sz w:val="22"/>
          <w:szCs w:val="22"/>
        </w:rPr>
        <w:t>Eruchalu</w:t>
      </w:r>
      <w:proofErr w:type="spellEnd"/>
      <w:r w:rsidRPr="00E43CCE">
        <w:rPr>
          <w:rFonts w:ascii="Arial" w:eastAsia="Times New Roman" w:hAnsi="Arial" w:cs="Arial"/>
          <w:sz w:val="22"/>
          <w:szCs w:val="22"/>
        </w:rPr>
        <w:t xml:space="preserve"> et al. (2021) highlights that in the US, digital exclusion among the elderly is deeply intertwined with race, income, and rurality, with the privatized healthcare system offering little standardized support for digital </w:t>
      </w:r>
      <w:proofErr w:type="spellStart"/>
      <w:r w:rsidRPr="00E43CCE">
        <w:rPr>
          <w:rFonts w:ascii="Arial" w:eastAsia="Times New Roman" w:hAnsi="Arial" w:cs="Arial"/>
          <w:sz w:val="22"/>
          <w:szCs w:val="22"/>
        </w:rPr>
        <w:t>onboarding</w:t>
      </w:r>
      <w:proofErr w:type="spellEnd"/>
      <w:r w:rsidRPr="00E43CCE">
        <w:rPr>
          <w:rFonts w:ascii="Arial" w:eastAsia="Times New Roman" w:hAnsi="Arial" w:cs="Arial"/>
          <w:sz w:val="22"/>
          <w:szCs w:val="22"/>
        </w:rPr>
        <w:t>.</w:t>
      </w:r>
      <w:r w:rsidRPr="00E43CCE">
        <w:rPr>
          <w:rFonts w:ascii="Arial" w:eastAsia="Times New Roman" w:hAnsi="Arial" w:cs="Arial"/>
          <w:sz w:val="22"/>
          <w:szCs w:val="22"/>
        </w:rPr>
        <w:br/>
        <w:t>Case studies from Australia also highlight the challenges of telehealth in rural communities, where older populations face a "double burden" of age-related digital exclusion and poor telecommunications infrastructure (Willis et al., 2021). By comparing these global perspectives, it becomes evident that while the UK's universal NHS structure theoretically ensures equal access, the mechanism of delivery (digital-first) mimics the exclusionary patterns seen globally when inclusive policies are not prioritized.</w:t>
      </w:r>
      <w:r w:rsidRPr="00E43CCE">
        <w:rPr>
          <w:rFonts w:ascii="Arial" w:eastAsia="Times New Roman" w:hAnsi="Arial" w:cs="Arial"/>
          <w:sz w:val="22"/>
          <w:szCs w:val="22"/>
        </w:rPr>
        <w:br/>
      </w:r>
      <w:r w:rsidRPr="00E43CCE">
        <w:rPr>
          <w:rFonts w:ascii="Arial" w:eastAsia="Times New Roman" w:hAnsi="Arial" w:cs="Arial"/>
          <w:b/>
          <w:bCs/>
          <w:sz w:val="22"/>
          <w:szCs w:val="22"/>
        </w:rPr>
        <w:t>2.5 National/Local UK Context</w:t>
      </w:r>
      <w:r w:rsidRPr="00E43CCE">
        <w:rPr>
          <w:rFonts w:ascii="Arial" w:eastAsia="Times New Roman" w:hAnsi="Arial" w:cs="Arial"/>
          <w:sz w:val="22"/>
          <w:szCs w:val="22"/>
        </w:rPr>
        <w:br/>
        <w:t xml:space="preserve">Within the UK, the policy landscape is heavily skewed toward digital innovation. The </w:t>
      </w:r>
      <w:r w:rsidRPr="00E43CCE">
        <w:rPr>
          <w:rFonts w:ascii="Arial" w:eastAsia="Times New Roman" w:hAnsi="Arial" w:cs="Arial"/>
          <w:i/>
          <w:iCs/>
          <w:sz w:val="22"/>
          <w:szCs w:val="22"/>
        </w:rPr>
        <w:t>NHS Long Term Plan</w:t>
      </w:r>
      <w:r w:rsidRPr="00E43CCE">
        <w:rPr>
          <w:rFonts w:ascii="Arial" w:eastAsia="Times New Roman" w:hAnsi="Arial" w:cs="Arial"/>
          <w:sz w:val="22"/>
          <w:szCs w:val="22"/>
        </w:rPr>
        <w:t xml:space="preserve"> outlines a comprehensive digital transformation, setting targets for the NHS App to be the primary portal for patient interaction (NHS, 2019). While the policy aims to streamline services, the regulatory framework often lacks stringent mandates to protect those who cannot access these services.</w:t>
      </w:r>
      <w:r w:rsidRPr="00E43CCE">
        <w:rPr>
          <w:rFonts w:ascii="Arial" w:eastAsia="Times New Roman" w:hAnsi="Arial" w:cs="Arial"/>
          <w:sz w:val="22"/>
          <w:szCs w:val="22"/>
        </w:rPr>
        <w:br/>
        <w:t>Nationally, the statistics are stark. According to the ONS (2021), whilst internet usage among adults aged 65 and over has increased, approximately 2.5 million older adults in the UK have never used the internet. Furthermore, the Centre for Ageing Better (2021) reports that digital exclusion in the UK correlates strongly with regional deprivation; an older adult living in a deprived area of Northern England or Wales is significantly less likely to have broadband access compared to their affluent counterparts in the South East.</w:t>
      </w:r>
      <w:r w:rsidRPr="00E43CCE">
        <w:rPr>
          <w:rFonts w:ascii="Arial" w:eastAsia="Times New Roman" w:hAnsi="Arial" w:cs="Arial"/>
          <w:sz w:val="22"/>
          <w:szCs w:val="22"/>
        </w:rPr>
        <w:br/>
        <w:t>At a local level, Local Authorities and Clinical Commissioning Groups (now Integrated Care Systems) are tasked with bridging this gap. Initiatives often rely on third-sector interventions, such as Age UK's digital champion programs or local library IT workshops (Citizens Advice, 2020). However, Audit Wales (2021) noted that these local initiatives are often underfunded and fragmented, leading to a postcode lottery of digital support. The UK context illustrates a disconnect between national digital ambitions and the local realities of elderly populations navigating cognitive decline, poverty, and isolation.</w:t>
      </w:r>
      <w:r w:rsidRPr="00E43CCE">
        <w:rPr>
          <w:rFonts w:ascii="Arial" w:eastAsia="Times New Roman" w:hAnsi="Arial" w:cs="Arial"/>
          <w:sz w:val="22"/>
          <w:szCs w:val="22"/>
        </w:rPr>
        <w:br/>
      </w:r>
      <w:r w:rsidRPr="00E43CCE">
        <w:rPr>
          <w:rFonts w:ascii="Arial" w:eastAsia="Times New Roman" w:hAnsi="Arial" w:cs="Arial"/>
          <w:b/>
          <w:bCs/>
          <w:sz w:val="22"/>
          <w:szCs w:val="22"/>
        </w:rPr>
        <w:t>2.6 Conclusion</w:t>
      </w:r>
      <w:r w:rsidRPr="00E43CCE">
        <w:rPr>
          <w:rFonts w:ascii="Arial" w:eastAsia="Times New Roman" w:hAnsi="Arial" w:cs="Arial"/>
          <w:sz w:val="22"/>
          <w:szCs w:val="22"/>
        </w:rPr>
        <w:br/>
        <w:t xml:space="preserve">This chapter has demonstrated that the digital exclusion of the elderly in the UK is not an isolated technological failure, but the result of historical shifts, structural inequalities, and rapid policy changes unmoored from the realities of ageing. By viewing this through Van </w:t>
      </w:r>
      <w:proofErr w:type="spellStart"/>
      <w:r w:rsidRPr="00E43CCE">
        <w:rPr>
          <w:rFonts w:ascii="Arial" w:eastAsia="Times New Roman" w:hAnsi="Arial" w:cs="Arial"/>
          <w:sz w:val="22"/>
          <w:szCs w:val="22"/>
        </w:rPr>
        <w:t>Dijk's</w:t>
      </w:r>
      <w:proofErr w:type="spellEnd"/>
      <w:r w:rsidRPr="00E43CCE">
        <w:rPr>
          <w:rFonts w:ascii="Arial" w:eastAsia="Times New Roman" w:hAnsi="Arial" w:cs="Arial"/>
          <w:sz w:val="22"/>
          <w:szCs w:val="22"/>
        </w:rPr>
        <w:t xml:space="preserve"> theory and comparing international responses, it is clear that mitigating this divide requires systemic intervention rather than merely supplying devices.</w:t>
      </w:r>
      <w:r w:rsidRPr="00E43CCE">
        <w:rPr>
          <w:rFonts w:ascii="Arial" w:eastAsia="Times New Roman" w:hAnsi="Arial" w:cs="Arial"/>
          <w:sz w:val="22"/>
          <w:szCs w:val="22"/>
        </w:rPr>
        <w:br/>
        <w:t>The background information presented here provides the necessary context to understand the complex barriers facing older adults. The following chapter will detail the methodology and search strategy used to systematically collect and analyse the current literature regarding these barriers and their impact on well-being.</w:t>
      </w:r>
    </w:p>
    <w:p w14:paraId="3ACB4B33" w14:textId="2410B86C" w:rsidR="00D8041E" w:rsidRDefault="001A1531">
      <w:pPr>
        <w:rPr>
          <w:rFonts w:ascii="Arial" w:eastAsia="Times New Roman" w:hAnsi="Arial" w:cs="Arial"/>
          <w:sz w:val="22"/>
          <w:szCs w:val="22"/>
        </w:rPr>
      </w:pPr>
      <w:r w:rsidRPr="00E43CCE">
        <w:rPr>
          <w:rFonts w:ascii="Arial" w:eastAsia="Times New Roman" w:hAnsi="Arial" w:cs="Arial"/>
          <w:sz w:val="22"/>
          <w:szCs w:val="22"/>
        </w:rPr>
        <w:br/>
      </w:r>
      <w:r w:rsidRPr="00E43CCE">
        <w:rPr>
          <w:rFonts w:ascii="Arial" w:eastAsia="Times New Roman" w:hAnsi="Arial" w:cs="Arial"/>
          <w:b/>
          <w:bCs/>
          <w:sz w:val="22"/>
          <w:szCs w:val="22"/>
        </w:rPr>
        <w:t>CHAPTER 3: Methods and Search Strategy</w:t>
      </w:r>
      <w:r w:rsidRPr="00E43CCE">
        <w:rPr>
          <w:rFonts w:ascii="Arial" w:eastAsia="Times New Roman" w:hAnsi="Arial" w:cs="Arial"/>
          <w:sz w:val="22"/>
          <w:szCs w:val="22"/>
        </w:rPr>
        <w:br/>
      </w:r>
      <w:r w:rsidRPr="00E43CCE">
        <w:rPr>
          <w:rFonts w:ascii="Arial" w:eastAsia="Times New Roman" w:hAnsi="Arial" w:cs="Arial"/>
          <w:b/>
          <w:bCs/>
          <w:sz w:val="22"/>
          <w:szCs w:val="22"/>
        </w:rPr>
        <w:t>3.1 Introduction</w:t>
      </w:r>
      <w:r w:rsidRPr="00E43CCE">
        <w:rPr>
          <w:rFonts w:ascii="Arial" w:eastAsia="Times New Roman" w:hAnsi="Arial" w:cs="Arial"/>
          <w:sz w:val="22"/>
          <w:szCs w:val="22"/>
        </w:rPr>
        <w:br/>
        <w:t>This chapter outlines the methodological approach undertaken to investigate the impact of digital exclusion on healthcare access and the well-being of the elderly. A desk-based, secondary research methodology was employed, focusing on a systematic review of currently published literature. While an academic poster provided a visual summary of these methods, this chapter expands comprehensively on the search strategy, source validation, inclusion/exclusion criteria, and the thematic coding process used to distil the findings presented in Chapter 4.</w:t>
      </w:r>
      <w:r w:rsidRPr="00E43CCE">
        <w:rPr>
          <w:rFonts w:ascii="Arial" w:eastAsia="Times New Roman" w:hAnsi="Arial" w:cs="Arial"/>
          <w:sz w:val="22"/>
          <w:szCs w:val="22"/>
        </w:rPr>
        <w:br/>
      </w:r>
      <w:r w:rsidRPr="00E43CCE">
        <w:rPr>
          <w:rFonts w:ascii="Arial" w:eastAsia="Times New Roman" w:hAnsi="Arial" w:cs="Arial"/>
          <w:b/>
          <w:bCs/>
          <w:sz w:val="22"/>
          <w:szCs w:val="22"/>
        </w:rPr>
        <w:t>3.2 Search Strategy</w:t>
      </w:r>
      <w:r w:rsidRPr="00E43CCE">
        <w:rPr>
          <w:rFonts w:ascii="Arial" w:eastAsia="Times New Roman" w:hAnsi="Arial" w:cs="Arial"/>
          <w:sz w:val="22"/>
          <w:szCs w:val="22"/>
        </w:rPr>
        <w:br/>
        <w:t>To capture a broad yet highly relevant spectrum of literature, the search strategy began with the deconstruction of the research title into core concepts.</w:t>
      </w:r>
      <w:r w:rsidRPr="00E43CCE">
        <w:rPr>
          <w:rFonts w:ascii="Arial" w:eastAsia="Times New Roman" w:hAnsi="Arial" w:cs="Arial"/>
          <w:sz w:val="22"/>
          <w:szCs w:val="22"/>
        </w:rPr>
        <w:br/>
        <w:t>Keywords were developed and categorised:</w:t>
      </w:r>
      <w:r w:rsidRPr="00E43CCE">
        <w:rPr>
          <w:rFonts w:ascii="Arial" w:eastAsia="Times New Roman" w:hAnsi="Arial" w:cs="Arial"/>
          <w:sz w:val="22"/>
          <w:szCs w:val="22"/>
        </w:rPr>
        <w:br/>
      </w:r>
      <w:r w:rsidRPr="00E43CCE">
        <w:rPr>
          <w:rFonts w:ascii="Arial" w:eastAsia="Times New Roman" w:hAnsi="Arial" w:cs="Arial"/>
          <w:i/>
          <w:iCs/>
          <w:sz w:val="22"/>
          <w:szCs w:val="22"/>
        </w:rPr>
        <w:t>• Population:</w:t>
      </w:r>
      <w:r w:rsidRPr="00E43CCE">
        <w:rPr>
          <w:rFonts w:ascii="Arial" w:eastAsia="Times New Roman" w:hAnsi="Arial" w:cs="Arial"/>
          <w:sz w:val="22"/>
          <w:szCs w:val="22"/>
        </w:rPr>
        <w:t xml:space="preserve"> "Elderly", "Older adults", "Geriatric", "Ageing population".</w:t>
      </w:r>
      <w:r w:rsidRPr="00E43CCE">
        <w:rPr>
          <w:rFonts w:ascii="Arial" w:eastAsia="Times New Roman" w:hAnsi="Arial" w:cs="Arial"/>
          <w:sz w:val="22"/>
          <w:szCs w:val="22"/>
        </w:rPr>
        <w:br/>
      </w:r>
      <w:r w:rsidRPr="00E43CCE">
        <w:rPr>
          <w:rFonts w:ascii="Arial" w:eastAsia="Times New Roman" w:hAnsi="Arial" w:cs="Arial"/>
          <w:i/>
          <w:iCs/>
          <w:sz w:val="22"/>
          <w:szCs w:val="22"/>
        </w:rPr>
        <w:t>• Issue:</w:t>
      </w:r>
      <w:r w:rsidRPr="00E43CCE">
        <w:rPr>
          <w:rFonts w:ascii="Arial" w:eastAsia="Times New Roman" w:hAnsi="Arial" w:cs="Arial"/>
          <w:sz w:val="22"/>
          <w:szCs w:val="22"/>
        </w:rPr>
        <w:t xml:space="preserve"> "Digital divide", "Digital exclusion", "Digital literacy", "eHealth literacy".</w:t>
      </w:r>
      <w:r w:rsidRPr="00E43CCE">
        <w:rPr>
          <w:rFonts w:ascii="Arial" w:eastAsia="Times New Roman" w:hAnsi="Arial" w:cs="Arial"/>
          <w:sz w:val="22"/>
          <w:szCs w:val="22"/>
        </w:rPr>
        <w:br/>
      </w:r>
      <w:r w:rsidRPr="00E43CCE">
        <w:rPr>
          <w:rFonts w:ascii="Arial" w:eastAsia="Times New Roman" w:hAnsi="Arial" w:cs="Arial"/>
          <w:i/>
          <w:iCs/>
          <w:sz w:val="22"/>
          <w:szCs w:val="22"/>
        </w:rPr>
        <w:t>• Outcome:</w:t>
      </w:r>
      <w:r w:rsidRPr="00E43CCE">
        <w:rPr>
          <w:rFonts w:ascii="Arial" w:eastAsia="Times New Roman" w:hAnsi="Arial" w:cs="Arial"/>
          <w:sz w:val="22"/>
          <w:szCs w:val="22"/>
        </w:rPr>
        <w:t xml:space="preserve"> "Healthcare access", "Telehealth", "Well-being", "Social isolation".</w:t>
      </w:r>
      <w:r w:rsidRPr="00E43CCE">
        <w:rPr>
          <w:rFonts w:ascii="Arial" w:eastAsia="Times New Roman" w:hAnsi="Arial" w:cs="Arial"/>
          <w:sz w:val="22"/>
          <w:szCs w:val="22"/>
        </w:rPr>
        <w:br/>
        <w:t>Boolean operators were utilized to refine the search. The operator "AND" was used to link core concepts (e.g., "Elderly" AND "Digital exclusion" AND "Telehealth"), ensuring all terms appeared in the results. "OR" was used to group synonyms (e.g., "Digital divide" OR "Digital exclusion"). "NOT" was occasionally employed to exclude irrelevant geographical contexts (e.g., NOT "Paediatric"). This structured search plan was recorded systematically to ensure reproducibility.</w:t>
      </w:r>
      <w:r w:rsidRPr="00E43CCE">
        <w:rPr>
          <w:rFonts w:ascii="Arial" w:eastAsia="Times New Roman" w:hAnsi="Arial" w:cs="Arial"/>
          <w:sz w:val="22"/>
          <w:szCs w:val="22"/>
        </w:rPr>
        <w:br/>
      </w:r>
      <w:r w:rsidRPr="00E43CCE">
        <w:rPr>
          <w:rFonts w:ascii="Arial" w:eastAsia="Times New Roman" w:hAnsi="Arial" w:cs="Arial"/>
          <w:b/>
          <w:bCs/>
          <w:sz w:val="22"/>
          <w:szCs w:val="22"/>
        </w:rPr>
        <w:t>3.3 Searching for Information</w:t>
      </w:r>
      <w:r w:rsidRPr="00E43CCE">
        <w:rPr>
          <w:rFonts w:ascii="Arial" w:eastAsia="Times New Roman" w:hAnsi="Arial" w:cs="Arial"/>
          <w:sz w:val="22"/>
          <w:szCs w:val="22"/>
        </w:rPr>
        <w:br/>
        <w:t>A multi-platform approach was adopted to locate academic journals, policy documents, and grey literature. Primary academic databases included PubMed and CINAHL, chosen for their extensive repositories of peer-reviewed health and nursing literature. Google Scholar and the UWTSD Library catalogue were used for interdisciplinary access to sociology and informatics journals.</w:t>
      </w:r>
      <w:r w:rsidRPr="00E43CCE">
        <w:rPr>
          <w:rFonts w:ascii="Arial" w:eastAsia="Times New Roman" w:hAnsi="Arial" w:cs="Arial"/>
          <w:sz w:val="22"/>
          <w:szCs w:val="22"/>
        </w:rPr>
        <w:br/>
        <w:t xml:space="preserve">To ensure the relevance of the data, specific filters were applied across these platforms. Results were filtered by date (2014–2024) to capture modern technological shifts, particularly the post-COVID-19 landscape. Filters were also applied to restrict findings to the English language and prioritize UK-based studies, though key international studies were retained for theoretical context. The search process was iterative; initial searches yielded overwhelmingly broad technical papers on telehealth efficacy, requiring adjustments to keywords to refocus on the </w:t>
      </w:r>
      <w:r w:rsidRPr="00E43CCE">
        <w:rPr>
          <w:rFonts w:ascii="Arial" w:eastAsia="Times New Roman" w:hAnsi="Arial" w:cs="Arial"/>
          <w:i/>
          <w:iCs/>
          <w:sz w:val="22"/>
          <w:szCs w:val="22"/>
        </w:rPr>
        <w:t>patient experience</w:t>
      </w:r>
      <w:r w:rsidRPr="00E43CCE">
        <w:rPr>
          <w:rFonts w:ascii="Arial" w:eastAsia="Times New Roman" w:hAnsi="Arial" w:cs="Arial"/>
          <w:sz w:val="22"/>
          <w:szCs w:val="22"/>
        </w:rPr>
        <w:t xml:space="preserve"> and </w:t>
      </w:r>
      <w:r w:rsidRPr="00E43CCE">
        <w:rPr>
          <w:rFonts w:ascii="Arial" w:eastAsia="Times New Roman" w:hAnsi="Arial" w:cs="Arial"/>
          <w:i/>
          <w:iCs/>
          <w:sz w:val="22"/>
          <w:szCs w:val="22"/>
        </w:rPr>
        <w:t>psychosocial impact</w:t>
      </w:r>
      <w:r w:rsidRPr="00E43CCE">
        <w:rPr>
          <w:rFonts w:ascii="Arial" w:eastAsia="Times New Roman" w:hAnsi="Arial" w:cs="Arial"/>
          <w:sz w:val="22"/>
          <w:szCs w:val="22"/>
        </w:rPr>
        <w:t>. A source tracking spreadsheet was utilized to log author details, core findings, and relevance.</w:t>
      </w:r>
      <w:r w:rsidRPr="00E43CCE">
        <w:rPr>
          <w:rFonts w:ascii="Arial" w:eastAsia="Times New Roman" w:hAnsi="Arial" w:cs="Arial"/>
          <w:sz w:val="22"/>
          <w:szCs w:val="22"/>
        </w:rPr>
        <w:br/>
      </w:r>
      <w:r w:rsidRPr="00E43CCE">
        <w:rPr>
          <w:rFonts w:ascii="Arial" w:eastAsia="Times New Roman" w:hAnsi="Arial" w:cs="Arial"/>
          <w:b/>
          <w:bCs/>
          <w:sz w:val="22"/>
          <w:szCs w:val="22"/>
        </w:rPr>
        <w:t>3.4 Research Validation</w:t>
      </w:r>
      <w:r w:rsidRPr="00E43CCE">
        <w:rPr>
          <w:rFonts w:ascii="Arial" w:eastAsia="Times New Roman" w:hAnsi="Arial" w:cs="Arial"/>
          <w:sz w:val="22"/>
          <w:szCs w:val="22"/>
        </w:rPr>
        <w:br/>
        <w:t>Given the vast amount of information retrieved, a rigorous validation process was necessary. Initial screening involved skimming the title, abstract, and conclusion of articles to ascertain basic relevance to the older adult demographic and digital healthcare.</w:t>
      </w:r>
      <w:r w:rsidRPr="00E43CCE">
        <w:rPr>
          <w:rFonts w:ascii="Arial" w:eastAsia="Times New Roman" w:hAnsi="Arial" w:cs="Arial"/>
          <w:sz w:val="22"/>
          <w:szCs w:val="22"/>
        </w:rPr>
        <w:br/>
        <w:t xml:space="preserve">Articles that passed the skimming phase were subjected to the </w:t>
      </w:r>
      <w:r w:rsidRPr="00E43CCE">
        <w:rPr>
          <w:rFonts w:ascii="Arial" w:eastAsia="Times New Roman" w:hAnsi="Arial" w:cs="Arial"/>
          <w:b/>
          <w:bCs/>
          <w:sz w:val="22"/>
          <w:szCs w:val="22"/>
        </w:rPr>
        <w:t>CRAAP test</w:t>
      </w:r>
      <w:r w:rsidRPr="00E43CCE">
        <w:rPr>
          <w:rFonts w:ascii="Arial" w:eastAsia="Times New Roman" w:hAnsi="Arial" w:cs="Arial"/>
          <w:sz w:val="22"/>
          <w:szCs w:val="22"/>
        </w:rPr>
        <w:t xml:space="preserve"> (Currency, Relevance, Authority, Accuracy, Purpose).</w:t>
      </w:r>
      <w:r w:rsidRPr="00E43CCE">
        <w:rPr>
          <w:rFonts w:ascii="Arial" w:eastAsia="Times New Roman" w:hAnsi="Arial" w:cs="Arial"/>
          <w:sz w:val="22"/>
          <w:szCs w:val="22"/>
        </w:rPr>
        <w:br/>
      </w:r>
      <w:r w:rsidRPr="00E43CCE">
        <w:rPr>
          <w:rFonts w:ascii="Arial" w:eastAsia="Times New Roman" w:hAnsi="Arial" w:cs="Arial"/>
          <w:b/>
          <w:bCs/>
          <w:sz w:val="22"/>
          <w:szCs w:val="22"/>
        </w:rPr>
        <w:t>• Currency:</w:t>
      </w:r>
      <w:r w:rsidRPr="00E43CCE">
        <w:rPr>
          <w:rFonts w:ascii="Arial" w:eastAsia="Times New Roman" w:hAnsi="Arial" w:cs="Arial"/>
          <w:sz w:val="22"/>
          <w:szCs w:val="22"/>
        </w:rPr>
        <w:t xml:space="preserve"> Studies published prior to 2014 were largely discarded due to the rapid evolution of digital health platforms.</w:t>
      </w:r>
      <w:r w:rsidRPr="00E43CCE">
        <w:rPr>
          <w:rFonts w:ascii="Arial" w:eastAsia="Times New Roman" w:hAnsi="Arial" w:cs="Arial"/>
          <w:sz w:val="22"/>
          <w:szCs w:val="22"/>
        </w:rPr>
        <w:br/>
      </w:r>
      <w:r w:rsidRPr="00E43CCE">
        <w:rPr>
          <w:rFonts w:ascii="Arial" w:eastAsia="Times New Roman" w:hAnsi="Arial" w:cs="Arial"/>
          <w:b/>
          <w:bCs/>
          <w:sz w:val="22"/>
          <w:szCs w:val="22"/>
        </w:rPr>
        <w:t>• Relevance:</w:t>
      </w:r>
      <w:r w:rsidRPr="00E43CCE">
        <w:rPr>
          <w:rFonts w:ascii="Arial" w:eastAsia="Times New Roman" w:hAnsi="Arial" w:cs="Arial"/>
          <w:sz w:val="22"/>
          <w:szCs w:val="22"/>
        </w:rPr>
        <w:t xml:space="preserve"> The focus remained strictly on healthcare access and well-being, rather than general internet use.</w:t>
      </w:r>
      <w:r w:rsidRPr="00E43CCE">
        <w:rPr>
          <w:rFonts w:ascii="Arial" w:eastAsia="Times New Roman" w:hAnsi="Arial" w:cs="Arial"/>
          <w:sz w:val="22"/>
          <w:szCs w:val="22"/>
        </w:rPr>
        <w:br/>
      </w:r>
      <w:r w:rsidRPr="00E43CCE">
        <w:rPr>
          <w:rFonts w:ascii="Arial" w:eastAsia="Times New Roman" w:hAnsi="Arial" w:cs="Arial"/>
          <w:b/>
          <w:bCs/>
          <w:sz w:val="22"/>
          <w:szCs w:val="22"/>
        </w:rPr>
        <w:t>• Authority &amp; Accuracy:</w:t>
      </w:r>
      <w:r w:rsidRPr="00E43CCE">
        <w:rPr>
          <w:rFonts w:ascii="Arial" w:eastAsia="Times New Roman" w:hAnsi="Arial" w:cs="Arial"/>
          <w:sz w:val="22"/>
          <w:szCs w:val="22"/>
        </w:rPr>
        <w:t xml:space="preserve"> Priority was given to peer-reviewed journals (e.g., </w:t>
      </w:r>
      <w:r w:rsidRPr="00E43CCE">
        <w:rPr>
          <w:rFonts w:ascii="Arial" w:eastAsia="Times New Roman" w:hAnsi="Arial" w:cs="Arial"/>
          <w:i/>
          <w:iCs/>
          <w:sz w:val="22"/>
          <w:szCs w:val="22"/>
        </w:rPr>
        <w:t>Journal of Medical Internet Research</w:t>
      </w:r>
      <w:r w:rsidRPr="00E43CCE">
        <w:rPr>
          <w:rFonts w:ascii="Arial" w:eastAsia="Times New Roman" w:hAnsi="Arial" w:cs="Arial"/>
          <w:sz w:val="22"/>
          <w:szCs w:val="22"/>
        </w:rPr>
        <w:t xml:space="preserve">, </w:t>
      </w:r>
      <w:r w:rsidRPr="00E43CCE">
        <w:rPr>
          <w:rFonts w:ascii="Arial" w:eastAsia="Times New Roman" w:hAnsi="Arial" w:cs="Arial"/>
          <w:i/>
          <w:iCs/>
          <w:sz w:val="22"/>
          <w:szCs w:val="22"/>
        </w:rPr>
        <w:t>The Lancet</w:t>
      </w:r>
      <w:r w:rsidRPr="00E43CCE">
        <w:rPr>
          <w:rFonts w:ascii="Arial" w:eastAsia="Times New Roman" w:hAnsi="Arial" w:cs="Arial"/>
          <w:sz w:val="22"/>
          <w:szCs w:val="22"/>
        </w:rPr>
        <w:t>) and established institutions (Age UK, ONS, Health Foundation).</w:t>
      </w:r>
      <w:r w:rsidRPr="00E43CCE">
        <w:rPr>
          <w:rFonts w:ascii="Arial" w:eastAsia="Times New Roman" w:hAnsi="Arial" w:cs="Arial"/>
          <w:sz w:val="22"/>
          <w:szCs w:val="22"/>
        </w:rPr>
        <w:br/>
      </w:r>
      <w:r w:rsidRPr="00E43CCE">
        <w:rPr>
          <w:rFonts w:ascii="Arial" w:eastAsia="Times New Roman" w:hAnsi="Arial" w:cs="Arial"/>
          <w:b/>
          <w:bCs/>
          <w:sz w:val="22"/>
          <w:szCs w:val="22"/>
        </w:rPr>
        <w:t>• Purpose:</w:t>
      </w:r>
      <w:r w:rsidRPr="00E43CCE">
        <w:rPr>
          <w:rFonts w:ascii="Arial" w:eastAsia="Times New Roman" w:hAnsi="Arial" w:cs="Arial"/>
          <w:sz w:val="22"/>
          <w:szCs w:val="22"/>
        </w:rPr>
        <w:t xml:space="preserve"> Sources demonstrating overt commercial bias (e.g., telehealth software vendors promoting their own products) were heavily scrutinized and generally excluded to maintain academic objectivity.</w:t>
      </w:r>
      <w:r w:rsidRPr="00E43CCE">
        <w:rPr>
          <w:rFonts w:ascii="Arial" w:eastAsia="Times New Roman" w:hAnsi="Arial" w:cs="Arial"/>
          <w:sz w:val="22"/>
          <w:szCs w:val="22"/>
        </w:rPr>
        <w:br/>
      </w:r>
      <w:r w:rsidRPr="00E43CCE">
        <w:rPr>
          <w:rFonts w:ascii="Arial" w:eastAsia="Times New Roman" w:hAnsi="Arial" w:cs="Arial"/>
          <w:b/>
          <w:bCs/>
          <w:sz w:val="22"/>
          <w:szCs w:val="22"/>
        </w:rPr>
        <w:t>3.5 Inclusion and Exclusion Criteria</w:t>
      </w:r>
      <w:r w:rsidRPr="00E43CCE">
        <w:rPr>
          <w:rFonts w:ascii="Arial" w:eastAsia="Times New Roman" w:hAnsi="Arial" w:cs="Arial"/>
          <w:sz w:val="22"/>
          <w:szCs w:val="22"/>
        </w:rPr>
        <w:br/>
        <w:t>Clear parameters were established to maintain the focus and quality of the research.</w:t>
      </w:r>
      <w:r w:rsidRPr="00E43CCE">
        <w:rPr>
          <w:rFonts w:ascii="Arial" w:eastAsia="Times New Roman" w:hAnsi="Arial" w:cs="Arial"/>
          <w:sz w:val="22"/>
          <w:szCs w:val="22"/>
        </w:rPr>
        <w:br/>
      </w:r>
      <w:r w:rsidRPr="00E43CCE">
        <w:rPr>
          <w:rFonts w:ascii="Arial" w:eastAsia="Times New Roman" w:hAnsi="Arial" w:cs="Arial"/>
          <w:b/>
          <w:bCs/>
          <w:sz w:val="22"/>
          <w:szCs w:val="22"/>
        </w:rPr>
        <w:t>Inclusion Criteria:</w:t>
      </w:r>
      <w:r w:rsidRPr="00E43CCE">
        <w:rPr>
          <w:rFonts w:ascii="Arial" w:eastAsia="Times New Roman" w:hAnsi="Arial" w:cs="Arial"/>
          <w:sz w:val="22"/>
          <w:szCs w:val="22"/>
        </w:rPr>
        <w:br/>
        <w:t>• Peer-reviewed empirical studies, systematic reviews, and reputable grey literature (reports by established NGOs/</w:t>
      </w:r>
      <w:proofErr w:type="spellStart"/>
      <w:r w:rsidRPr="00E43CCE">
        <w:rPr>
          <w:rFonts w:ascii="Arial" w:eastAsia="Times New Roman" w:hAnsi="Arial" w:cs="Arial"/>
          <w:sz w:val="22"/>
          <w:szCs w:val="22"/>
        </w:rPr>
        <w:t>Govt</w:t>
      </w:r>
      <w:proofErr w:type="spellEnd"/>
      <w:r w:rsidRPr="00E43CCE">
        <w:rPr>
          <w:rFonts w:ascii="Arial" w:eastAsia="Times New Roman" w:hAnsi="Arial" w:cs="Arial"/>
          <w:sz w:val="22"/>
          <w:szCs w:val="22"/>
        </w:rPr>
        <w:t>).</w:t>
      </w:r>
      <w:r w:rsidRPr="00E43CCE">
        <w:rPr>
          <w:rFonts w:ascii="Arial" w:eastAsia="Times New Roman" w:hAnsi="Arial" w:cs="Arial"/>
          <w:sz w:val="22"/>
          <w:szCs w:val="22"/>
        </w:rPr>
        <w:br/>
        <w:t>• Published between 2014 and 2024.</w:t>
      </w:r>
      <w:r w:rsidRPr="00E43CCE">
        <w:rPr>
          <w:rFonts w:ascii="Arial" w:eastAsia="Times New Roman" w:hAnsi="Arial" w:cs="Arial"/>
          <w:sz w:val="22"/>
          <w:szCs w:val="22"/>
        </w:rPr>
        <w:br/>
        <w:t>• Focus explicitly on individuals aged 65 and older.</w:t>
      </w:r>
      <w:r w:rsidRPr="00E43CCE">
        <w:rPr>
          <w:rFonts w:ascii="Arial" w:eastAsia="Times New Roman" w:hAnsi="Arial" w:cs="Arial"/>
          <w:sz w:val="22"/>
          <w:szCs w:val="22"/>
        </w:rPr>
        <w:br/>
        <w:t>• Geographical focus primarily on the UK, or highly applicable Western healthcare systems.</w:t>
      </w:r>
      <w:r w:rsidRPr="00E43CCE">
        <w:rPr>
          <w:rFonts w:ascii="Arial" w:eastAsia="Times New Roman" w:hAnsi="Arial" w:cs="Arial"/>
          <w:sz w:val="22"/>
          <w:szCs w:val="22"/>
        </w:rPr>
        <w:br/>
      </w:r>
      <w:r w:rsidRPr="00E43CCE">
        <w:rPr>
          <w:rFonts w:ascii="Arial" w:eastAsia="Times New Roman" w:hAnsi="Arial" w:cs="Arial"/>
          <w:b/>
          <w:bCs/>
          <w:sz w:val="22"/>
          <w:szCs w:val="22"/>
        </w:rPr>
        <w:t>Exclusion Criteria:</w:t>
      </w:r>
      <w:r w:rsidRPr="00E43CCE">
        <w:rPr>
          <w:rFonts w:ascii="Arial" w:eastAsia="Times New Roman" w:hAnsi="Arial" w:cs="Arial"/>
          <w:sz w:val="22"/>
          <w:szCs w:val="22"/>
        </w:rPr>
        <w:br/>
        <w:t>• Non-academic sources such as opinion blogs, media editorials, or commercial whitepapers.</w:t>
      </w:r>
      <w:r w:rsidRPr="00E43CCE">
        <w:rPr>
          <w:rFonts w:ascii="Arial" w:eastAsia="Times New Roman" w:hAnsi="Arial" w:cs="Arial"/>
          <w:sz w:val="22"/>
          <w:szCs w:val="22"/>
        </w:rPr>
        <w:br/>
        <w:t>• Studies focusing on the digital exclusion of younger demographics.</w:t>
      </w:r>
      <w:r w:rsidRPr="00E43CCE">
        <w:rPr>
          <w:rFonts w:ascii="Arial" w:eastAsia="Times New Roman" w:hAnsi="Arial" w:cs="Arial"/>
          <w:sz w:val="22"/>
          <w:szCs w:val="22"/>
        </w:rPr>
        <w:br/>
        <w:t>• Research strictly evaluating the clinical efficacy of a medical device rather than patient access.</w:t>
      </w:r>
      <w:r w:rsidRPr="00E43CCE">
        <w:rPr>
          <w:rFonts w:ascii="Arial" w:eastAsia="Times New Roman" w:hAnsi="Arial" w:cs="Arial"/>
          <w:sz w:val="22"/>
          <w:szCs w:val="22"/>
        </w:rPr>
        <w:br/>
        <w:t>These criteria ensured the selected literature provided high-quality, relevant data to answer the research objectives.</w:t>
      </w:r>
      <w:r w:rsidRPr="00E43CCE">
        <w:rPr>
          <w:rFonts w:ascii="Arial" w:eastAsia="Times New Roman" w:hAnsi="Arial" w:cs="Arial"/>
          <w:sz w:val="22"/>
          <w:szCs w:val="22"/>
        </w:rPr>
        <w:br/>
      </w:r>
      <w:r w:rsidRPr="00E43CCE">
        <w:rPr>
          <w:rFonts w:ascii="Arial" w:eastAsia="Times New Roman" w:hAnsi="Arial" w:cs="Arial"/>
          <w:b/>
          <w:bCs/>
          <w:sz w:val="22"/>
          <w:szCs w:val="22"/>
        </w:rPr>
        <w:t>3.6 Analysing Research</w:t>
      </w:r>
      <w:r w:rsidRPr="00E43CCE">
        <w:rPr>
          <w:rFonts w:ascii="Arial" w:eastAsia="Times New Roman" w:hAnsi="Arial" w:cs="Arial"/>
          <w:sz w:val="22"/>
          <w:szCs w:val="22"/>
        </w:rPr>
        <w:br/>
        <w:t>A thematic analysis approach, guided by the principles of Braun and Clarke (2006), was utilized to analyse the selected literature. This involved a rigorous process of reading and re-reading the validated articles to identify recurring patterns of meaning.</w:t>
      </w:r>
      <w:r w:rsidRPr="00E43CCE">
        <w:rPr>
          <w:rFonts w:ascii="Arial" w:eastAsia="Times New Roman" w:hAnsi="Arial" w:cs="Arial"/>
          <w:sz w:val="22"/>
          <w:szCs w:val="22"/>
        </w:rPr>
        <w:br/>
        <w:t>An inductive coding process was applied. Initial codes were generated based on specific barriers mentioned in the texts, such as "lack of broadband," "fear of making a mistake online," and "loss of GP relationship." Through an iterative process, these codes were collated, mapped, and grouped into three overarching themes: (1) Access and Infrastructure Barriers, (2) Digital Health Literacy and Design Exclusion, and (3) Psychosocial Impact and Social Isolation. A colour-coded matrix was utilized within a spreadsheet to organise quotes and statistics from various authors under these distinct themes, facilitating the structured discussion in Chapter 4.</w:t>
      </w:r>
      <w:r w:rsidRPr="00E43CCE">
        <w:rPr>
          <w:rFonts w:ascii="Arial" w:eastAsia="Times New Roman" w:hAnsi="Arial" w:cs="Arial"/>
          <w:sz w:val="22"/>
          <w:szCs w:val="22"/>
        </w:rPr>
        <w:br/>
      </w:r>
      <w:r w:rsidRPr="00E43CCE">
        <w:rPr>
          <w:rFonts w:ascii="Arial" w:eastAsia="Times New Roman" w:hAnsi="Arial" w:cs="Arial"/>
          <w:b/>
          <w:bCs/>
          <w:sz w:val="22"/>
          <w:szCs w:val="22"/>
        </w:rPr>
        <w:t>3.7 Ethical Considerations</w:t>
      </w:r>
      <w:r w:rsidRPr="00E43CCE">
        <w:rPr>
          <w:rFonts w:ascii="Arial" w:eastAsia="Times New Roman" w:hAnsi="Arial" w:cs="Arial"/>
          <w:sz w:val="22"/>
          <w:szCs w:val="22"/>
        </w:rPr>
        <w:br/>
        <w:t>As this dissertation is a secondary research project based entirely on existing, publicly available literature, no primary data collection occurred. Consequently, formal ethical approval from an Institutional Review Board was not required, as there was no interaction with human participants.</w:t>
      </w:r>
      <w:r w:rsidRPr="00E43CCE">
        <w:rPr>
          <w:rFonts w:ascii="Arial" w:eastAsia="Times New Roman" w:hAnsi="Arial" w:cs="Arial"/>
          <w:sz w:val="22"/>
          <w:szCs w:val="22"/>
        </w:rPr>
        <w:br/>
        <w:t>However, ethical integrity was maintained throughout the research process. Academic honesty was upheld by accurately representing the views of original authors and avoiding cherry-picking data to fit preconceived narratives. All intellectual property was respected, with rigorous application of the UWTSD Harvard referencing system to prevent plagiarism and ensure transparency.</w:t>
      </w:r>
      <w:r w:rsidRPr="00E43CCE">
        <w:rPr>
          <w:rFonts w:ascii="Arial" w:eastAsia="Times New Roman" w:hAnsi="Arial" w:cs="Arial"/>
          <w:sz w:val="22"/>
          <w:szCs w:val="22"/>
        </w:rPr>
        <w:br/>
      </w:r>
      <w:r w:rsidRPr="00E43CCE">
        <w:rPr>
          <w:rFonts w:ascii="Arial" w:eastAsia="Times New Roman" w:hAnsi="Arial" w:cs="Arial"/>
          <w:b/>
          <w:bCs/>
          <w:sz w:val="22"/>
          <w:szCs w:val="22"/>
        </w:rPr>
        <w:t>3.8 Chapter Conclusion</w:t>
      </w:r>
      <w:r w:rsidRPr="00E43CCE">
        <w:rPr>
          <w:rFonts w:ascii="Arial" w:eastAsia="Times New Roman" w:hAnsi="Arial" w:cs="Arial"/>
          <w:sz w:val="22"/>
          <w:szCs w:val="22"/>
        </w:rPr>
        <w:br/>
        <w:t>This chapter has detailed the robust secondary methodology used to conduct this research. By employing a structured search strategy, strict CRAAP validation, and defined inclusion/exclusion criteria, high-quality literature was curated. The application of thematic analysis to this literature provided a framework for synthesizing complex data.</w:t>
      </w:r>
      <w:r w:rsidRPr="00E43CCE">
        <w:rPr>
          <w:rFonts w:ascii="Arial" w:eastAsia="Times New Roman" w:hAnsi="Arial" w:cs="Arial"/>
          <w:sz w:val="22"/>
          <w:szCs w:val="22"/>
        </w:rPr>
        <w:br/>
        <w:t>The following chapter will present the findings of this thematic coding, organised into three distinct themes, and discuss these insights in direct relation to the research aim of evaluating the impact of digital exclusion on the elderly.</w:t>
      </w:r>
    </w:p>
    <w:p w14:paraId="54A29069" w14:textId="27066131" w:rsidR="007A0160" w:rsidRPr="00E43CCE" w:rsidRDefault="001A1531">
      <w:pPr>
        <w:rPr>
          <w:rFonts w:ascii="Arial" w:eastAsia="Times New Roman" w:hAnsi="Arial" w:cs="Arial"/>
          <w:sz w:val="22"/>
          <w:szCs w:val="22"/>
        </w:rPr>
      </w:pPr>
      <w:r w:rsidRPr="00E43CCE">
        <w:rPr>
          <w:rFonts w:ascii="Arial" w:eastAsia="Times New Roman" w:hAnsi="Arial" w:cs="Arial"/>
          <w:sz w:val="22"/>
          <w:szCs w:val="22"/>
        </w:rPr>
        <w:br/>
      </w:r>
      <w:r w:rsidRPr="00E43CCE">
        <w:rPr>
          <w:rFonts w:ascii="Arial" w:eastAsia="Times New Roman" w:hAnsi="Arial" w:cs="Arial"/>
          <w:b/>
          <w:bCs/>
          <w:sz w:val="22"/>
          <w:szCs w:val="22"/>
        </w:rPr>
        <w:t>CHAPTER 4: Findings and Discussion</w:t>
      </w:r>
      <w:r w:rsidRPr="00E43CCE">
        <w:rPr>
          <w:rFonts w:ascii="Arial" w:eastAsia="Times New Roman" w:hAnsi="Arial" w:cs="Arial"/>
          <w:sz w:val="22"/>
          <w:szCs w:val="22"/>
        </w:rPr>
        <w:br/>
      </w:r>
      <w:r w:rsidRPr="00E43CCE">
        <w:rPr>
          <w:rFonts w:ascii="Arial" w:eastAsia="Times New Roman" w:hAnsi="Arial" w:cs="Arial"/>
          <w:b/>
          <w:bCs/>
          <w:sz w:val="22"/>
          <w:szCs w:val="22"/>
        </w:rPr>
        <w:t>4.1 Introduction</w:t>
      </w:r>
      <w:r w:rsidRPr="00E43CCE">
        <w:rPr>
          <w:rFonts w:ascii="Arial" w:eastAsia="Times New Roman" w:hAnsi="Arial" w:cs="Arial"/>
          <w:sz w:val="22"/>
          <w:szCs w:val="22"/>
        </w:rPr>
        <w:br/>
        <w:t>This chapter presents the findings derived from the thematic analysis of the selected literature. The discussion evaluates the profound impact of the digital divide on healthcare access and well-being among the elderly in the UK. The evaluation is structured around three dominant themes that emerged from the data. By synthesizing current evidence, statistics, and relevant policies, this chapter directly addresses the research objectives, highlighting the multifaceted nature of digital exclusion.</w:t>
      </w:r>
      <w:r w:rsidRPr="00E43CCE">
        <w:rPr>
          <w:rFonts w:ascii="Arial" w:eastAsia="Times New Roman" w:hAnsi="Arial" w:cs="Arial"/>
          <w:sz w:val="22"/>
          <w:szCs w:val="22"/>
        </w:rPr>
        <w:br/>
      </w:r>
      <w:r w:rsidRPr="00E43CCE">
        <w:rPr>
          <w:rFonts w:ascii="Arial" w:eastAsia="Times New Roman" w:hAnsi="Arial" w:cs="Arial"/>
          <w:b/>
          <w:bCs/>
          <w:sz w:val="22"/>
          <w:szCs w:val="22"/>
        </w:rPr>
        <w:t>4.2 Thematic Analysis</w:t>
      </w:r>
      <w:r w:rsidRPr="00E43CCE">
        <w:rPr>
          <w:rFonts w:ascii="Arial" w:eastAsia="Times New Roman" w:hAnsi="Arial" w:cs="Arial"/>
          <w:sz w:val="22"/>
          <w:szCs w:val="22"/>
        </w:rPr>
        <w:br/>
        <w:t>Thematic analysis in secondary research involves identifying, analysing, and reporting patterns (themes) within a body of literature (Braun and Clarke, 2006). This methodology is highly effective for qualitative data as it allows for the synthesis of diverse academic perspectives into a cohesive narrative.</w:t>
      </w:r>
      <w:r w:rsidRPr="00E43CCE">
        <w:rPr>
          <w:rFonts w:ascii="Arial" w:eastAsia="Times New Roman" w:hAnsi="Arial" w:cs="Arial"/>
          <w:sz w:val="22"/>
          <w:szCs w:val="22"/>
        </w:rPr>
        <w:br/>
        <w:t>Following the coding process detailed in Chapter 3, the literature revealed that digital exclusion is not a monolithic issue but a complex web of interconnected barriers. Three primary themes were identified:</w:t>
      </w:r>
      <w:r w:rsidRPr="00E43CCE">
        <w:rPr>
          <w:rFonts w:ascii="Arial" w:eastAsia="Times New Roman" w:hAnsi="Arial" w:cs="Arial"/>
          <w:sz w:val="22"/>
          <w:szCs w:val="22"/>
        </w:rPr>
        <w:br/>
      </w:r>
      <w:r w:rsidRPr="00E43CCE">
        <w:rPr>
          <w:rFonts w:ascii="Arial" w:eastAsia="Times New Roman" w:hAnsi="Arial" w:cs="Arial"/>
          <w:b/>
          <w:bCs/>
          <w:sz w:val="22"/>
          <w:szCs w:val="22"/>
        </w:rPr>
        <w:t>1. Access and Infrastructure Barriers:</w:t>
      </w:r>
      <w:r w:rsidRPr="00E43CCE">
        <w:rPr>
          <w:rFonts w:ascii="Arial" w:eastAsia="Times New Roman" w:hAnsi="Arial" w:cs="Arial"/>
          <w:sz w:val="22"/>
          <w:szCs w:val="22"/>
        </w:rPr>
        <w:t xml:space="preserve"> The material and financial deficits preventing engagement.</w:t>
      </w:r>
      <w:r w:rsidRPr="00E43CCE">
        <w:rPr>
          <w:rFonts w:ascii="Arial" w:eastAsia="Times New Roman" w:hAnsi="Arial" w:cs="Arial"/>
          <w:sz w:val="22"/>
          <w:szCs w:val="22"/>
        </w:rPr>
        <w:br/>
      </w:r>
      <w:r w:rsidRPr="00E43CCE">
        <w:rPr>
          <w:rFonts w:ascii="Arial" w:eastAsia="Times New Roman" w:hAnsi="Arial" w:cs="Arial"/>
          <w:b/>
          <w:bCs/>
          <w:sz w:val="22"/>
          <w:szCs w:val="22"/>
        </w:rPr>
        <w:t>2. Digital Health Literacy and Design Exclusion:</w:t>
      </w:r>
      <w:r w:rsidRPr="00E43CCE">
        <w:rPr>
          <w:rFonts w:ascii="Arial" w:eastAsia="Times New Roman" w:hAnsi="Arial" w:cs="Arial"/>
          <w:sz w:val="22"/>
          <w:szCs w:val="22"/>
        </w:rPr>
        <w:t xml:space="preserve"> The cognitive, physical, and usability barriers hindering effective use.</w:t>
      </w:r>
      <w:r w:rsidRPr="00E43CCE">
        <w:rPr>
          <w:rFonts w:ascii="Arial" w:eastAsia="Times New Roman" w:hAnsi="Arial" w:cs="Arial"/>
          <w:sz w:val="22"/>
          <w:szCs w:val="22"/>
        </w:rPr>
        <w:br/>
      </w:r>
      <w:r w:rsidRPr="00E43CCE">
        <w:rPr>
          <w:rFonts w:ascii="Arial" w:eastAsia="Times New Roman" w:hAnsi="Arial" w:cs="Arial"/>
          <w:b/>
          <w:bCs/>
          <w:sz w:val="22"/>
          <w:szCs w:val="22"/>
        </w:rPr>
        <w:t>3. Psychosocial Impact and Social Isolation:</w:t>
      </w:r>
      <w:r w:rsidRPr="00E43CCE">
        <w:rPr>
          <w:rFonts w:ascii="Arial" w:eastAsia="Times New Roman" w:hAnsi="Arial" w:cs="Arial"/>
          <w:sz w:val="22"/>
          <w:szCs w:val="22"/>
        </w:rPr>
        <w:t xml:space="preserve"> The detrimental effects on emotional well-being and patient autonomy.</w:t>
      </w:r>
      <w:r w:rsidRPr="00E43CCE">
        <w:rPr>
          <w:rFonts w:ascii="Arial" w:eastAsia="Times New Roman" w:hAnsi="Arial" w:cs="Arial"/>
          <w:sz w:val="22"/>
          <w:szCs w:val="22"/>
        </w:rPr>
        <w:br/>
        <w:t>These themes will now be explored critically.</w:t>
      </w:r>
      <w:r w:rsidRPr="00E43CCE">
        <w:rPr>
          <w:rFonts w:ascii="Arial" w:eastAsia="Times New Roman" w:hAnsi="Arial" w:cs="Arial"/>
          <w:sz w:val="22"/>
          <w:szCs w:val="22"/>
        </w:rPr>
        <w:br/>
      </w:r>
      <w:r w:rsidRPr="00E43CCE">
        <w:rPr>
          <w:rFonts w:ascii="Arial" w:eastAsia="Times New Roman" w:hAnsi="Arial" w:cs="Arial"/>
          <w:b/>
          <w:bCs/>
          <w:sz w:val="22"/>
          <w:szCs w:val="22"/>
        </w:rPr>
        <w:t>4.3 Theme 1: Access and Infrastructure Barriers</w:t>
      </w:r>
      <w:r w:rsidRPr="00E43CCE">
        <w:rPr>
          <w:rFonts w:ascii="Arial" w:eastAsia="Times New Roman" w:hAnsi="Arial" w:cs="Arial"/>
          <w:sz w:val="22"/>
          <w:szCs w:val="22"/>
        </w:rPr>
        <w:br/>
      </w:r>
      <w:r w:rsidRPr="00E43CCE">
        <w:rPr>
          <w:rFonts w:ascii="Arial" w:eastAsia="Times New Roman" w:hAnsi="Arial" w:cs="Arial"/>
          <w:b/>
          <w:bCs/>
          <w:sz w:val="22"/>
          <w:szCs w:val="22"/>
        </w:rPr>
        <w:t>Definition</w:t>
      </w:r>
      <w:r w:rsidRPr="00E43CCE">
        <w:rPr>
          <w:rFonts w:ascii="Arial" w:eastAsia="Times New Roman" w:hAnsi="Arial" w:cs="Arial"/>
          <w:sz w:val="22"/>
          <w:szCs w:val="22"/>
        </w:rPr>
        <w:br/>
        <w:t>Access and infrastructure barriers refer to the physical and financial obstacles that prevent an individual from acquiring the necessary hardware (smartphones, computers) and internet connectivity to access digital healthcare services (Good Things Foundation, 2022).</w:t>
      </w:r>
      <w:r w:rsidRPr="00E43CCE">
        <w:rPr>
          <w:rFonts w:ascii="Arial" w:eastAsia="Times New Roman" w:hAnsi="Arial" w:cs="Arial"/>
          <w:sz w:val="22"/>
          <w:szCs w:val="22"/>
        </w:rPr>
        <w:br/>
      </w:r>
      <w:r w:rsidRPr="00E43CCE">
        <w:rPr>
          <w:rFonts w:ascii="Arial" w:eastAsia="Times New Roman" w:hAnsi="Arial" w:cs="Arial"/>
          <w:b/>
          <w:bCs/>
          <w:sz w:val="22"/>
          <w:szCs w:val="22"/>
        </w:rPr>
        <w:t>Background Information</w:t>
      </w:r>
      <w:r w:rsidRPr="00E43CCE">
        <w:rPr>
          <w:rFonts w:ascii="Arial" w:eastAsia="Times New Roman" w:hAnsi="Arial" w:cs="Arial"/>
          <w:sz w:val="22"/>
          <w:szCs w:val="22"/>
        </w:rPr>
        <w:br/>
        <w:t>Historically, access to healthcare was largely determined by geographic proximity to a clinic and the availability of transport. In the digital age, this paradigm has shifted; access is now heavily predicated on possessing adequate technology and reliable internet access (Borg et al., 2019). The push toward digital-first primary care assumes a baseline of connectivity that simply does not exist uniformly across the older adult population.</w:t>
      </w:r>
      <w:r w:rsidRPr="00E43CCE">
        <w:rPr>
          <w:rFonts w:ascii="Arial" w:eastAsia="Times New Roman" w:hAnsi="Arial" w:cs="Arial"/>
          <w:sz w:val="22"/>
          <w:szCs w:val="22"/>
        </w:rPr>
        <w:br/>
      </w:r>
      <w:r w:rsidRPr="00E43CCE">
        <w:rPr>
          <w:rFonts w:ascii="Arial" w:eastAsia="Times New Roman" w:hAnsi="Arial" w:cs="Arial"/>
          <w:b/>
          <w:bCs/>
          <w:sz w:val="22"/>
          <w:szCs w:val="22"/>
        </w:rPr>
        <w:t>Impact on Research Question</w:t>
      </w:r>
      <w:r w:rsidRPr="00E43CCE">
        <w:rPr>
          <w:rFonts w:ascii="Arial" w:eastAsia="Times New Roman" w:hAnsi="Arial" w:cs="Arial"/>
          <w:sz w:val="22"/>
          <w:szCs w:val="22"/>
        </w:rPr>
        <w:br/>
        <w:t>This theme is central to the research question because it represents the most fundamental level of the digital divide. If material access is denied, all subsequent healthcare engagements via digital platforms are impossible, leading to a direct denial of service and exacerbating health inequalities.</w:t>
      </w:r>
      <w:r w:rsidRPr="00E43CCE">
        <w:rPr>
          <w:rFonts w:ascii="Arial" w:eastAsia="Times New Roman" w:hAnsi="Arial" w:cs="Arial"/>
          <w:sz w:val="22"/>
          <w:szCs w:val="22"/>
        </w:rPr>
        <w:br/>
      </w:r>
      <w:r w:rsidRPr="00E43CCE">
        <w:rPr>
          <w:rFonts w:ascii="Arial" w:eastAsia="Times New Roman" w:hAnsi="Arial" w:cs="Arial"/>
          <w:b/>
          <w:bCs/>
          <w:sz w:val="22"/>
          <w:szCs w:val="22"/>
        </w:rPr>
        <w:t>Statistical Information</w:t>
      </w:r>
      <w:r w:rsidRPr="00E43CCE">
        <w:rPr>
          <w:rFonts w:ascii="Arial" w:eastAsia="Times New Roman" w:hAnsi="Arial" w:cs="Arial"/>
          <w:sz w:val="22"/>
          <w:szCs w:val="22"/>
        </w:rPr>
        <w:br/>
        <w:t>Statistics vividly illustrate the severity of this issue. According to the ONS (2021), 18% of adults aged 65 and over do not have access to the internet at home. Furthermore, Ofcom (2022) highlights the issue of "data poverty," noting that over 1.5 million households struggle to afford their broadband bills. Among pensioners living strictly on state pensions, the financial burden of purchasing a device and paying monthly subscription fees is a prohibitive barrier (Age UK, 2023).</w:t>
      </w:r>
      <w:r w:rsidRPr="00E43CCE">
        <w:rPr>
          <w:rFonts w:ascii="Arial" w:eastAsia="Times New Roman" w:hAnsi="Arial" w:cs="Arial"/>
          <w:sz w:val="22"/>
          <w:szCs w:val="22"/>
        </w:rPr>
        <w:br/>
      </w:r>
      <w:r w:rsidRPr="00E43CCE">
        <w:rPr>
          <w:rFonts w:ascii="Arial" w:eastAsia="Times New Roman" w:hAnsi="Arial" w:cs="Arial"/>
          <w:b/>
          <w:bCs/>
          <w:sz w:val="22"/>
          <w:szCs w:val="22"/>
        </w:rPr>
        <w:t>Theories, Policies, and Legislation</w:t>
      </w:r>
      <w:r w:rsidRPr="00E43CCE">
        <w:rPr>
          <w:rFonts w:ascii="Arial" w:eastAsia="Times New Roman" w:hAnsi="Arial" w:cs="Arial"/>
          <w:sz w:val="22"/>
          <w:szCs w:val="22"/>
        </w:rPr>
        <w:br/>
        <w:t xml:space="preserve">This theme aligns perfectly with the "Material Access" stage of Van </w:t>
      </w:r>
      <w:proofErr w:type="spellStart"/>
      <w:r w:rsidRPr="00E43CCE">
        <w:rPr>
          <w:rFonts w:ascii="Arial" w:eastAsia="Times New Roman" w:hAnsi="Arial" w:cs="Arial"/>
          <w:sz w:val="22"/>
          <w:szCs w:val="22"/>
        </w:rPr>
        <w:t>Dijk's</w:t>
      </w:r>
      <w:proofErr w:type="spellEnd"/>
      <w:r w:rsidRPr="00E43CCE">
        <w:rPr>
          <w:rFonts w:ascii="Arial" w:eastAsia="Times New Roman" w:hAnsi="Arial" w:cs="Arial"/>
          <w:sz w:val="22"/>
          <w:szCs w:val="22"/>
        </w:rPr>
        <w:t xml:space="preserve"> Resources and Appropriation Theory (2020), which argues that economic capital dictates technological access. On a policy level, while the </w:t>
      </w:r>
      <w:r w:rsidRPr="00E43CCE">
        <w:rPr>
          <w:rFonts w:ascii="Arial" w:eastAsia="Times New Roman" w:hAnsi="Arial" w:cs="Arial"/>
          <w:i/>
          <w:iCs/>
          <w:sz w:val="22"/>
          <w:szCs w:val="22"/>
        </w:rPr>
        <w:t>NHS Long Term Plan</w:t>
      </w:r>
      <w:r w:rsidRPr="00E43CCE">
        <w:rPr>
          <w:rFonts w:ascii="Arial" w:eastAsia="Times New Roman" w:hAnsi="Arial" w:cs="Arial"/>
          <w:sz w:val="22"/>
          <w:szCs w:val="22"/>
        </w:rPr>
        <w:t xml:space="preserve"> (2019) champions digital inclusion, it focuses primarily on software development rather than addressing hardware provision or data poverty for end-users. The Equality Act 2010 mandates that public services must not discriminate based on age; however, the reliance on digital access pathways implicitly discriminates against older, lower-income demographics (Citizens Advice, 2020).</w:t>
      </w:r>
      <w:r w:rsidRPr="00E43CCE">
        <w:rPr>
          <w:rFonts w:ascii="Arial" w:eastAsia="Times New Roman" w:hAnsi="Arial" w:cs="Arial"/>
          <w:sz w:val="22"/>
          <w:szCs w:val="22"/>
        </w:rPr>
        <w:br/>
      </w:r>
      <w:r w:rsidRPr="00E43CCE">
        <w:rPr>
          <w:rFonts w:ascii="Arial" w:eastAsia="Times New Roman" w:hAnsi="Arial" w:cs="Arial"/>
          <w:b/>
          <w:bCs/>
          <w:sz w:val="22"/>
          <w:szCs w:val="22"/>
        </w:rPr>
        <w:t>Implications</w:t>
      </w:r>
      <w:r w:rsidRPr="00E43CCE">
        <w:rPr>
          <w:rFonts w:ascii="Arial" w:eastAsia="Times New Roman" w:hAnsi="Arial" w:cs="Arial"/>
          <w:sz w:val="22"/>
          <w:szCs w:val="22"/>
        </w:rPr>
        <w:br/>
        <w:t>The implications are profoundly negative. The inability to afford technology means older adults cannot utilize the NHS App to order repeat prescriptions or book appointments, forcing them to rely on congested telephone lines (BMA, 2021). This creates a two-tiered system: swift, efficient access for the digitally connected, and delayed, frustrating access for the digitally excluded.</w:t>
      </w:r>
      <w:r w:rsidRPr="00E43CCE">
        <w:rPr>
          <w:rFonts w:ascii="Arial" w:eastAsia="Times New Roman" w:hAnsi="Arial" w:cs="Arial"/>
          <w:sz w:val="22"/>
          <w:szCs w:val="22"/>
        </w:rPr>
        <w:br/>
      </w:r>
      <w:r w:rsidRPr="00E43CCE">
        <w:rPr>
          <w:rFonts w:ascii="Arial" w:eastAsia="Times New Roman" w:hAnsi="Arial" w:cs="Arial"/>
          <w:b/>
          <w:bCs/>
          <w:sz w:val="22"/>
          <w:szCs w:val="22"/>
        </w:rPr>
        <w:t>Examples from Your Articles</w:t>
      </w:r>
      <w:r w:rsidRPr="00E43CCE">
        <w:rPr>
          <w:rFonts w:ascii="Arial" w:eastAsia="Times New Roman" w:hAnsi="Arial" w:cs="Arial"/>
          <w:sz w:val="22"/>
          <w:szCs w:val="22"/>
        </w:rPr>
        <w:br/>
      </w:r>
      <w:proofErr w:type="spellStart"/>
      <w:r w:rsidRPr="00E43CCE">
        <w:rPr>
          <w:rFonts w:ascii="Arial" w:eastAsia="Times New Roman" w:hAnsi="Arial" w:cs="Arial"/>
          <w:sz w:val="22"/>
          <w:szCs w:val="22"/>
        </w:rPr>
        <w:t>Honeyman</w:t>
      </w:r>
      <w:proofErr w:type="spellEnd"/>
      <w:r w:rsidRPr="00E43CCE">
        <w:rPr>
          <w:rFonts w:ascii="Arial" w:eastAsia="Times New Roman" w:hAnsi="Arial" w:cs="Arial"/>
          <w:sz w:val="22"/>
          <w:szCs w:val="22"/>
        </w:rPr>
        <w:t xml:space="preserve"> et al. (2020) conducted a critical review of the rapid rollout of remote consultations during COVID-19. They argued that patients living in socio-economically deprived areas with poor broadband infrastructure experienced severe disruptions in continuity of care. Similarly, research by the Centre for Ageing Better (2021) highlighted that older adults living in rural locations face compounding barriers; even if they can afford the technology, regional broadband infrastructure is often inadequate for stable video consultations. Both articles agree that digital-first policies, without concomitant investment in infrastructure for vulnerable populations, inherently generate health inequalities.</w:t>
      </w:r>
      <w:r w:rsidRPr="00E43CCE">
        <w:rPr>
          <w:rFonts w:ascii="Arial" w:eastAsia="Times New Roman" w:hAnsi="Arial" w:cs="Arial"/>
          <w:sz w:val="22"/>
          <w:szCs w:val="22"/>
        </w:rPr>
        <w:br/>
      </w:r>
      <w:r w:rsidRPr="00E43CCE">
        <w:rPr>
          <w:rFonts w:ascii="Arial" w:eastAsia="Times New Roman" w:hAnsi="Arial" w:cs="Arial"/>
          <w:b/>
          <w:bCs/>
          <w:sz w:val="22"/>
          <w:szCs w:val="22"/>
        </w:rPr>
        <w:t>Connections to Other Themes</w:t>
      </w:r>
      <w:r w:rsidRPr="00E43CCE">
        <w:rPr>
          <w:rFonts w:ascii="Arial" w:eastAsia="Times New Roman" w:hAnsi="Arial" w:cs="Arial"/>
          <w:sz w:val="22"/>
          <w:szCs w:val="22"/>
        </w:rPr>
        <w:br/>
        <w:t>Material access is fundamentally connected to the next theme, Digital Literacy. Even when access is provided (e.g., through tablet loan schemes), it is rendered useless if the individual lacks the literacy to operate it.</w:t>
      </w:r>
      <w:r w:rsidRPr="00E43CCE">
        <w:rPr>
          <w:rFonts w:ascii="Arial" w:eastAsia="Times New Roman" w:hAnsi="Arial" w:cs="Arial"/>
          <w:sz w:val="22"/>
          <w:szCs w:val="22"/>
        </w:rPr>
        <w:br/>
      </w:r>
      <w:r w:rsidRPr="00E43CCE">
        <w:rPr>
          <w:rFonts w:ascii="Arial" w:eastAsia="Times New Roman" w:hAnsi="Arial" w:cs="Arial"/>
          <w:b/>
          <w:bCs/>
          <w:sz w:val="22"/>
          <w:szCs w:val="22"/>
        </w:rPr>
        <w:t>4.4 Theme 2: Digital Health Literacy and Design Exclusion</w:t>
      </w:r>
      <w:r w:rsidRPr="00E43CCE">
        <w:rPr>
          <w:rFonts w:ascii="Arial" w:eastAsia="Times New Roman" w:hAnsi="Arial" w:cs="Arial"/>
          <w:sz w:val="22"/>
          <w:szCs w:val="22"/>
        </w:rPr>
        <w:br/>
      </w:r>
      <w:r w:rsidRPr="00E43CCE">
        <w:rPr>
          <w:rFonts w:ascii="Arial" w:eastAsia="Times New Roman" w:hAnsi="Arial" w:cs="Arial"/>
          <w:b/>
          <w:bCs/>
          <w:sz w:val="22"/>
          <w:szCs w:val="22"/>
        </w:rPr>
        <w:t>Definition</w:t>
      </w:r>
      <w:r w:rsidRPr="00E43CCE">
        <w:rPr>
          <w:rFonts w:ascii="Arial" w:eastAsia="Times New Roman" w:hAnsi="Arial" w:cs="Arial"/>
          <w:sz w:val="22"/>
          <w:szCs w:val="22"/>
        </w:rPr>
        <w:br/>
        <w:t>Digital health literacy is the cognitive ability to navigate, understand, and apply health information from digital platforms (Norman and Skinner, 2006). Design exclusion occurs when digital platforms are engineered without considering the age-related physical and cognitive changes of the end-user (</w:t>
      </w:r>
      <w:proofErr w:type="spellStart"/>
      <w:r w:rsidRPr="00E43CCE">
        <w:rPr>
          <w:rFonts w:ascii="Arial" w:eastAsia="Times New Roman" w:hAnsi="Arial" w:cs="Arial"/>
          <w:sz w:val="22"/>
          <w:szCs w:val="22"/>
        </w:rPr>
        <w:t>Cotten</w:t>
      </w:r>
      <w:proofErr w:type="spellEnd"/>
      <w:r w:rsidRPr="00E43CCE">
        <w:rPr>
          <w:rFonts w:ascii="Arial" w:eastAsia="Times New Roman" w:hAnsi="Arial" w:cs="Arial"/>
          <w:sz w:val="22"/>
          <w:szCs w:val="22"/>
        </w:rPr>
        <w:t xml:space="preserve"> et al., 2014).</w:t>
      </w:r>
      <w:r w:rsidRPr="00E43CCE">
        <w:rPr>
          <w:rFonts w:ascii="Arial" w:eastAsia="Times New Roman" w:hAnsi="Arial" w:cs="Arial"/>
          <w:sz w:val="22"/>
          <w:szCs w:val="22"/>
        </w:rPr>
        <w:br/>
      </w:r>
      <w:r w:rsidRPr="00E43CCE">
        <w:rPr>
          <w:rFonts w:ascii="Arial" w:eastAsia="Times New Roman" w:hAnsi="Arial" w:cs="Arial"/>
          <w:b/>
          <w:bCs/>
          <w:sz w:val="22"/>
          <w:szCs w:val="22"/>
        </w:rPr>
        <w:t>Background Information</w:t>
      </w:r>
      <w:r w:rsidRPr="00E43CCE">
        <w:rPr>
          <w:rFonts w:ascii="Arial" w:eastAsia="Times New Roman" w:hAnsi="Arial" w:cs="Arial"/>
          <w:sz w:val="22"/>
          <w:szCs w:val="22"/>
        </w:rPr>
        <w:br/>
        <w:t>As healthcare apps have evolved, they have become increasingly complex, requiring multi-factor authentication, navigation of drop-down menus, and the ability to distinguish between credible and non-credible information. For a demographic that did not grow up as "digital natives," the learning curve is exceptionally steep (Seifert et al., 2020).</w:t>
      </w:r>
      <w:r w:rsidRPr="00E43CCE">
        <w:rPr>
          <w:rFonts w:ascii="Arial" w:eastAsia="Times New Roman" w:hAnsi="Arial" w:cs="Arial"/>
          <w:sz w:val="22"/>
          <w:szCs w:val="22"/>
        </w:rPr>
        <w:br/>
      </w:r>
      <w:r w:rsidRPr="00E43CCE">
        <w:rPr>
          <w:rFonts w:ascii="Arial" w:eastAsia="Times New Roman" w:hAnsi="Arial" w:cs="Arial"/>
          <w:b/>
          <w:bCs/>
          <w:sz w:val="22"/>
          <w:szCs w:val="22"/>
        </w:rPr>
        <w:t>Impact on Research Question</w:t>
      </w:r>
      <w:r w:rsidRPr="00E43CCE">
        <w:rPr>
          <w:rFonts w:ascii="Arial" w:eastAsia="Times New Roman" w:hAnsi="Arial" w:cs="Arial"/>
          <w:sz w:val="22"/>
          <w:szCs w:val="22"/>
        </w:rPr>
        <w:br/>
        <w:t>This theme directly impacts the research question by explaining why older adults, even those with internet access, fail to engage with digital healthcare. It highlights how poor design and lack of literacy translate directly to poor healthcare access.</w:t>
      </w:r>
      <w:r w:rsidRPr="00E43CCE">
        <w:rPr>
          <w:rFonts w:ascii="Arial" w:eastAsia="Times New Roman" w:hAnsi="Arial" w:cs="Arial"/>
          <w:sz w:val="22"/>
          <w:szCs w:val="22"/>
        </w:rPr>
        <w:br/>
      </w:r>
      <w:r w:rsidRPr="00E43CCE">
        <w:rPr>
          <w:rFonts w:ascii="Arial" w:eastAsia="Times New Roman" w:hAnsi="Arial" w:cs="Arial"/>
          <w:b/>
          <w:bCs/>
          <w:sz w:val="22"/>
          <w:szCs w:val="22"/>
        </w:rPr>
        <w:t>Statistical Information</w:t>
      </w:r>
      <w:r w:rsidRPr="00E43CCE">
        <w:rPr>
          <w:rFonts w:ascii="Arial" w:eastAsia="Times New Roman" w:hAnsi="Arial" w:cs="Arial"/>
          <w:sz w:val="22"/>
          <w:szCs w:val="22"/>
        </w:rPr>
        <w:br/>
        <w:t>A study by Health Foundation (2022) reported that even among older adults who use the internet, nearly 50% lack the specific eHealth literacy required to successfully navigate the NHS App or complete an e-consultation form. Furthermore, age-related impairments significantly affect usability: 1 in 5 older adults report visual impairments or dexterity issues (e.g., arthritis) that make using touch screens highly difficult (Digital Unite, 2021).</w:t>
      </w:r>
      <w:r w:rsidRPr="00E43CCE">
        <w:rPr>
          <w:rFonts w:ascii="Arial" w:eastAsia="Times New Roman" w:hAnsi="Arial" w:cs="Arial"/>
          <w:sz w:val="22"/>
          <w:szCs w:val="22"/>
        </w:rPr>
        <w:br/>
      </w:r>
      <w:r w:rsidRPr="00E43CCE">
        <w:rPr>
          <w:rFonts w:ascii="Arial" w:eastAsia="Times New Roman" w:hAnsi="Arial" w:cs="Arial"/>
          <w:b/>
          <w:bCs/>
          <w:sz w:val="22"/>
          <w:szCs w:val="22"/>
        </w:rPr>
        <w:t>Theories, Policies, and Legislation</w:t>
      </w:r>
      <w:r w:rsidRPr="00E43CCE">
        <w:rPr>
          <w:rFonts w:ascii="Arial" w:eastAsia="Times New Roman" w:hAnsi="Arial" w:cs="Arial"/>
          <w:sz w:val="22"/>
          <w:szCs w:val="22"/>
        </w:rPr>
        <w:br/>
        <w:t>Applying the Technology Acceptance Model (TAM), it is evident that low "Perceived Ease of Use" is a massive barrier. If an app takes a patient with arthritis 20 minutes and severe frustration to navigate, they will reject it (Lee et al., 2020). Policy-wise, the Government Digital Service (GDS) has accessibility standards, but these are often inconsistently applied across third-party telehealth software vendors contracted by individual GP practices (Nuffield Trust, 2021).</w:t>
      </w:r>
      <w:r w:rsidRPr="00E43CCE">
        <w:rPr>
          <w:rFonts w:ascii="Arial" w:eastAsia="Times New Roman" w:hAnsi="Arial" w:cs="Arial"/>
          <w:sz w:val="22"/>
          <w:szCs w:val="22"/>
        </w:rPr>
        <w:br/>
      </w:r>
      <w:r w:rsidRPr="00E43CCE">
        <w:rPr>
          <w:rFonts w:ascii="Arial" w:eastAsia="Times New Roman" w:hAnsi="Arial" w:cs="Arial"/>
          <w:b/>
          <w:bCs/>
          <w:sz w:val="22"/>
          <w:szCs w:val="22"/>
        </w:rPr>
        <w:t>Implications</w:t>
      </w:r>
      <w:r w:rsidRPr="00E43CCE">
        <w:rPr>
          <w:rFonts w:ascii="Arial" w:eastAsia="Times New Roman" w:hAnsi="Arial" w:cs="Arial"/>
          <w:sz w:val="22"/>
          <w:szCs w:val="22"/>
        </w:rPr>
        <w:br/>
        <w:t xml:space="preserve">The negative implication is the phenomenon of "digital resignation," where older adults simply give up trying to manage their health proactively due to the stress and humiliation of failing to use the technology (Fang et al., 2019). A positive implication, conversely, is that when systems </w:t>
      </w:r>
      <w:r w:rsidRPr="00E43CCE">
        <w:rPr>
          <w:rFonts w:ascii="Arial" w:eastAsia="Times New Roman" w:hAnsi="Arial" w:cs="Arial"/>
          <w:i/>
          <w:iCs/>
          <w:sz w:val="22"/>
          <w:szCs w:val="22"/>
        </w:rPr>
        <w:t>are</w:t>
      </w:r>
      <w:r w:rsidRPr="00E43CCE">
        <w:rPr>
          <w:rFonts w:ascii="Arial" w:eastAsia="Times New Roman" w:hAnsi="Arial" w:cs="Arial"/>
          <w:sz w:val="22"/>
          <w:szCs w:val="22"/>
        </w:rPr>
        <w:t xml:space="preserve"> co-designed with older adults—featuring large fonts, voice commands, and simplified navigation—engagement increases significantly, proving that the barrier is the design, not necessarily the patient's age.</w:t>
      </w:r>
      <w:r w:rsidRPr="00E43CCE">
        <w:rPr>
          <w:rFonts w:ascii="Arial" w:eastAsia="Times New Roman" w:hAnsi="Arial" w:cs="Arial"/>
          <w:sz w:val="22"/>
          <w:szCs w:val="22"/>
        </w:rPr>
        <w:br/>
      </w:r>
      <w:r w:rsidRPr="00E43CCE">
        <w:rPr>
          <w:rFonts w:ascii="Arial" w:eastAsia="Times New Roman" w:hAnsi="Arial" w:cs="Arial"/>
          <w:b/>
          <w:bCs/>
          <w:sz w:val="22"/>
          <w:szCs w:val="22"/>
        </w:rPr>
        <w:t>Examples from Your Articles</w:t>
      </w:r>
      <w:r w:rsidRPr="00E43CCE">
        <w:rPr>
          <w:rFonts w:ascii="Arial" w:eastAsia="Times New Roman" w:hAnsi="Arial" w:cs="Arial"/>
          <w:sz w:val="22"/>
          <w:szCs w:val="22"/>
        </w:rPr>
        <w:br/>
      </w:r>
      <w:proofErr w:type="spellStart"/>
      <w:r w:rsidRPr="00E43CCE">
        <w:rPr>
          <w:rFonts w:ascii="Arial" w:eastAsia="Times New Roman" w:hAnsi="Arial" w:cs="Arial"/>
          <w:sz w:val="22"/>
          <w:szCs w:val="22"/>
        </w:rPr>
        <w:t>Vaportzis</w:t>
      </w:r>
      <w:proofErr w:type="spellEnd"/>
      <w:r w:rsidRPr="00E43CCE">
        <w:rPr>
          <w:rFonts w:ascii="Arial" w:eastAsia="Times New Roman" w:hAnsi="Arial" w:cs="Arial"/>
          <w:sz w:val="22"/>
          <w:szCs w:val="22"/>
        </w:rPr>
        <w:t xml:space="preserve"> et al. (2017) explored older adults' perceptions of technology, identifying that physical barriers (failing eyesight, loss of tactile sensitivity) and cognitive overload (too many steps to complete a task) were primary deterrents to digital health adoption. Complementing this, Crawford and </w:t>
      </w:r>
      <w:proofErr w:type="spellStart"/>
      <w:r w:rsidRPr="00E43CCE">
        <w:rPr>
          <w:rFonts w:ascii="Arial" w:eastAsia="Times New Roman" w:hAnsi="Arial" w:cs="Arial"/>
          <w:sz w:val="22"/>
          <w:szCs w:val="22"/>
        </w:rPr>
        <w:t>Serhal</w:t>
      </w:r>
      <w:proofErr w:type="spellEnd"/>
      <w:r w:rsidRPr="00E43CCE">
        <w:rPr>
          <w:rFonts w:ascii="Arial" w:eastAsia="Times New Roman" w:hAnsi="Arial" w:cs="Arial"/>
          <w:sz w:val="22"/>
          <w:szCs w:val="22"/>
        </w:rPr>
        <w:t xml:space="preserve"> (2020) examined the equity of digital health, concluding that a lack of eHealth literacy leads to misinterpretation of digital medical advice, posing a direct risk to patient safety. Both studies advocate strongly for inclusive, participatory design.</w:t>
      </w:r>
      <w:r w:rsidRPr="00E43CCE">
        <w:rPr>
          <w:rFonts w:ascii="Arial" w:eastAsia="Times New Roman" w:hAnsi="Arial" w:cs="Arial"/>
          <w:sz w:val="22"/>
          <w:szCs w:val="22"/>
        </w:rPr>
        <w:br/>
      </w:r>
      <w:r w:rsidRPr="00E43CCE">
        <w:rPr>
          <w:rFonts w:ascii="Arial" w:eastAsia="Times New Roman" w:hAnsi="Arial" w:cs="Arial"/>
          <w:b/>
          <w:bCs/>
          <w:sz w:val="22"/>
          <w:szCs w:val="22"/>
        </w:rPr>
        <w:t>Connections to Other Themes</w:t>
      </w:r>
      <w:r w:rsidRPr="00E43CCE">
        <w:rPr>
          <w:rFonts w:ascii="Arial" w:eastAsia="Times New Roman" w:hAnsi="Arial" w:cs="Arial"/>
          <w:sz w:val="22"/>
          <w:szCs w:val="22"/>
        </w:rPr>
        <w:br/>
        <w:t>The frustration and anxiety caused by low digital literacy and exclusionary design directly feed into the third theme: the psychosocial impact. The inability to manage one's own health leads to a loss of independence.</w:t>
      </w:r>
      <w:r w:rsidRPr="00E43CCE">
        <w:rPr>
          <w:rFonts w:ascii="Arial" w:eastAsia="Times New Roman" w:hAnsi="Arial" w:cs="Arial"/>
          <w:sz w:val="22"/>
          <w:szCs w:val="22"/>
        </w:rPr>
        <w:br/>
      </w:r>
      <w:r w:rsidRPr="00E43CCE">
        <w:rPr>
          <w:rFonts w:ascii="Arial" w:eastAsia="Times New Roman" w:hAnsi="Arial" w:cs="Arial"/>
          <w:b/>
          <w:bCs/>
          <w:sz w:val="22"/>
          <w:szCs w:val="22"/>
        </w:rPr>
        <w:t>4.5 Theme 3: Psychosocial Impact and Social Isolation</w:t>
      </w:r>
      <w:r w:rsidRPr="00E43CCE">
        <w:rPr>
          <w:rFonts w:ascii="Arial" w:eastAsia="Times New Roman" w:hAnsi="Arial" w:cs="Arial"/>
          <w:sz w:val="22"/>
          <w:szCs w:val="22"/>
        </w:rPr>
        <w:br/>
      </w:r>
      <w:r w:rsidRPr="00E43CCE">
        <w:rPr>
          <w:rFonts w:ascii="Arial" w:eastAsia="Times New Roman" w:hAnsi="Arial" w:cs="Arial"/>
          <w:b/>
          <w:bCs/>
          <w:sz w:val="22"/>
          <w:szCs w:val="22"/>
        </w:rPr>
        <w:t>Definition</w:t>
      </w:r>
      <w:r w:rsidRPr="00E43CCE">
        <w:rPr>
          <w:rFonts w:ascii="Arial" w:eastAsia="Times New Roman" w:hAnsi="Arial" w:cs="Arial"/>
          <w:sz w:val="22"/>
          <w:szCs w:val="22"/>
        </w:rPr>
        <w:br/>
        <w:t>Psychosocial impact encompasses the psychological and social outcomes of digital exclusion, specifically feelings of anxiety, loss of autonomy, disenfranchisement, and the exacerbation of social isolation (</w:t>
      </w:r>
      <w:proofErr w:type="spellStart"/>
      <w:r w:rsidRPr="00E43CCE">
        <w:rPr>
          <w:rFonts w:ascii="Arial" w:eastAsia="Times New Roman" w:hAnsi="Arial" w:cs="Arial"/>
          <w:sz w:val="22"/>
          <w:szCs w:val="22"/>
        </w:rPr>
        <w:t>Heponiemi</w:t>
      </w:r>
      <w:proofErr w:type="spellEnd"/>
      <w:r w:rsidRPr="00E43CCE">
        <w:rPr>
          <w:rFonts w:ascii="Arial" w:eastAsia="Times New Roman" w:hAnsi="Arial" w:cs="Arial"/>
          <w:sz w:val="22"/>
          <w:szCs w:val="22"/>
        </w:rPr>
        <w:t xml:space="preserve"> et al., 2019).</w:t>
      </w:r>
      <w:r w:rsidRPr="00E43CCE">
        <w:rPr>
          <w:rFonts w:ascii="Arial" w:eastAsia="Times New Roman" w:hAnsi="Arial" w:cs="Arial"/>
          <w:sz w:val="22"/>
          <w:szCs w:val="22"/>
        </w:rPr>
        <w:br/>
      </w:r>
      <w:r w:rsidRPr="00E43CCE">
        <w:rPr>
          <w:rFonts w:ascii="Arial" w:eastAsia="Times New Roman" w:hAnsi="Arial" w:cs="Arial"/>
          <w:b/>
          <w:bCs/>
          <w:sz w:val="22"/>
          <w:szCs w:val="22"/>
        </w:rPr>
        <w:t>Background Information</w:t>
      </w:r>
      <w:r w:rsidRPr="00E43CCE">
        <w:rPr>
          <w:rFonts w:ascii="Arial" w:eastAsia="Times New Roman" w:hAnsi="Arial" w:cs="Arial"/>
          <w:sz w:val="22"/>
          <w:szCs w:val="22"/>
        </w:rPr>
        <w:br/>
        <w:t xml:space="preserve">For many older adults, visiting the GP surgery or the local pharmacy was not purely a clinical necessity; it was a vital social interaction. The transition to remote healthcare has stripped away this routine </w:t>
      </w:r>
      <w:proofErr w:type="spellStart"/>
      <w:r w:rsidRPr="00E43CCE">
        <w:rPr>
          <w:rFonts w:ascii="Arial" w:eastAsia="Times New Roman" w:hAnsi="Arial" w:cs="Arial"/>
          <w:sz w:val="22"/>
          <w:szCs w:val="22"/>
        </w:rPr>
        <w:t>touchpoint</w:t>
      </w:r>
      <w:proofErr w:type="spellEnd"/>
      <w:r w:rsidRPr="00E43CCE">
        <w:rPr>
          <w:rFonts w:ascii="Arial" w:eastAsia="Times New Roman" w:hAnsi="Arial" w:cs="Arial"/>
          <w:sz w:val="22"/>
          <w:szCs w:val="22"/>
        </w:rPr>
        <w:t>. Moreover, the inability to navigate digital systems forces older adults to rely on younger relatives or carers to manage their health affairs, eroding their independence (</w:t>
      </w:r>
      <w:proofErr w:type="spellStart"/>
      <w:r w:rsidRPr="00E43CCE">
        <w:rPr>
          <w:rFonts w:ascii="Arial" w:eastAsia="Times New Roman" w:hAnsi="Arial" w:cs="Arial"/>
          <w:sz w:val="22"/>
          <w:szCs w:val="22"/>
        </w:rPr>
        <w:t>Latulippe</w:t>
      </w:r>
      <w:proofErr w:type="spellEnd"/>
      <w:r w:rsidRPr="00E43CCE">
        <w:rPr>
          <w:rFonts w:ascii="Arial" w:eastAsia="Times New Roman" w:hAnsi="Arial" w:cs="Arial"/>
          <w:sz w:val="22"/>
          <w:szCs w:val="22"/>
        </w:rPr>
        <w:t xml:space="preserve"> et al., 2017).</w:t>
      </w:r>
      <w:r w:rsidRPr="00E43CCE">
        <w:rPr>
          <w:rFonts w:ascii="Arial" w:eastAsia="Times New Roman" w:hAnsi="Arial" w:cs="Arial"/>
          <w:sz w:val="22"/>
          <w:szCs w:val="22"/>
        </w:rPr>
        <w:br/>
      </w:r>
      <w:r w:rsidRPr="00E43CCE">
        <w:rPr>
          <w:rFonts w:ascii="Arial" w:eastAsia="Times New Roman" w:hAnsi="Arial" w:cs="Arial"/>
          <w:b/>
          <w:bCs/>
          <w:sz w:val="22"/>
          <w:szCs w:val="22"/>
        </w:rPr>
        <w:t>Impact on Research Question</w:t>
      </w:r>
      <w:r w:rsidRPr="00E43CCE">
        <w:rPr>
          <w:rFonts w:ascii="Arial" w:eastAsia="Times New Roman" w:hAnsi="Arial" w:cs="Arial"/>
          <w:sz w:val="22"/>
          <w:szCs w:val="22"/>
        </w:rPr>
        <w:br/>
        <w:t>This theme addresses the "well-being" aspect of the research title. It demonstrates that the impact of digital exclusion extends far beyond missed appointments; it fundamentally damages the mental health and social integration of the elderly.</w:t>
      </w:r>
      <w:r w:rsidRPr="00E43CCE">
        <w:rPr>
          <w:rFonts w:ascii="Arial" w:eastAsia="Times New Roman" w:hAnsi="Arial" w:cs="Arial"/>
          <w:sz w:val="22"/>
          <w:szCs w:val="22"/>
        </w:rPr>
        <w:br/>
      </w:r>
      <w:r w:rsidRPr="00E43CCE">
        <w:rPr>
          <w:rFonts w:ascii="Arial" w:eastAsia="Times New Roman" w:hAnsi="Arial" w:cs="Arial"/>
          <w:b/>
          <w:bCs/>
          <w:sz w:val="22"/>
          <w:szCs w:val="22"/>
        </w:rPr>
        <w:t>Statistical Information</w:t>
      </w:r>
      <w:r w:rsidRPr="00E43CCE">
        <w:rPr>
          <w:rFonts w:ascii="Arial" w:eastAsia="Times New Roman" w:hAnsi="Arial" w:cs="Arial"/>
          <w:sz w:val="22"/>
          <w:szCs w:val="22"/>
        </w:rPr>
        <w:br/>
        <w:t>Age UK (2021) reports that over a third of older people feel more anxious about their health due to the difficulty of accessing a doctor face-to-face. Furthermore, social isolation among the elderly is a recognized public health crisis, linked to higher risks of cardiovascular disease and cognitive decline (Kings Fund, 2020). The digital shift in healthcare is cited by 25% of elderly respondents as a contributing factor to feelings of societal disconnection (Citizens Advice, 2020).</w:t>
      </w:r>
      <w:r w:rsidRPr="00E43CCE">
        <w:rPr>
          <w:rFonts w:ascii="Arial" w:eastAsia="Times New Roman" w:hAnsi="Arial" w:cs="Arial"/>
          <w:sz w:val="22"/>
          <w:szCs w:val="22"/>
        </w:rPr>
        <w:br/>
      </w:r>
      <w:r w:rsidRPr="00E43CCE">
        <w:rPr>
          <w:rFonts w:ascii="Arial" w:eastAsia="Times New Roman" w:hAnsi="Arial" w:cs="Arial"/>
          <w:b/>
          <w:bCs/>
          <w:sz w:val="22"/>
          <w:szCs w:val="22"/>
        </w:rPr>
        <w:t>Theories, Policies, and Legislation</w:t>
      </w:r>
      <w:r w:rsidRPr="00E43CCE">
        <w:rPr>
          <w:rFonts w:ascii="Arial" w:eastAsia="Times New Roman" w:hAnsi="Arial" w:cs="Arial"/>
          <w:sz w:val="22"/>
          <w:szCs w:val="22"/>
        </w:rPr>
        <w:br/>
        <w:t>This aligns with psychosocial theories of ageing, which emphasize the importance of autonomy and social engagement for maintaining mental health in later life. Policy frameworks like the Care Act 2014 emphasize "well-being" as a guiding principle in adult social care. By enforcing digital systems that isolate older adults and strip their autonomy, current practices arguably contravene the spirit of such legislation (Richardson et al., 2020).</w:t>
      </w:r>
      <w:r w:rsidRPr="00E43CCE">
        <w:rPr>
          <w:rFonts w:ascii="Arial" w:eastAsia="Times New Roman" w:hAnsi="Arial" w:cs="Arial"/>
          <w:sz w:val="22"/>
          <w:szCs w:val="22"/>
        </w:rPr>
        <w:br/>
      </w:r>
      <w:r w:rsidRPr="00E43CCE">
        <w:rPr>
          <w:rFonts w:ascii="Arial" w:eastAsia="Times New Roman" w:hAnsi="Arial" w:cs="Arial"/>
          <w:b/>
          <w:bCs/>
          <w:sz w:val="22"/>
          <w:szCs w:val="22"/>
        </w:rPr>
        <w:t>Implications</w:t>
      </w:r>
      <w:r w:rsidRPr="00E43CCE">
        <w:rPr>
          <w:rFonts w:ascii="Arial" w:eastAsia="Times New Roman" w:hAnsi="Arial" w:cs="Arial"/>
          <w:sz w:val="22"/>
          <w:szCs w:val="22"/>
        </w:rPr>
        <w:br/>
        <w:t>The implications are severe. Older adults who feel disenfranchised by the healthcare system often delay seeking medical help for new symptoms out of a desire not to be a "burden" on the digital system or on family members who must navigate it for them (</w:t>
      </w:r>
      <w:proofErr w:type="spellStart"/>
      <w:r w:rsidRPr="00E43CCE">
        <w:rPr>
          <w:rFonts w:ascii="Arial" w:eastAsia="Times New Roman" w:hAnsi="Arial" w:cs="Arial"/>
          <w:sz w:val="22"/>
          <w:szCs w:val="22"/>
        </w:rPr>
        <w:t>Hardie</w:t>
      </w:r>
      <w:proofErr w:type="spellEnd"/>
      <w:r w:rsidRPr="00E43CCE">
        <w:rPr>
          <w:rFonts w:ascii="Arial" w:eastAsia="Times New Roman" w:hAnsi="Arial" w:cs="Arial"/>
          <w:sz w:val="22"/>
          <w:szCs w:val="22"/>
        </w:rPr>
        <w:t xml:space="preserve"> and </w:t>
      </w:r>
      <w:proofErr w:type="spellStart"/>
      <w:r w:rsidRPr="00E43CCE">
        <w:rPr>
          <w:rFonts w:ascii="Arial" w:eastAsia="Times New Roman" w:hAnsi="Arial" w:cs="Arial"/>
          <w:sz w:val="22"/>
          <w:szCs w:val="22"/>
        </w:rPr>
        <w:t>Buzzeo</w:t>
      </w:r>
      <w:proofErr w:type="spellEnd"/>
      <w:r w:rsidRPr="00E43CCE">
        <w:rPr>
          <w:rFonts w:ascii="Arial" w:eastAsia="Times New Roman" w:hAnsi="Arial" w:cs="Arial"/>
          <w:sz w:val="22"/>
          <w:szCs w:val="22"/>
        </w:rPr>
        <w:t>, 2021). This leads to late diagnoses and worse clinical outcomes. The loss of the therapeutic, empathetic relationship built through face-to-face contact cannot be replicated via a web form.</w:t>
      </w:r>
      <w:r w:rsidRPr="00E43CCE">
        <w:rPr>
          <w:rFonts w:ascii="Arial" w:eastAsia="Times New Roman" w:hAnsi="Arial" w:cs="Arial"/>
          <w:sz w:val="22"/>
          <w:szCs w:val="22"/>
        </w:rPr>
        <w:br/>
      </w:r>
      <w:r w:rsidRPr="00E43CCE">
        <w:rPr>
          <w:rFonts w:ascii="Arial" w:eastAsia="Times New Roman" w:hAnsi="Arial" w:cs="Arial"/>
          <w:b/>
          <w:bCs/>
          <w:sz w:val="22"/>
          <w:szCs w:val="22"/>
        </w:rPr>
        <w:t>Examples from Your Articles</w:t>
      </w:r>
      <w:r w:rsidRPr="00E43CCE">
        <w:rPr>
          <w:rFonts w:ascii="Arial" w:eastAsia="Times New Roman" w:hAnsi="Arial" w:cs="Arial"/>
          <w:sz w:val="22"/>
          <w:szCs w:val="22"/>
        </w:rPr>
        <w:br/>
        <w:t xml:space="preserve">A poignant study by Seifert et al. (2020) on the "double burden" of social and digital exclusion found that older adults without internet access felt invisible and forgotten by the state during the shift to telehealth. Similarly, </w:t>
      </w:r>
      <w:proofErr w:type="spellStart"/>
      <w:r w:rsidRPr="00E43CCE">
        <w:rPr>
          <w:rFonts w:ascii="Arial" w:eastAsia="Times New Roman" w:hAnsi="Arial" w:cs="Arial"/>
          <w:sz w:val="22"/>
          <w:szCs w:val="22"/>
        </w:rPr>
        <w:t>McAvey</w:t>
      </w:r>
      <w:proofErr w:type="spellEnd"/>
      <w:r w:rsidRPr="00E43CCE">
        <w:rPr>
          <w:rFonts w:ascii="Arial" w:eastAsia="Times New Roman" w:hAnsi="Arial" w:cs="Arial"/>
          <w:sz w:val="22"/>
          <w:szCs w:val="22"/>
        </w:rPr>
        <w:t xml:space="preserve"> et al. (2021) investigated the loss of the patient-provider relationship, noting that elderly patients heavily value the non-verbal reassurance and empathy of an in-person doctor, which is lost in transactional e-consultations. Both sources emphasize that efficiency-driven digital health models actively harm the holistic well-being of older patients.</w:t>
      </w:r>
      <w:r w:rsidRPr="00E43CCE">
        <w:rPr>
          <w:rFonts w:ascii="Arial" w:eastAsia="Times New Roman" w:hAnsi="Arial" w:cs="Arial"/>
          <w:sz w:val="22"/>
          <w:szCs w:val="22"/>
        </w:rPr>
        <w:br/>
      </w:r>
      <w:r w:rsidRPr="00E43CCE">
        <w:rPr>
          <w:rFonts w:ascii="Arial" w:eastAsia="Times New Roman" w:hAnsi="Arial" w:cs="Arial"/>
          <w:b/>
          <w:bCs/>
          <w:sz w:val="22"/>
          <w:szCs w:val="22"/>
        </w:rPr>
        <w:t>Connections to Other Themes</w:t>
      </w:r>
      <w:r w:rsidRPr="00E43CCE">
        <w:rPr>
          <w:rFonts w:ascii="Arial" w:eastAsia="Times New Roman" w:hAnsi="Arial" w:cs="Arial"/>
          <w:sz w:val="22"/>
          <w:szCs w:val="22"/>
        </w:rPr>
        <w:br/>
        <w:t>This theme is the ultimate consequence of the preceding themes. Lack of material access (Theme 1) and poor digital literacy (Theme 2) culminate in profound psychosocial distress and isolation (Theme 3).</w:t>
      </w:r>
      <w:r w:rsidRPr="00E43CCE">
        <w:rPr>
          <w:rFonts w:ascii="Arial" w:eastAsia="Times New Roman" w:hAnsi="Arial" w:cs="Arial"/>
          <w:sz w:val="22"/>
          <w:szCs w:val="22"/>
        </w:rPr>
        <w:br/>
      </w:r>
      <w:r w:rsidRPr="00E43CCE">
        <w:rPr>
          <w:rFonts w:ascii="Arial" w:eastAsia="Times New Roman" w:hAnsi="Arial" w:cs="Arial"/>
          <w:b/>
          <w:bCs/>
          <w:sz w:val="22"/>
          <w:szCs w:val="22"/>
        </w:rPr>
        <w:t>4.6 Chapter Conclusion</w:t>
      </w:r>
      <w:r w:rsidRPr="00E43CCE">
        <w:rPr>
          <w:rFonts w:ascii="Arial" w:eastAsia="Times New Roman" w:hAnsi="Arial" w:cs="Arial"/>
          <w:sz w:val="22"/>
          <w:szCs w:val="22"/>
        </w:rPr>
        <w:br/>
        <w:t>This chapter has evaluated the profound impact of digital exclusion on the elderly in the UK through three core themes. The findings demonstrate that access to healthcare is severely compromised by financial barriers, poor infrastructure, and a lack of digital literacy. Furthermore, the design of telehealth platforms often fails to accommodate age-related decline. Consequently, these operational barriers inflict significant psychosocial harm, diminishing patient autonomy and exacerbating social isolation.</w:t>
      </w:r>
      <w:r w:rsidRPr="00E43CCE">
        <w:rPr>
          <w:rFonts w:ascii="Arial" w:eastAsia="Times New Roman" w:hAnsi="Arial" w:cs="Arial"/>
          <w:sz w:val="22"/>
          <w:szCs w:val="22"/>
        </w:rPr>
        <w:br/>
        <w:t>The following chapter will conclude the dissertation by summarizing these findings against the original aims and will provide actionable recommendations for future healthcare practice, policy, and research to ensure equitable care for the ageing population.</w:t>
      </w:r>
    </w:p>
    <w:p w14:paraId="1A6CCDC4" w14:textId="77777777" w:rsidR="00CF1E90" w:rsidRDefault="00C376C1">
      <w:pPr>
        <w:rPr>
          <w:rFonts w:ascii="Arial" w:eastAsia="Times New Roman" w:hAnsi="Arial" w:cs="Arial"/>
          <w:kern w:val="0"/>
          <w:sz w:val="22"/>
          <w:szCs w:val="22"/>
          <w14:ligatures w14:val="none"/>
        </w:rPr>
      </w:pPr>
      <w:r w:rsidRPr="00E43CCE">
        <w:rPr>
          <w:rFonts w:ascii="Arial" w:eastAsia="Times New Roman" w:hAnsi="Arial" w:cs="Arial"/>
          <w:b/>
          <w:bCs/>
          <w:kern w:val="0"/>
          <w:sz w:val="22"/>
          <w:szCs w:val="22"/>
          <w14:ligatures w14:val="none"/>
        </w:rPr>
        <w:t>CHAPTER 5: Conclusion and Recommendations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5.1 Overall Conclusion</w:t>
      </w:r>
      <w:r w:rsidRPr="00E43CCE">
        <w:rPr>
          <w:rFonts w:ascii="Arial" w:eastAsia="Times New Roman" w:hAnsi="Arial" w:cs="Arial"/>
          <w:kern w:val="0"/>
          <w:sz w:val="22"/>
          <w:szCs w:val="22"/>
          <w14:ligatures w14:val="none"/>
        </w:rPr>
        <w:br/>
        <w:t>The primary aim of this dissertation was to evaluate the impact of digital exclusion on healthcare access and the psychosocial well-being of the elderly in the UK. Through a rigorous secondary research methodology and thematic analysis of current literature, this aim has been fully addressed.</w:t>
      </w:r>
      <w:r w:rsidRPr="00E43CCE">
        <w:rPr>
          <w:rFonts w:ascii="Arial" w:eastAsia="Times New Roman" w:hAnsi="Arial" w:cs="Arial"/>
          <w:kern w:val="0"/>
          <w:sz w:val="22"/>
          <w:szCs w:val="22"/>
          <w14:ligatures w14:val="none"/>
        </w:rPr>
        <w:br/>
        <w:t>The research has clearly established that the UK's accelerated transition to a "digital-first" healthcare model has inadvertently marginalized a significant portion of the population aged 65 and over. Objective 1 was met by defining the digital divide not merely as a lack of broadband, but as a complex issue encompassing financial poverty, cognitive decline, and lack of skills. Objective 2 was addressed by analysing the specific barriers to telehealth, revealing that poor interface design and reliance on complex e-literacy heavily restrict access. Finally, Objective 3 was achieved by demonstrating the severe psychosocial impact of this exclusion; older adults face increased anxiety, forced dependency on relatives, and profound social isolation due to the loss of face-to-face interactions.</w:t>
      </w:r>
      <w:r w:rsidRPr="00E43CCE">
        <w:rPr>
          <w:rFonts w:ascii="Arial" w:eastAsia="Times New Roman" w:hAnsi="Arial" w:cs="Arial"/>
          <w:kern w:val="0"/>
          <w:sz w:val="22"/>
          <w:szCs w:val="22"/>
          <w14:ligatures w14:val="none"/>
        </w:rPr>
        <w:br/>
        <w:t>Ultimately, this research concludes that digital health technologies, while highly efficient, are not universally accessible. Without structural intervention, the digital divide will continue to manifest as a severe health inequality.</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5.2 Recommendations</w:t>
      </w:r>
      <w:r w:rsidRPr="00E43CCE">
        <w:rPr>
          <w:rFonts w:ascii="Arial" w:eastAsia="Times New Roman" w:hAnsi="Arial" w:cs="Arial"/>
          <w:kern w:val="0"/>
          <w:sz w:val="22"/>
          <w:szCs w:val="22"/>
          <w14:ligatures w14:val="none"/>
        </w:rPr>
        <w:br/>
        <w:t>Based on the findings of this dissertation, the following recommendations are proposed to improve health and social care practice, policy, and future research.</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5.2.1 Recommendation 1: Mandating and Protecting Hybrid Healthcare Pathways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Recommendation:</w:t>
      </w:r>
      <w:r w:rsidRPr="00E43CCE">
        <w:rPr>
          <w:rFonts w:ascii="Arial" w:eastAsia="Times New Roman" w:hAnsi="Arial" w:cs="Arial"/>
          <w:kern w:val="0"/>
          <w:sz w:val="22"/>
          <w:szCs w:val="22"/>
          <w14:ligatures w14:val="none"/>
        </w:rPr>
        <w:br/>
        <w:t>National health policy must be adjusted to legally mandate the preservation and funding of "hybrid" healthcare pathways. While digital innovation should continue, robust, well-resourced non-digital alternatives (e.g., fully staffed telephone booking lines and guaranteed face-to-face appointments for vulnerable groups) must be maintained at every GP practice.</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Rationale:</w:t>
      </w:r>
      <w:r w:rsidRPr="00E43CCE">
        <w:rPr>
          <w:rFonts w:ascii="Arial" w:eastAsia="Times New Roman" w:hAnsi="Arial" w:cs="Arial"/>
          <w:kern w:val="0"/>
          <w:sz w:val="22"/>
          <w:szCs w:val="22"/>
          <w14:ligatures w14:val="none"/>
        </w:rPr>
        <w:br/>
        <w:t>The thematic analysis demonstrated that enforcing a purely digital route results in the complete exclusion of those lacking material access or digital literacy. A hybrid model respects patient autonomy and aligns with the Equality Act 2010 by ensuring no demographic is discriminated against.</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Barriers and Limitations:</w:t>
      </w:r>
      <w:r w:rsidRPr="00E43CCE">
        <w:rPr>
          <w:rFonts w:ascii="Arial" w:eastAsia="Times New Roman" w:hAnsi="Arial" w:cs="Arial"/>
          <w:kern w:val="0"/>
          <w:sz w:val="22"/>
          <w:szCs w:val="22"/>
          <w14:ligatures w14:val="none"/>
        </w:rPr>
        <w:br/>
        <w:t>The primary barrier to this recommendation is financial and operational. General Practices are under immense pressure, and running parallel administrative systems (digital and analogue) is resource-intensive and costly.</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Overcoming the Barrier:</w:t>
      </w:r>
      <w:r w:rsidRPr="00E43CCE">
        <w:rPr>
          <w:rFonts w:ascii="Arial" w:eastAsia="Times New Roman" w:hAnsi="Arial" w:cs="Arial"/>
          <w:kern w:val="0"/>
          <w:sz w:val="22"/>
          <w:szCs w:val="22"/>
          <w14:ligatures w14:val="none"/>
        </w:rPr>
        <w:br/>
        <w:t>This can be overcome by NHS England ring-fencing specific funding for administrative staff dedicated to managing non-digital pathways, recognizing this not as a technological regression, but as a necessary expenditure for health equity and safeguarding.</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5.2.2 Recommendation 2: Community-Integrated Digital Health Literacy Programmes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Recommendation:</w:t>
      </w:r>
      <w:r w:rsidRPr="00E43CCE">
        <w:rPr>
          <w:rFonts w:ascii="Arial" w:eastAsia="Times New Roman" w:hAnsi="Arial" w:cs="Arial"/>
          <w:kern w:val="0"/>
          <w:sz w:val="22"/>
          <w:szCs w:val="22"/>
          <w14:ligatures w14:val="none"/>
        </w:rPr>
        <w:br/>
        <w:t>Local Integrated Care Systems (ICS) should partner with third-sector organizations (such as Age UK and local libraries) to fund and deliver ongoing, targeted digital health literacy workshops specifically designed for older adults.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Rationale:</w:t>
      </w:r>
      <w:r w:rsidRPr="00E43CCE">
        <w:rPr>
          <w:rFonts w:ascii="Arial" w:eastAsia="Times New Roman" w:hAnsi="Arial" w:cs="Arial"/>
          <w:kern w:val="0"/>
          <w:sz w:val="22"/>
          <w:szCs w:val="22"/>
          <w14:ligatures w14:val="none"/>
        </w:rPr>
        <w:br/>
        <w:t>Providing hardware is insufficient without education. Programmes must go beyond basic internet use and specifically teach older adults how to securely navigate the NHS App, order repeat prescriptions, and participate in video consultations, thereby building confidence and reducing technology-induced anxiety.</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Barriers and Limitations:</w:t>
      </w:r>
      <w:r w:rsidRPr="00E43CCE">
        <w:rPr>
          <w:rFonts w:ascii="Arial" w:eastAsia="Times New Roman" w:hAnsi="Arial" w:cs="Arial"/>
          <w:kern w:val="0"/>
          <w:sz w:val="22"/>
          <w:szCs w:val="22"/>
          <w14:ligatures w14:val="none"/>
        </w:rPr>
        <w:br/>
        <w:t>Older adults experiencing cognitive decline or severe physical dexterity issues may not benefit from skills training. Furthermore, adult learning programs often suffer from high drop-out rates if they are perceived as patronizing or excessively complex.</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Overcoming the Barrier:</w:t>
      </w:r>
      <w:r w:rsidRPr="00E43CCE">
        <w:rPr>
          <w:rFonts w:ascii="Arial" w:eastAsia="Times New Roman" w:hAnsi="Arial" w:cs="Arial"/>
          <w:kern w:val="0"/>
          <w:sz w:val="22"/>
          <w:szCs w:val="22"/>
          <w14:ligatures w14:val="none"/>
        </w:rPr>
        <w:br/>
        <w:t>Training must be heavily personalized, peer-led where possible (e.g., using older adults as "Digital Champions"), and paired with hardware loan schemes. For those who cannot learn due to severe cognitive decline, proxy access for trusted carers must be simplified within the digital systems.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5.2.3 Recommendation 3: Age-Inclusive Co-Design of Digital NHS Platforms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Recommendation:</w:t>
      </w:r>
      <w:r w:rsidRPr="00E43CCE">
        <w:rPr>
          <w:rFonts w:ascii="Arial" w:eastAsia="Times New Roman" w:hAnsi="Arial" w:cs="Arial"/>
          <w:kern w:val="0"/>
          <w:sz w:val="22"/>
          <w:szCs w:val="22"/>
          <w14:ligatures w14:val="none"/>
        </w:rPr>
        <w:br/>
        <w:t>Future development of NHS digital platforms and third-party telehealth software must legally incorporate "age-inclusive co-design." This means elderly patients must be actively involved in the testing and design phases of health software to ensure accessibility standards are met before procurement.</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Rationale:</w:t>
      </w:r>
      <w:r w:rsidRPr="00E43CCE">
        <w:rPr>
          <w:rFonts w:ascii="Arial" w:eastAsia="Times New Roman" w:hAnsi="Arial" w:cs="Arial"/>
          <w:kern w:val="0"/>
          <w:sz w:val="22"/>
          <w:szCs w:val="22"/>
          <w14:ligatures w14:val="none"/>
        </w:rPr>
        <w:br/>
        <w:t>The findings highlighted that design exclusion (small fonts, complex navigation) is a massive barrier. Engaging older adults in the design process ensures the technology accommodates age-related visual, auditory, and motor decline, directly addressing the "Perceived Ease of Use" aspect of the Technology Acceptance Model.</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Barriers and Limitations:</w:t>
      </w:r>
      <w:r w:rsidRPr="00E43CCE">
        <w:rPr>
          <w:rFonts w:ascii="Arial" w:eastAsia="Times New Roman" w:hAnsi="Arial" w:cs="Arial"/>
          <w:kern w:val="0"/>
          <w:sz w:val="22"/>
          <w:szCs w:val="22"/>
          <w14:ligatures w14:val="none"/>
        </w:rPr>
        <w:br/>
        <w:t>Software developers often operate on rapid, agile timelines, and participatory design with vulnerable cohorts takes significant time and resources. Additionally, standardizing third-party vendor software across the fragmented NHS IT landscape is highly difficult.</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Overcoming the Barrier:</w:t>
      </w:r>
      <w:r w:rsidRPr="00E43CCE">
        <w:rPr>
          <w:rFonts w:ascii="Arial" w:eastAsia="Times New Roman" w:hAnsi="Arial" w:cs="Arial"/>
          <w:kern w:val="0"/>
          <w:sz w:val="22"/>
          <w:szCs w:val="22"/>
          <w14:ligatures w14:val="none"/>
        </w:rPr>
        <w:br/>
        <w:t>The Government Digital Service (GDS) and NHS Digital must enforce strict, standardized accessibility procurement criteria. Any software failing to prove successful usability testing with the 65+ demographic should be barred from NHS procurement contracts, forcing the market to adapt to inclusive design.</w:t>
      </w:r>
    </w:p>
    <w:p w14:paraId="54F085D3" w14:textId="6A6AB348" w:rsidR="00DC712D" w:rsidRPr="00E43CCE" w:rsidRDefault="00C376C1">
      <w:pPr>
        <w:rPr>
          <w:rFonts w:ascii="Arial" w:hAnsi="Arial" w:cs="Arial"/>
          <w:sz w:val="22"/>
          <w:szCs w:val="22"/>
        </w:rPr>
      </w:pP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CHAPTER 6: References and Appendices</w:t>
      </w:r>
      <w:r w:rsidRPr="00E43CCE">
        <w:rPr>
          <w:rFonts w:ascii="Arial" w:eastAsia="Times New Roman" w:hAnsi="Arial" w:cs="Arial"/>
          <w:kern w:val="0"/>
          <w:sz w:val="22"/>
          <w:szCs w:val="22"/>
          <w14:ligatures w14:val="none"/>
        </w:rPr>
        <w:br/>
      </w:r>
      <w:r w:rsidRPr="00E43CCE">
        <w:rPr>
          <w:rFonts w:ascii="Arial" w:eastAsia="Times New Roman" w:hAnsi="Arial" w:cs="Arial"/>
          <w:b/>
          <w:bCs/>
          <w:kern w:val="0"/>
          <w:sz w:val="22"/>
          <w:szCs w:val="22"/>
          <w14:ligatures w14:val="none"/>
        </w:rPr>
        <w:t>6.1 References</w:t>
      </w:r>
      <w:r w:rsidRPr="00E43CCE">
        <w:rPr>
          <w:rFonts w:ascii="Arial" w:eastAsia="Times New Roman" w:hAnsi="Arial" w:cs="Arial"/>
          <w:kern w:val="0"/>
          <w:sz w:val="22"/>
          <w:szCs w:val="22"/>
          <w14:ligatures w14:val="none"/>
        </w:rPr>
        <w:br/>
        <w:t xml:space="preserve">Age UK, (2021). </w:t>
      </w:r>
      <w:r w:rsidRPr="00E43CCE">
        <w:rPr>
          <w:rFonts w:ascii="Arial" w:eastAsia="Times New Roman" w:hAnsi="Arial" w:cs="Arial"/>
          <w:i/>
          <w:iCs/>
          <w:kern w:val="0"/>
          <w:sz w:val="22"/>
          <w:szCs w:val="22"/>
          <w14:ligatures w14:val="none"/>
        </w:rPr>
        <w:t>Digital inclusion and older people – how have things changed in a Covid-19 world?</w:t>
      </w:r>
      <w:r w:rsidRPr="00E43CCE">
        <w:rPr>
          <w:rFonts w:ascii="Arial" w:eastAsia="Times New Roman" w:hAnsi="Arial" w:cs="Arial"/>
          <w:kern w:val="0"/>
          <w:sz w:val="22"/>
          <w:szCs w:val="22"/>
          <w14:ligatures w14:val="none"/>
        </w:rPr>
        <w:t>. London: Age UK. [online] Available at: https://www.ageuk.org.uk [Accessed 14 May 2026].</w:t>
      </w:r>
      <w:r w:rsidRPr="00E43CCE">
        <w:rPr>
          <w:rFonts w:ascii="Arial" w:eastAsia="Times New Roman" w:hAnsi="Arial" w:cs="Arial"/>
          <w:kern w:val="0"/>
          <w:sz w:val="22"/>
          <w:szCs w:val="22"/>
          <w14:ligatures w14:val="none"/>
        </w:rPr>
        <w:br/>
        <w:t xml:space="preserve">Age UK, (2023). </w:t>
      </w:r>
      <w:r w:rsidRPr="00E43CCE">
        <w:rPr>
          <w:rFonts w:ascii="Arial" w:eastAsia="Times New Roman" w:hAnsi="Arial" w:cs="Arial"/>
          <w:i/>
          <w:iCs/>
          <w:kern w:val="0"/>
          <w:sz w:val="22"/>
          <w:szCs w:val="22"/>
          <w14:ligatures w14:val="none"/>
        </w:rPr>
        <w:t>Offline and left behind: The state of digital exclusion among older people in the UK</w:t>
      </w:r>
      <w:r w:rsidRPr="00E43CCE">
        <w:rPr>
          <w:rFonts w:ascii="Arial" w:eastAsia="Times New Roman" w:hAnsi="Arial" w:cs="Arial"/>
          <w:kern w:val="0"/>
          <w:sz w:val="22"/>
          <w:szCs w:val="22"/>
          <w14:ligatures w14:val="none"/>
        </w:rPr>
        <w:t>. London: Age UK.</w:t>
      </w:r>
      <w:r w:rsidRPr="00E43CCE">
        <w:rPr>
          <w:rFonts w:ascii="Arial" w:eastAsia="Times New Roman" w:hAnsi="Arial" w:cs="Arial"/>
          <w:kern w:val="0"/>
          <w:sz w:val="22"/>
          <w:szCs w:val="22"/>
          <w14:ligatures w14:val="none"/>
        </w:rPr>
        <w:br/>
        <w:t xml:space="preserve">Audit Wales, (2021). </w:t>
      </w:r>
      <w:r w:rsidRPr="00E43CCE">
        <w:rPr>
          <w:rFonts w:ascii="Arial" w:eastAsia="Times New Roman" w:hAnsi="Arial" w:cs="Arial"/>
          <w:i/>
          <w:iCs/>
          <w:kern w:val="0"/>
          <w:sz w:val="22"/>
          <w:szCs w:val="22"/>
          <w14:ligatures w14:val="none"/>
        </w:rPr>
        <w:t>Digital Inclusion in Wales</w:t>
      </w:r>
      <w:r w:rsidRPr="00E43CCE">
        <w:rPr>
          <w:rFonts w:ascii="Arial" w:eastAsia="Times New Roman" w:hAnsi="Arial" w:cs="Arial"/>
          <w:kern w:val="0"/>
          <w:sz w:val="22"/>
          <w:szCs w:val="22"/>
          <w14:ligatures w14:val="none"/>
        </w:rPr>
        <w:t>. Cardiff: Auditor General for Wales.</w:t>
      </w:r>
      <w:r w:rsidRPr="00E43CCE">
        <w:rPr>
          <w:rFonts w:ascii="Arial" w:eastAsia="Times New Roman" w:hAnsi="Arial" w:cs="Arial"/>
          <w:kern w:val="0"/>
          <w:sz w:val="22"/>
          <w:szCs w:val="22"/>
          <w14:ligatures w14:val="none"/>
        </w:rPr>
        <w:br/>
        <w:t xml:space="preserve">Benda, N.C., </w:t>
      </w:r>
      <w:proofErr w:type="spellStart"/>
      <w:r w:rsidRPr="00E43CCE">
        <w:rPr>
          <w:rFonts w:ascii="Arial" w:eastAsia="Times New Roman" w:hAnsi="Arial" w:cs="Arial"/>
          <w:kern w:val="0"/>
          <w:sz w:val="22"/>
          <w:szCs w:val="22"/>
          <w14:ligatures w14:val="none"/>
        </w:rPr>
        <w:t>Veinot</w:t>
      </w:r>
      <w:proofErr w:type="spellEnd"/>
      <w:r w:rsidRPr="00E43CCE">
        <w:rPr>
          <w:rFonts w:ascii="Arial" w:eastAsia="Times New Roman" w:hAnsi="Arial" w:cs="Arial"/>
          <w:kern w:val="0"/>
          <w:sz w:val="22"/>
          <w:szCs w:val="22"/>
          <w14:ligatures w14:val="none"/>
        </w:rPr>
        <w:t xml:space="preserve">, T.C., Perez, C.J. and </w:t>
      </w:r>
      <w:proofErr w:type="spellStart"/>
      <w:r w:rsidRPr="00E43CCE">
        <w:rPr>
          <w:rFonts w:ascii="Arial" w:eastAsia="Times New Roman" w:hAnsi="Arial" w:cs="Arial"/>
          <w:kern w:val="0"/>
          <w:sz w:val="22"/>
          <w:szCs w:val="22"/>
          <w14:ligatures w14:val="none"/>
        </w:rPr>
        <w:t>Ancker</w:t>
      </w:r>
      <w:proofErr w:type="spellEnd"/>
      <w:r w:rsidRPr="00E43CCE">
        <w:rPr>
          <w:rFonts w:ascii="Arial" w:eastAsia="Times New Roman" w:hAnsi="Arial" w:cs="Arial"/>
          <w:kern w:val="0"/>
          <w:sz w:val="22"/>
          <w:szCs w:val="22"/>
          <w14:ligatures w14:val="none"/>
        </w:rPr>
        <w:t xml:space="preserve">, J.S., (2020). The digital divide in patient portals. </w:t>
      </w:r>
      <w:r w:rsidRPr="00E43CCE">
        <w:rPr>
          <w:rFonts w:ascii="Arial" w:eastAsia="Times New Roman" w:hAnsi="Arial" w:cs="Arial"/>
          <w:i/>
          <w:iCs/>
          <w:kern w:val="0"/>
          <w:sz w:val="22"/>
          <w:szCs w:val="22"/>
          <w14:ligatures w14:val="none"/>
        </w:rPr>
        <w:t>Journal of the American Medical Informatics Association</w:t>
      </w:r>
      <w:r w:rsidRPr="00E43CCE">
        <w:rPr>
          <w:rFonts w:ascii="Arial" w:eastAsia="Times New Roman" w:hAnsi="Arial" w:cs="Arial"/>
          <w:kern w:val="0"/>
          <w:sz w:val="22"/>
          <w:szCs w:val="22"/>
          <w14:ligatures w14:val="none"/>
        </w:rPr>
        <w:t>, 27(6), pp.989-995.</w:t>
      </w:r>
      <w:r w:rsidRPr="00E43CCE">
        <w:rPr>
          <w:rFonts w:ascii="Arial" w:eastAsia="Times New Roman" w:hAnsi="Arial" w:cs="Arial"/>
          <w:kern w:val="0"/>
          <w:sz w:val="22"/>
          <w:szCs w:val="22"/>
          <w14:ligatures w14:val="none"/>
        </w:rPr>
        <w:br/>
        <w:t xml:space="preserve">BMA (British Medical Association), (2021). </w:t>
      </w:r>
      <w:r w:rsidRPr="00E43CCE">
        <w:rPr>
          <w:rFonts w:ascii="Arial" w:eastAsia="Times New Roman" w:hAnsi="Arial" w:cs="Arial"/>
          <w:i/>
          <w:iCs/>
          <w:kern w:val="0"/>
          <w:sz w:val="22"/>
          <w:szCs w:val="22"/>
          <w14:ligatures w14:val="none"/>
        </w:rPr>
        <w:t>The shift to remote consultations</w:t>
      </w:r>
      <w:r w:rsidRPr="00E43CCE">
        <w:rPr>
          <w:rFonts w:ascii="Arial" w:eastAsia="Times New Roman" w:hAnsi="Arial" w:cs="Arial"/>
          <w:kern w:val="0"/>
          <w:sz w:val="22"/>
          <w:szCs w:val="22"/>
          <w14:ligatures w14:val="none"/>
        </w:rPr>
        <w:t>. London: BMA.</w:t>
      </w:r>
      <w:r w:rsidRPr="00E43CCE">
        <w:rPr>
          <w:rFonts w:ascii="Arial" w:eastAsia="Times New Roman" w:hAnsi="Arial" w:cs="Arial"/>
          <w:kern w:val="0"/>
          <w:sz w:val="22"/>
          <w:szCs w:val="22"/>
          <w14:ligatures w14:val="none"/>
        </w:rPr>
        <w:br/>
        <w:t xml:space="preserve">Borg, K., </w:t>
      </w:r>
      <w:proofErr w:type="spellStart"/>
      <w:r w:rsidRPr="00E43CCE">
        <w:rPr>
          <w:rFonts w:ascii="Arial" w:eastAsia="Times New Roman" w:hAnsi="Arial" w:cs="Arial"/>
          <w:kern w:val="0"/>
          <w:sz w:val="22"/>
          <w:szCs w:val="22"/>
          <w14:ligatures w14:val="none"/>
        </w:rPr>
        <w:t>Boulet</w:t>
      </w:r>
      <w:proofErr w:type="spellEnd"/>
      <w:r w:rsidRPr="00E43CCE">
        <w:rPr>
          <w:rFonts w:ascii="Arial" w:eastAsia="Times New Roman" w:hAnsi="Arial" w:cs="Arial"/>
          <w:kern w:val="0"/>
          <w:sz w:val="22"/>
          <w:szCs w:val="22"/>
          <w14:ligatures w14:val="none"/>
        </w:rPr>
        <w:t xml:space="preserve">, M., Smith, L. and </w:t>
      </w:r>
      <w:proofErr w:type="spellStart"/>
      <w:r w:rsidRPr="00E43CCE">
        <w:rPr>
          <w:rFonts w:ascii="Arial" w:eastAsia="Times New Roman" w:hAnsi="Arial" w:cs="Arial"/>
          <w:kern w:val="0"/>
          <w:sz w:val="22"/>
          <w:szCs w:val="22"/>
          <w14:ligatures w14:val="none"/>
        </w:rPr>
        <w:t>Bragge</w:t>
      </w:r>
      <w:proofErr w:type="spellEnd"/>
      <w:r w:rsidRPr="00E43CCE">
        <w:rPr>
          <w:rFonts w:ascii="Arial" w:eastAsia="Times New Roman" w:hAnsi="Arial" w:cs="Arial"/>
          <w:kern w:val="0"/>
          <w:sz w:val="22"/>
          <w:szCs w:val="22"/>
          <w14:ligatures w14:val="none"/>
        </w:rPr>
        <w:t xml:space="preserve">, P., (2019). Digital inclusion and health communication: A rapid review of literature. </w:t>
      </w:r>
      <w:r w:rsidRPr="00E43CCE">
        <w:rPr>
          <w:rFonts w:ascii="Arial" w:eastAsia="Times New Roman" w:hAnsi="Arial" w:cs="Arial"/>
          <w:i/>
          <w:iCs/>
          <w:kern w:val="0"/>
          <w:sz w:val="22"/>
          <w:szCs w:val="22"/>
          <w14:ligatures w14:val="none"/>
        </w:rPr>
        <w:t>Health Communication</w:t>
      </w:r>
      <w:r w:rsidRPr="00E43CCE">
        <w:rPr>
          <w:rFonts w:ascii="Arial" w:eastAsia="Times New Roman" w:hAnsi="Arial" w:cs="Arial"/>
          <w:kern w:val="0"/>
          <w:sz w:val="22"/>
          <w:szCs w:val="22"/>
          <w14:ligatures w14:val="none"/>
        </w:rPr>
        <w:t>, 34(11), pp.1320-1328.</w:t>
      </w:r>
      <w:r w:rsidRPr="00E43CCE">
        <w:rPr>
          <w:rFonts w:ascii="Arial" w:eastAsia="Times New Roman" w:hAnsi="Arial" w:cs="Arial"/>
          <w:kern w:val="0"/>
          <w:sz w:val="22"/>
          <w:szCs w:val="22"/>
          <w14:ligatures w14:val="none"/>
        </w:rPr>
        <w:br/>
        <w:t xml:space="preserve">Braun, V. and Clarke, V., (2006). Using thematic analysis in psychology. </w:t>
      </w:r>
      <w:r w:rsidRPr="00E43CCE">
        <w:rPr>
          <w:rFonts w:ascii="Arial" w:eastAsia="Times New Roman" w:hAnsi="Arial" w:cs="Arial"/>
          <w:i/>
          <w:iCs/>
          <w:kern w:val="0"/>
          <w:sz w:val="22"/>
          <w:szCs w:val="22"/>
          <w14:ligatures w14:val="none"/>
        </w:rPr>
        <w:t>Qualitative Research in Psychology</w:t>
      </w:r>
      <w:r w:rsidRPr="00E43CCE">
        <w:rPr>
          <w:rFonts w:ascii="Arial" w:eastAsia="Times New Roman" w:hAnsi="Arial" w:cs="Arial"/>
          <w:kern w:val="0"/>
          <w:sz w:val="22"/>
          <w:szCs w:val="22"/>
          <w14:ligatures w14:val="none"/>
        </w:rPr>
        <w:t>, 3(2), pp.77-101.</w:t>
      </w:r>
      <w:r w:rsidRPr="00E43CCE">
        <w:rPr>
          <w:rFonts w:ascii="Arial" w:eastAsia="Times New Roman" w:hAnsi="Arial" w:cs="Arial"/>
          <w:kern w:val="0"/>
          <w:sz w:val="22"/>
          <w:szCs w:val="22"/>
          <w14:ligatures w14:val="none"/>
        </w:rPr>
        <w:br/>
        <w:t xml:space="preserve">Centre for Ageing Better, (2021). </w:t>
      </w:r>
      <w:r w:rsidRPr="00E43CCE">
        <w:rPr>
          <w:rFonts w:ascii="Arial" w:eastAsia="Times New Roman" w:hAnsi="Arial" w:cs="Arial"/>
          <w:i/>
          <w:iCs/>
          <w:kern w:val="0"/>
          <w:sz w:val="22"/>
          <w:szCs w:val="22"/>
          <w14:ligatures w14:val="none"/>
        </w:rPr>
        <w:t>COVID-19 and the digital divide in older age</w:t>
      </w:r>
      <w:r w:rsidRPr="00E43CCE">
        <w:rPr>
          <w:rFonts w:ascii="Arial" w:eastAsia="Times New Roman" w:hAnsi="Arial" w:cs="Arial"/>
          <w:kern w:val="0"/>
          <w:sz w:val="22"/>
          <w:szCs w:val="22"/>
          <w14:ligatures w14:val="none"/>
        </w:rPr>
        <w:t>. London: Centre for Ageing Better.</w:t>
      </w:r>
      <w:r w:rsidRPr="00E43CCE">
        <w:rPr>
          <w:rFonts w:ascii="Arial" w:eastAsia="Times New Roman" w:hAnsi="Arial" w:cs="Arial"/>
          <w:kern w:val="0"/>
          <w:sz w:val="22"/>
          <w:szCs w:val="22"/>
          <w14:ligatures w14:val="none"/>
        </w:rPr>
        <w:br/>
        <w:t xml:space="preserve">Centre for Ageing Better, (2022). </w:t>
      </w:r>
      <w:r w:rsidRPr="00E43CCE">
        <w:rPr>
          <w:rFonts w:ascii="Arial" w:eastAsia="Times New Roman" w:hAnsi="Arial" w:cs="Arial"/>
          <w:i/>
          <w:iCs/>
          <w:kern w:val="0"/>
          <w:sz w:val="22"/>
          <w:szCs w:val="22"/>
          <w14:ligatures w14:val="none"/>
        </w:rPr>
        <w:t>The state of ageing 2022</w:t>
      </w:r>
      <w:r w:rsidRPr="00E43CCE">
        <w:rPr>
          <w:rFonts w:ascii="Arial" w:eastAsia="Times New Roman" w:hAnsi="Arial" w:cs="Arial"/>
          <w:kern w:val="0"/>
          <w:sz w:val="22"/>
          <w:szCs w:val="22"/>
          <w14:ligatures w14:val="none"/>
        </w:rPr>
        <w:t>. London: Centre for Ageing Better.</w:t>
      </w:r>
      <w:r w:rsidRPr="00E43CCE">
        <w:rPr>
          <w:rFonts w:ascii="Arial" w:eastAsia="Times New Roman" w:hAnsi="Arial" w:cs="Arial"/>
          <w:kern w:val="0"/>
          <w:sz w:val="22"/>
          <w:szCs w:val="22"/>
          <w14:ligatures w14:val="none"/>
        </w:rPr>
        <w:br/>
        <w:t xml:space="preserve">Citizens Advice, (2020). </w:t>
      </w:r>
      <w:r w:rsidRPr="00E43CCE">
        <w:rPr>
          <w:rFonts w:ascii="Arial" w:eastAsia="Times New Roman" w:hAnsi="Arial" w:cs="Arial"/>
          <w:i/>
          <w:iCs/>
          <w:kern w:val="0"/>
          <w:sz w:val="22"/>
          <w:szCs w:val="22"/>
          <w14:ligatures w14:val="none"/>
        </w:rPr>
        <w:t>Locked out: How the digital divide affects older people</w:t>
      </w:r>
      <w:r w:rsidRPr="00E43CCE">
        <w:rPr>
          <w:rFonts w:ascii="Arial" w:eastAsia="Times New Roman" w:hAnsi="Arial" w:cs="Arial"/>
          <w:kern w:val="0"/>
          <w:sz w:val="22"/>
          <w:szCs w:val="22"/>
          <w14:ligatures w14:val="none"/>
        </w:rPr>
        <w:t>. London: Citizens Advice Bureau.</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Cotten</w:t>
      </w:r>
      <w:proofErr w:type="spellEnd"/>
      <w:r w:rsidRPr="00E43CCE">
        <w:rPr>
          <w:rFonts w:ascii="Arial" w:eastAsia="Times New Roman" w:hAnsi="Arial" w:cs="Arial"/>
          <w:kern w:val="0"/>
          <w:sz w:val="22"/>
          <w:szCs w:val="22"/>
          <w14:ligatures w14:val="none"/>
        </w:rPr>
        <w:t xml:space="preserve">, S.R., Ford, G., Ford, S. and Hale, T.M., (2014). Internet use and depression among older adults. </w:t>
      </w:r>
      <w:r w:rsidRPr="00E43CCE">
        <w:rPr>
          <w:rFonts w:ascii="Arial" w:eastAsia="Times New Roman" w:hAnsi="Arial" w:cs="Arial"/>
          <w:i/>
          <w:iCs/>
          <w:kern w:val="0"/>
          <w:sz w:val="22"/>
          <w:szCs w:val="22"/>
          <w14:ligatures w14:val="none"/>
        </w:rPr>
        <w:t xml:space="preserve">Computers in Human </w:t>
      </w:r>
      <w:proofErr w:type="spellStart"/>
      <w:r w:rsidRPr="00E43CCE">
        <w:rPr>
          <w:rFonts w:ascii="Arial" w:eastAsia="Times New Roman" w:hAnsi="Arial" w:cs="Arial"/>
          <w:i/>
          <w:iCs/>
          <w:kern w:val="0"/>
          <w:sz w:val="22"/>
          <w:szCs w:val="22"/>
          <w14:ligatures w14:val="none"/>
        </w:rPr>
        <w:t>Behavior</w:t>
      </w:r>
      <w:proofErr w:type="spellEnd"/>
      <w:r w:rsidRPr="00E43CCE">
        <w:rPr>
          <w:rFonts w:ascii="Arial" w:eastAsia="Times New Roman" w:hAnsi="Arial" w:cs="Arial"/>
          <w:kern w:val="0"/>
          <w:sz w:val="22"/>
          <w:szCs w:val="22"/>
          <w14:ligatures w14:val="none"/>
        </w:rPr>
        <w:t>, 3(3), pp.496-499.</w:t>
      </w:r>
      <w:r w:rsidRPr="00E43CCE">
        <w:rPr>
          <w:rFonts w:ascii="Arial" w:eastAsia="Times New Roman" w:hAnsi="Arial" w:cs="Arial"/>
          <w:kern w:val="0"/>
          <w:sz w:val="22"/>
          <w:szCs w:val="22"/>
          <w14:ligatures w14:val="none"/>
        </w:rPr>
        <w:br/>
        <w:t xml:space="preserve">Crawford, A. and </w:t>
      </w:r>
      <w:proofErr w:type="spellStart"/>
      <w:r w:rsidRPr="00E43CCE">
        <w:rPr>
          <w:rFonts w:ascii="Arial" w:eastAsia="Times New Roman" w:hAnsi="Arial" w:cs="Arial"/>
          <w:kern w:val="0"/>
          <w:sz w:val="22"/>
          <w:szCs w:val="22"/>
          <w14:ligatures w14:val="none"/>
        </w:rPr>
        <w:t>Serhal</w:t>
      </w:r>
      <w:proofErr w:type="spellEnd"/>
      <w:r w:rsidRPr="00E43CCE">
        <w:rPr>
          <w:rFonts w:ascii="Arial" w:eastAsia="Times New Roman" w:hAnsi="Arial" w:cs="Arial"/>
          <w:kern w:val="0"/>
          <w:sz w:val="22"/>
          <w:szCs w:val="22"/>
          <w14:ligatures w14:val="none"/>
        </w:rPr>
        <w:t xml:space="preserve">, E., (2020). Digital health equity and COVID-19: The innovation curve cannot rest on the socially disadvantaged. </w:t>
      </w:r>
      <w:r w:rsidRPr="00E43CCE">
        <w:rPr>
          <w:rFonts w:ascii="Arial" w:eastAsia="Times New Roman" w:hAnsi="Arial" w:cs="Arial"/>
          <w:i/>
          <w:iCs/>
          <w:kern w:val="0"/>
          <w:sz w:val="22"/>
          <w:szCs w:val="22"/>
          <w14:ligatures w14:val="none"/>
        </w:rPr>
        <w:t>Journal of Medical Internet Research</w:t>
      </w:r>
      <w:r w:rsidRPr="00E43CCE">
        <w:rPr>
          <w:rFonts w:ascii="Arial" w:eastAsia="Times New Roman" w:hAnsi="Arial" w:cs="Arial"/>
          <w:kern w:val="0"/>
          <w:sz w:val="22"/>
          <w:szCs w:val="22"/>
          <w14:ligatures w14:val="none"/>
        </w:rPr>
        <w:t>, 22(6), p.e19361.</w:t>
      </w:r>
      <w:r w:rsidRPr="00E43CCE">
        <w:rPr>
          <w:rFonts w:ascii="Arial" w:eastAsia="Times New Roman" w:hAnsi="Arial" w:cs="Arial"/>
          <w:kern w:val="0"/>
          <w:sz w:val="22"/>
          <w:szCs w:val="22"/>
          <w14:ligatures w14:val="none"/>
        </w:rPr>
        <w:br/>
        <w:t xml:space="preserve">Davies, A.R., </w:t>
      </w:r>
      <w:proofErr w:type="spellStart"/>
      <w:r w:rsidRPr="00E43CCE">
        <w:rPr>
          <w:rFonts w:ascii="Arial" w:eastAsia="Times New Roman" w:hAnsi="Arial" w:cs="Arial"/>
          <w:kern w:val="0"/>
          <w:sz w:val="22"/>
          <w:szCs w:val="22"/>
          <w14:ligatures w14:val="none"/>
        </w:rPr>
        <w:t>Honeyman</w:t>
      </w:r>
      <w:proofErr w:type="spellEnd"/>
      <w:r w:rsidRPr="00E43CCE">
        <w:rPr>
          <w:rFonts w:ascii="Arial" w:eastAsia="Times New Roman" w:hAnsi="Arial" w:cs="Arial"/>
          <w:kern w:val="0"/>
          <w:sz w:val="22"/>
          <w:szCs w:val="22"/>
          <w14:ligatures w14:val="none"/>
        </w:rPr>
        <w:t xml:space="preserve">, M. and Gann, B., (2021). Digital health and care. </w:t>
      </w:r>
      <w:r w:rsidRPr="00E43CCE">
        <w:rPr>
          <w:rFonts w:ascii="Arial" w:eastAsia="Times New Roman" w:hAnsi="Arial" w:cs="Arial"/>
          <w:i/>
          <w:iCs/>
          <w:kern w:val="0"/>
          <w:sz w:val="22"/>
          <w:szCs w:val="22"/>
          <w14:ligatures w14:val="none"/>
        </w:rPr>
        <w:t>The King's Fund</w:t>
      </w:r>
      <w:r w:rsidRPr="00E43CCE">
        <w:rPr>
          <w:rFonts w:ascii="Arial" w:eastAsia="Times New Roman" w:hAnsi="Arial" w:cs="Arial"/>
          <w:kern w:val="0"/>
          <w:sz w:val="22"/>
          <w:szCs w:val="22"/>
          <w14:ligatures w14:val="none"/>
        </w:rPr>
        <w:t>. [online] Available at: https://www.kingsfund.org.uk [Accessed 12 May 2026].</w:t>
      </w:r>
      <w:r w:rsidRPr="00E43CCE">
        <w:rPr>
          <w:rFonts w:ascii="Arial" w:eastAsia="Times New Roman" w:hAnsi="Arial" w:cs="Arial"/>
          <w:kern w:val="0"/>
          <w:sz w:val="22"/>
          <w:szCs w:val="22"/>
          <w14:ligatures w14:val="none"/>
        </w:rPr>
        <w:br/>
        <w:t xml:space="preserve">Davis, F.D., (1989). Perceived usefulness, perceived ease of use, and user acceptance of information technology. </w:t>
      </w:r>
      <w:r w:rsidRPr="00E43CCE">
        <w:rPr>
          <w:rFonts w:ascii="Arial" w:eastAsia="Times New Roman" w:hAnsi="Arial" w:cs="Arial"/>
          <w:i/>
          <w:iCs/>
          <w:kern w:val="0"/>
          <w:sz w:val="22"/>
          <w:szCs w:val="22"/>
          <w14:ligatures w14:val="none"/>
        </w:rPr>
        <w:t>MIS Quarterly</w:t>
      </w:r>
      <w:r w:rsidRPr="00E43CCE">
        <w:rPr>
          <w:rFonts w:ascii="Arial" w:eastAsia="Times New Roman" w:hAnsi="Arial" w:cs="Arial"/>
          <w:kern w:val="0"/>
          <w:sz w:val="22"/>
          <w:szCs w:val="22"/>
          <w14:ligatures w14:val="none"/>
        </w:rPr>
        <w:t>, 13(3), pp.319-340.</w:t>
      </w:r>
      <w:r w:rsidRPr="00E43CCE">
        <w:rPr>
          <w:rFonts w:ascii="Arial" w:eastAsia="Times New Roman" w:hAnsi="Arial" w:cs="Arial"/>
          <w:kern w:val="0"/>
          <w:sz w:val="22"/>
          <w:szCs w:val="22"/>
          <w14:ligatures w14:val="none"/>
        </w:rPr>
        <w:br/>
        <w:t xml:space="preserve">Digital Unite, (2021). </w:t>
      </w:r>
      <w:r w:rsidRPr="00E43CCE">
        <w:rPr>
          <w:rFonts w:ascii="Arial" w:eastAsia="Times New Roman" w:hAnsi="Arial" w:cs="Arial"/>
          <w:i/>
          <w:iCs/>
          <w:kern w:val="0"/>
          <w:sz w:val="22"/>
          <w:szCs w:val="22"/>
          <w14:ligatures w14:val="none"/>
        </w:rPr>
        <w:t>The impact of digital exclusion on older adults</w:t>
      </w:r>
      <w:r w:rsidRPr="00E43CCE">
        <w:rPr>
          <w:rFonts w:ascii="Arial" w:eastAsia="Times New Roman" w:hAnsi="Arial" w:cs="Arial"/>
          <w:kern w:val="0"/>
          <w:sz w:val="22"/>
          <w:szCs w:val="22"/>
          <w14:ligatures w14:val="none"/>
        </w:rPr>
        <w:t>. London: Digital Unite.</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Eruchalu</w:t>
      </w:r>
      <w:proofErr w:type="spellEnd"/>
      <w:r w:rsidRPr="00E43CCE">
        <w:rPr>
          <w:rFonts w:ascii="Arial" w:eastAsia="Times New Roman" w:hAnsi="Arial" w:cs="Arial"/>
          <w:kern w:val="0"/>
          <w:sz w:val="22"/>
          <w:szCs w:val="22"/>
          <w14:ligatures w14:val="none"/>
        </w:rPr>
        <w:t xml:space="preserve">, C.N., </w:t>
      </w:r>
      <w:proofErr w:type="spellStart"/>
      <w:r w:rsidRPr="00E43CCE">
        <w:rPr>
          <w:rFonts w:ascii="Arial" w:eastAsia="Times New Roman" w:hAnsi="Arial" w:cs="Arial"/>
          <w:kern w:val="0"/>
          <w:sz w:val="22"/>
          <w:szCs w:val="22"/>
          <w14:ligatures w14:val="none"/>
        </w:rPr>
        <w:t>Pichardo</w:t>
      </w:r>
      <w:proofErr w:type="spellEnd"/>
      <w:r w:rsidRPr="00E43CCE">
        <w:rPr>
          <w:rFonts w:ascii="Arial" w:eastAsia="Times New Roman" w:hAnsi="Arial" w:cs="Arial"/>
          <w:kern w:val="0"/>
          <w:sz w:val="22"/>
          <w:szCs w:val="22"/>
          <w14:ligatures w14:val="none"/>
        </w:rPr>
        <w:t xml:space="preserve">, M.S., </w:t>
      </w:r>
      <w:proofErr w:type="spellStart"/>
      <w:r w:rsidRPr="00E43CCE">
        <w:rPr>
          <w:rFonts w:ascii="Arial" w:eastAsia="Times New Roman" w:hAnsi="Arial" w:cs="Arial"/>
          <w:kern w:val="0"/>
          <w:sz w:val="22"/>
          <w:szCs w:val="22"/>
          <w14:ligatures w14:val="none"/>
        </w:rPr>
        <w:t>Bharadwaj</w:t>
      </w:r>
      <w:proofErr w:type="spellEnd"/>
      <w:r w:rsidRPr="00E43CCE">
        <w:rPr>
          <w:rFonts w:ascii="Arial" w:eastAsia="Times New Roman" w:hAnsi="Arial" w:cs="Arial"/>
          <w:kern w:val="0"/>
          <w:sz w:val="22"/>
          <w:szCs w:val="22"/>
          <w14:ligatures w14:val="none"/>
        </w:rPr>
        <w:t xml:space="preserve">, M., Rodriguez, C.B., Rodriguez, J.A., Woods, D.N., Neufeld, M.E. and </w:t>
      </w:r>
      <w:proofErr w:type="spellStart"/>
      <w:r w:rsidRPr="00E43CCE">
        <w:rPr>
          <w:rFonts w:ascii="Arial" w:eastAsia="Times New Roman" w:hAnsi="Arial" w:cs="Arial"/>
          <w:kern w:val="0"/>
          <w:sz w:val="22"/>
          <w:szCs w:val="22"/>
          <w14:ligatures w14:val="none"/>
        </w:rPr>
        <w:t>Nundy</w:t>
      </w:r>
      <w:proofErr w:type="spellEnd"/>
      <w:r w:rsidRPr="00E43CCE">
        <w:rPr>
          <w:rFonts w:ascii="Arial" w:eastAsia="Times New Roman" w:hAnsi="Arial" w:cs="Arial"/>
          <w:kern w:val="0"/>
          <w:sz w:val="22"/>
          <w:szCs w:val="22"/>
          <w14:ligatures w14:val="none"/>
        </w:rPr>
        <w:t xml:space="preserve">, S., (2021). The expanding digital divide: Digital health access inequities during the COVID-19 pandemic in New York City. </w:t>
      </w:r>
      <w:r w:rsidRPr="00E43CCE">
        <w:rPr>
          <w:rFonts w:ascii="Arial" w:eastAsia="Times New Roman" w:hAnsi="Arial" w:cs="Arial"/>
          <w:i/>
          <w:iCs/>
          <w:kern w:val="0"/>
          <w:sz w:val="22"/>
          <w:szCs w:val="22"/>
          <w14:ligatures w14:val="none"/>
        </w:rPr>
        <w:t>Journal of Urban Health</w:t>
      </w:r>
      <w:r w:rsidRPr="00E43CCE">
        <w:rPr>
          <w:rFonts w:ascii="Arial" w:eastAsia="Times New Roman" w:hAnsi="Arial" w:cs="Arial"/>
          <w:kern w:val="0"/>
          <w:sz w:val="22"/>
          <w:szCs w:val="22"/>
          <w14:ligatures w14:val="none"/>
        </w:rPr>
        <w:t>, 98(2), pp.183-186.</w:t>
      </w:r>
      <w:r w:rsidRPr="00E43CCE">
        <w:rPr>
          <w:rFonts w:ascii="Arial" w:eastAsia="Times New Roman" w:hAnsi="Arial" w:cs="Arial"/>
          <w:kern w:val="0"/>
          <w:sz w:val="22"/>
          <w:szCs w:val="22"/>
          <w14:ligatures w14:val="none"/>
        </w:rPr>
        <w:br/>
        <w:t xml:space="preserve">Fang, M.L., </w:t>
      </w:r>
      <w:proofErr w:type="spellStart"/>
      <w:r w:rsidRPr="00E43CCE">
        <w:rPr>
          <w:rFonts w:ascii="Arial" w:eastAsia="Times New Roman" w:hAnsi="Arial" w:cs="Arial"/>
          <w:kern w:val="0"/>
          <w:sz w:val="22"/>
          <w:szCs w:val="22"/>
          <w14:ligatures w14:val="none"/>
        </w:rPr>
        <w:t>Canham</w:t>
      </w:r>
      <w:proofErr w:type="spellEnd"/>
      <w:r w:rsidRPr="00E43CCE">
        <w:rPr>
          <w:rFonts w:ascii="Arial" w:eastAsia="Times New Roman" w:hAnsi="Arial" w:cs="Arial"/>
          <w:kern w:val="0"/>
          <w:sz w:val="22"/>
          <w:szCs w:val="22"/>
          <w14:ligatures w14:val="none"/>
        </w:rPr>
        <w:t xml:space="preserve">, S.L., </w:t>
      </w:r>
      <w:proofErr w:type="spellStart"/>
      <w:r w:rsidRPr="00E43CCE">
        <w:rPr>
          <w:rFonts w:ascii="Arial" w:eastAsia="Times New Roman" w:hAnsi="Arial" w:cs="Arial"/>
          <w:kern w:val="0"/>
          <w:sz w:val="22"/>
          <w:szCs w:val="22"/>
          <w14:ligatures w14:val="none"/>
        </w:rPr>
        <w:t>Battersby</w:t>
      </w:r>
      <w:proofErr w:type="spellEnd"/>
      <w:r w:rsidRPr="00E43CCE">
        <w:rPr>
          <w:rFonts w:ascii="Arial" w:eastAsia="Times New Roman" w:hAnsi="Arial" w:cs="Arial"/>
          <w:kern w:val="0"/>
          <w:sz w:val="22"/>
          <w:szCs w:val="22"/>
          <w14:ligatures w14:val="none"/>
        </w:rPr>
        <w:t xml:space="preserve">, L., Sixsmith, J., Wada, M. and Sixsmith, A., (2019). Exploring privilege in the digital divide: Implications for theory, policy, and practice. </w:t>
      </w:r>
      <w:r w:rsidRPr="00E43CCE">
        <w:rPr>
          <w:rFonts w:ascii="Arial" w:eastAsia="Times New Roman" w:hAnsi="Arial" w:cs="Arial"/>
          <w:i/>
          <w:iCs/>
          <w:kern w:val="0"/>
          <w:sz w:val="22"/>
          <w:szCs w:val="22"/>
          <w14:ligatures w14:val="none"/>
        </w:rPr>
        <w:t>The Gerontologist</w:t>
      </w:r>
      <w:r w:rsidRPr="00E43CCE">
        <w:rPr>
          <w:rFonts w:ascii="Arial" w:eastAsia="Times New Roman" w:hAnsi="Arial" w:cs="Arial"/>
          <w:kern w:val="0"/>
          <w:sz w:val="22"/>
          <w:szCs w:val="22"/>
          <w14:ligatures w14:val="none"/>
        </w:rPr>
        <w:t>, 59(1), pp.e1-e15.</w:t>
      </w:r>
      <w:r w:rsidRPr="00E43CCE">
        <w:rPr>
          <w:rFonts w:ascii="Arial" w:eastAsia="Times New Roman" w:hAnsi="Arial" w:cs="Arial"/>
          <w:kern w:val="0"/>
          <w:sz w:val="22"/>
          <w:szCs w:val="22"/>
          <w14:ligatures w14:val="none"/>
        </w:rPr>
        <w:br/>
        <w:t xml:space="preserve">Good Things Foundation, (2022). </w:t>
      </w:r>
      <w:r w:rsidRPr="00E43CCE">
        <w:rPr>
          <w:rFonts w:ascii="Arial" w:eastAsia="Times New Roman" w:hAnsi="Arial" w:cs="Arial"/>
          <w:i/>
          <w:iCs/>
          <w:kern w:val="0"/>
          <w:sz w:val="22"/>
          <w:szCs w:val="22"/>
          <w14:ligatures w14:val="none"/>
        </w:rPr>
        <w:t>Digital Nation 2022</w:t>
      </w:r>
      <w:r w:rsidRPr="00E43CCE">
        <w:rPr>
          <w:rFonts w:ascii="Arial" w:eastAsia="Times New Roman" w:hAnsi="Arial" w:cs="Arial"/>
          <w:kern w:val="0"/>
          <w:sz w:val="22"/>
          <w:szCs w:val="22"/>
          <w14:ligatures w14:val="none"/>
        </w:rPr>
        <w:t>. Sheffield: Good Things Foundation.</w:t>
      </w:r>
      <w:r w:rsidRPr="00E43CCE">
        <w:rPr>
          <w:rFonts w:ascii="Arial" w:eastAsia="Times New Roman" w:hAnsi="Arial" w:cs="Arial"/>
          <w:kern w:val="0"/>
          <w:sz w:val="22"/>
          <w:szCs w:val="22"/>
          <w14:ligatures w14:val="none"/>
        </w:rPr>
        <w:br/>
        <w:t xml:space="preserve">Good Things Foundation, (2023). </w:t>
      </w:r>
      <w:r w:rsidRPr="00E43CCE">
        <w:rPr>
          <w:rFonts w:ascii="Arial" w:eastAsia="Times New Roman" w:hAnsi="Arial" w:cs="Arial"/>
          <w:i/>
          <w:iCs/>
          <w:kern w:val="0"/>
          <w:sz w:val="22"/>
          <w:szCs w:val="22"/>
          <w14:ligatures w14:val="none"/>
        </w:rPr>
        <w:t>Fixing the digital divide</w:t>
      </w:r>
      <w:r w:rsidRPr="00E43CCE">
        <w:rPr>
          <w:rFonts w:ascii="Arial" w:eastAsia="Times New Roman" w:hAnsi="Arial" w:cs="Arial"/>
          <w:kern w:val="0"/>
          <w:sz w:val="22"/>
          <w:szCs w:val="22"/>
          <w14:ligatures w14:val="none"/>
        </w:rPr>
        <w:t>. Sheffield: Good Things Foundation.</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Greenhalgh</w:t>
      </w:r>
      <w:proofErr w:type="spellEnd"/>
      <w:r w:rsidRPr="00E43CCE">
        <w:rPr>
          <w:rFonts w:ascii="Arial" w:eastAsia="Times New Roman" w:hAnsi="Arial" w:cs="Arial"/>
          <w:kern w:val="0"/>
          <w:sz w:val="22"/>
          <w:szCs w:val="22"/>
          <w14:ligatures w14:val="none"/>
        </w:rPr>
        <w:t xml:space="preserve">, T., </w:t>
      </w:r>
      <w:proofErr w:type="spellStart"/>
      <w:r w:rsidRPr="00E43CCE">
        <w:rPr>
          <w:rFonts w:ascii="Arial" w:eastAsia="Times New Roman" w:hAnsi="Arial" w:cs="Arial"/>
          <w:kern w:val="0"/>
          <w:sz w:val="22"/>
          <w:szCs w:val="22"/>
          <w14:ligatures w14:val="none"/>
        </w:rPr>
        <w:t>Wherton</w:t>
      </w:r>
      <w:proofErr w:type="spellEnd"/>
      <w:r w:rsidRPr="00E43CCE">
        <w:rPr>
          <w:rFonts w:ascii="Arial" w:eastAsia="Times New Roman" w:hAnsi="Arial" w:cs="Arial"/>
          <w:kern w:val="0"/>
          <w:sz w:val="22"/>
          <w:szCs w:val="22"/>
          <w14:ligatures w14:val="none"/>
        </w:rPr>
        <w:t xml:space="preserve">, J., Shaw, S. and Morrison, C., (2020). Video consultations for covid-19. </w:t>
      </w:r>
      <w:r w:rsidRPr="00E43CCE">
        <w:rPr>
          <w:rFonts w:ascii="Arial" w:eastAsia="Times New Roman" w:hAnsi="Arial" w:cs="Arial"/>
          <w:i/>
          <w:iCs/>
          <w:kern w:val="0"/>
          <w:sz w:val="22"/>
          <w:szCs w:val="22"/>
          <w14:ligatures w14:val="none"/>
        </w:rPr>
        <w:t>BMJ</w:t>
      </w:r>
      <w:r w:rsidRPr="00E43CCE">
        <w:rPr>
          <w:rFonts w:ascii="Arial" w:eastAsia="Times New Roman" w:hAnsi="Arial" w:cs="Arial"/>
          <w:kern w:val="0"/>
          <w:sz w:val="22"/>
          <w:szCs w:val="22"/>
          <w14:ligatures w14:val="none"/>
        </w:rPr>
        <w:t>, 368, p.m998.</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Haenssgen</w:t>
      </w:r>
      <w:proofErr w:type="spellEnd"/>
      <w:r w:rsidRPr="00E43CCE">
        <w:rPr>
          <w:rFonts w:ascii="Arial" w:eastAsia="Times New Roman" w:hAnsi="Arial" w:cs="Arial"/>
          <w:kern w:val="0"/>
          <w:sz w:val="22"/>
          <w:szCs w:val="22"/>
          <w14:ligatures w14:val="none"/>
        </w:rPr>
        <w:t xml:space="preserve">, E., (2018). The struggle for digital inclusion. </w:t>
      </w:r>
      <w:r w:rsidRPr="00E43CCE">
        <w:rPr>
          <w:rFonts w:ascii="Arial" w:eastAsia="Times New Roman" w:hAnsi="Arial" w:cs="Arial"/>
          <w:i/>
          <w:iCs/>
          <w:kern w:val="0"/>
          <w:sz w:val="22"/>
          <w:szCs w:val="22"/>
          <w14:ligatures w14:val="none"/>
        </w:rPr>
        <w:t>Information, Communication &amp; Society</w:t>
      </w:r>
      <w:r w:rsidRPr="00E43CCE">
        <w:rPr>
          <w:rFonts w:ascii="Arial" w:eastAsia="Times New Roman" w:hAnsi="Arial" w:cs="Arial"/>
          <w:kern w:val="0"/>
          <w:sz w:val="22"/>
          <w:szCs w:val="22"/>
          <w14:ligatures w14:val="none"/>
        </w:rPr>
        <w:t>, 21(3), pp.417-434.</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Hänninen</w:t>
      </w:r>
      <w:proofErr w:type="spellEnd"/>
      <w:r w:rsidRPr="00E43CCE">
        <w:rPr>
          <w:rFonts w:ascii="Arial" w:eastAsia="Times New Roman" w:hAnsi="Arial" w:cs="Arial"/>
          <w:kern w:val="0"/>
          <w:sz w:val="22"/>
          <w:szCs w:val="22"/>
          <w14:ligatures w14:val="none"/>
        </w:rPr>
        <w:t xml:space="preserve">, R., </w:t>
      </w:r>
      <w:proofErr w:type="spellStart"/>
      <w:r w:rsidRPr="00E43CCE">
        <w:rPr>
          <w:rFonts w:ascii="Arial" w:eastAsia="Times New Roman" w:hAnsi="Arial" w:cs="Arial"/>
          <w:kern w:val="0"/>
          <w:sz w:val="22"/>
          <w:szCs w:val="22"/>
          <w14:ligatures w14:val="none"/>
        </w:rPr>
        <w:t>Taipale</w:t>
      </w:r>
      <w:proofErr w:type="spellEnd"/>
      <w:r w:rsidRPr="00E43CCE">
        <w:rPr>
          <w:rFonts w:ascii="Arial" w:eastAsia="Times New Roman" w:hAnsi="Arial" w:cs="Arial"/>
          <w:kern w:val="0"/>
          <w:sz w:val="22"/>
          <w:szCs w:val="22"/>
          <w14:ligatures w14:val="none"/>
        </w:rPr>
        <w:t xml:space="preserve">, S. and </w:t>
      </w:r>
      <w:proofErr w:type="spellStart"/>
      <w:r w:rsidRPr="00E43CCE">
        <w:rPr>
          <w:rFonts w:ascii="Arial" w:eastAsia="Times New Roman" w:hAnsi="Arial" w:cs="Arial"/>
          <w:kern w:val="0"/>
          <w:sz w:val="22"/>
          <w:szCs w:val="22"/>
          <w14:ligatures w14:val="none"/>
        </w:rPr>
        <w:t>Luostari</w:t>
      </w:r>
      <w:proofErr w:type="spellEnd"/>
      <w:r w:rsidRPr="00E43CCE">
        <w:rPr>
          <w:rFonts w:ascii="Arial" w:eastAsia="Times New Roman" w:hAnsi="Arial" w:cs="Arial"/>
          <w:kern w:val="0"/>
          <w:sz w:val="22"/>
          <w:szCs w:val="22"/>
          <w14:ligatures w14:val="none"/>
        </w:rPr>
        <w:t xml:space="preserve">, R., (2021). Exploring heterogeneous ICT use among older adults: The warm experts' perspective. </w:t>
      </w:r>
      <w:r w:rsidRPr="00E43CCE">
        <w:rPr>
          <w:rFonts w:ascii="Arial" w:eastAsia="Times New Roman" w:hAnsi="Arial" w:cs="Arial"/>
          <w:i/>
          <w:iCs/>
          <w:kern w:val="0"/>
          <w:sz w:val="22"/>
          <w:szCs w:val="22"/>
          <w14:ligatures w14:val="none"/>
        </w:rPr>
        <w:t>New Media &amp; Society</w:t>
      </w:r>
      <w:r w:rsidRPr="00E43CCE">
        <w:rPr>
          <w:rFonts w:ascii="Arial" w:eastAsia="Times New Roman" w:hAnsi="Arial" w:cs="Arial"/>
          <w:kern w:val="0"/>
          <w:sz w:val="22"/>
          <w:szCs w:val="22"/>
          <w14:ligatures w14:val="none"/>
        </w:rPr>
        <w:t>, 23(6), pp.1584-1601.</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Hardie</w:t>
      </w:r>
      <w:proofErr w:type="spellEnd"/>
      <w:r w:rsidRPr="00E43CCE">
        <w:rPr>
          <w:rFonts w:ascii="Arial" w:eastAsia="Times New Roman" w:hAnsi="Arial" w:cs="Arial"/>
          <w:kern w:val="0"/>
          <w:sz w:val="22"/>
          <w:szCs w:val="22"/>
          <w14:ligatures w14:val="none"/>
        </w:rPr>
        <w:t xml:space="preserve">, T. and </w:t>
      </w:r>
      <w:proofErr w:type="spellStart"/>
      <w:r w:rsidRPr="00E43CCE">
        <w:rPr>
          <w:rFonts w:ascii="Arial" w:eastAsia="Times New Roman" w:hAnsi="Arial" w:cs="Arial"/>
          <w:kern w:val="0"/>
          <w:sz w:val="22"/>
          <w:szCs w:val="22"/>
          <w14:ligatures w14:val="none"/>
        </w:rPr>
        <w:t>Buzzeo</w:t>
      </w:r>
      <w:proofErr w:type="spellEnd"/>
      <w:r w:rsidRPr="00E43CCE">
        <w:rPr>
          <w:rFonts w:ascii="Arial" w:eastAsia="Times New Roman" w:hAnsi="Arial" w:cs="Arial"/>
          <w:kern w:val="0"/>
          <w:sz w:val="22"/>
          <w:szCs w:val="22"/>
          <w14:ligatures w14:val="none"/>
        </w:rPr>
        <w:t xml:space="preserve">, J., (2021). </w:t>
      </w:r>
      <w:r w:rsidRPr="00E43CCE">
        <w:rPr>
          <w:rFonts w:ascii="Arial" w:eastAsia="Times New Roman" w:hAnsi="Arial" w:cs="Arial"/>
          <w:i/>
          <w:iCs/>
          <w:kern w:val="0"/>
          <w:sz w:val="22"/>
          <w:szCs w:val="22"/>
          <w14:ligatures w14:val="none"/>
        </w:rPr>
        <w:t>Understanding the digital divide in healthcare</w:t>
      </w:r>
      <w:r w:rsidRPr="00E43CCE">
        <w:rPr>
          <w:rFonts w:ascii="Arial" w:eastAsia="Times New Roman" w:hAnsi="Arial" w:cs="Arial"/>
          <w:kern w:val="0"/>
          <w:sz w:val="22"/>
          <w:szCs w:val="22"/>
          <w14:ligatures w14:val="none"/>
        </w:rPr>
        <w:t>. London: Institute for Employment Studies.</w:t>
      </w:r>
      <w:r w:rsidRPr="00E43CCE">
        <w:rPr>
          <w:rFonts w:ascii="Arial" w:eastAsia="Times New Roman" w:hAnsi="Arial" w:cs="Arial"/>
          <w:kern w:val="0"/>
          <w:sz w:val="22"/>
          <w:szCs w:val="22"/>
          <w14:ligatures w14:val="none"/>
        </w:rPr>
        <w:br/>
        <w:t xml:space="preserve">Health Foundation, (2022). </w:t>
      </w:r>
      <w:r w:rsidRPr="00E43CCE">
        <w:rPr>
          <w:rFonts w:ascii="Arial" w:eastAsia="Times New Roman" w:hAnsi="Arial" w:cs="Arial"/>
          <w:i/>
          <w:iCs/>
          <w:kern w:val="0"/>
          <w:sz w:val="22"/>
          <w:szCs w:val="22"/>
          <w14:ligatures w14:val="none"/>
        </w:rPr>
        <w:t>Securing a positive health care technology legacy from COVID-19</w:t>
      </w:r>
      <w:r w:rsidRPr="00E43CCE">
        <w:rPr>
          <w:rFonts w:ascii="Arial" w:eastAsia="Times New Roman" w:hAnsi="Arial" w:cs="Arial"/>
          <w:kern w:val="0"/>
          <w:sz w:val="22"/>
          <w:szCs w:val="22"/>
          <w14:ligatures w14:val="none"/>
        </w:rPr>
        <w:t>. London: The Health Foundation.</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Helsper</w:t>
      </w:r>
      <w:proofErr w:type="spellEnd"/>
      <w:r w:rsidRPr="00E43CCE">
        <w:rPr>
          <w:rFonts w:ascii="Arial" w:eastAsia="Times New Roman" w:hAnsi="Arial" w:cs="Arial"/>
          <w:kern w:val="0"/>
          <w:sz w:val="22"/>
          <w:szCs w:val="22"/>
          <w14:ligatures w14:val="none"/>
        </w:rPr>
        <w:t xml:space="preserve">, E.J., (2021). </w:t>
      </w:r>
      <w:r w:rsidRPr="00E43CCE">
        <w:rPr>
          <w:rFonts w:ascii="Arial" w:eastAsia="Times New Roman" w:hAnsi="Arial" w:cs="Arial"/>
          <w:i/>
          <w:iCs/>
          <w:kern w:val="0"/>
          <w:sz w:val="22"/>
          <w:szCs w:val="22"/>
          <w14:ligatures w14:val="none"/>
        </w:rPr>
        <w:t>The Digital Disconnect: The Social Causes and Consequences of Digital Inequalities</w:t>
      </w:r>
      <w:r w:rsidRPr="00E43CCE">
        <w:rPr>
          <w:rFonts w:ascii="Arial" w:eastAsia="Times New Roman" w:hAnsi="Arial" w:cs="Arial"/>
          <w:kern w:val="0"/>
          <w:sz w:val="22"/>
          <w:szCs w:val="22"/>
          <w14:ligatures w14:val="none"/>
        </w:rPr>
        <w:t>. London: SAGE Publications.</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Heponiemi</w:t>
      </w:r>
      <w:proofErr w:type="spellEnd"/>
      <w:r w:rsidRPr="00E43CCE">
        <w:rPr>
          <w:rFonts w:ascii="Arial" w:eastAsia="Times New Roman" w:hAnsi="Arial" w:cs="Arial"/>
          <w:kern w:val="0"/>
          <w:sz w:val="22"/>
          <w:szCs w:val="22"/>
          <w14:ligatures w14:val="none"/>
        </w:rPr>
        <w:t xml:space="preserve">, T., </w:t>
      </w:r>
      <w:proofErr w:type="spellStart"/>
      <w:r w:rsidRPr="00E43CCE">
        <w:rPr>
          <w:rFonts w:ascii="Arial" w:eastAsia="Times New Roman" w:hAnsi="Arial" w:cs="Arial"/>
          <w:kern w:val="0"/>
          <w:sz w:val="22"/>
          <w:szCs w:val="22"/>
          <w14:ligatures w14:val="none"/>
        </w:rPr>
        <w:t>Jormanainen</w:t>
      </w:r>
      <w:proofErr w:type="spellEnd"/>
      <w:r w:rsidRPr="00E43CCE">
        <w:rPr>
          <w:rFonts w:ascii="Arial" w:eastAsia="Times New Roman" w:hAnsi="Arial" w:cs="Arial"/>
          <w:kern w:val="0"/>
          <w:sz w:val="22"/>
          <w:szCs w:val="22"/>
          <w14:ligatures w14:val="none"/>
        </w:rPr>
        <w:t xml:space="preserve">, V., </w:t>
      </w:r>
      <w:proofErr w:type="spellStart"/>
      <w:r w:rsidRPr="00E43CCE">
        <w:rPr>
          <w:rFonts w:ascii="Arial" w:eastAsia="Times New Roman" w:hAnsi="Arial" w:cs="Arial"/>
          <w:kern w:val="0"/>
          <w:sz w:val="22"/>
          <w:szCs w:val="22"/>
          <w14:ligatures w14:val="none"/>
        </w:rPr>
        <w:t>Leemann</w:t>
      </w:r>
      <w:proofErr w:type="spellEnd"/>
      <w:r w:rsidRPr="00E43CCE">
        <w:rPr>
          <w:rFonts w:ascii="Arial" w:eastAsia="Times New Roman" w:hAnsi="Arial" w:cs="Arial"/>
          <w:kern w:val="0"/>
          <w:sz w:val="22"/>
          <w:szCs w:val="22"/>
          <w14:ligatures w14:val="none"/>
        </w:rPr>
        <w:t xml:space="preserve">, L., </w:t>
      </w:r>
      <w:proofErr w:type="spellStart"/>
      <w:r w:rsidRPr="00E43CCE">
        <w:rPr>
          <w:rFonts w:ascii="Arial" w:eastAsia="Times New Roman" w:hAnsi="Arial" w:cs="Arial"/>
          <w:kern w:val="0"/>
          <w:sz w:val="22"/>
          <w:szCs w:val="22"/>
          <w14:ligatures w14:val="none"/>
        </w:rPr>
        <w:t>Manderbacka</w:t>
      </w:r>
      <w:proofErr w:type="spellEnd"/>
      <w:r w:rsidRPr="00E43CCE">
        <w:rPr>
          <w:rFonts w:ascii="Arial" w:eastAsia="Times New Roman" w:hAnsi="Arial" w:cs="Arial"/>
          <w:kern w:val="0"/>
          <w:sz w:val="22"/>
          <w:szCs w:val="22"/>
          <w14:ligatures w14:val="none"/>
        </w:rPr>
        <w:t xml:space="preserve">, K., Aalto, A.M. and </w:t>
      </w:r>
      <w:proofErr w:type="spellStart"/>
      <w:r w:rsidRPr="00E43CCE">
        <w:rPr>
          <w:rFonts w:ascii="Arial" w:eastAsia="Times New Roman" w:hAnsi="Arial" w:cs="Arial"/>
          <w:kern w:val="0"/>
          <w:sz w:val="22"/>
          <w:szCs w:val="22"/>
          <w14:ligatures w14:val="none"/>
        </w:rPr>
        <w:t>Hyppönen</w:t>
      </w:r>
      <w:proofErr w:type="spellEnd"/>
      <w:r w:rsidRPr="00E43CCE">
        <w:rPr>
          <w:rFonts w:ascii="Arial" w:eastAsia="Times New Roman" w:hAnsi="Arial" w:cs="Arial"/>
          <w:kern w:val="0"/>
          <w:sz w:val="22"/>
          <w:szCs w:val="22"/>
          <w14:ligatures w14:val="none"/>
        </w:rPr>
        <w:t xml:space="preserve">, H., (2019). Digital divide in perceived benefits of online health care and social welfare services. </w:t>
      </w:r>
      <w:r w:rsidRPr="00E43CCE">
        <w:rPr>
          <w:rFonts w:ascii="Arial" w:eastAsia="Times New Roman" w:hAnsi="Arial" w:cs="Arial"/>
          <w:i/>
          <w:iCs/>
          <w:kern w:val="0"/>
          <w:sz w:val="22"/>
          <w:szCs w:val="22"/>
          <w14:ligatures w14:val="none"/>
        </w:rPr>
        <w:t>Journal of Medical Internet Research</w:t>
      </w:r>
      <w:r w:rsidRPr="00E43CCE">
        <w:rPr>
          <w:rFonts w:ascii="Arial" w:eastAsia="Times New Roman" w:hAnsi="Arial" w:cs="Arial"/>
          <w:kern w:val="0"/>
          <w:sz w:val="22"/>
          <w:szCs w:val="22"/>
          <w14:ligatures w14:val="none"/>
        </w:rPr>
        <w:t>, 21(7), p.e14224.</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Honeyman</w:t>
      </w:r>
      <w:proofErr w:type="spellEnd"/>
      <w:r w:rsidRPr="00E43CCE">
        <w:rPr>
          <w:rFonts w:ascii="Arial" w:eastAsia="Times New Roman" w:hAnsi="Arial" w:cs="Arial"/>
          <w:kern w:val="0"/>
          <w:sz w:val="22"/>
          <w:szCs w:val="22"/>
          <w14:ligatures w14:val="none"/>
        </w:rPr>
        <w:t xml:space="preserve">, M., Maguire, D., Evans, H. and Davies, A., (2020). </w:t>
      </w:r>
      <w:r w:rsidRPr="00E43CCE">
        <w:rPr>
          <w:rFonts w:ascii="Arial" w:eastAsia="Times New Roman" w:hAnsi="Arial" w:cs="Arial"/>
          <w:i/>
          <w:iCs/>
          <w:kern w:val="0"/>
          <w:sz w:val="22"/>
          <w:szCs w:val="22"/>
          <w14:ligatures w14:val="none"/>
        </w:rPr>
        <w:t>Digital technology and health inequalities: a scoping review</w:t>
      </w:r>
      <w:r w:rsidRPr="00E43CCE">
        <w:rPr>
          <w:rFonts w:ascii="Arial" w:eastAsia="Times New Roman" w:hAnsi="Arial" w:cs="Arial"/>
          <w:kern w:val="0"/>
          <w:sz w:val="22"/>
          <w:szCs w:val="22"/>
          <w14:ligatures w14:val="none"/>
        </w:rPr>
        <w:t>. Cardiff: Public Health Wales.</w:t>
      </w:r>
      <w:r w:rsidRPr="00E43CCE">
        <w:rPr>
          <w:rFonts w:ascii="Arial" w:eastAsia="Times New Roman" w:hAnsi="Arial" w:cs="Arial"/>
          <w:kern w:val="0"/>
          <w:sz w:val="22"/>
          <w:szCs w:val="22"/>
          <w14:ligatures w14:val="none"/>
        </w:rPr>
        <w:br/>
        <w:t xml:space="preserve">Kings Fund, (2020). </w:t>
      </w:r>
      <w:r w:rsidRPr="00E43CCE">
        <w:rPr>
          <w:rFonts w:ascii="Arial" w:eastAsia="Times New Roman" w:hAnsi="Arial" w:cs="Arial"/>
          <w:i/>
          <w:iCs/>
          <w:kern w:val="0"/>
          <w:sz w:val="22"/>
          <w:szCs w:val="22"/>
          <w14:ligatures w14:val="none"/>
        </w:rPr>
        <w:t>Social isolation and loneliness in older people</w:t>
      </w:r>
      <w:r w:rsidRPr="00E43CCE">
        <w:rPr>
          <w:rFonts w:ascii="Arial" w:eastAsia="Times New Roman" w:hAnsi="Arial" w:cs="Arial"/>
          <w:kern w:val="0"/>
          <w:sz w:val="22"/>
          <w:szCs w:val="22"/>
          <w14:ligatures w14:val="none"/>
        </w:rPr>
        <w:t>. London: The King's Fund.</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Latulippe</w:t>
      </w:r>
      <w:proofErr w:type="spellEnd"/>
      <w:r w:rsidRPr="00E43CCE">
        <w:rPr>
          <w:rFonts w:ascii="Arial" w:eastAsia="Times New Roman" w:hAnsi="Arial" w:cs="Arial"/>
          <w:kern w:val="0"/>
          <w:sz w:val="22"/>
          <w:szCs w:val="22"/>
          <w14:ligatures w14:val="none"/>
        </w:rPr>
        <w:t xml:space="preserve">, K., </w:t>
      </w:r>
      <w:proofErr w:type="spellStart"/>
      <w:r w:rsidRPr="00E43CCE">
        <w:rPr>
          <w:rFonts w:ascii="Arial" w:eastAsia="Times New Roman" w:hAnsi="Arial" w:cs="Arial"/>
          <w:kern w:val="0"/>
          <w:sz w:val="22"/>
          <w:szCs w:val="22"/>
          <w14:ligatures w14:val="none"/>
        </w:rPr>
        <w:t>Guay</w:t>
      </w:r>
      <w:proofErr w:type="spellEnd"/>
      <w:r w:rsidRPr="00E43CCE">
        <w:rPr>
          <w:rFonts w:ascii="Arial" w:eastAsia="Times New Roman" w:hAnsi="Arial" w:cs="Arial"/>
          <w:kern w:val="0"/>
          <w:sz w:val="22"/>
          <w:szCs w:val="22"/>
          <w14:ligatures w14:val="none"/>
        </w:rPr>
        <w:t xml:space="preserve">, M. and Giroux, V., (2017). The digital divide and the impact on the aging population. </w:t>
      </w:r>
      <w:r w:rsidRPr="00E43CCE">
        <w:rPr>
          <w:rFonts w:ascii="Arial" w:eastAsia="Times New Roman" w:hAnsi="Arial" w:cs="Arial"/>
          <w:i/>
          <w:iCs/>
          <w:kern w:val="0"/>
          <w:sz w:val="22"/>
          <w:szCs w:val="22"/>
          <w14:ligatures w14:val="none"/>
        </w:rPr>
        <w:t>Canadian Journal on Aging</w:t>
      </w:r>
      <w:r w:rsidRPr="00E43CCE">
        <w:rPr>
          <w:rFonts w:ascii="Arial" w:eastAsia="Times New Roman" w:hAnsi="Arial" w:cs="Arial"/>
          <w:kern w:val="0"/>
          <w:sz w:val="22"/>
          <w:szCs w:val="22"/>
          <w14:ligatures w14:val="none"/>
        </w:rPr>
        <w:t>, 36(3), pp.364-375.</w:t>
      </w:r>
      <w:r w:rsidRPr="00E43CCE">
        <w:rPr>
          <w:rFonts w:ascii="Arial" w:eastAsia="Times New Roman" w:hAnsi="Arial" w:cs="Arial"/>
          <w:kern w:val="0"/>
          <w:sz w:val="22"/>
          <w:szCs w:val="22"/>
          <w14:ligatures w14:val="none"/>
        </w:rPr>
        <w:br/>
        <w:t xml:space="preserve">Lee, C., Coughlin, J.F. and Ward, J., (2020). Older adults' adoption of technology: An integrated approach to identifying determinants and barriers. </w:t>
      </w:r>
      <w:r w:rsidRPr="00E43CCE">
        <w:rPr>
          <w:rFonts w:ascii="Arial" w:eastAsia="Times New Roman" w:hAnsi="Arial" w:cs="Arial"/>
          <w:i/>
          <w:iCs/>
          <w:kern w:val="0"/>
          <w:sz w:val="22"/>
          <w:szCs w:val="22"/>
          <w14:ligatures w14:val="none"/>
        </w:rPr>
        <w:t>Journal of Product Innovation Management</w:t>
      </w:r>
      <w:r w:rsidRPr="00E43CCE">
        <w:rPr>
          <w:rFonts w:ascii="Arial" w:eastAsia="Times New Roman" w:hAnsi="Arial" w:cs="Arial"/>
          <w:kern w:val="0"/>
          <w:sz w:val="22"/>
          <w:szCs w:val="22"/>
          <w14:ligatures w14:val="none"/>
        </w:rPr>
        <w:t>, 37(3), pp.252-273.</w:t>
      </w:r>
      <w:r w:rsidRPr="00E43CCE">
        <w:rPr>
          <w:rFonts w:ascii="Arial" w:eastAsia="Times New Roman" w:hAnsi="Arial" w:cs="Arial"/>
          <w:kern w:val="0"/>
          <w:sz w:val="22"/>
          <w:szCs w:val="22"/>
          <w14:ligatures w14:val="none"/>
        </w:rPr>
        <w:br/>
        <w:t xml:space="preserve">Local Government Association, (2021). </w:t>
      </w:r>
      <w:r w:rsidRPr="00E43CCE">
        <w:rPr>
          <w:rFonts w:ascii="Arial" w:eastAsia="Times New Roman" w:hAnsi="Arial" w:cs="Arial"/>
          <w:i/>
          <w:iCs/>
          <w:kern w:val="0"/>
          <w:sz w:val="22"/>
          <w:szCs w:val="22"/>
          <w14:ligatures w14:val="none"/>
        </w:rPr>
        <w:t>Tackling the digital divide</w:t>
      </w:r>
      <w:r w:rsidRPr="00E43CCE">
        <w:rPr>
          <w:rFonts w:ascii="Arial" w:eastAsia="Times New Roman" w:hAnsi="Arial" w:cs="Arial"/>
          <w:kern w:val="0"/>
          <w:sz w:val="22"/>
          <w:szCs w:val="22"/>
          <w14:ligatures w14:val="none"/>
        </w:rPr>
        <w:t>. London: LGA.</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Mair</w:t>
      </w:r>
      <w:proofErr w:type="spellEnd"/>
      <w:r w:rsidRPr="00E43CCE">
        <w:rPr>
          <w:rFonts w:ascii="Arial" w:eastAsia="Times New Roman" w:hAnsi="Arial" w:cs="Arial"/>
          <w:kern w:val="0"/>
          <w:sz w:val="22"/>
          <w:szCs w:val="22"/>
          <w14:ligatures w14:val="none"/>
        </w:rPr>
        <w:t xml:space="preserve">, F.S., May, C., O'Donnell, C., Finch, T., Sullivan, F. and Murray, E., (2012). Factors that promote or inhibit the implementation of e-health systems: an explanatory systematic review. </w:t>
      </w:r>
      <w:r w:rsidRPr="00E43CCE">
        <w:rPr>
          <w:rFonts w:ascii="Arial" w:eastAsia="Times New Roman" w:hAnsi="Arial" w:cs="Arial"/>
          <w:i/>
          <w:iCs/>
          <w:kern w:val="0"/>
          <w:sz w:val="22"/>
          <w:szCs w:val="22"/>
          <w14:ligatures w14:val="none"/>
        </w:rPr>
        <w:t>Bulletin of the World Health Organization</w:t>
      </w:r>
      <w:r w:rsidRPr="00E43CCE">
        <w:rPr>
          <w:rFonts w:ascii="Arial" w:eastAsia="Times New Roman" w:hAnsi="Arial" w:cs="Arial"/>
          <w:kern w:val="0"/>
          <w:sz w:val="22"/>
          <w:szCs w:val="22"/>
          <w14:ligatures w14:val="none"/>
        </w:rPr>
        <w:t>, 90(5), pp.357-364.</w:t>
      </w:r>
      <w:r w:rsidRPr="00E43CCE">
        <w:rPr>
          <w:rFonts w:ascii="Arial" w:eastAsia="Times New Roman" w:hAnsi="Arial" w:cs="Arial"/>
          <w:kern w:val="0"/>
          <w:sz w:val="22"/>
          <w:szCs w:val="22"/>
          <w14:ligatures w14:val="none"/>
        </w:rPr>
        <w:br/>
        <w:t xml:space="preserve">Marmot, M., Allen, J., </w:t>
      </w:r>
      <w:proofErr w:type="spellStart"/>
      <w:r w:rsidRPr="00E43CCE">
        <w:rPr>
          <w:rFonts w:ascii="Arial" w:eastAsia="Times New Roman" w:hAnsi="Arial" w:cs="Arial"/>
          <w:kern w:val="0"/>
          <w:sz w:val="22"/>
          <w:szCs w:val="22"/>
          <w14:ligatures w14:val="none"/>
        </w:rPr>
        <w:t>Goldblatt</w:t>
      </w:r>
      <w:proofErr w:type="spellEnd"/>
      <w:r w:rsidRPr="00E43CCE">
        <w:rPr>
          <w:rFonts w:ascii="Arial" w:eastAsia="Times New Roman" w:hAnsi="Arial" w:cs="Arial"/>
          <w:kern w:val="0"/>
          <w:sz w:val="22"/>
          <w:szCs w:val="22"/>
          <w14:ligatures w14:val="none"/>
        </w:rPr>
        <w:t xml:space="preserve">, P., Herd, E. and Morrison, J., (2020). </w:t>
      </w:r>
      <w:r w:rsidRPr="00E43CCE">
        <w:rPr>
          <w:rFonts w:ascii="Arial" w:eastAsia="Times New Roman" w:hAnsi="Arial" w:cs="Arial"/>
          <w:i/>
          <w:iCs/>
          <w:kern w:val="0"/>
          <w:sz w:val="22"/>
          <w:szCs w:val="22"/>
          <w14:ligatures w14:val="none"/>
        </w:rPr>
        <w:t>Build Back Fairer: The COVID-19 Marmot Review</w:t>
      </w:r>
      <w:r w:rsidRPr="00E43CCE">
        <w:rPr>
          <w:rFonts w:ascii="Arial" w:eastAsia="Times New Roman" w:hAnsi="Arial" w:cs="Arial"/>
          <w:kern w:val="0"/>
          <w:sz w:val="22"/>
          <w:szCs w:val="22"/>
          <w14:ligatures w14:val="none"/>
        </w:rPr>
        <w:t>. London: Institute of Health Equity.</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McAvey</w:t>
      </w:r>
      <w:proofErr w:type="spellEnd"/>
      <w:r w:rsidRPr="00E43CCE">
        <w:rPr>
          <w:rFonts w:ascii="Arial" w:eastAsia="Times New Roman" w:hAnsi="Arial" w:cs="Arial"/>
          <w:kern w:val="0"/>
          <w:sz w:val="22"/>
          <w:szCs w:val="22"/>
          <w14:ligatures w14:val="none"/>
        </w:rPr>
        <w:t xml:space="preserve">, K., </w:t>
      </w:r>
      <w:proofErr w:type="spellStart"/>
      <w:r w:rsidRPr="00E43CCE">
        <w:rPr>
          <w:rFonts w:ascii="Arial" w:eastAsia="Times New Roman" w:hAnsi="Arial" w:cs="Arial"/>
          <w:kern w:val="0"/>
          <w:sz w:val="22"/>
          <w:szCs w:val="22"/>
          <w14:ligatures w14:val="none"/>
        </w:rPr>
        <w:t>Kvedar</w:t>
      </w:r>
      <w:proofErr w:type="spellEnd"/>
      <w:r w:rsidRPr="00E43CCE">
        <w:rPr>
          <w:rFonts w:ascii="Arial" w:eastAsia="Times New Roman" w:hAnsi="Arial" w:cs="Arial"/>
          <w:kern w:val="0"/>
          <w:sz w:val="22"/>
          <w:szCs w:val="22"/>
          <w14:ligatures w14:val="none"/>
        </w:rPr>
        <w:t xml:space="preserve">, J.C. and Bates, D.W., (2021). The implications of digital health for the patient-provider relationship. </w:t>
      </w:r>
      <w:r w:rsidRPr="00E43CCE">
        <w:rPr>
          <w:rFonts w:ascii="Arial" w:eastAsia="Times New Roman" w:hAnsi="Arial" w:cs="Arial"/>
          <w:i/>
          <w:iCs/>
          <w:kern w:val="0"/>
          <w:sz w:val="22"/>
          <w:szCs w:val="22"/>
          <w14:ligatures w14:val="none"/>
        </w:rPr>
        <w:t>Health Affairs</w:t>
      </w:r>
      <w:r w:rsidRPr="00E43CCE">
        <w:rPr>
          <w:rFonts w:ascii="Arial" w:eastAsia="Times New Roman" w:hAnsi="Arial" w:cs="Arial"/>
          <w:kern w:val="0"/>
          <w:sz w:val="22"/>
          <w:szCs w:val="22"/>
          <w14:ligatures w14:val="none"/>
        </w:rPr>
        <w:t>, 40(6), pp.928-935.</w:t>
      </w:r>
      <w:r w:rsidRPr="00E43CCE">
        <w:rPr>
          <w:rFonts w:ascii="Arial" w:eastAsia="Times New Roman" w:hAnsi="Arial" w:cs="Arial"/>
          <w:kern w:val="0"/>
          <w:sz w:val="22"/>
          <w:szCs w:val="22"/>
          <w14:ligatures w14:val="none"/>
        </w:rPr>
        <w:br/>
        <w:t xml:space="preserve">NHS, (2019). </w:t>
      </w:r>
      <w:r w:rsidRPr="00E43CCE">
        <w:rPr>
          <w:rFonts w:ascii="Arial" w:eastAsia="Times New Roman" w:hAnsi="Arial" w:cs="Arial"/>
          <w:i/>
          <w:iCs/>
          <w:kern w:val="0"/>
          <w:sz w:val="22"/>
          <w:szCs w:val="22"/>
          <w14:ligatures w14:val="none"/>
        </w:rPr>
        <w:t>The NHS Long Term Plan</w:t>
      </w:r>
      <w:r w:rsidRPr="00E43CCE">
        <w:rPr>
          <w:rFonts w:ascii="Arial" w:eastAsia="Times New Roman" w:hAnsi="Arial" w:cs="Arial"/>
          <w:kern w:val="0"/>
          <w:sz w:val="22"/>
          <w:szCs w:val="22"/>
          <w14:ligatures w14:val="none"/>
        </w:rPr>
        <w:t>. London: NHS England.</w:t>
      </w:r>
      <w:r w:rsidRPr="00E43CCE">
        <w:rPr>
          <w:rFonts w:ascii="Arial" w:eastAsia="Times New Roman" w:hAnsi="Arial" w:cs="Arial"/>
          <w:kern w:val="0"/>
          <w:sz w:val="22"/>
          <w:szCs w:val="22"/>
          <w14:ligatures w14:val="none"/>
        </w:rPr>
        <w:br/>
        <w:t xml:space="preserve">NHS Digital, (2020). </w:t>
      </w:r>
      <w:r w:rsidRPr="00E43CCE">
        <w:rPr>
          <w:rFonts w:ascii="Arial" w:eastAsia="Times New Roman" w:hAnsi="Arial" w:cs="Arial"/>
          <w:i/>
          <w:iCs/>
          <w:kern w:val="0"/>
          <w:sz w:val="22"/>
          <w:szCs w:val="22"/>
          <w14:ligatures w14:val="none"/>
        </w:rPr>
        <w:t>Digital inclusion for health and social care</w:t>
      </w:r>
      <w:r w:rsidRPr="00E43CCE">
        <w:rPr>
          <w:rFonts w:ascii="Arial" w:eastAsia="Times New Roman" w:hAnsi="Arial" w:cs="Arial"/>
          <w:kern w:val="0"/>
          <w:sz w:val="22"/>
          <w:szCs w:val="22"/>
          <w14:ligatures w14:val="none"/>
        </w:rPr>
        <w:t>. [online] Available at: https://digital.nhs.uk [Accessed 18 May 2026].</w:t>
      </w:r>
      <w:r w:rsidRPr="00E43CCE">
        <w:rPr>
          <w:rFonts w:ascii="Arial" w:eastAsia="Times New Roman" w:hAnsi="Arial" w:cs="Arial"/>
          <w:kern w:val="0"/>
          <w:sz w:val="22"/>
          <w:szCs w:val="22"/>
          <w14:ligatures w14:val="none"/>
        </w:rPr>
        <w:br/>
        <w:t xml:space="preserve">NIHR, (2022). </w:t>
      </w:r>
      <w:r w:rsidRPr="00E43CCE">
        <w:rPr>
          <w:rFonts w:ascii="Arial" w:eastAsia="Times New Roman" w:hAnsi="Arial" w:cs="Arial"/>
          <w:i/>
          <w:iCs/>
          <w:kern w:val="0"/>
          <w:sz w:val="22"/>
          <w:szCs w:val="22"/>
          <w14:ligatures w14:val="none"/>
        </w:rPr>
        <w:t>Evidence Collection: Digital inclusion in healthcare</w:t>
      </w:r>
      <w:r w:rsidRPr="00E43CCE">
        <w:rPr>
          <w:rFonts w:ascii="Arial" w:eastAsia="Times New Roman" w:hAnsi="Arial" w:cs="Arial"/>
          <w:kern w:val="0"/>
          <w:sz w:val="22"/>
          <w:szCs w:val="22"/>
          <w14:ligatures w14:val="none"/>
        </w:rPr>
        <w:t>. London: National Institute for Health and Care Research.</w:t>
      </w:r>
      <w:r w:rsidRPr="00E43CCE">
        <w:rPr>
          <w:rFonts w:ascii="Arial" w:eastAsia="Times New Roman" w:hAnsi="Arial" w:cs="Arial"/>
          <w:kern w:val="0"/>
          <w:sz w:val="22"/>
          <w:szCs w:val="22"/>
          <w14:ligatures w14:val="none"/>
        </w:rPr>
        <w:br/>
        <w:t xml:space="preserve">Nimrod, G., (2022). Technophobia among older adults: A scoping review. </w:t>
      </w:r>
      <w:r w:rsidRPr="00E43CCE">
        <w:rPr>
          <w:rFonts w:ascii="Arial" w:eastAsia="Times New Roman" w:hAnsi="Arial" w:cs="Arial"/>
          <w:i/>
          <w:iCs/>
          <w:kern w:val="0"/>
          <w:sz w:val="22"/>
          <w:szCs w:val="22"/>
          <w14:ligatures w14:val="none"/>
        </w:rPr>
        <w:t>The Gerontologist</w:t>
      </w:r>
      <w:r w:rsidRPr="00E43CCE">
        <w:rPr>
          <w:rFonts w:ascii="Arial" w:eastAsia="Times New Roman" w:hAnsi="Arial" w:cs="Arial"/>
          <w:kern w:val="0"/>
          <w:sz w:val="22"/>
          <w:szCs w:val="22"/>
          <w14:ligatures w14:val="none"/>
        </w:rPr>
        <w:t>, 62(1), pp.e24-e35.</w:t>
      </w:r>
      <w:r w:rsidRPr="00E43CCE">
        <w:rPr>
          <w:rFonts w:ascii="Arial" w:eastAsia="Times New Roman" w:hAnsi="Arial" w:cs="Arial"/>
          <w:kern w:val="0"/>
          <w:sz w:val="22"/>
          <w:szCs w:val="22"/>
          <w14:ligatures w14:val="none"/>
        </w:rPr>
        <w:br/>
        <w:t xml:space="preserve">Norman, C.D. and Skinner, H.A., (2006). eHealth Literacy: Essential Skills for Consumer Health in a Networked World. </w:t>
      </w:r>
      <w:r w:rsidRPr="00E43CCE">
        <w:rPr>
          <w:rFonts w:ascii="Arial" w:eastAsia="Times New Roman" w:hAnsi="Arial" w:cs="Arial"/>
          <w:i/>
          <w:iCs/>
          <w:kern w:val="0"/>
          <w:sz w:val="22"/>
          <w:szCs w:val="22"/>
          <w14:ligatures w14:val="none"/>
        </w:rPr>
        <w:t>Journal of Medical Internet Research</w:t>
      </w:r>
      <w:r w:rsidRPr="00E43CCE">
        <w:rPr>
          <w:rFonts w:ascii="Arial" w:eastAsia="Times New Roman" w:hAnsi="Arial" w:cs="Arial"/>
          <w:kern w:val="0"/>
          <w:sz w:val="22"/>
          <w:szCs w:val="22"/>
          <w14:ligatures w14:val="none"/>
        </w:rPr>
        <w:t>, 8(2), p.e9.</w:t>
      </w:r>
      <w:r w:rsidRPr="00E43CCE">
        <w:rPr>
          <w:rFonts w:ascii="Arial" w:eastAsia="Times New Roman" w:hAnsi="Arial" w:cs="Arial"/>
          <w:kern w:val="0"/>
          <w:sz w:val="22"/>
          <w:szCs w:val="22"/>
          <w14:ligatures w14:val="none"/>
        </w:rPr>
        <w:br/>
        <w:t xml:space="preserve">Nuffield Trust, (2021). </w:t>
      </w:r>
      <w:r w:rsidRPr="00E43CCE">
        <w:rPr>
          <w:rFonts w:ascii="Arial" w:eastAsia="Times New Roman" w:hAnsi="Arial" w:cs="Arial"/>
          <w:i/>
          <w:iCs/>
          <w:kern w:val="0"/>
          <w:sz w:val="22"/>
          <w:szCs w:val="22"/>
          <w14:ligatures w14:val="none"/>
        </w:rPr>
        <w:t>The impact of digital health on older adults</w:t>
      </w:r>
      <w:r w:rsidRPr="00E43CCE">
        <w:rPr>
          <w:rFonts w:ascii="Arial" w:eastAsia="Times New Roman" w:hAnsi="Arial" w:cs="Arial"/>
          <w:kern w:val="0"/>
          <w:sz w:val="22"/>
          <w:szCs w:val="22"/>
          <w14:ligatures w14:val="none"/>
        </w:rPr>
        <w:t>. London: Nuffield Trust.</w:t>
      </w:r>
      <w:r w:rsidRPr="00E43CCE">
        <w:rPr>
          <w:rFonts w:ascii="Arial" w:eastAsia="Times New Roman" w:hAnsi="Arial" w:cs="Arial"/>
          <w:kern w:val="0"/>
          <w:sz w:val="22"/>
          <w:szCs w:val="22"/>
          <w14:ligatures w14:val="none"/>
        </w:rPr>
        <w:br/>
        <w:t xml:space="preserve">Ofcom, (2022). </w:t>
      </w:r>
      <w:r w:rsidRPr="00E43CCE">
        <w:rPr>
          <w:rFonts w:ascii="Arial" w:eastAsia="Times New Roman" w:hAnsi="Arial" w:cs="Arial"/>
          <w:i/>
          <w:iCs/>
          <w:kern w:val="0"/>
          <w:sz w:val="22"/>
          <w:szCs w:val="22"/>
          <w14:ligatures w14:val="none"/>
        </w:rPr>
        <w:t>Adults' Media Use and Attitudes Report</w:t>
      </w:r>
      <w:r w:rsidRPr="00E43CCE">
        <w:rPr>
          <w:rFonts w:ascii="Arial" w:eastAsia="Times New Roman" w:hAnsi="Arial" w:cs="Arial"/>
          <w:kern w:val="0"/>
          <w:sz w:val="22"/>
          <w:szCs w:val="22"/>
          <w14:ligatures w14:val="none"/>
        </w:rPr>
        <w:t>. London: Ofcom.</w:t>
      </w:r>
      <w:r w:rsidRPr="00E43CCE">
        <w:rPr>
          <w:rFonts w:ascii="Arial" w:eastAsia="Times New Roman" w:hAnsi="Arial" w:cs="Arial"/>
          <w:kern w:val="0"/>
          <w:sz w:val="22"/>
          <w:szCs w:val="22"/>
          <w14:ligatures w14:val="none"/>
        </w:rPr>
        <w:br/>
        <w:t xml:space="preserve">Ofcom, (2023). </w:t>
      </w:r>
      <w:r w:rsidRPr="00E43CCE">
        <w:rPr>
          <w:rFonts w:ascii="Arial" w:eastAsia="Times New Roman" w:hAnsi="Arial" w:cs="Arial"/>
          <w:i/>
          <w:iCs/>
          <w:kern w:val="0"/>
          <w:sz w:val="22"/>
          <w:szCs w:val="22"/>
          <w14:ligatures w14:val="none"/>
        </w:rPr>
        <w:t>Digital exclusion in the UK</w:t>
      </w:r>
      <w:r w:rsidRPr="00E43CCE">
        <w:rPr>
          <w:rFonts w:ascii="Arial" w:eastAsia="Times New Roman" w:hAnsi="Arial" w:cs="Arial"/>
          <w:kern w:val="0"/>
          <w:sz w:val="22"/>
          <w:szCs w:val="22"/>
          <w14:ligatures w14:val="none"/>
        </w:rPr>
        <w:t>. London: Ofcom.</w:t>
      </w:r>
      <w:r w:rsidRPr="00E43CCE">
        <w:rPr>
          <w:rFonts w:ascii="Arial" w:eastAsia="Times New Roman" w:hAnsi="Arial" w:cs="Arial"/>
          <w:kern w:val="0"/>
          <w:sz w:val="22"/>
          <w:szCs w:val="22"/>
          <w14:ligatures w14:val="none"/>
        </w:rPr>
        <w:br/>
        <w:t xml:space="preserve">ONS (Office for National Statistics), (2021). </w:t>
      </w:r>
      <w:r w:rsidRPr="00E43CCE">
        <w:rPr>
          <w:rFonts w:ascii="Arial" w:eastAsia="Times New Roman" w:hAnsi="Arial" w:cs="Arial"/>
          <w:i/>
          <w:iCs/>
          <w:kern w:val="0"/>
          <w:sz w:val="22"/>
          <w:szCs w:val="22"/>
          <w14:ligatures w14:val="none"/>
        </w:rPr>
        <w:t>Internet users, UK: 2020</w:t>
      </w:r>
      <w:r w:rsidRPr="00E43CCE">
        <w:rPr>
          <w:rFonts w:ascii="Arial" w:eastAsia="Times New Roman" w:hAnsi="Arial" w:cs="Arial"/>
          <w:kern w:val="0"/>
          <w:sz w:val="22"/>
          <w:szCs w:val="22"/>
          <w14:ligatures w14:val="none"/>
        </w:rPr>
        <w:t>. London: ONS.</w:t>
      </w:r>
      <w:r w:rsidRPr="00E43CCE">
        <w:rPr>
          <w:rFonts w:ascii="Arial" w:eastAsia="Times New Roman" w:hAnsi="Arial" w:cs="Arial"/>
          <w:kern w:val="0"/>
          <w:sz w:val="22"/>
          <w:szCs w:val="22"/>
          <w14:ligatures w14:val="none"/>
        </w:rPr>
        <w:br/>
        <w:t xml:space="preserve">ONS (Office for National Statistics), (2023). </w:t>
      </w:r>
      <w:r w:rsidRPr="00E43CCE">
        <w:rPr>
          <w:rFonts w:ascii="Arial" w:eastAsia="Times New Roman" w:hAnsi="Arial" w:cs="Arial"/>
          <w:i/>
          <w:iCs/>
          <w:kern w:val="0"/>
          <w:sz w:val="22"/>
          <w:szCs w:val="22"/>
          <w14:ligatures w14:val="none"/>
        </w:rPr>
        <w:t>Exploring the UK’s digital divide</w:t>
      </w:r>
      <w:r w:rsidRPr="00E43CCE">
        <w:rPr>
          <w:rFonts w:ascii="Arial" w:eastAsia="Times New Roman" w:hAnsi="Arial" w:cs="Arial"/>
          <w:kern w:val="0"/>
          <w:sz w:val="22"/>
          <w:szCs w:val="22"/>
          <w14:ligatures w14:val="none"/>
        </w:rPr>
        <w:t>. London: ONS.</w:t>
      </w:r>
      <w:r w:rsidRPr="00E43CCE">
        <w:rPr>
          <w:rFonts w:ascii="Arial" w:eastAsia="Times New Roman" w:hAnsi="Arial" w:cs="Arial"/>
          <w:kern w:val="0"/>
          <w:sz w:val="22"/>
          <w:szCs w:val="22"/>
          <w14:ligatures w14:val="none"/>
        </w:rPr>
        <w:br/>
        <w:t xml:space="preserve">Pew Research, (2021). </w:t>
      </w:r>
      <w:r w:rsidRPr="00E43CCE">
        <w:rPr>
          <w:rFonts w:ascii="Arial" w:eastAsia="Times New Roman" w:hAnsi="Arial" w:cs="Arial"/>
          <w:i/>
          <w:iCs/>
          <w:kern w:val="0"/>
          <w:sz w:val="22"/>
          <w:szCs w:val="22"/>
          <w14:ligatures w14:val="none"/>
        </w:rPr>
        <w:t>Technology use among seniors</w:t>
      </w:r>
      <w:r w:rsidRPr="00E43CCE">
        <w:rPr>
          <w:rFonts w:ascii="Arial" w:eastAsia="Times New Roman" w:hAnsi="Arial" w:cs="Arial"/>
          <w:kern w:val="0"/>
          <w:sz w:val="22"/>
          <w:szCs w:val="22"/>
          <w14:ligatures w14:val="none"/>
        </w:rPr>
        <w:t xml:space="preserve">. Washington: Pew Research </w:t>
      </w:r>
      <w:proofErr w:type="spellStart"/>
      <w:r w:rsidRPr="00E43CCE">
        <w:rPr>
          <w:rFonts w:ascii="Arial" w:eastAsia="Times New Roman" w:hAnsi="Arial" w:cs="Arial"/>
          <w:kern w:val="0"/>
          <w:sz w:val="22"/>
          <w:szCs w:val="22"/>
          <w14:ligatures w14:val="none"/>
        </w:rPr>
        <w:t>Center</w:t>
      </w:r>
      <w:proofErr w:type="spellEnd"/>
      <w:r w:rsidRPr="00E43CCE">
        <w:rPr>
          <w:rFonts w:ascii="Arial" w:eastAsia="Times New Roman" w:hAnsi="Arial" w:cs="Arial"/>
          <w:kern w:val="0"/>
          <w:sz w:val="22"/>
          <w:szCs w:val="22"/>
          <w14:ligatures w14:val="none"/>
        </w:rPr>
        <w:t>.</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Reiners</w:t>
      </w:r>
      <w:proofErr w:type="spellEnd"/>
      <w:r w:rsidRPr="00E43CCE">
        <w:rPr>
          <w:rFonts w:ascii="Arial" w:eastAsia="Times New Roman" w:hAnsi="Arial" w:cs="Arial"/>
          <w:kern w:val="0"/>
          <w:sz w:val="22"/>
          <w:szCs w:val="22"/>
          <w14:ligatures w14:val="none"/>
        </w:rPr>
        <w:t xml:space="preserve">, F., Sturm, J., </w:t>
      </w:r>
      <w:proofErr w:type="spellStart"/>
      <w:r w:rsidRPr="00E43CCE">
        <w:rPr>
          <w:rFonts w:ascii="Arial" w:eastAsia="Times New Roman" w:hAnsi="Arial" w:cs="Arial"/>
          <w:kern w:val="0"/>
          <w:sz w:val="22"/>
          <w:szCs w:val="22"/>
          <w14:ligatures w14:val="none"/>
        </w:rPr>
        <w:t>Bouw</w:t>
      </w:r>
      <w:proofErr w:type="spellEnd"/>
      <w:r w:rsidRPr="00E43CCE">
        <w:rPr>
          <w:rFonts w:ascii="Arial" w:eastAsia="Times New Roman" w:hAnsi="Arial" w:cs="Arial"/>
          <w:kern w:val="0"/>
          <w:sz w:val="22"/>
          <w:szCs w:val="22"/>
          <w14:ligatures w14:val="none"/>
        </w:rPr>
        <w:t xml:space="preserve">, L.J. and </w:t>
      </w:r>
      <w:proofErr w:type="spellStart"/>
      <w:r w:rsidRPr="00E43CCE">
        <w:rPr>
          <w:rFonts w:ascii="Arial" w:eastAsia="Times New Roman" w:hAnsi="Arial" w:cs="Arial"/>
          <w:kern w:val="0"/>
          <w:sz w:val="22"/>
          <w:szCs w:val="22"/>
          <w14:ligatures w14:val="none"/>
        </w:rPr>
        <w:t>Wouters</w:t>
      </w:r>
      <w:proofErr w:type="spellEnd"/>
      <w:r w:rsidRPr="00E43CCE">
        <w:rPr>
          <w:rFonts w:ascii="Arial" w:eastAsia="Times New Roman" w:hAnsi="Arial" w:cs="Arial"/>
          <w:kern w:val="0"/>
          <w:sz w:val="22"/>
          <w:szCs w:val="22"/>
          <w14:ligatures w14:val="none"/>
        </w:rPr>
        <w:t xml:space="preserve">, E.J., (2019). </w:t>
      </w:r>
      <w:proofErr w:type="spellStart"/>
      <w:r w:rsidRPr="00E43CCE">
        <w:rPr>
          <w:rFonts w:ascii="Arial" w:eastAsia="Times New Roman" w:hAnsi="Arial" w:cs="Arial"/>
          <w:kern w:val="0"/>
          <w:sz w:val="22"/>
          <w:szCs w:val="22"/>
          <w14:ligatures w14:val="none"/>
        </w:rPr>
        <w:t>Sociodemographic</w:t>
      </w:r>
      <w:proofErr w:type="spellEnd"/>
      <w:r w:rsidRPr="00E43CCE">
        <w:rPr>
          <w:rFonts w:ascii="Arial" w:eastAsia="Times New Roman" w:hAnsi="Arial" w:cs="Arial"/>
          <w:kern w:val="0"/>
          <w:sz w:val="22"/>
          <w:szCs w:val="22"/>
          <w14:ligatures w14:val="none"/>
        </w:rPr>
        <w:t xml:space="preserve"> factors influencing the use of eHealth in people with chronic diseases. </w:t>
      </w:r>
      <w:r w:rsidRPr="00E43CCE">
        <w:rPr>
          <w:rFonts w:ascii="Arial" w:eastAsia="Times New Roman" w:hAnsi="Arial" w:cs="Arial"/>
          <w:i/>
          <w:iCs/>
          <w:kern w:val="0"/>
          <w:sz w:val="22"/>
          <w:szCs w:val="22"/>
          <w14:ligatures w14:val="none"/>
        </w:rPr>
        <w:t>International Journal of Environmental Research and Public Health</w:t>
      </w:r>
      <w:r w:rsidRPr="00E43CCE">
        <w:rPr>
          <w:rFonts w:ascii="Arial" w:eastAsia="Times New Roman" w:hAnsi="Arial" w:cs="Arial"/>
          <w:kern w:val="0"/>
          <w:sz w:val="22"/>
          <w:szCs w:val="22"/>
          <w14:ligatures w14:val="none"/>
        </w:rPr>
        <w:t>, 16(4), p.645.</w:t>
      </w:r>
      <w:r w:rsidRPr="00E43CCE">
        <w:rPr>
          <w:rFonts w:ascii="Arial" w:eastAsia="Times New Roman" w:hAnsi="Arial" w:cs="Arial"/>
          <w:kern w:val="0"/>
          <w:sz w:val="22"/>
          <w:szCs w:val="22"/>
          <w14:ligatures w14:val="none"/>
        </w:rPr>
        <w:br/>
        <w:t xml:space="preserve">Richardson, S., Lawrence, K., </w:t>
      </w:r>
      <w:proofErr w:type="spellStart"/>
      <w:r w:rsidRPr="00E43CCE">
        <w:rPr>
          <w:rFonts w:ascii="Arial" w:eastAsia="Times New Roman" w:hAnsi="Arial" w:cs="Arial"/>
          <w:kern w:val="0"/>
          <w:sz w:val="22"/>
          <w:szCs w:val="22"/>
          <w14:ligatures w14:val="none"/>
        </w:rPr>
        <w:t>Schoenthaler</w:t>
      </w:r>
      <w:proofErr w:type="spellEnd"/>
      <w:r w:rsidRPr="00E43CCE">
        <w:rPr>
          <w:rFonts w:ascii="Arial" w:eastAsia="Times New Roman" w:hAnsi="Arial" w:cs="Arial"/>
          <w:kern w:val="0"/>
          <w:sz w:val="22"/>
          <w:szCs w:val="22"/>
          <w14:ligatures w14:val="none"/>
        </w:rPr>
        <w:t xml:space="preserve">, A.M. and Mann, D., (2020). A framework for digital health equity. </w:t>
      </w:r>
      <w:r w:rsidRPr="00E43CCE">
        <w:rPr>
          <w:rFonts w:ascii="Arial" w:eastAsia="Times New Roman" w:hAnsi="Arial" w:cs="Arial"/>
          <w:i/>
          <w:iCs/>
          <w:kern w:val="0"/>
          <w:sz w:val="22"/>
          <w:szCs w:val="22"/>
          <w14:ligatures w14:val="none"/>
        </w:rPr>
        <w:t>NPJ Digital Medicine</w:t>
      </w:r>
      <w:r w:rsidRPr="00E43CCE">
        <w:rPr>
          <w:rFonts w:ascii="Arial" w:eastAsia="Times New Roman" w:hAnsi="Arial" w:cs="Arial"/>
          <w:kern w:val="0"/>
          <w:sz w:val="22"/>
          <w:szCs w:val="22"/>
          <w14:ligatures w14:val="none"/>
        </w:rPr>
        <w:t>, 3(1), p.119.</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Rimmer</w:t>
      </w:r>
      <w:proofErr w:type="spellEnd"/>
      <w:r w:rsidRPr="00E43CCE">
        <w:rPr>
          <w:rFonts w:ascii="Arial" w:eastAsia="Times New Roman" w:hAnsi="Arial" w:cs="Arial"/>
          <w:kern w:val="0"/>
          <w:sz w:val="22"/>
          <w:szCs w:val="22"/>
          <w14:ligatures w14:val="none"/>
        </w:rPr>
        <w:t xml:space="preserve">, A., (2017). Older patients are missing out on digital healthcare. </w:t>
      </w:r>
      <w:r w:rsidRPr="00E43CCE">
        <w:rPr>
          <w:rFonts w:ascii="Arial" w:eastAsia="Times New Roman" w:hAnsi="Arial" w:cs="Arial"/>
          <w:i/>
          <w:iCs/>
          <w:kern w:val="0"/>
          <w:sz w:val="22"/>
          <w:szCs w:val="22"/>
          <w14:ligatures w14:val="none"/>
        </w:rPr>
        <w:t>BMJ</w:t>
      </w:r>
      <w:r w:rsidRPr="00E43CCE">
        <w:rPr>
          <w:rFonts w:ascii="Arial" w:eastAsia="Times New Roman" w:hAnsi="Arial" w:cs="Arial"/>
          <w:kern w:val="0"/>
          <w:sz w:val="22"/>
          <w:szCs w:val="22"/>
          <w14:ligatures w14:val="none"/>
        </w:rPr>
        <w:t>, 356, p.j1371.</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Schlomann</w:t>
      </w:r>
      <w:proofErr w:type="spellEnd"/>
      <w:r w:rsidRPr="00E43CCE">
        <w:rPr>
          <w:rFonts w:ascii="Arial" w:eastAsia="Times New Roman" w:hAnsi="Arial" w:cs="Arial"/>
          <w:kern w:val="0"/>
          <w:sz w:val="22"/>
          <w:szCs w:val="22"/>
          <w14:ligatures w14:val="none"/>
        </w:rPr>
        <w:t xml:space="preserve">, A., Seifert, A., </w:t>
      </w:r>
      <w:proofErr w:type="spellStart"/>
      <w:r w:rsidRPr="00E43CCE">
        <w:rPr>
          <w:rFonts w:ascii="Arial" w:eastAsia="Times New Roman" w:hAnsi="Arial" w:cs="Arial"/>
          <w:kern w:val="0"/>
          <w:sz w:val="22"/>
          <w:szCs w:val="22"/>
          <w14:ligatures w14:val="none"/>
        </w:rPr>
        <w:t>Zank</w:t>
      </w:r>
      <w:proofErr w:type="spellEnd"/>
      <w:r w:rsidRPr="00E43CCE">
        <w:rPr>
          <w:rFonts w:ascii="Arial" w:eastAsia="Times New Roman" w:hAnsi="Arial" w:cs="Arial"/>
          <w:kern w:val="0"/>
          <w:sz w:val="22"/>
          <w:szCs w:val="22"/>
          <w14:ligatures w14:val="none"/>
        </w:rPr>
        <w:t xml:space="preserve">, S., </w:t>
      </w:r>
      <w:proofErr w:type="spellStart"/>
      <w:r w:rsidRPr="00E43CCE">
        <w:rPr>
          <w:rFonts w:ascii="Arial" w:eastAsia="Times New Roman" w:hAnsi="Arial" w:cs="Arial"/>
          <w:kern w:val="0"/>
          <w:sz w:val="22"/>
          <w:szCs w:val="22"/>
          <w14:ligatures w14:val="none"/>
        </w:rPr>
        <w:t>Woopen</w:t>
      </w:r>
      <w:proofErr w:type="spellEnd"/>
      <w:r w:rsidRPr="00E43CCE">
        <w:rPr>
          <w:rFonts w:ascii="Arial" w:eastAsia="Times New Roman" w:hAnsi="Arial" w:cs="Arial"/>
          <w:kern w:val="0"/>
          <w:sz w:val="22"/>
          <w:szCs w:val="22"/>
          <w14:ligatures w14:val="none"/>
        </w:rPr>
        <w:t xml:space="preserve">, C. and </w:t>
      </w:r>
      <w:proofErr w:type="spellStart"/>
      <w:r w:rsidRPr="00E43CCE">
        <w:rPr>
          <w:rFonts w:ascii="Arial" w:eastAsia="Times New Roman" w:hAnsi="Arial" w:cs="Arial"/>
          <w:kern w:val="0"/>
          <w:sz w:val="22"/>
          <w:szCs w:val="22"/>
          <w14:ligatures w14:val="none"/>
        </w:rPr>
        <w:t>Rietz</w:t>
      </w:r>
      <w:proofErr w:type="spellEnd"/>
      <w:r w:rsidRPr="00E43CCE">
        <w:rPr>
          <w:rFonts w:ascii="Arial" w:eastAsia="Times New Roman" w:hAnsi="Arial" w:cs="Arial"/>
          <w:kern w:val="0"/>
          <w:sz w:val="22"/>
          <w:szCs w:val="22"/>
          <w14:ligatures w14:val="none"/>
        </w:rPr>
        <w:t xml:space="preserve">, C., (2020). Use of information and communication technology (ICT) devices among the oldest-old. </w:t>
      </w:r>
      <w:r w:rsidRPr="00E43CCE">
        <w:rPr>
          <w:rFonts w:ascii="Arial" w:eastAsia="Times New Roman" w:hAnsi="Arial" w:cs="Arial"/>
          <w:i/>
          <w:iCs/>
          <w:kern w:val="0"/>
          <w:sz w:val="22"/>
          <w:szCs w:val="22"/>
          <w14:ligatures w14:val="none"/>
        </w:rPr>
        <w:t>Innovation in Aging</w:t>
      </w:r>
      <w:r w:rsidRPr="00E43CCE">
        <w:rPr>
          <w:rFonts w:ascii="Arial" w:eastAsia="Times New Roman" w:hAnsi="Arial" w:cs="Arial"/>
          <w:kern w:val="0"/>
          <w:sz w:val="22"/>
          <w:szCs w:val="22"/>
          <w14:ligatures w14:val="none"/>
        </w:rPr>
        <w:t>, 4(2), p.igaa007.</w:t>
      </w:r>
      <w:r w:rsidRPr="00E43CCE">
        <w:rPr>
          <w:rFonts w:ascii="Arial" w:eastAsia="Times New Roman" w:hAnsi="Arial" w:cs="Arial"/>
          <w:kern w:val="0"/>
          <w:sz w:val="22"/>
          <w:szCs w:val="22"/>
          <w14:ligatures w14:val="none"/>
        </w:rPr>
        <w:br/>
        <w:t xml:space="preserve">Seifert, A., </w:t>
      </w:r>
      <w:proofErr w:type="spellStart"/>
      <w:r w:rsidRPr="00E43CCE">
        <w:rPr>
          <w:rFonts w:ascii="Arial" w:eastAsia="Times New Roman" w:hAnsi="Arial" w:cs="Arial"/>
          <w:kern w:val="0"/>
          <w:sz w:val="22"/>
          <w:szCs w:val="22"/>
          <w14:ligatures w14:val="none"/>
        </w:rPr>
        <w:t>Cotten</w:t>
      </w:r>
      <w:proofErr w:type="spellEnd"/>
      <w:r w:rsidRPr="00E43CCE">
        <w:rPr>
          <w:rFonts w:ascii="Arial" w:eastAsia="Times New Roman" w:hAnsi="Arial" w:cs="Arial"/>
          <w:kern w:val="0"/>
          <w:sz w:val="22"/>
          <w:szCs w:val="22"/>
          <w14:ligatures w14:val="none"/>
        </w:rPr>
        <w:t xml:space="preserve">, S.R. and </w:t>
      </w:r>
      <w:proofErr w:type="spellStart"/>
      <w:r w:rsidRPr="00E43CCE">
        <w:rPr>
          <w:rFonts w:ascii="Arial" w:eastAsia="Times New Roman" w:hAnsi="Arial" w:cs="Arial"/>
          <w:kern w:val="0"/>
          <w:sz w:val="22"/>
          <w:szCs w:val="22"/>
          <w14:ligatures w14:val="none"/>
        </w:rPr>
        <w:t>Xie</w:t>
      </w:r>
      <w:proofErr w:type="spellEnd"/>
      <w:r w:rsidRPr="00E43CCE">
        <w:rPr>
          <w:rFonts w:ascii="Arial" w:eastAsia="Times New Roman" w:hAnsi="Arial" w:cs="Arial"/>
          <w:kern w:val="0"/>
          <w:sz w:val="22"/>
          <w:szCs w:val="22"/>
          <w14:ligatures w14:val="none"/>
        </w:rPr>
        <w:t xml:space="preserve">, B., (2020). A double burden of exclusion? Digital and social exclusion of older adults in times of COVID-19. </w:t>
      </w:r>
      <w:r w:rsidRPr="00E43CCE">
        <w:rPr>
          <w:rFonts w:ascii="Arial" w:eastAsia="Times New Roman" w:hAnsi="Arial" w:cs="Arial"/>
          <w:i/>
          <w:iCs/>
          <w:kern w:val="0"/>
          <w:sz w:val="22"/>
          <w:szCs w:val="22"/>
          <w14:ligatures w14:val="none"/>
        </w:rPr>
        <w:t>The Journals of Gerontology: Series B</w:t>
      </w:r>
      <w:r w:rsidRPr="00E43CCE">
        <w:rPr>
          <w:rFonts w:ascii="Arial" w:eastAsia="Times New Roman" w:hAnsi="Arial" w:cs="Arial"/>
          <w:kern w:val="0"/>
          <w:sz w:val="22"/>
          <w:szCs w:val="22"/>
          <w14:ligatures w14:val="none"/>
        </w:rPr>
        <w:t>, 76(7), pp.e99-e103.</w:t>
      </w:r>
      <w:r w:rsidRPr="00E43CCE">
        <w:rPr>
          <w:rFonts w:ascii="Arial" w:eastAsia="Times New Roman" w:hAnsi="Arial" w:cs="Arial"/>
          <w:kern w:val="0"/>
          <w:sz w:val="22"/>
          <w:szCs w:val="22"/>
          <w14:ligatures w14:val="none"/>
        </w:rPr>
        <w:br/>
        <w:t xml:space="preserve">Van </w:t>
      </w:r>
      <w:proofErr w:type="spellStart"/>
      <w:r w:rsidRPr="00E43CCE">
        <w:rPr>
          <w:rFonts w:ascii="Arial" w:eastAsia="Times New Roman" w:hAnsi="Arial" w:cs="Arial"/>
          <w:kern w:val="0"/>
          <w:sz w:val="22"/>
          <w:szCs w:val="22"/>
          <w14:ligatures w14:val="none"/>
        </w:rPr>
        <w:t>Dijk</w:t>
      </w:r>
      <w:proofErr w:type="spellEnd"/>
      <w:r w:rsidRPr="00E43CCE">
        <w:rPr>
          <w:rFonts w:ascii="Arial" w:eastAsia="Times New Roman" w:hAnsi="Arial" w:cs="Arial"/>
          <w:kern w:val="0"/>
          <w:sz w:val="22"/>
          <w:szCs w:val="22"/>
          <w14:ligatures w14:val="none"/>
        </w:rPr>
        <w:t xml:space="preserve">, J., (2020). </w:t>
      </w:r>
      <w:r w:rsidRPr="00E43CCE">
        <w:rPr>
          <w:rFonts w:ascii="Arial" w:eastAsia="Times New Roman" w:hAnsi="Arial" w:cs="Arial"/>
          <w:i/>
          <w:iCs/>
          <w:kern w:val="0"/>
          <w:sz w:val="22"/>
          <w:szCs w:val="22"/>
          <w14:ligatures w14:val="none"/>
        </w:rPr>
        <w:t>The Digital Divide</w:t>
      </w:r>
      <w:r w:rsidRPr="00E43CCE">
        <w:rPr>
          <w:rFonts w:ascii="Arial" w:eastAsia="Times New Roman" w:hAnsi="Arial" w:cs="Arial"/>
          <w:kern w:val="0"/>
          <w:sz w:val="22"/>
          <w:szCs w:val="22"/>
          <w14:ligatures w14:val="none"/>
        </w:rPr>
        <w:t>. Cambridge: Polity Press.</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Vaportzis</w:t>
      </w:r>
      <w:proofErr w:type="spellEnd"/>
      <w:r w:rsidRPr="00E43CCE">
        <w:rPr>
          <w:rFonts w:ascii="Arial" w:eastAsia="Times New Roman" w:hAnsi="Arial" w:cs="Arial"/>
          <w:kern w:val="0"/>
          <w:sz w:val="22"/>
          <w:szCs w:val="22"/>
          <w14:ligatures w14:val="none"/>
        </w:rPr>
        <w:t xml:space="preserve">, E., Clausen, M.G. and </w:t>
      </w:r>
      <w:proofErr w:type="spellStart"/>
      <w:r w:rsidRPr="00E43CCE">
        <w:rPr>
          <w:rFonts w:ascii="Arial" w:eastAsia="Times New Roman" w:hAnsi="Arial" w:cs="Arial"/>
          <w:kern w:val="0"/>
          <w:sz w:val="22"/>
          <w:szCs w:val="22"/>
          <w14:ligatures w14:val="none"/>
        </w:rPr>
        <w:t>Gow</w:t>
      </w:r>
      <w:proofErr w:type="spellEnd"/>
      <w:r w:rsidRPr="00E43CCE">
        <w:rPr>
          <w:rFonts w:ascii="Arial" w:eastAsia="Times New Roman" w:hAnsi="Arial" w:cs="Arial"/>
          <w:kern w:val="0"/>
          <w:sz w:val="22"/>
          <w:szCs w:val="22"/>
          <w14:ligatures w14:val="none"/>
        </w:rPr>
        <w:t xml:space="preserve">, A.J., (2017). Older adults perceptions of technology and barriers to interacting with tablet computers. </w:t>
      </w:r>
      <w:r w:rsidRPr="00E43CCE">
        <w:rPr>
          <w:rFonts w:ascii="Arial" w:eastAsia="Times New Roman" w:hAnsi="Arial" w:cs="Arial"/>
          <w:i/>
          <w:iCs/>
          <w:kern w:val="0"/>
          <w:sz w:val="22"/>
          <w:szCs w:val="22"/>
          <w14:ligatures w14:val="none"/>
        </w:rPr>
        <w:t>Frontiers in Psychology</w:t>
      </w:r>
      <w:r w:rsidRPr="00E43CCE">
        <w:rPr>
          <w:rFonts w:ascii="Arial" w:eastAsia="Times New Roman" w:hAnsi="Arial" w:cs="Arial"/>
          <w:kern w:val="0"/>
          <w:sz w:val="22"/>
          <w:szCs w:val="22"/>
          <w14:ligatures w14:val="none"/>
        </w:rPr>
        <w:t>, 8, p.1687.</w:t>
      </w:r>
      <w:r w:rsidRPr="00E43CCE">
        <w:rPr>
          <w:rFonts w:ascii="Arial" w:eastAsia="Times New Roman" w:hAnsi="Arial" w:cs="Arial"/>
          <w:kern w:val="0"/>
          <w:sz w:val="22"/>
          <w:szCs w:val="22"/>
          <w14:ligatures w14:val="none"/>
        </w:rPr>
        <w:br/>
        <w:t xml:space="preserve">Watts, G., (2020). COVID-19 and the digital divide in the UK. </w:t>
      </w:r>
      <w:r w:rsidRPr="00E43CCE">
        <w:rPr>
          <w:rFonts w:ascii="Arial" w:eastAsia="Times New Roman" w:hAnsi="Arial" w:cs="Arial"/>
          <w:i/>
          <w:iCs/>
          <w:kern w:val="0"/>
          <w:sz w:val="22"/>
          <w:szCs w:val="22"/>
          <w14:ligatures w14:val="none"/>
        </w:rPr>
        <w:t>The Lancet Digital Health</w:t>
      </w:r>
      <w:r w:rsidRPr="00E43CCE">
        <w:rPr>
          <w:rFonts w:ascii="Arial" w:eastAsia="Times New Roman" w:hAnsi="Arial" w:cs="Arial"/>
          <w:kern w:val="0"/>
          <w:sz w:val="22"/>
          <w:szCs w:val="22"/>
          <w14:ligatures w14:val="none"/>
        </w:rPr>
        <w:t>, 2(8), pp.e395-e396.</w:t>
      </w:r>
      <w:r w:rsidRPr="00E43CCE">
        <w:rPr>
          <w:rFonts w:ascii="Arial" w:eastAsia="Times New Roman" w:hAnsi="Arial" w:cs="Arial"/>
          <w:kern w:val="0"/>
          <w:sz w:val="22"/>
          <w:szCs w:val="22"/>
          <w14:ligatures w14:val="none"/>
        </w:rPr>
        <w:br/>
        <w:t xml:space="preserve">WHO (World Health Organization), (2021). </w:t>
      </w:r>
      <w:r w:rsidRPr="00E43CCE">
        <w:rPr>
          <w:rFonts w:ascii="Arial" w:eastAsia="Times New Roman" w:hAnsi="Arial" w:cs="Arial"/>
          <w:i/>
          <w:iCs/>
          <w:kern w:val="0"/>
          <w:sz w:val="22"/>
          <w:szCs w:val="22"/>
          <w14:ligatures w14:val="none"/>
        </w:rPr>
        <w:t>Global strategy on digital health 2020-2025</w:t>
      </w:r>
      <w:r w:rsidRPr="00E43CCE">
        <w:rPr>
          <w:rFonts w:ascii="Arial" w:eastAsia="Times New Roman" w:hAnsi="Arial" w:cs="Arial"/>
          <w:kern w:val="0"/>
          <w:sz w:val="22"/>
          <w:szCs w:val="22"/>
          <w14:ligatures w14:val="none"/>
        </w:rPr>
        <w:t>. Geneva: WHO.</w:t>
      </w:r>
      <w:r w:rsidRPr="00E43CCE">
        <w:rPr>
          <w:rFonts w:ascii="Arial" w:eastAsia="Times New Roman" w:hAnsi="Arial" w:cs="Arial"/>
          <w:kern w:val="0"/>
          <w:sz w:val="22"/>
          <w:szCs w:val="22"/>
          <w14:ligatures w14:val="none"/>
        </w:rPr>
        <w:br/>
        <w:t xml:space="preserve">Willis, R., </w:t>
      </w:r>
      <w:proofErr w:type="spellStart"/>
      <w:r w:rsidRPr="00E43CCE">
        <w:rPr>
          <w:rFonts w:ascii="Arial" w:eastAsia="Times New Roman" w:hAnsi="Arial" w:cs="Arial"/>
          <w:kern w:val="0"/>
          <w:sz w:val="22"/>
          <w:szCs w:val="22"/>
          <w14:ligatures w14:val="none"/>
        </w:rPr>
        <w:t>Ewart</w:t>
      </w:r>
      <w:proofErr w:type="spellEnd"/>
      <w:r w:rsidRPr="00E43CCE">
        <w:rPr>
          <w:rFonts w:ascii="Arial" w:eastAsia="Times New Roman" w:hAnsi="Arial" w:cs="Arial"/>
          <w:kern w:val="0"/>
          <w:sz w:val="22"/>
          <w:szCs w:val="22"/>
          <w14:ligatures w14:val="none"/>
        </w:rPr>
        <w:t xml:space="preserve">, J. and </w:t>
      </w:r>
      <w:proofErr w:type="spellStart"/>
      <w:r w:rsidRPr="00E43CCE">
        <w:rPr>
          <w:rFonts w:ascii="Arial" w:eastAsia="Times New Roman" w:hAnsi="Arial" w:cs="Arial"/>
          <w:kern w:val="0"/>
          <w:sz w:val="22"/>
          <w:szCs w:val="22"/>
          <w14:ligatures w14:val="none"/>
        </w:rPr>
        <w:t>Rumbold</w:t>
      </w:r>
      <w:proofErr w:type="spellEnd"/>
      <w:r w:rsidRPr="00E43CCE">
        <w:rPr>
          <w:rFonts w:ascii="Arial" w:eastAsia="Times New Roman" w:hAnsi="Arial" w:cs="Arial"/>
          <w:kern w:val="0"/>
          <w:sz w:val="22"/>
          <w:szCs w:val="22"/>
          <w14:ligatures w14:val="none"/>
        </w:rPr>
        <w:t xml:space="preserve">, B., (2021). Exploring the digital health divide in rural spaces. </w:t>
      </w:r>
      <w:r w:rsidRPr="00E43CCE">
        <w:rPr>
          <w:rFonts w:ascii="Arial" w:eastAsia="Times New Roman" w:hAnsi="Arial" w:cs="Arial"/>
          <w:i/>
          <w:iCs/>
          <w:kern w:val="0"/>
          <w:sz w:val="22"/>
          <w:szCs w:val="22"/>
          <w14:ligatures w14:val="none"/>
        </w:rPr>
        <w:t>Health &amp; Place</w:t>
      </w:r>
      <w:r w:rsidRPr="00E43CCE">
        <w:rPr>
          <w:rFonts w:ascii="Arial" w:eastAsia="Times New Roman" w:hAnsi="Arial" w:cs="Arial"/>
          <w:kern w:val="0"/>
          <w:sz w:val="22"/>
          <w:szCs w:val="22"/>
          <w14:ligatures w14:val="none"/>
        </w:rPr>
        <w:t>, 68, p.102534.</w:t>
      </w:r>
      <w:r w:rsidRPr="00E43CCE">
        <w:rPr>
          <w:rFonts w:ascii="Arial" w:eastAsia="Times New Roman" w:hAnsi="Arial" w:cs="Arial"/>
          <w:kern w:val="0"/>
          <w:sz w:val="22"/>
          <w:szCs w:val="22"/>
          <w14:ligatures w14:val="none"/>
        </w:rPr>
        <w:br/>
      </w:r>
      <w:proofErr w:type="spellStart"/>
      <w:r w:rsidRPr="00E43CCE">
        <w:rPr>
          <w:rFonts w:ascii="Arial" w:eastAsia="Times New Roman" w:hAnsi="Arial" w:cs="Arial"/>
          <w:kern w:val="0"/>
          <w:sz w:val="22"/>
          <w:szCs w:val="22"/>
          <w14:ligatures w14:val="none"/>
        </w:rPr>
        <w:t>Xie</w:t>
      </w:r>
      <w:proofErr w:type="spellEnd"/>
      <w:r w:rsidRPr="00E43CCE">
        <w:rPr>
          <w:rFonts w:ascii="Arial" w:eastAsia="Times New Roman" w:hAnsi="Arial" w:cs="Arial"/>
          <w:kern w:val="0"/>
          <w:sz w:val="22"/>
          <w:szCs w:val="22"/>
          <w14:ligatures w14:val="none"/>
        </w:rPr>
        <w:t xml:space="preserve">, B., </w:t>
      </w:r>
      <w:proofErr w:type="spellStart"/>
      <w:r w:rsidRPr="00E43CCE">
        <w:rPr>
          <w:rFonts w:ascii="Arial" w:eastAsia="Times New Roman" w:hAnsi="Arial" w:cs="Arial"/>
          <w:kern w:val="0"/>
          <w:sz w:val="22"/>
          <w:szCs w:val="22"/>
          <w14:ligatures w14:val="none"/>
        </w:rPr>
        <w:t>Charness</w:t>
      </w:r>
      <w:proofErr w:type="spellEnd"/>
      <w:r w:rsidRPr="00E43CCE">
        <w:rPr>
          <w:rFonts w:ascii="Arial" w:eastAsia="Times New Roman" w:hAnsi="Arial" w:cs="Arial"/>
          <w:kern w:val="0"/>
          <w:sz w:val="22"/>
          <w:szCs w:val="22"/>
          <w14:ligatures w14:val="none"/>
        </w:rPr>
        <w:t xml:space="preserve">, N., </w:t>
      </w:r>
      <w:proofErr w:type="spellStart"/>
      <w:r w:rsidRPr="00E43CCE">
        <w:rPr>
          <w:rFonts w:ascii="Arial" w:eastAsia="Times New Roman" w:hAnsi="Arial" w:cs="Arial"/>
          <w:kern w:val="0"/>
          <w:sz w:val="22"/>
          <w:szCs w:val="22"/>
          <w14:ligatures w14:val="none"/>
        </w:rPr>
        <w:t>Fingerman</w:t>
      </w:r>
      <w:proofErr w:type="spellEnd"/>
      <w:r w:rsidRPr="00E43CCE">
        <w:rPr>
          <w:rFonts w:ascii="Arial" w:eastAsia="Times New Roman" w:hAnsi="Arial" w:cs="Arial"/>
          <w:kern w:val="0"/>
          <w:sz w:val="22"/>
          <w:szCs w:val="22"/>
          <w14:ligatures w14:val="none"/>
        </w:rPr>
        <w:t xml:space="preserve">, K., Glaser, J., Golub, A., Greenberg, J.E. and McMullen, C., (2020). When going digital becomes a necessity: Ensuring older adults' needs for information, services, and social inclusion during COVID-19. </w:t>
      </w:r>
      <w:r w:rsidRPr="00E43CCE">
        <w:rPr>
          <w:rFonts w:ascii="Arial" w:eastAsia="Times New Roman" w:hAnsi="Arial" w:cs="Arial"/>
          <w:i/>
          <w:iCs/>
          <w:kern w:val="0"/>
          <w:sz w:val="22"/>
          <w:szCs w:val="22"/>
          <w14:ligatures w14:val="none"/>
        </w:rPr>
        <w:t>Journal of Aging &amp; Social Policy</w:t>
      </w:r>
      <w:r w:rsidRPr="00E43CCE">
        <w:rPr>
          <w:rFonts w:ascii="Arial" w:eastAsia="Times New Roman" w:hAnsi="Arial" w:cs="Arial"/>
          <w:kern w:val="0"/>
          <w:sz w:val="22"/>
          <w:szCs w:val="22"/>
          <w14:ligatures w14:val="none"/>
        </w:rPr>
        <w:t>, 32(4-5), pp.460-470.</w:t>
      </w:r>
      <w:r w:rsidRPr="00E43CCE">
        <w:rPr>
          <w:rFonts w:ascii="Arial" w:eastAsia="Times New Roman" w:hAnsi="Arial" w:cs="Arial"/>
          <w:kern w:val="0"/>
          <w:sz w:val="22"/>
          <w:szCs w:val="22"/>
          <w14:ligatures w14:val="none"/>
        </w:rPr>
        <w:br/>
        <w:t xml:space="preserve">Zhang, X., Zhang, Y. and Chen, X., (2021). The digital divide and health disparities in the elderly. </w:t>
      </w:r>
      <w:r w:rsidRPr="00E43CCE">
        <w:rPr>
          <w:rFonts w:ascii="Arial" w:eastAsia="Times New Roman" w:hAnsi="Arial" w:cs="Arial"/>
          <w:i/>
          <w:iCs/>
          <w:kern w:val="0"/>
          <w:sz w:val="22"/>
          <w:szCs w:val="22"/>
          <w14:ligatures w14:val="none"/>
        </w:rPr>
        <w:t>Journal of Public Health</w:t>
      </w:r>
      <w:r w:rsidRPr="00E43CCE">
        <w:rPr>
          <w:rFonts w:ascii="Arial" w:eastAsia="Times New Roman" w:hAnsi="Arial" w:cs="Arial"/>
          <w:kern w:val="0"/>
          <w:sz w:val="22"/>
          <w:szCs w:val="22"/>
          <w14:ligatures w14:val="none"/>
        </w:rPr>
        <w:t>, 43(3), pp.e123-e130.</w:t>
      </w:r>
      <w:r w:rsidRPr="00E43CCE">
        <w:rPr>
          <w:rFonts w:ascii="Arial" w:eastAsia="Times New Roman" w:hAnsi="Arial" w:cs="Arial"/>
          <w:kern w:val="0"/>
          <w:sz w:val="22"/>
          <w:szCs w:val="22"/>
          <w14:ligatures w14:val="none"/>
        </w:rPr>
        <w:br/>
        <w:t xml:space="preserve">Zhao, Y., Ni, Q. and Zhou, R., (2020). What factors influence the mobile health service adoption? A meta-analysis and the moderating role of age. </w:t>
      </w:r>
      <w:r w:rsidRPr="00E43CCE">
        <w:rPr>
          <w:rFonts w:ascii="Arial" w:eastAsia="Times New Roman" w:hAnsi="Arial" w:cs="Arial"/>
          <w:i/>
          <w:iCs/>
          <w:kern w:val="0"/>
          <w:sz w:val="22"/>
          <w:szCs w:val="22"/>
          <w14:ligatures w14:val="none"/>
        </w:rPr>
        <w:t>International Journal of Information Management</w:t>
      </w:r>
      <w:r w:rsidRPr="00E43CCE">
        <w:rPr>
          <w:rFonts w:ascii="Arial" w:eastAsia="Times New Roman" w:hAnsi="Arial" w:cs="Arial"/>
          <w:kern w:val="0"/>
          <w:sz w:val="22"/>
          <w:szCs w:val="22"/>
          <w14:ligatures w14:val="none"/>
        </w:rPr>
        <w:t>, 53, p.102053.</w:t>
      </w:r>
    </w:p>
    <w:sectPr w:rsidR="00DC712D" w:rsidRPr="00E43C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2D"/>
    <w:rsid w:val="00116F02"/>
    <w:rsid w:val="00173589"/>
    <w:rsid w:val="00186A58"/>
    <w:rsid w:val="001A1531"/>
    <w:rsid w:val="001A7107"/>
    <w:rsid w:val="002A7D69"/>
    <w:rsid w:val="003C44F8"/>
    <w:rsid w:val="003E7F95"/>
    <w:rsid w:val="00476D92"/>
    <w:rsid w:val="00493002"/>
    <w:rsid w:val="005C3546"/>
    <w:rsid w:val="00651D82"/>
    <w:rsid w:val="007A0160"/>
    <w:rsid w:val="008256A8"/>
    <w:rsid w:val="00834743"/>
    <w:rsid w:val="00844D66"/>
    <w:rsid w:val="008E52E2"/>
    <w:rsid w:val="00906990"/>
    <w:rsid w:val="00972D77"/>
    <w:rsid w:val="00B33A4D"/>
    <w:rsid w:val="00BC3C6B"/>
    <w:rsid w:val="00BD5A8D"/>
    <w:rsid w:val="00C376C1"/>
    <w:rsid w:val="00CF1E90"/>
    <w:rsid w:val="00D8041E"/>
    <w:rsid w:val="00DC712D"/>
    <w:rsid w:val="00E43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D6A9A2"/>
  <w15:chartTrackingRefBased/>
  <w15:docId w15:val="{14FA9537-EF3E-8444-B327-AE747AFD6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1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1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1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1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1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1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1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1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1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1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12D"/>
    <w:rPr>
      <w:rFonts w:eastAsiaTheme="majorEastAsia" w:cstheme="majorBidi"/>
      <w:color w:val="272727" w:themeColor="text1" w:themeTint="D8"/>
    </w:rPr>
  </w:style>
  <w:style w:type="paragraph" w:styleId="Title">
    <w:name w:val="Title"/>
    <w:basedOn w:val="Normal"/>
    <w:next w:val="Normal"/>
    <w:link w:val="TitleChar"/>
    <w:uiPriority w:val="10"/>
    <w:qFormat/>
    <w:rsid w:val="00DC7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12D"/>
    <w:pPr>
      <w:spacing w:before="160"/>
      <w:jc w:val="center"/>
    </w:pPr>
    <w:rPr>
      <w:i/>
      <w:iCs/>
      <w:color w:val="404040" w:themeColor="text1" w:themeTint="BF"/>
    </w:rPr>
  </w:style>
  <w:style w:type="character" w:customStyle="1" w:styleId="QuoteChar">
    <w:name w:val="Quote Char"/>
    <w:basedOn w:val="DefaultParagraphFont"/>
    <w:link w:val="Quote"/>
    <w:uiPriority w:val="29"/>
    <w:rsid w:val="00DC712D"/>
    <w:rPr>
      <w:i/>
      <w:iCs/>
      <w:color w:val="404040" w:themeColor="text1" w:themeTint="BF"/>
    </w:rPr>
  </w:style>
  <w:style w:type="paragraph" w:styleId="ListParagraph">
    <w:name w:val="List Paragraph"/>
    <w:basedOn w:val="Normal"/>
    <w:uiPriority w:val="34"/>
    <w:qFormat/>
    <w:rsid w:val="00DC712D"/>
    <w:pPr>
      <w:ind w:left="720"/>
      <w:contextualSpacing/>
    </w:pPr>
  </w:style>
  <w:style w:type="character" w:styleId="IntenseEmphasis">
    <w:name w:val="Intense Emphasis"/>
    <w:basedOn w:val="DefaultParagraphFont"/>
    <w:uiPriority w:val="21"/>
    <w:qFormat/>
    <w:rsid w:val="00DC712D"/>
    <w:rPr>
      <w:i/>
      <w:iCs/>
      <w:color w:val="0F4761" w:themeColor="accent1" w:themeShade="BF"/>
    </w:rPr>
  </w:style>
  <w:style w:type="paragraph" w:styleId="IntenseQuote">
    <w:name w:val="Intense Quote"/>
    <w:basedOn w:val="Normal"/>
    <w:next w:val="Normal"/>
    <w:link w:val="IntenseQuoteChar"/>
    <w:uiPriority w:val="30"/>
    <w:qFormat/>
    <w:rsid w:val="00DC71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12D"/>
    <w:rPr>
      <w:i/>
      <w:iCs/>
      <w:color w:val="0F4761" w:themeColor="accent1" w:themeShade="BF"/>
    </w:rPr>
  </w:style>
  <w:style w:type="character" w:styleId="IntenseReference">
    <w:name w:val="Intense Reference"/>
    <w:basedOn w:val="DefaultParagraphFont"/>
    <w:uiPriority w:val="32"/>
    <w:qFormat/>
    <w:rsid w:val="00DC712D"/>
    <w:rPr>
      <w:b/>
      <w:bCs/>
      <w:smallCaps/>
      <w:color w:val="0F4761" w:themeColor="accent1" w:themeShade="BF"/>
      <w:spacing w:val="5"/>
    </w:rPr>
  </w:style>
  <w:style w:type="character" w:styleId="Hyperlink">
    <w:name w:val="Hyperlink"/>
    <w:basedOn w:val="DefaultParagraphFont"/>
    <w:uiPriority w:val="99"/>
    <w:unhideWhenUsed/>
    <w:rsid w:val="007A0160"/>
    <w:rPr>
      <w:color w:val="467886" w:themeColor="hyperlink"/>
      <w:u w:val="single"/>
    </w:rPr>
  </w:style>
  <w:style w:type="character" w:styleId="UnresolvedMention">
    <w:name w:val="Unresolved Mention"/>
    <w:basedOn w:val="DefaultParagraphFont"/>
    <w:uiPriority w:val="99"/>
    <w:semiHidden/>
    <w:unhideWhenUsed/>
    <w:rsid w:val="007A0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7822</Words>
  <Characters>44591</Characters>
  <Application>Microsoft Office Word</Application>
  <DocSecurity>0</DocSecurity>
  <Lines>371</Lines>
  <Paragraphs>104</Paragraphs>
  <ScaleCrop>false</ScaleCrop>
  <Company/>
  <LinksUpToDate>false</LinksUpToDate>
  <CharactersWithSpaces>52309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Ashfaq (2315557)</dc:creator>
  <cp:keywords/>
  <dc:description/>
  <cp:lastModifiedBy>Mohammed Ashfaq (2315557)</cp:lastModifiedBy>
  <cp:revision>2</cp:revision>
  <dcterms:created xsi:type="dcterms:W3CDTF">2026-08-02T05:06:00Z</dcterms:created>
  <dcterms:modified xsi:type="dcterms:W3CDTF">2026-08-02T05:06:00Z</dcterms:modified>
</cp:coreProperties>
</file>