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A704C4" w14:textId="41BE633A" w:rsidR="000A25F5" w:rsidRPr="001A7798" w:rsidRDefault="000A25F5" w:rsidP="000A25F5">
      <w:pPr>
        <w:rPr>
          <w:b/>
          <w:bCs/>
        </w:rPr>
      </w:pPr>
      <w:r w:rsidRPr="001A7798">
        <w:rPr>
          <w:b/>
          <w:bCs/>
        </w:rPr>
        <w:t>Review of Anticipating loss: rethinking endangerment in heritage futures</w:t>
      </w:r>
    </w:p>
    <w:p w14:paraId="3E01B145" w14:textId="77777777" w:rsidR="00BD76A3" w:rsidRDefault="000A25F5" w:rsidP="000A25F5">
      <w:r>
        <w:t>The Anticipating Loss article is an introduction to a collection of related articles published in the International Journal of Heritage Studies as part of the heritage futures project.</w:t>
      </w:r>
      <w:r w:rsidR="00B2012A">
        <w:rPr>
          <w:rStyle w:val="FootnoteReference"/>
        </w:rPr>
        <w:footnoteReference w:id="1"/>
      </w:r>
      <w:r>
        <w:t xml:space="preserve"> The purpose of the article is both to set out the</w:t>
      </w:r>
      <w:r w:rsidR="00B25BC9">
        <w:t>ir</w:t>
      </w:r>
      <w:r>
        <w:t xml:space="preserve"> </w:t>
      </w:r>
      <w:r w:rsidR="00C21BB2">
        <w:t xml:space="preserve">view on how to understand loss in a heritage context, and to </w:t>
      </w:r>
      <w:r w:rsidR="00C4634E">
        <w:t xml:space="preserve">introduce other papers in the </w:t>
      </w:r>
      <w:r w:rsidR="009F4694">
        <w:t xml:space="preserve">edition of the journal which explore the concept of heritage loss in more detail. </w:t>
      </w:r>
      <w:r w:rsidR="00E0482A">
        <w:t xml:space="preserve">In the article </w:t>
      </w:r>
      <w:proofErr w:type="spellStart"/>
      <w:r w:rsidR="00E0482A">
        <w:t>DeSilvey</w:t>
      </w:r>
      <w:proofErr w:type="spellEnd"/>
      <w:r w:rsidR="00E0482A">
        <w:t xml:space="preserve"> and Harrison </w:t>
      </w:r>
      <w:r w:rsidR="00247ECF">
        <w:t xml:space="preserve">set out to provide a critical examination of </w:t>
      </w:r>
      <w:r w:rsidR="00F92CE3">
        <w:t xml:space="preserve">how current perceptions of loss </w:t>
      </w:r>
      <w:r w:rsidR="00064DC1">
        <w:t xml:space="preserve">of </w:t>
      </w:r>
      <w:r w:rsidR="00F92CE3">
        <w:t xml:space="preserve">heritage </w:t>
      </w:r>
      <w:r w:rsidR="00064DC1">
        <w:t xml:space="preserve">motivate much of </w:t>
      </w:r>
      <w:r w:rsidR="00175118">
        <w:t xml:space="preserve">existing </w:t>
      </w:r>
      <w:r w:rsidR="00064DC1">
        <w:t>heritage practice and policies</w:t>
      </w:r>
      <w:r w:rsidR="00AE330C">
        <w:t xml:space="preserve">. They also seek to provide new ways of understanding </w:t>
      </w:r>
      <w:proofErr w:type="gramStart"/>
      <w:r w:rsidR="00AE330C">
        <w:t>loss, and</w:t>
      </w:r>
      <w:proofErr w:type="gramEnd"/>
      <w:r w:rsidR="00AE330C">
        <w:t xml:space="preserve"> </w:t>
      </w:r>
      <w:r w:rsidR="00A81452">
        <w:t xml:space="preserve">explore how </w:t>
      </w:r>
      <w:r w:rsidR="00AE330C">
        <w:t>th</w:t>
      </w:r>
      <w:r w:rsidR="00A81452">
        <w:t xml:space="preserve">ese can be used </w:t>
      </w:r>
      <w:r w:rsidR="00AE330C">
        <w:t xml:space="preserve">to promote new ways of </w:t>
      </w:r>
      <w:r w:rsidR="00A81452">
        <w:t>valuing and managing heritage.</w:t>
      </w:r>
      <w:r w:rsidR="003F5DCD">
        <w:t xml:space="preserve"> </w:t>
      </w:r>
    </w:p>
    <w:p w14:paraId="65B54F18" w14:textId="2336950B" w:rsidR="003A05E7" w:rsidRDefault="003F5DCD" w:rsidP="000A25F5">
      <w:r>
        <w:t xml:space="preserve">Key to their critical examination </w:t>
      </w:r>
      <w:r w:rsidR="00532997">
        <w:t xml:space="preserve">of loss </w:t>
      </w:r>
      <w:r>
        <w:t xml:space="preserve">is the idea that the </w:t>
      </w:r>
      <w:r w:rsidR="0069483F">
        <w:t xml:space="preserve">loss of physical remains </w:t>
      </w:r>
      <w:r w:rsidR="0013565B">
        <w:t xml:space="preserve">may not be entirely negative, and in some instances may be desirable and could </w:t>
      </w:r>
      <w:r w:rsidR="002F487D">
        <w:t>in fact</w:t>
      </w:r>
      <w:r w:rsidR="00A95198">
        <w:t xml:space="preserve"> increase the perceived heritage value of the </w:t>
      </w:r>
      <w:r w:rsidR="00CB7C5C">
        <w:t>remains in question</w:t>
      </w:r>
      <w:r w:rsidR="002F487D">
        <w:t>, or even create heritage</w:t>
      </w:r>
      <w:r w:rsidR="00001C4E">
        <w:t xml:space="preserve"> through</w:t>
      </w:r>
      <w:r w:rsidR="00BA0F5B">
        <w:t xml:space="preserve"> an</w:t>
      </w:r>
      <w:r w:rsidR="00001C4E">
        <w:t xml:space="preserve"> </w:t>
      </w:r>
      <w:r w:rsidR="00BD76A3">
        <w:t>‘endangerment sensibility’</w:t>
      </w:r>
      <w:r w:rsidR="003E47A1">
        <w:t xml:space="preserve">, where the scarcity of a </w:t>
      </w:r>
      <w:r w:rsidR="00D3336E">
        <w:t>type of relic creates the sense of its value</w:t>
      </w:r>
      <w:r w:rsidR="00B0032D">
        <w:t>.</w:t>
      </w:r>
      <w:r w:rsidR="00490F96">
        <w:rPr>
          <w:rStyle w:val="FootnoteReference"/>
        </w:rPr>
        <w:footnoteReference w:id="2"/>
      </w:r>
      <w:r w:rsidR="00C305AC" w:rsidRPr="00C305AC">
        <w:t xml:space="preserve"> </w:t>
      </w:r>
      <w:r w:rsidR="00C305AC">
        <w:t>They also argue that “’loss aversion’ (</w:t>
      </w:r>
      <w:proofErr w:type="spellStart"/>
      <w:r w:rsidR="00C305AC">
        <w:t>Holtolf</w:t>
      </w:r>
      <w:proofErr w:type="spellEnd"/>
      <w:r w:rsidR="00C305AC">
        <w:t xml:space="preserve"> 2015) is understood to be a critical motivating factor in heritage practice”, and which promotes an overemphasis on avoiding any physical loss to the detriment of more sustainable conservation practices.</w:t>
      </w:r>
      <w:r w:rsidR="007305A2">
        <w:rPr>
          <w:rStyle w:val="FootnoteReference"/>
        </w:rPr>
        <w:footnoteReference w:id="3"/>
      </w:r>
    </w:p>
    <w:p w14:paraId="3CAD80C9" w14:textId="33F7D7EC" w:rsidR="000D6A80" w:rsidRDefault="00DC43DF" w:rsidP="000B1662">
      <w:r>
        <w:t xml:space="preserve">Their thinking seems to have been influenced by </w:t>
      </w:r>
      <w:r w:rsidR="002068E8">
        <w:t xml:space="preserve">Cornelius </w:t>
      </w:r>
      <w:proofErr w:type="spellStart"/>
      <w:r>
        <w:t>Hol</w:t>
      </w:r>
      <w:r w:rsidR="002068E8">
        <w:t>torf’s</w:t>
      </w:r>
      <w:proofErr w:type="spellEnd"/>
      <w:r w:rsidR="002068E8">
        <w:t xml:space="preserve"> theories on loss</w:t>
      </w:r>
      <w:r w:rsidR="003C6320">
        <w:t xml:space="preserve">. In his 2006 paper, </w:t>
      </w:r>
      <w:proofErr w:type="spellStart"/>
      <w:r w:rsidR="003C6320">
        <w:t>Holtorf</w:t>
      </w:r>
      <w:proofErr w:type="spellEnd"/>
      <w:r w:rsidR="003C6320">
        <w:t xml:space="preserve"> </w:t>
      </w:r>
      <w:r w:rsidR="00504C8D">
        <w:t xml:space="preserve">argues that the </w:t>
      </w:r>
      <w:r w:rsidR="00016377">
        <w:t xml:space="preserve">destruction and </w:t>
      </w:r>
      <w:r w:rsidR="00504C8D">
        <w:t xml:space="preserve">loss of heritage fabric and remains </w:t>
      </w:r>
      <w:r w:rsidR="00016377">
        <w:t>are</w:t>
      </w:r>
      <w:r w:rsidR="00504C8D">
        <w:t xml:space="preserve"> not the opposite of </w:t>
      </w:r>
      <w:r w:rsidR="00405FEE">
        <w:t xml:space="preserve">their </w:t>
      </w:r>
      <w:proofErr w:type="gramStart"/>
      <w:r w:rsidR="00504C8D">
        <w:t>preservation, but</w:t>
      </w:r>
      <w:proofErr w:type="gramEnd"/>
      <w:r w:rsidR="00504C8D">
        <w:t xml:space="preserve"> </w:t>
      </w:r>
      <w:r w:rsidR="00405FEE">
        <w:t>are</w:t>
      </w:r>
      <w:r w:rsidR="00504C8D">
        <w:t xml:space="preserve"> rather an aspect of</w:t>
      </w:r>
      <w:r w:rsidR="00405FEE">
        <w:t xml:space="preserve"> their heritage value</w:t>
      </w:r>
      <w:r w:rsidR="00E53241">
        <w:t>.</w:t>
      </w:r>
      <w:r w:rsidR="00E53241">
        <w:rPr>
          <w:rStyle w:val="FootnoteReference"/>
        </w:rPr>
        <w:footnoteReference w:id="4"/>
      </w:r>
      <w:r w:rsidR="00AF5FB0">
        <w:t xml:space="preserve"> </w:t>
      </w:r>
      <w:r w:rsidR="004E25D2">
        <w:t xml:space="preserve">In a subsequent article </w:t>
      </w:r>
      <w:proofErr w:type="spellStart"/>
      <w:r w:rsidR="005A12E4">
        <w:t>Holtorf</w:t>
      </w:r>
      <w:proofErr w:type="spellEnd"/>
      <w:r w:rsidR="005A12E4">
        <w:t xml:space="preserve"> </w:t>
      </w:r>
      <w:r w:rsidR="00CF1B6F">
        <w:t>noted</w:t>
      </w:r>
      <w:r w:rsidR="005A12E4">
        <w:t xml:space="preserve"> how the very elements that have </w:t>
      </w:r>
      <w:r w:rsidR="00D82131">
        <w:t>led</w:t>
      </w:r>
      <w:r w:rsidR="005A12E4">
        <w:t xml:space="preserve"> to the destruction of some heritage</w:t>
      </w:r>
      <w:r w:rsidR="00BB17BA">
        <w:t xml:space="preserve">, such as industrialisation, agriculture, and the development of towns, have in turn </w:t>
      </w:r>
      <w:r w:rsidR="00D82131">
        <w:t xml:space="preserve">generated </w:t>
      </w:r>
      <w:r w:rsidR="006E143C">
        <w:t>new cultural heritage</w:t>
      </w:r>
      <w:r w:rsidR="00ED543A">
        <w:t>, hence industrial heritage, agricultural heritage and historic townscapes</w:t>
      </w:r>
      <w:r w:rsidR="00F837A9">
        <w:t>.</w:t>
      </w:r>
      <w:r w:rsidR="002C0BEB">
        <w:rPr>
          <w:rStyle w:val="FootnoteReference"/>
        </w:rPr>
        <w:footnoteReference w:id="5"/>
      </w:r>
      <w:r w:rsidR="00AB1A36">
        <w:t xml:space="preserve"> </w:t>
      </w:r>
      <w:proofErr w:type="spellStart"/>
      <w:r w:rsidR="009C475C">
        <w:t>Holtorf</w:t>
      </w:r>
      <w:proofErr w:type="spellEnd"/>
      <w:r w:rsidR="009C475C">
        <w:t xml:space="preserve"> </w:t>
      </w:r>
      <w:r w:rsidR="004E25D2">
        <w:t xml:space="preserve">also </w:t>
      </w:r>
      <w:r w:rsidR="00C35EA3">
        <w:t>developed Daniel Kahneman’s economic theory of</w:t>
      </w:r>
      <w:r w:rsidR="001C294F">
        <w:t xml:space="preserve"> loss aversion</w:t>
      </w:r>
      <w:r w:rsidR="009A502A">
        <w:t xml:space="preserve"> and decision theory</w:t>
      </w:r>
      <w:r w:rsidR="006200A2">
        <w:t xml:space="preserve"> to explain </w:t>
      </w:r>
      <w:r w:rsidR="0068708D">
        <w:t>the tendency within the cultural heritage sector to favour loss avoidance over assessing potential gains</w:t>
      </w:r>
      <w:r w:rsidR="00982573">
        <w:t>.</w:t>
      </w:r>
      <w:r w:rsidR="00982573">
        <w:rPr>
          <w:rStyle w:val="FootnoteReference"/>
        </w:rPr>
        <w:footnoteReference w:id="6"/>
      </w:r>
      <w:r w:rsidR="00873B4B">
        <w:t xml:space="preserve"> </w:t>
      </w:r>
      <w:r w:rsidR="00D26493">
        <w:t xml:space="preserve">Kahneman’s </w:t>
      </w:r>
      <w:r w:rsidR="00AE5E8D">
        <w:t>was awarded a Nobel Prize for economics in 2002</w:t>
      </w:r>
      <w:r w:rsidR="00CE072E">
        <w:t xml:space="preserve"> </w:t>
      </w:r>
      <w:r w:rsidR="00CE072E">
        <w:t xml:space="preserve">for the development of his prospect </w:t>
      </w:r>
      <w:r w:rsidR="00CE072E">
        <w:lastRenderedPageBreak/>
        <w:t>theor</w:t>
      </w:r>
      <w:r w:rsidR="00CE072E">
        <w:t>y, which was a new theory of economics.</w:t>
      </w:r>
      <w:r w:rsidR="00930080">
        <w:rPr>
          <w:rStyle w:val="FootnoteReference"/>
        </w:rPr>
        <w:footnoteReference w:id="7"/>
      </w:r>
      <w:r w:rsidR="00CE072E">
        <w:t xml:space="preserve"> Kahneman’s theory </w:t>
      </w:r>
      <w:r w:rsidR="00BF37DE">
        <w:t xml:space="preserve">noted a tendency, called the certainty effect, which describes how </w:t>
      </w:r>
      <w:r w:rsidR="00584515">
        <w:t xml:space="preserve">perceptions of certainty </w:t>
      </w:r>
      <w:r w:rsidR="005F33DD">
        <w:t xml:space="preserve">affect decisions where it is known </w:t>
      </w:r>
      <w:r w:rsidR="00B8629E">
        <w:t>that loss will occur</w:t>
      </w:r>
      <w:r w:rsidR="008E46B9">
        <w:t>, leading to risk aversion.</w:t>
      </w:r>
      <w:r w:rsidR="008E46B9">
        <w:rPr>
          <w:rStyle w:val="FootnoteReference"/>
        </w:rPr>
        <w:footnoteReference w:id="8"/>
      </w:r>
      <w:r w:rsidR="00B30546">
        <w:t xml:space="preserve"> </w:t>
      </w:r>
      <w:r w:rsidR="007B3279">
        <w:t xml:space="preserve">It is this tendency that </w:t>
      </w:r>
      <w:proofErr w:type="spellStart"/>
      <w:r w:rsidR="007B3279">
        <w:t>Holtorf</w:t>
      </w:r>
      <w:proofErr w:type="spellEnd"/>
      <w:r w:rsidR="007B3279">
        <w:t xml:space="preserve"> </w:t>
      </w:r>
      <w:r w:rsidR="00E53D9D">
        <w:t xml:space="preserve">has linked to the loss avoidance in the cultural heritage industry, and which is </w:t>
      </w:r>
      <w:r w:rsidR="00A463BB">
        <w:t xml:space="preserve">in turn </w:t>
      </w:r>
      <w:r w:rsidR="00E53D9D">
        <w:t>highlighted in the Anticipating Loss article.</w:t>
      </w:r>
    </w:p>
    <w:p w14:paraId="46235858" w14:textId="33926E7F" w:rsidR="00A463BB" w:rsidRDefault="00155901" w:rsidP="000B1662">
      <w:r>
        <w:t xml:space="preserve">The Anticipating Loss article is therefore seeking to </w:t>
      </w:r>
      <w:r w:rsidR="00476538">
        <w:t>use</w:t>
      </w:r>
      <w:r w:rsidR="004D05E6">
        <w:t xml:space="preserve"> this theoretical understanding of loss</w:t>
      </w:r>
      <w:r w:rsidR="001E21C0">
        <w:t xml:space="preserve"> to better understand how loss affects heritage practice, </w:t>
      </w:r>
      <w:r w:rsidR="00A708A4">
        <w:t>what</w:t>
      </w:r>
      <w:r w:rsidR="00AE2B70">
        <w:t xml:space="preserve"> implications it has for heritage practice, and to influence future research on the topic.</w:t>
      </w:r>
      <w:r w:rsidR="00A201AB">
        <w:t xml:space="preserve"> To do this they highlight </w:t>
      </w:r>
      <w:r w:rsidR="001B1619">
        <w:t>three themes</w:t>
      </w:r>
      <w:r w:rsidR="00C91EE1">
        <w:t xml:space="preserve">, which they argue underpin the </w:t>
      </w:r>
      <w:r w:rsidR="00C56042">
        <w:t xml:space="preserve">arguments and contexts set out in the subsequent papers: the </w:t>
      </w:r>
      <w:r w:rsidR="00C56042" w:rsidRPr="002A7E35">
        <w:rPr>
          <w:i/>
          <w:iCs/>
        </w:rPr>
        <w:t>inevitability</w:t>
      </w:r>
      <w:r w:rsidR="00C56042">
        <w:t xml:space="preserve"> of loss, the </w:t>
      </w:r>
      <w:r w:rsidR="00C56042" w:rsidRPr="002A7E35">
        <w:rPr>
          <w:i/>
          <w:iCs/>
        </w:rPr>
        <w:t>politics</w:t>
      </w:r>
      <w:r w:rsidR="00C56042">
        <w:t xml:space="preserve"> of loss, and the </w:t>
      </w:r>
      <w:r w:rsidR="00C56042" w:rsidRPr="002A7E35">
        <w:rPr>
          <w:i/>
          <w:iCs/>
        </w:rPr>
        <w:t>potential</w:t>
      </w:r>
      <w:r w:rsidR="00C56042">
        <w:t xml:space="preserve"> in loss.</w:t>
      </w:r>
      <w:r w:rsidR="00FE4A59">
        <w:rPr>
          <w:rStyle w:val="FootnoteReference"/>
        </w:rPr>
        <w:footnoteReference w:id="9"/>
      </w:r>
    </w:p>
    <w:p w14:paraId="13A5C8FE" w14:textId="5B666739" w:rsidR="006468EA" w:rsidRDefault="006468EA" w:rsidP="000B1662">
      <w:r>
        <w:t xml:space="preserve">They explain </w:t>
      </w:r>
      <w:proofErr w:type="gramStart"/>
      <w:r>
        <w:t>that</w:t>
      </w:r>
      <w:r w:rsidR="00A451E3">
        <w:t>,</w:t>
      </w:r>
      <w:proofErr w:type="gramEnd"/>
      <w:r w:rsidR="00A451E3">
        <w:t xml:space="preserve"> contrary to the implied assertion of many </w:t>
      </w:r>
      <w:r w:rsidR="00BA67D7">
        <w:t xml:space="preserve">heritage </w:t>
      </w:r>
      <w:r w:rsidR="00A451E3">
        <w:t xml:space="preserve">policies </w:t>
      </w:r>
      <w:r w:rsidR="00BA67D7">
        <w:t xml:space="preserve">and laws, the loss of heritage fabric is </w:t>
      </w:r>
      <w:r w:rsidR="00904207">
        <w:t xml:space="preserve">ultimately </w:t>
      </w:r>
      <w:r w:rsidR="00904207" w:rsidRPr="002A7E35">
        <w:rPr>
          <w:i/>
          <w:iCs/>
        </w:rPr>
        <w:t>inevitable</w:t>
      </w:r>
      <w:r w:rsidR="00904207">
        <w:t xml:space="preserve">, and a part of life, noting that </w:t>
      </w:r>
      <w:r w:rsidR="00DB686D">
        <w:t xml:space="preserve">it is one of the factors which gives </w:t>
      </w:r>
      <w:r w:rsidR="00AF3414">
        <w:t>heritage assets value</w:t>
      </w:r>
      <w:r w:rsidR="00E56C52">
        <w:t xml:space="preserve">. </w:t>
      </w:r>
      <w:r w:rsidR="006C0DB3">
        <w:t xml:space="preserve">They also note that climate change is likely to accelerate the process of loss, making the need to consider it afresh </w:t>
      </w:r>
      <w:proofErr w:type="gramStart"/>
      <w:r w:rsidR="006C0DB3">
        <w:t>all the more</w:t>
      </w:r>
      <w:proofErr w:type="gramEnd"/>
      <w:r w:rsidR="006C0DB3">
        <w:t xml:space="preserve"> urgent. </w:t>
      </w:r>
      <w:r w:rsidR="00B930D7">
        <w:t xml:space="preserve">They also assert that </w:t>
      </w:r>
      <w:r w:rsidR="00C774A7">
        <w:t>heritage practice and policy is still not adequately dealing with loss</w:t>
      </w:r>
      <w:r w:rsidR="002A7E35">
        <w:t>, and that strategies for the intentional management of loss are underdeveloped.</w:t>
      </w:r>
      <w:r w:rsidR="00E56C52">
        <w:rPr>
          <w:rStyle w:val="FootnoteReference"/>
        </w:rPr>
        <w:footnoteReference w:id="10"/>
      </w:r>
      <w:r w:rsidR="00E56C52">
        <w:t xml:space="preserve"> </w:t>
      </w:r>
    </w:p>
    <w:p w14:paraId="43B4B4E9" w14:textId="4A5B0274" w:rsidR="00E53D9D" w:rsidRDefault="00723498" w:rsidP="000B1662">
      <w:r>
        <w:t>In discussin</w:t>
      </w:r>
      <w:r w:rsidR="00B6487D">
        <w:t>g</w:t>
      </w:r>
      <w:r>
        <w:t xml:space="preserve"> the </w:t>
      </w:r>
      <w:r w:rsidRPr="00B6487D">
        <w:rPr>
          <w:i/>
          <w:iCs/>
        </w:rPr>
        <w:t>politics</w:t>
      </w:r>
      <w:r>
        <w:t xml:space="preserve"> of loss, they </w:t>
      </w:r>
      <w:r w:rsidR="00684418">
        <w:t xml:space="preserve">highlight that moral statements on our obligation to preserve or conserve heritage for “the future” </w:t>
      </w:r>
      <w:r w:rsidR="00963C87">
        <w:t xml:space="preserve">distract from how the process of preservation and curation entails </w:t>
      </w:r>
      <w:r w:rsidR="007664B4">
        <w:t>the selected sacrifice and loss of less valued heritage</w:t>
      </w:r>
      <w:r w:rsidR="008B5BBC">
        <w:t>, both in cultural and natural heritage contexts.</w:t>
      </w:r>
      <w:r w:rsidR="004F6ACB">
        <w:t xml:space="preserve"> </w:t>
      </w:r>
      <w:r w:rsidR="00662CF2">
        <w:t>What is chosen for preservation and why are political choices</w:t>
      </w:r>
      <w:r w:rsidR="00D340A1">
        <w:t xml:space="preserve">, where whoever has the power to make that choice </w:t>
      </w:r>
      <w:r w:rsidR="004F2A20">
        <w:t xml:space="preserve">is also shaping </w:t>
      </w:r>
      <w:r w:rsidR="006E2EF1">
        <w:t xml:space="preserve">the culture around them, and potentially </w:t>
      </w:r>
      <w:r w:rsidR="00E57841">
        <w:t>preventing alternative minority values from being expressed.</w:t>
      </w:r>
      <w:r w:rsidR="00E57841">
        <w:rPr>
          <w:rStyle w:val="FootnoteReference"/>
        </w:rPr>
        <w:footnoteReference w:id="11"/>
      </w:r>
    </w:p>
    <w:p w14:paraId="2079FC6D" w14:textId="725794BF" w:rsidR="004D7DA1" w:rsidRDefault="004D7DA1" w:rsidP="000B1662">
      <w:r>
        <w:t xml:space="preserve">Finally, the </w:t>
      </w:r>
      <w:r w:rsidRPr="004D7DA1">
        <w:rPr>
          <w:i/>
          <w:iCs/>
        </w:rPr>
        <w:t>potential</w:t>
      </w:r>
      <w:r>
        <w:t xml:space="preserve"> in loss argues that </w:t>
      </w:r>
      <w:r w:rsidR="00253AFC">
        <w:t>emerging perspectives see loss as being able to generate</w:t>
      </w:r>
      <w:r w:rsidR="00A03EC9">
        <w:t xml:space="preserve"> new meaning </w:t>
      </w:r>
      <w:proofErr w:type="gramStart"/>
      <w:r w:rsidR="00A03EC9">
        <w:t>and also</w:t>
      </w:r>
      <w:proofErr w:type="gramEnd"/>
      <w:r w:rsidR="00A03EC9">
        <w:t xml:space="preserve"> as freeing, allowing new values to be formed.</w:t>
      </w:r>
      <w:r w:rsidR="00FD1A01">
        <w:t xml:space="preserve"> </w:t>
      </w:r>
      <w:r w:rsidR="00361D81">
        <w:t xml:space="preserve">Here they highlight papers that encourage </w:t>
      </w:r>
      <w:r w:rsidR="006773EC">
        <w:t>“curated decay”</w:t>
      </w:r>
      <w:r w:rsidR="00A43A27">
        <w:t xml:space="preserve"> or “pruning” and entailing an intentional </w:t>
      </w:r>
      <w:r w:rsidR="00083C0D">
        <w:t xml:space="preserve">letting go of </w:t>
      </w:r>
      <w:r w:rsidR="008100DA">
        <w:t>“certain assets, behaviours and beliefs where retaining them could make matters worse”.</w:t>
      </w:r>
      <w:r w:rsidR="008100DA">
        <w:rPr>
          <w:rStyle w:val="FootnoteReference"/>
        </w:rPr>
        <w:footnoteReference w:id="12"/>
      </w:r>
      <w:r w:rsidR="00B71E47">
        <w:t xml:space="preserve"> This is contrasted with </w:t>
      </w:r>
      <w:r w:rsidR="009E5058">
        <w:lastRenderedPageBreak/>
        <w:t>what is argued is current practice, which can tolerate partial loss, such as patina</w:t>
      </w:r>
      <w:r w:rsidR="00855350">
        <w:t xml:space="preserve"> on a historic structure, but where the total loss of a feature is usually seen as something to be avoided.</w:t>
      </w:r>
    </w:p>
    <w:p w14:paraId="24F251D5" w14:textId="4D4431BD" w:rsidR="00855350" w:rsidRDefault="0091718E" w:rsidP="000B1662">
      <w:r>
        <w:t>The</w:t>
      </w:r>
      <w:r w:rsidR="00C9287B">
        <w:t>y</w:t>
      </w:r>
      <w:r>
        <w:t xml:space="preserve"> conclude by </w:t>
      </w:r>
      <w:r w:rsidR="00187755">
        <w:t>arguing that this way of understanding heritage loss is more sophis</w:t>
      </w:r>
      <w:r w:rsidR="007C0050">
        <w:t xml:space="preserve">ticated than is presumably reflected in current practice and </w:t>
      </w:r>
      <w:proofErr w:type="gramStart"/>
      <w:r w:rsidR="007C0050">
        <w:t>policy</w:t>
      </w:r>
      <w:r w:rsidR="00AD5751">
        <w:t>, and</w:t>
      </w:r>
      <w:proofErr w:type="gramEnd"/>
      <w:r w:rsidR="00AD5751">
        <w:t xml:space="preserve"> provide challenging new ways of doing heritage and nature conservation and preservation.</w:t>
      </w:r>
      <w:r w:rsidR="00C9287B">
        <w:rPr>
          <w:rStyle w:val="FootnoteReference"/>
        </w:rPr>
        <w:footnoteReference w:id="13"/>
      </w:r>
    </w:p>
    <w:p w14:paraId="04514230" w14:textId="2E178D9B" w:rsidR="00BA539A" w:rsidRDefault="00280175">
      <w:r>
        <w:t>Therefore, in summary their argument could be stated as follows:</w:t>
      </w:r>
    </w:p>
    <w:p w14:paraId="58A03A31" w14:textId="0D7F50C9" w:rsidR="00280175" w:rsidRDefault="00280175" w:rsidP="00280175">
      <w:pPr>
        <w:pStyle w:val="ListParagraph"/>
        <w:numPr>
          <w:ilvl w:val="0"/>
          <w:numId w:val="1"/>
        </w:numPr>
      </w:pPr>
      <w:r>
        <w:t xml:space="preserve">Current heritage policy and practice over-emphasises </w:t>
      </w:r>
      <w:r w:rsidR="00187F35">
        <w:t>the preservation of physical remains and don’t provide adequate strategic mechanisms for dealing with loss</w:t>
      </w:r>
      <w:r w:rsidR="00211296">
        <w:t>, which is inevitable and should be faced.</w:t>
      </w:r>
    </w:p>
    <w:p w14:paraId="684AF47A" w14:textId="57ECF1A6" w:rsidR="00211296" w:rsidRDefault="0018041F" w:rsidP="00280175">
      <w:pPr>
        <w:pStyle w:val="ListParagraph"/>
        <w:numPr>
          <w:ilvl w:val="0"/>
          <w:numId w:val="1"/>
        </w:numPr>
      </w:pPr>
      <w:r>
        <w:t xml:space="preserve">The focus on preserving remains “for the future” distracts attention from the important issue of who gets to decide what heritage is preserved, and from the fact that </w:t>
      </w:r>
      <w:r w:rsidR="00086B30">
        <w:t xml:space="preserve">current preservation practice entails </w:t>
      </w:r>
      <w:r w:rsidR="00582314">
        <w:t xml:space="preserve">the selection of some heritage for protection, and the intentional loss of other </w:t>
      </w:r>
      <w:r w:rsidR="005304A5">
        <w:t xml:space="preserve">less valued </w:t>
      </w:r>
      <w:r w:rsidR="00582314">
        <w:t>heritage</w:t>
      </w:r>
      <w:r w:rsidR="005304A5">
        <w:t>.</w:t>
      </w:r>
    </w:p>
    <w:p w14:paraId="75BEB45F" w14:textId="77777777" w:rsidR="00C96805" w:rsidRDefault="005304A5" w:rsidP="00280175">
      <w:pPr>
        <w:pStyle w:val="ListParagraph"/>
        <w:numPr>
          <w:ilvl w:val="0"/>
          <w:numId w:val="1"/>
        </w:numPr>
      </w:pPr>
      <w:r>
        <w:t xml:space="preserve">New approaches </w:t>
      </w:r>
      <w:r w:rsidR="00AB5DF2">
        <w:t xml:space="preserve">which </w:t>
      </w:r>
      <w:r w:rsidR="00F6373F">
        <w:t xml:space="preserve">accept loss as a meaning making part of heritage, and which incorporate a “pruned” or “curated decay”, provide a </w:t>
      </w:r>
      <w:r w:rsidR="00B47BF0">
        <w:t>better way to engage with loss</w:t>
      </w:r>
      <w:r w:rsidR="00C96805">
        <w:t>.</w:t>
      </w:r>
    </w:p>
    <w:p w14:paraId="43F20720" w14:textId="77777777" w:rsidR="008A33AF" w:rsidRDefault="00C96805" w:rsidP="00C96805">
      <w:proofErr w:type="spellStart"/>
      <w:r>
        <w:t>DeSilvey</w:t>
      </w:r>
      <w:proofErr w:type="spellEnd"/>
      <w:r>
        <w:t xml:space="preserve"> and Harrison</w:t>
      </w:r>
      <w:r>
        <w:t xml:space="preserve"> do not </w:t>
      </w:r>
      <w:r w:rsidR="00770317">
        <w:t xml:space="preserve">draw </w:t>
      </w:r>
      <w:r>
        <w:t xml:space="preserve">a strong </w:t>
      </w:r>
      <w:r w:rsidR="00770317">
        <w:t xml:space="preserve">conclusion, but it is implied that current practice and policies should be </w:t>
      </w:r>
      <w:r w:rsidR="0033027E">
        <w:t xml:space="preserve">changed to reflect these new emerging approaches to understanding loss. </w:t>
      </w:r>
    </w:p>
    <w:p w14:paraId="56FC0AB1" w14:textId="66A8B533" w:rsidR="00AA5902" w:rsidRDefault="005C4176" w:rsidP="00C96805">
      <w:r>
        <w:t>T</w:t>
      </w:r>
      <w:r w:rsidR="0033027E">
        <w:t>here is much to admire in the paper</w:t>
      </w:r>
      <w:r w:rsidR="003A7E81">
        <w:t xml:space="preserve">, </w:t>
      </w:r>
      <w:proofErr w:type="gramStart"/>
      <w:r w:rsidR="003A7E81">
        <w:t>in particular in</w:t>
      </w:r>
      <w:proofErr w:type="gramEnd"/>
      <w:r w:rsidR="003A7E81">
        <w:t xml:space="preserve"> how the process of physical loss</w:t>
      </w:r>
      <w:r>
        <w:t xml:space="preserve"> itself can contribute to the perception of heritage value</w:t>
      </w:r>
      <w:r w:rsidR="002567F4">
        <w:t xml:space="preserve"> has been articulated</w:t>
      </w:r>
      <w:r>
        <w:t>.</w:t>
      </w:r>
      <w:r w:rsidR="002649F3">
        <w:t xml:space="preserve"> However, </w:t>
      </w:r>
      <w:r w:rsidR="000D6A3C">
        <w:t xml:space="preserve">there are two areas in which the paper </w:t>
      </w:r>
      <w:r w:rsidR="00AA5902">
        <w:t>requires refinement. The first is in its depiction of current heritage policy and practice. The second is in the adequacy of the emerging solutions in addressing the issues highlighted.</w:t>
      </w:r>
    </w:p>
    <w:p w14:paraId="0C11979B" w14:textId="77777777" w:rsidR="002B2963" w:rsidRDefault="007C5CE2" w:rsidP="00C96805">
      <w:proofErr w:type="gramStart"/>
      <w:r>
        <w:t>With regard to</w:t>
      </w:r>
      <w:proofErr w:type="gramEnd"/>
      <w:r>
        <w:t xml:space="preserve"> current heritage policy and practice, the paper characterises </w:t>
      </w:r>
      <w:r w:rsidR="00F47A5B">
        <w:t xml:space="preserve">this as lacking a strategic approach to dealing with </w:t>
      </w:r>
      <w:r w:rsidR="007C788F">
        <w:t xml:space="preserve">the </w:t>
      </w:r>
      <w:r w:rsidR="00F47A5B">
        <w:t>loss</w:t>
      </w:r>
      <w:r w:rsidR="007C788F">
        <w:t xml:space="preserve"> of heritage fabric</w:t>
      </w:r>
      <w:r w:rsidR="00F47A5B">
        <w:t xml:space="preserve">. However, </w:t>
      </w:r>
      <w:r w:rsidR="00890E25">
        <w:t xml:space="preserve">at least in </w:t>
      </w:r>
      <w:r w:rsidR="00D13166">
        <w:t>England and Wales</w:t>
      </w:r>
      <w:r w:rsidR="00890E25">
        <w:t xml:space="preserve">, </w:t>
      </w:r>
      <w:r w:rsidR="00F47A5B">
        <w:t>this is</w:t>
      </w:r>
      <w:r w:rsidR="00890E25">
        <w:t xml:space="preserve"> not necessarily the case. The fabric and setting of listed buildings </w:t>
      </w:r>
      <w:r w:rsidR="002777E2">
        <w:t>are</w:t>
      </w:r>
      <w:r w:rsidR="00890E25">
        <w:t xml:space="preserve"> protected in England and Wales by the 1990 Planning Act</w:t>
      </w:r>
      <w:r w:rsidR="009763A4">
        <w:t>.</w:t>
      </w:r>
      <w:r w:rsidR="0099630A">
        <w:rPr>
          <w:rStyle w:val="FootnoteReference"/>
        </w:rPr>
        <w:footnoteReference w:id="14"/>
      </w:r>
      <w:r w:rsidR="0099630A">
        <w:t xml:space="preserve"> </w:t>
      </w:r>
      <w:r w:rsidR="000C3C1D">
        <w:t xml:space="preserve">The Act provides </w:t>
      </w:r>
      <w:proofErr w:type="gramStart"/>
      <w:r w:rsidR="000C3C1D">
        <w:t>a number of</w:t>
      </w:r>
      <w:proofErr w:type="gramEnd"/>
      <w:r w:rsidR="000C3C1D">
        <w:t xml:space="preserve"> mechanisms for </w:t>
      </w:r>
      <w:r w:rsidR="00DF7196">
        <w:t xml:space="preserve">works to </w:t>
      </w:r>
      <w:r w:rsidR="00834AFD">
        <w:t xml:space="preserve">listed buildings to be authorised, which can include modifications to the fabric, extensions, and even demolition. The Act provides no blanket ban on </w:t>
      </w:r>
      <w:r w:rsidR="00217602">
        <w:t>any</w:t>
      </w:r>
      <w:r w:rsidR="006F3D57">
        <w:t xml:space="preserve"> potential</w:t>
      </w:r>
      <w:r w:rsidR="00217602">
        <w:t xml:space="preserve"> </w:t>
      </w:r>
      <w:proofErr w:type="gramStart"/>
      <w:r w:rsidR="00217602">
        <w:t>modification, but</w:t>
      </w:r>
      <w:proofErr w:type="gramEnd"/>
      <w:r w:rsidR="00217602">
        <w:t xml:space="preserve"> does provide </w:t>
      </w:r>
      <w:r w:rsidR="00217602">
        <w:lastRenderedPageBreak/>
        <w:t>mechanisms which allow for the decision on whether an application for listed building consent</w:t>
      </w:r>
      <w:r w:rsidR="006F3D57">
        <w:t xml:space="preserve"> should be granted</w:t>
      </w:r>
      <w:r w:rsidR="00004E37">
        <w:t xml:space="preserve"> to be weighed against other considerations. </w:t>
      </w:r>
      <w:r w:rsidR="007D1340">
        <w:t>Section 74 of the</w:t>
      </w:r>
      <w:r w:rsidR="00C83DB7">
        <w:t xml:space="preserve"> Act also makes provision for demolition and changes to conservation areas</w:t>
      </w:r>
      <w:r w:rsidR="009A6045">
        <w:t xml:space="preserve">, with appropriate controls. </w:t>
      </w:r>
      <w:r w:rsidR="00B23CDE">
        <w:t xml:space="preserve">The powers within the Act are </w:t>
      </w:r>
      <w:r w:rsidR="004E6CF6">
        <w:t>used by local planning authorities to control how development may affect the fabric and setting of listed buildings and conservation areas</w:t>
      </w:r>
      <w:r w:rsidR="005749FF">
        <w:t xml:space="preserve"> at a strategic level, and does not dictate the outcome, but rather ensures that </w:t>
      </w:r>
      <w:r w:rsidR="00C777DF">
        <w:t>adequate authority is in place prior to any works which would affect their special interest</w:t>
      </w:r>
      <w:r w:rsidR="004B4719">
        <w:t xml:space="preserve">. The powers have been deployed flexibly since the Act was made law, with local planning authorities able to make judgments, based on local preferences, on how to manage the </w:t>
      </w:r>
      <w:r w:rsidR="00572B21">
        <w:t xml:space="preserve">listed buildings within their area. Similarly, protections for archaeological remains </w:t>
      </w:r>
      <w:r w:rsidR="00E81B2A">
        <w:t>are provided in England by the National Planning Policy Framework,</w:t>
      </w:r>
      <w:r w:rsidR="006A5447">
        <w:rPr>
          <w:rStyle w:val="FootnoteReference"/>
        </w:rPr>
        <w:footnoteReference w:id="15"/>
      </w:r>
      <w:r w:rsidR="00E81B2A">
        <w:t xml:space="preserve"> and in Wales by Planning Policy Wales,</w:t>
      </w:r>
      <w:r w:rsidR="00D13166">
        <w:rPr>
          <w:rStyle w:val="FootnoteReference"/>
        </w:rPr>
        <w:footnoteReference w:id="16"/>
      </w:r>
      <w:r w:rsidR="00E81B2A">
        <w:t xml:space="preserve"> and do not require </w:t>
      </w:r>
      <w:r w:rsidR="005A5C04">
        <w:t>the preservation of buried remains, nor the retention of artefacts for an indefinite period.</w:t>
      </w:r>
      <w:r w:rsidR="00DC7033">
        <w:t xml:space="preserve"> </w:t>
      </w:r>
      <w:r w:rsidR="00591459">
        <w:t xml:space="preserve">It is therefore clear that in England and Wales the potential for loss is clearly recognised in the legal and policy framework governing both designated historic buildings, </w:t>
      </w:r>
      <w:r w:rsidR="008A54D6">
        <w:t>non-designated historic buildings and archaeological remains, and</w:t>
      </w:r>
      <w:r w:rsidR="00D95B7F">
        <w:t xml:space="preserve"> there is nothing in the policy or law that would prevent the implementation of many of the measures set out in the paper. T</w:t>
      </w:r>
      <w:r w:rsidR="008A54D6">
        <w:t xml:space="preserve">he paper would </w:t>
      </w:r>
      <w:r w:rsidR="002B2963">
        <w:t xml:space="preserve">therefore </w:t>
      </w:r>
      <w:r w:rsidR="008A54D6">
        <w:t xml:space="preserve">have benefitted from a more detailed understanding of the policy and legal context, to inform </w:t>
      </w:r>
      <w:r w:rsidR="003C1F8F">
        <w:t xml:space="preserve">conclusions on what changes could be </w:t>
      </w:r>
      <w:r w:rsidR="002B2963">
        <w:t>recommended</w:t>
      </w:r>
      <w:r w:rsidR="003C1F8F">
        <w:t>.</w:t>
      </w:r>
    </w:p>
    <w:p w14:paraId="37FF4E30" w14:textId="57A95C0B" w:rsidR="005304A5" w:rsidRDefault="002B2963" w:rsidP="00C96805">
      <w:r>
        <w:t xml:space="preserve">The second </w:t>
      </w:r>
      <w:r w:rsidR="007970FC">
        <w:t xml:space="preserve">area which requires refinement is the suggestion that the solution to </w:t>
      </w:r>
      <w:r w:rsidR="00901F30">
        <w:t xml:space="preserve">current practice on preservation, which entails </w:t>
      </w:r>
      <w:r w:rsidR="009C3545">
        <w:t>the loss of less valued heritage</w:t>
      </w:r>
      <w:r w:rsidR="003C117C">
        <w:t>,</w:t>
      </w:r>
      <w:r w:rsidR="009C3545">
        <w:t xml:space="preserve"> is the implementation of </w:t>
      </w:r>
      <w:r w:rsidR="00445656">
        <w:t xml:space="preserve">so called “curated decay” or “pruning”, which allows certain heritage elements to be intentionally lost. </w:t>
      </w:r>
      <w:r w:rsidR="00B51954">
        <w:t xml:space="preserve">Surely the question posed by the authors when critiquing </w:t>
      </w:r>
      <w:r w:rsidR="0019221C">
        <w:t>the current paradigm (“Who decides what gets lost and what to save?</w:t>
      </w:r>
      <w:r w:rsidR="00093E9F">
        <w:t>)</w:t>
      </w:r>
      <w:r w:rsidR="00513ED7">
        <w:rPr>
          <w:rStyle w:val="FootnoteReference"/>
        </w:rPr>
        <w:footnoteReference w:id="17"/>
      </w:r>
      <w:r w:rsidR="00093E9F">
        <w:t xml:space="preserve"> must apply with equal force to any proposed “pruning” or decision to let certain</w:t>
      </w:r>
      <w:r w:rsidR="00AA7B71">
        <w:t xml:space="preserve"> cultural </w:t>
      </w:r>
      <w:r w:rsidR="00093E9F">
        <w:t xml:space="preserve">heritage </w:t>
      </w:r>
      <w:r w:rsidR="00AA7B71">
        <w:t xml:space="preserve">elements </w:t>
      </w:r>
      <w:r w:rsidR="00093E9F">
        <w:t xml:space="preserve">be lost as </w:t>
      </w:r>
      <w:r w:rsidR="008E45FE">
        <w:t xml:space="preserve">retaining </w:t>
      </w:r>
      <w:r w:rsidR="00AA7B71">
        <w:t>them</w:t>
      </w:r>
      <w:r w:rsidR="008E45FE">
        <w:t xml:space="preserve"> would “make matters worse”</w:t>
      </w:r>
      <w:r w:rsidR="00513ED7">
        <w:rPr>
          <w:rStyle w:val="FootnoteReference"/>
        </w:rPr>
        <w:footnoteReference w:id="18"/>
      </w:r>
      <w:r w:rsidR="008D7C35">
        <w:t>, and issue which the authors themselves note in their conclusion</w:t>
      </w:r>
      <w:r w:rsidR="00D27EF1">
        <w:t>, but then dismiss.</w:t>
      </w:r>
      <w:r w:rsidR="00D27EF1">
        <w:rPr>
          <w:rStyle w:val="FootnoteReference"/>
        </w:rPr>
        <w:footnoteReference w:id="19"/>
      </w:r>
      <w:r w:rsidR="00D26082">
        <w:t xml:space="preserve"> </w:t>
      </w:r>
    </w:p>
    <w:p w14:paraId="6FC193F5" w14:textId="46D5990F" w:rsidR="00CB6BB0" w:rsidRDefault="00E2183F" w:rsidP="00CB6BB0">
      <w:r>
        <w:t xml:space="preserve">In conclusion, the paper provides a thought-provoking overview of </w:t>
      </w:r>
      <w:r w:rsidR="008922F7">
        <w:t xml:space="preserve">the current thinking and issues surrounding heritage </w:t>
      </w:r>
      <w:proofErr w:type="gramStart"/>
      <w:r w:rsidR="008922F7">
        <w:t>loss, but</w:t>
      </w:r>
      <w:proofErr w:type="gramEnd"/>
      <w:r w:rsidR="008922F7">
        <w:t xml:space="preserve"> requires further refinement if concrete recommendations for change are to be developed.</w:t>
      </w:r>
    </w:p>
    <w:p w14:paraId="0BD65BF3" w14:textId="77777777" w:rsidR="0012247E" w:rsidRPr="0012247E" w:rsidRDefault="0012247E" w:rsidP="0012247E">
      <w:pPr>
        <w:spacing w:after="240"/>
        <w:jc w:val="center"/>
        <w:rPr>
          <w:rFonts w:eastAsia="Times New Roman" w:cstheme="minorHAnsi"/>
          <w:b/>
          <w:bCs/>
          <w:lang w:eastAsia="en-GB"/>
        </w:rPr>
      </w:pPr>
      <w:r w:rsidRPr="0012247E">
        <w:rPr>
          <w:rFonts w:eastAsia="Times New Roman" w:cstheme="minorHAnsi"/>
          <w:b/>
          <w:bCs/>
          <w:lang w:eastAsia="en-GB"/>
        </w:rPr>
        <w:lastRenderedPageBreak/>
        <w:t>Bibliography</w:t>
      </w:r>
    </w:p>
    <w:p w14:paraId="3992232A" w14:textId="77777777" w:rsidR="0012247E" w:rsidRPr="0012247E" w:rsidRDefault="0012247E" w:rsidP="0012247E">
      <w:pPr>
        <w:spacing w:after="0"/>
        <w:ind w:left="720" w:hanging="720"/>
        <w:rPr>
          <w:rFonts w:eastAsia="Times New Roman" w:cstheme="minorHAnsi"/>
          <w:lang w:eastAsia="en-GB"/>
        </w:rPr>
      </w:pPr>
      <w:r w:rsidRPr="0012247E">
        <w:rPr>
          <w:rFonts w:eastAsia="Times New Roman" w:cstheme="minorHAnsi"/>
          <w:lang w:eastAsia="en-GB"/>
        </w:rPr>
        <w:t xml:space="preserve">Dawson, Tom, Joanna </w:t>
      </w:r>
      <w:proofErr w:type="spellStart"/>
      <w:r w:rsidRPr="0012247E">
        <w:rPr>
          <w:rFonts w:eastAsia="Times New Roman" w:cstheme="minorHAnsi"/>
          <w:lang w:eastAsia="en-GB"/>
        </w:rPr>
        <w:t>Hambly</w:t>
      </w:r>
      <w:proofErr w:type="spellEnd"/>
      <w:r w:rsidRPr="0012247E">
        <w:rPr>
          <w:rFonts w:eastAsia="Times New Roman" w:cstheme="minorHAnsi"/>
          <w:lang w:eastAsia="en-GB"/>
        </w:rPr>
        <w:t xml:space="preserve">, William Lees, and Sarah Miller. “Proposed Policy Guidelines for Managing Heritage at Risk Based on Public Engagement and Communicating Climate Change.” </w:t>
      </w:r>
      <w:r w:rsidRPr="0012247E">
        <w:rPr>
          <w:rFonts w:eastAsia="Times New Roman" w:cstheme="minorHAnsi"/>
          <w:i/>
          <w:iCs/>
          <w:lang w:eastAsia="en-GB"/>
        </w:rPr>
        <w:t>The Historic Environment: Policy &amp; Practice</w:t>
      </w:r>
      <w:r w:rsidRPr="0012247E">
        <w:rPr>
          <w:rFonts w:eastAsia="Times New Roman" w:cstheme="minorHAnsi"/>
          <w:lang w:eastAsia="en-GB"/>
        </w:rPr>
        <w:t xml:space="preserve"> 12, no. 3-4 (August 12, 2021): 1–20. https://doi.org/10.1080/17567505.2021.1963573.</w:t>
      </w:r>
    </w:p>
    <w:p w14:paraId="365BCA57" w14:textId="77777777" w:rsidR="0012247E" w:rsidRPr="0012247E" w:rsidRDefault="0012247E" w:rsidP="0012247E">
      <w:pPr>
        <w:spacing w:after="0"/>
        <w:ind w:left="720" w:hanging="720"/>
        <w:rPr>
          <w:rFonts w:eastAsia="Times New Roman" w:cstheme="minorHAnsi"/>
          <w:lang w:eastAsia="en-GB"/>
        </w:rPr>
      </w:pPr>
      <w:r w:rsidRPr="0012247E">
        <w:rPr>
          <w:rFonts w:eastAsia="Times New Roman" w:cstheme="minorHAnsi"/>
          <w:lang w:eastAsia="en-GB"/>
        </w:rPr>
        <w:t xml:space="preserve">Department for Culture, </w:t>
      </w:r>
      <w:proofErr w:type="gramStart"/>
      <w:r w:rsidRPr="0012247E">
        <w:rPr>
          <w:rFonts w:eastAsia="Times New Roman" w:cstheme="minorHAnsi"/>
          <w:lang w:eastAsia="en-GB"/>
        </w:rPr>
        <w:t>Media</w:t>
      </w:r>
      <w:proofErr w:type="gramEnd"/>
      <w:r w:rsidRPr="0012247E">
        <w:rPr>
          <w:rFonts w:eastAsia="Times New Roman" w:cstheme="minorHAnsi"/>
          <w:lang w:eastAsia="en-GB"/>
        </w:rPr>
        <w:t xml:space="preserve"> and Sport. </w:t>
      </w:r>
      <w:r w:rsidRPr="0012247E">
        <w:rPr>
          <w:rFonts w:eastAsia="Times New Roman" w:cstheme="minorHAnsi"/>
          <w:i/>
          <w:iCs/>
          <w:lang w:eastAsia="en-GB"/>
        </w:rPr>
        <w:t>Scheduled Monuments. Identifying, Protecting, Conserving and Investigating Nationally Important Archaeological Sites under the Ancient Monuments and Archaeological Areas Act 1979</w:t>
      </w:r>
      <w:r w:rsidRPr="0012247E">
        <w:rPr>
          <w:rFonts w:eastAsia="Times New Roman" w:cstheme="minorHAnsi"/>
          <w:lang w:eastAsia="en-GB"/>
        </w:rPr>
        <w:t xml:space="preserve">. London: Department for Culture, </w:t>
      </w:r>
      <w:proofErr w:type="gramStart"/>
      <w:r w:rsidRPr="0012247E">
        <w:rPr>
          <w:rFonts w:eastAsia="Times New Roman" w:cstheme="minorHAnsi"/>
          <w:lang w:eastAsia="en-GB"/>
        </w:rPr>
        <w:t>Media</w:t>
      </w:r>
      <w:proofErr w:type="gramEnd"/>
      <w:r w:rsidRPr="0012247E">
        <w:rPr>
          <w:rFonts w:eastAsia="Times New Roman" w:cstheme="minorHAnsi"/>
          <w:lang w:eastAsia="en-GB"/>
        </w:rPr>
        <w:t xml:space="preserve"> and Sport, 2010.</w:t>
      </w:r>
    </w:p>
    <w:p w14:paraId="7A6E3B67" w14:textId="77777777" w:rsidR="0012247E" w:rsidRPr="0012247E" w:rsidRDefault="0012247E" w:rsidP="0012247E">
      <w:pPr>
        <w:spacing w:after="0"/>
        <w:ind w:left="720" w:hanging="720"/>
        <w:rPr>
          <w:rFonts w:eastAsia="Times New Roman" w:cstheme="minorHAnsi"/>
          <w:lang w:eastAsia="en-GB"/>
        </w:rPr>
      </w:pPr>
      <w:proofErr w:type="spellStart"/>
      <w:r w:rsidRPr="0012247E">
        <w:rPr>
          <w:rFonts w:eastAsia="Times New Roman" w:cstheme="minorHAnsi"/>
          <w:lang w:eastAsia="en-GB"/>
        </w:rPr>
        <w:t>DeSilvey</w:t>
      </w:r>
      <w:proofErr w:type="spellEnd"/>
      <w:r w:rsidRPr="0012247E">
        <w:rPr>
          <w:rFonts w:eastAsia="Times New Roman" w:cstheme="minorHAnsi"/>
          <w:lang w:eastAsia="en-GB"/>
        </w:rPr>
        <w:t xml:space="preserve">, Caitlin, Harald </w:t>
      </w:r>
      <w:proofErr w:type="spellStart"/>
      <w:r w:rsidRPr="0012247E">
        <w:rPr>
          <w:rFonts w:eastAsia="Times New Roman" w:cstheme="minorHAnsi"/>
          <w:lang w:eastAsia="en-GB"/>
        </w:rPr>
        <w:t>Fredheim</w:t>
      </w:r>
      <w:proofErr w:type="spellEnd"/>
      <w:r w:rsidRPr="0012247E">
        <w:rPr>
          <w:rFonts w:eastAsia="Times New Roman" w:cstheme="minorHAnsi"/>
          <w:lang w:eastAsia="en-GB"/>
        </w:rPr>
        <w:t xml:space="preserve">, Hannah </w:t>
      </w:r>
      <w:proofErr w:type="spellStart"/>
      <w:r w:rsidRPr="0012247E">
        <w:rPr>
          <w:rFonts w:eastAsia="Times New Roman" w:cstheme="minorHAnsi"/>
          <w:lang w:eastAsia="en-GB"/>
        </w:rPr>
        <w:t>Fluck</w:t>
      </w:r>
      <w:proofErr w:type="spellEnd"/>
      <w:r w:rsidRPr="0012247E">
        <w:rPr>
          <w:rFonts w:eastAsia="Times New Roman" w:cstheme="minorHAnsi"/>
          <w:lang w:eastAsia="en-GB"/>
        </w:rPr>
        <w:t xml:space="preserve">, Rosemary Hails, Rodney Harrison, Ingrid Samuel, and Amber Blundell. “When Loss Is More: From Managed Decline to Adaptive Release.” </w:t>
      </w:r>
      <w:r w:rsidRPr="0012247E">
        <w:rPr>
          <w:rFonts w:eastAsia="Times New Roman" w:cstheme="minorHAnsi"/>
          <w:i/>
          <w:iCs/>
          <w:lang w:eastAsia="en-GB"/>
        </w:rPr>
        <w:t>The Historic Environment: Policy &amp; Practice</w:t>
      </w:r>
      <w:r w:rsidRPr="0012247E">
        <w:rPr>
          <w:rFonts w:eastAsia="Times New Roman" w:cstheme="minorHAnsi"/>
          <w:lang w:eastAsia="en-GB"/>
        </w:rPr>
        <w:t xml:space="preserve"> 12, no. 3-4 (September 9, 2021): 1–16. https://doi.org/10.1080/17567505.2021.1957263.</w:t>
      </w:r>
    </w:p>
    <w:p w14:paraId="71E9C96A" w14:textId="77777777" w:rsidR="0012247E" w:rsidRPr="0012247E" w:rsidRDefault="0012247E" w:rsidP="0012247E">
      <w:pPr>
        <w:spacing w:after="0"/>
        <w:ind w:left="720" w:hanging="720"/>
        <w:rPr>
          <w:rFonts w:eastAsia="Times New Roman" w:cstheme="minorHAnsi"/>
          <w:lang w:eastAsia="en-GB"/>
        </w:rPr>
      </w:pPr>
      <w:proofErr w:type="spellStart"/>
      <w:r w:rsidRPr="0012247E">
        <w:rPr>
          <w:rFonts w:eastAsia="Times New Roman" w:cstheme="minorHAnsi"/>
          <w:lang w:eastAsia="en-GB"/>
        </w:rPr>
        <w:t>DeSilvey</w:t>
      </w:r>
      <w:proofErr w:type="spellEnd"/>
      <w:r w:rsidRPr="0012247E">
        <w:rPr>
          <w:rFonts w:eastAsia="Times New Roman" w:cstheme="minorHAnsi"/>
          <w:lang w:eastAsia="en-GB"/>
        </w:rPr>
        <w:t xml:space="preserve">, Caitlin, and Rodney Harrison. “Anticipating Loss: Rethinking Endangerment in Heritage Futures.” </w:t>
      </w:r>
      <w:r w:rsidRPr="0012247E">
        <w:rPr>
          <w:rFonts w:eastAsia="Times New Roman" w:cstheme="minorHAnsi"/>
          <w:i/>
          <w:iCs/>
          <w:lang w:eastAsia="en-GB"/>
        </w:rPr>
        <w:t>International Journal of Heritage Studies</w:t>
      </w:r>
      <w:r w:rsidRPr="0012247E">
        <w:rPr>
          <w:rFonts w:eastAsia="Times New Roman" w:cstheme="minorHAnsi"/>
          <w:lang w:eastAsia="en-GB"/>
        </w:rPr>
        <w:t xml:space="preserve"> 26, no. 1 (August 26, 2019): 1–7. https://doi.org/10.1080/13527258.2019.1644530.</w:t>
      </w:r>
    </w:p>
    <w:p w14:paraId="30E0D009" w14:textId="77777777" w:rsidR="0012247E" w:rsidRPr="0012247E" w:rsidRDefault="0012247E" w:rsidP="0012247E">
      <w:pPr>
        <w:spacing w:after="0"/>
        <w:ind w:left="720" w:hanging="720"/>
        <w:rPr>
          <w:rFonts w:eastAsia="Times New Roman" w:cstheme="minorHAnsi"/>
          <w:lang w:eastAsia="en-GB"/>
        </w:rPr>
      </w:pPr>
      <w:r w:rsidRPr="0012247E">
        <w:rPr>
          <w:rFonts w:eastAsia="Times New Roman" w:cstheme="minorHAnsi"/>
          <w:lang w:eastAsia="en-GB"/>
        </w:rPr>
        <w:t xml:space="preserve">Harrison, Rodney. “On Heritage Ontologies: Rethinking the Material Worlds of Heritage.” </w:t>
      </w:r>
      <w:r w:rsidRPr="0012247E">
        <w:rPr>
          <w:rFonts w:eastAsia="Times New Roman" w:cstheme="minorHAnsi"/>
          <w:i/>
          <w:iCs/>
          <w:lang w:eastAsia="en-GB"/>
        </w:rPr>
        <w:t>Anthropological Quarterly</w:t>
      </w:r>
      <w:r w:rsidRPr="0012247E">
        <w:rPr>
          <w:rFonts w:eastAsia="Times New Roman" w:cstheme="minorHAnsi"/>
          <w:lang w:eastAsia="en-GB"/>
        </w:rPr>
        <w:t xml:space="preserve"> 91, no. 4 (2018): 1365–83. https://doi.org/10.1353/anq.2018.0068.</w:t>
      </w:r>
    </w:p>
    <w:p w14:paraId="3B99ABBB" w14:textId="77777777" w:rsidR="0012247E" w:rsidRPr="0012247E" w:rsidRDefault="0012247E" w:rsidP="0012247E">
      <w:pPr>
        <w:spacing w:after="0"/>
        <w:ind w:left="720" w:hanging="720"/>
        <w:rPr>
          <w:rFonts w:eastAsia="Times New Roman" w:cstheme="minorHAnsi"/>
          <w:lang w:eastAsia="en-GB"/>
        </w:rPr>
      </w:pPr>
      <w:r w:rsidRPr="0012247E">
        <w:rPr>
          <w:rFonts w:eastAsia="Times New Roman" w:cstheme="minorHAnsi"/>
          <w:lang w:eastAsia="en-GB"/>
        </w:rPr>
        <w:t xml:space="preserve">Harrison, Rodney, Caitlin </w:t>
      </w:r>
      <w:proofErr w:type="spellStart"/>
      <w:r w:rsidRPr="0012247E">
        <w:rPr>
          <w:rFonts w:eastAsia="Times New Roman" w:cstheme="minorHAnsi"/>
          <w:lang w:eastAsia="en-GB"/>
        </w:rPr>
        <w:t>DeSilvey</w:t>
      </w:r>
      <w:proofErr w:type="spellEnd"/>
      <w:r w:rsidRPr="0012247E">
        <w:rPr>
          <w:rFonts w:eastAsia="Times New Roman" w:cstheme="minorHAnsi"/>
          <w:lang w:eastAsia="en-GB"/>
        </w:rPr>
        <w:t xml:space="preserve">, Cornelius </w:t>
      </w:r>
      <w:proofErr w:type="spellStart"/>
      <w:r w:rsidRPr="0012247E">
        <w:rPr>
          <w:rFonts w:eastAsia="Times New Roman" w:cstheme="minorHAnsi"/>
          <w:lang w:eastAsia="en-GB"/>
        </w:rPr>
        <w:t>Holtorf</w:t>
      </w:r>
      <w:proofErr w:type="spellEnd"/>
      <w:r w:rsidRPr="0012247E">
        <w:rPr>
          <w:rFonts w:eastAsia="Times New Roman" w:cstheme="minorHAnsi"/>
          <w:lang w:eastAsia="en-GB"/>
        </w:rPr>
        <w:t xml:space="preserve">, Sharon Macdonald, Nadia Bartolini, Esther </w:t>
      </w:r>
      <w:proofErr w:type="spellStart"/>
      <w:r w:rsidRPr="0012247E">
        <w:rPr>
          <w:rFonts w:eastAsia="Times New Roman" w:cstheme="minorHAnsi"/>
          <w:lang w:eastAsia="en-GB"/>
        </w:rPr>
        <w:t>Breithoff</w:t>
      </w:r>
      <w:proofErr w:type="spellEnd"/>
      <w:r w:rsidRPr="0012247E">
        <w:rPr>
          <w:rFonts w:eastAsia="Times New Roman" w:cstheme="minorHAnsi"/>
          <w:lang w:eastAsia="en-GB"/>
        </w:rPr>
        <w:t xml:space="preserve">, Harald </w:t>
      </w:r>
      <w:proofErr w:type="spellStart"/>
      <w:r w:rsidRPr="0012247E">
        <w:rPr>
          <w:rFonts w:eastAsia="Times New Roman" w:cstheme="minorHAnsi"/>
          <w:lang w:eastAsia="en-GB"/>
        </w:rPr>
        <w:t>Fredheim</w:t>
      </w:r>
      <w:proofErr w:type="spellEnd"/>
      <w:r w:rsidRPr="0012247E">
        <w:rPr>
          <w:rFonts w:eastAsia="Times New Roman" w:cstheme="minorHAnsi"/>
          <w:lang w:eastAsia="en-GB"/>
        </w:rPr>
        <w:t xml:space="preserve">, et al. </w:t>
      </w:r>
      <w:r w:rsidRPr="0012247E">
        <w:rPr>
          <w:rFonts w:eastAsia="Times New Roman" w:cstheme="minorHAnsi"/>
          <w:i/>
          <w:iCs/>
          <w:lang w:eastAsia="en-GB"/>
        </w:rPr>
        <w:t xml:space="preserve">Heritage </w:t>
      </w:r>
      <w:proofErr w:type="gramStart"/>
      <w:r w:rsidRPr="0012247E">
        <w:rPr>
          <w:rFonts w:eastAsia="Times New Roman" w:cstheme="minorHAnsi"/>
          <w:i/>
          <w:iCs/>
          <w:lang w:eastAsia="en-GB"/>
        </w:rPr>
        <w:t>Futures :</w:t>
      </w:r>
      <w:proofErr w:type="gramEnd"/>
      <w:r w:rsidRPr="0012247E">
        <w:rPr>
          <w:rFonts w:eastAsia="Times New Roman" w:cstheme="minorHAnsi"/>
          <w:i/>
          <w:iCs/>
          <w:lang w:eastAsia="en-GB"/>
        </w:rPr>
        <w:t xml:space="preserve"> Comparative Approaches to Natural and Cultural Heritage Practices</w:t>
      </w:r>
      <w:r w:rsidRPr="0012247E">
        <w:rPr>
          <w:rFonts w:eastAsia="Times New Roman" w:cstheme="minorHAnsi"/>
          <w:lang w:eastAsia="en-GB"/>
        </w:rPr>
        <w:t>. London: UCL Press, 2020.</w:t>
      </w:r>
    </w:p>
    <w:p w14:paraId="115E0332" w14:textId="77777777" w:rsidR="0012247E" w:rsidRPr="0012247E" w:rsidRDefault="0012247E" w:rsidP="0012247E">
      <w:pPr>
        <w:spacing w:after="0"/>
        <w:ind w:left="720" w:hanging="720"/>
        <w:rPr>
          <w:rFonts w:eastAsia="Times New Roman" w:cstheme="minorHAnsi"/>
          <w:lang w:eastAsia="en-GB"/>
        </w:rPr>
      </w:pPr>
      <w:proofErr w:type="spellStart"/>
      <w:r w:rsidRPr="0012247E">
        <w:rPr>
          <w:rFonts w:eastAsia="Times New Roman" w:cstheme="minorHAnsi"/>
          <w:lang w:eastAsia="en-GB"/>
        </w:rPr>
        <w:t>Holtorf</w:t>
      </w:r>
      <w:proofErr w:type="spellEnd"/>
      <w:r w:rsidRPr="0012247E">
        <w:rPr>
          <w:rFonts w:eastAsia="Times New Roman" w:cstheme="minorHAnsi"/>
          <w:lang w:eastAsia="en-GB"/>
        </w:rPr>
        <w:t xml:space="preserve">, Cornelius. “Averting Loss Aversion in Cultural Heritage.” </w:t>
      </w:r>
      <w:r w:rsidRPr="0012247E">
        <w:rPr>
          <w:rFonts w:eastAsia="Times New Roman" w:cstheme="minorHAnsi"/>
          <w:i/>
          <w:iCs/>
          <w:lang w:eastAsia="en-GB"/>
        </w:rPr>
        <w:t>International Journal of Heritage Studies</w:t>
      </w:r>
      <w:r w:rsidRPr="0012247E">
        <w:rPr>
          <w:rFonts w:eastAsia="Times New Roman" w:cstheme="minorHAnsi"/>
          <w:lang w:eastAsia="en-GB"/>
        </w:rPr>
        <w:t xml:space="preserve"> 21, no. 4 (August 12, 2014): 405–21. https://doi.org/10.1080/13527258.2014.938766.</w:t>
      </w:r>
    </w:p>
    <w:p w14:paraId="5EAD5BF8" w14:textId="77777777" w:rsidR="0012247E" w:rsidRPr="0012247E" w:rsidRDefault="0012247E" w:rsidP="0012247E">
      <w:pPr>
        <w:spacing w:after="0"/>
        <w:ind w:left="720" w:hanging="720"/>
        <w:rPr>
          <w:rFonts w:eastAsia="Times New Roman" w:cstheme="minorHAnsi"/>
          <w:lang w:eastAsia="en-GB"/>
        </w:rPr>
      </w:pPr>
      <w:r w:rsidRPr="0012247E">
        <w:rPr>
          <w:rFonts w:eastAsia="Times New Roman" w:cstheme="minorHAnsi"/>
          <w:lang w:eastAsia="en-GB"/>
        </w:rPr>
        <w:t xml:space="preserve">———. “Can Less Be More? Heritage in the Age of Terrorism.” </w:t>
      </w:r>
      <w:r w:rsidRPr="0012247E">
        <w:rPr>
          <w:rFonts w:eastAsia="Times New Roman" w:cstheme="minorHAnsi"/>
          <w:i/>
          <w:iCs/>
          <w:lang w:eastAsia="en-GB"/>
        </w:rPr>
        <w:t>Public Archaeology</w:t>
      </w:r>
      <w:r w:rsidRPr="0012247E">
        <w:rPr>
          <w:rFonts w:eastAsia="Times New Roman" w:cstheme="minorHAnsi"/>
          <w:lang w:eastAsia="en-GB"/>
        </w:rPr>
        <w:t xml:space="preserve"> 5, no. 2 (January 2006): 101–9. https://doi.org/10.1179/pua.2006.5.2.101.</w:t>
      </w:r>
    </w:p>
    <w:p w14:paraId="3BAE2BE2" w14:textId="77777777" w:rsidR="0012247E" w:rsidRPr="0012247E" w:rsidRDefault="0012247E" w:rsidP="0012247E">
      <w:pPr>
        <w:spacing w:after="0"/>
        <w:ind w:left="720" w:hanging="720"/>
        <w:rPr>
          <w:rFonts w:eastAsia="Times New Roman" w:cstheme="minorHAnsi"/>
          <w:lang w:eastAsia="en-GB"/>
        </w:rPr>
      </w:pPr>
      <w:r w:rsidRPr="0012247E">
        <w:rPr>
          <w:rFonts w:eastAsia="Times New Roman" w:cstheme="minorHAnsi"/>
          <w:lang w:eastAsia="en-GB"/>
        </w:rPr>
        <w:t xml:space="preserve">———. “Embracing Change: How Cultural Resilience Is Increased through Cultural Heritage.” </w:t>
      </w:r>
      <w:r w:rsidRPr="0012247E">
        <w:rPr>
          <w:rFonts w:eastAsia="Times New Roman" w:cstheme="minorHAnsi"/>
          <w:i/>
          <w:iCs/>
          <w:lang w:eastAsia="en-GB"/>
        </w:rPr>
        <w:t>World Archaeology</w:t>
      </w:r>
      <w:r w:rsidRPr="0012247E">
        <w:rPr>
          <w:rFonts w:eastAsia="Times New Roman" w:cstheme="minorHAnsi"/>
          <w:lang w:eastAsia="en-GB"/>
        </w:rPr>
        <w:t xml:space="preserve"> 50, no. 4 (August 8, 2018): 639–50. https://doi.org/10.1080/00438243.2018.1510340.</w:t>
      </w:r>
    </w:p>
    <w:p w14:paraId="23D6616F" w14:textId="77777777" w:rsidR="0012247E" w:rsidRPr="0012247E" w:rsidRDefault="0012247E" w:rsidP="0012247E">
      <w:pPr>
        <w:spacing w:after="0"/>
        <w:ind w:left="720" w:hanging="720"/>
        <w:rPr>
          <w:rFonts w:eastAsia="Times New Roman" w:cstheme="minorHAnsi"/>
          <w:lang w:eastAsia="en-GB"/>
        </w:rPr>
      </w:pPr>
      <w:r w:rsidRPr="0012247E">
        <w:rPr>
          <w:rFonts w:eastAsia="Times New Roman" w:cstheme="minorHAnsi"/>
          <w:lang w:eastAsia="en-GB"/>
        </w:rPr>
        <w:t xml:space="preserve">Kahneman, Daniel, and Amos Tversky. “Prospect Theory: An Analysis of Decision under Risk.” </w:t>
      </w:r>
      <w:proofErr w:type="spellStart"/>
      <w:r w:rsidRPr="0012247E">
        <w:rPr>
          <w:rFonts w:eastAsia="Times New Roman" w:cstheme="minorHAnsi"/>
          <w:i/>
          <w:iCs/>
          <w:lang w:eastAsia="en-GB"/>
        </w:rPr>
        <w:t>Econometrica</w:t>
      </w:r>
      <w:proofErr w:type="spellEnd"/>
      <w:r w:rsidRPr="0012247E">
        <w:rPr>
          <w:rFonts w:eastAsia="Times New Roman" w:cstheme="minorHAnsi"/>
          <w:lang w:eastAsia="en-GB"/>
        </w:rPr>
        <w:t xml:space="preserve"> 47, no. 2 (March 1979): 263–92.</w:t>
      </w:r>
    </w:p>
    <w:p w14:paraId="72649B1D" w14:textId="77777777" w:rsidR="0012247E" w:rsidRPr="0012247E" w:rsidRDefault="0012247E" w:rsidP="0012247E">
      <w:pPr>
        <w:spacing w:after="0"/>
        <w:ind w:left="720" w:hanging="720"/>
        <w:rPr>
          <w:rFonts w:eastAsia="Times New Roman" w:cstheme="minorHAnsi"/>
          <w:lang w:eastAsia="en-GB"/>
        </w:rPr>
      </w:pPr>
      <w:r w:rsidRPr="0012247E">
        <w:rPr>
          <w:rFonts w:eastAsia="Times New Roman" w:cstheme="minorHAnsi"/>
          <w:lang w:eastAsia="en-GB"/>
        </w:rPr>
        <w:t>Ministry of Housing, Communities and Local Government. “National Planning Policy Framework,” July 20, 2021. www.gov.uk/government/publications.</w:t>
      </w:r>
    </w:p>
    <w:p w14:paraId="189FA5CB" w14:textId="77777777" w:rsidR="0012247E" w:rsidRPr="0012247E" w:rsidRDefault="0012247E" w:rsidP="0012247E">
      <w:pPr>
        <w:spacing w:after="0"/>
        <w:ind w:left="720" w:hanging="720"/>
        <w:rPr>
          <w:rFonts w:eastAsia="Times New Roman" w:cstheme="minorHAnsi"/>
          <w:lang w:eastAsia="en-GB"/>
        </w:rPr>
      </w:pPr>
      <w:r w:rsidRPr="0012247E">
        <w:rPr>
          <w:rFonts w:eastAsia="Times New Roman" w:cstheme="minorHAnsi"/>
          <w:lang w:eastAsia="en-GB"/>
        </w:rPr>
        <w:lastRenderedPageBreak/>
        <w:t xml:space="preserve">Nobel Prize Outreach. “The </w:t>
      </w:r>
      <w:proofErr w:type="spellStart"/>
      <w:r w:rsidRPr="0012247E">
        <w:rPr>
          <w:rFonts w:eastAsia="Times New Roman" w:cstheme="minorHAnsi"/>
          <w:lang w:eastAsia="en-GB"/>
        </w:rPr>
        <w:t>Sveriges</w:t>
      </w:r>
      <w:proofErr w:type="spellEnd"/>
      <w:r w:rsidRPr="0012247E">
        <w:rPr>
          <w:rFonts w:eastAsia="Times New Roman" w:cstheme="minorHAnsi"/>
          <w:lang w:eastAsia="en-GB"/>
        </w:rPr>
        <w:t xml:space="preserve"> </w:t>
      </w:r>
      <w:proofErr w:type="spellStart"/>
      <w:r w:rsidRPr="0012247E">
        <w:rPr>
          <w:rFonts w:eastAsia="Times New Roman" w:cstheme="minorHAnsi"/>
          <w:lang w:eastAsia="en-GB"/>
        </w:rPr>
        <w:t>Riksbank</w:t>
      </w:r>
      <w:proofErr w:type="spellEnd"/>
      <w:r w:rsidRPr="0012247E">
        <w:rPr>
          <w:rFonts w:eastAsia="Times New Roman" w:cstheme="minorHAnsi"/>
          <w:lang w:eastAsia="en-GB"/>
        </w:rPr>
        <w:t xml:space="preserve"> Prize in Economic Sciences in Memory of Alfred Nobel 2002.” NobelPrize.org, n.d. https://www.nobelprize.org/prizes/economic-sciences/2002/kahneman/facts/.</w:t>
      </w:r>
    </w:p>
    <w:p w14:paraId="3FA812C5" w14:textId="77777777" w:rsidR="0012247E" w:rsidRPr="0012247E" w:rsidRDefault="0012247E" w:rsidP="0012247E">
      <w:pPr>
        <w:spacing w:after="0"/>
        <w:ind w:left="720" w:hanging="720"/>
        <w:rPr>
          <w:rFonts w:eastAsia="Times New Roman" w:cstheme="minorHAnsi"/>
          <w:lang w:eastAsia="en-GB"/>
        </w:rPr>
      </w:pPr>
      <w:r w:rsidRPr="0012247E">
        <w:rPr>
          <w:rFonts w:eastAsia="Times New Roman" w:cstheme="minorHAnsi"/>
          <w:lang w:eastAsia="en-GB"/>
        </w:rPr>
        <w:t>Planning (Listed Buildings and Conservation Areas) Act 1990, c. 9 § (1990). https://www.legislation.gov.uk/ukpga/1990/9/contents.</w:t>
      </w:r>
    </w:p>
    <w:p w14:paraId="2DE4E7FC" w14:textId="77777777" w:rsidR="0012247E" w:rsidRPr="0012247E" w:rsidRDefault="0012247E" w:rsidP="0012247E">
      <w:pPr>
        <w:spacing w:after="0"/>
        <w:ind w:left="720" w:hanging="720"/>
        <w:rPr>
          <w:rFonts w:eastAsia="Times New Roman" w:cstheme="minorHAnsi"/>
          <w:lang w:eastAsia="en-GB"/>
        </w:rPr>
      </w:pPr>
      <w:r w:rsidRPr="0012247E">
        <w:rPr>
          <w:rFonts w:eastAsia="Times New Roman" w:cstheme="minorHAnsi"/>
          <w:lang w:eastAsia="en-GB"/>
        </w:rPr>
        <w:t xml:space="preserve">Smith, </w:t>
      </w:r>
      <w:proofErr w:type="spellStart"/>
      <w:r w:rsidRPr="0012247E">
        <w:rPr>
          <w:rFonts w:eastAsia="Times New Roman" w:cstheme="minorHAnsi"/>
          <w:lang w:eastAsia="en-GB"/>
        </w:rPr>
        <w:t>Laurajane</w:t>
      </w:r>
      <w:proofErr w:type="spellEnd"/>
      <w:r w:rsidRPr="0012247E">
        <w:rPr>
          <w:rFonts w:eastAsia="Times New Roman" w:cstheme="minorHAnsi"/>
          <w:lang w:eastAsia="en-GB"/>
        </w:rPr>
        <w:t xml:space="preserve">. </w:t>
      </w:r>
      <w:r w:rsidRPr="0012247E">
        <w:rPr>
          <w:rFonts w:eastAsia="Times New Roman" w:cstheme="minorHAnsi"/>
          <w:i/>
          <w:iCs/>
          <w:lang w:eastAsia="en-GB"/>
        </w:rPr>
        <w:t>Uses of Heritage</w:t>
      </w:r>
      <w:r w:rsidRPr="0012247E">
        <w:rPr>
          <w:rFonts w:eastAsia="Times New Roman" w:cstheme="minorHAnsi"/>
          <w:lang w:eastAsia="en-GB"/>
        </w:rPr>
        <w:t>. London; New York, N.Y.: Routledge, 2006.</w:t>
      </w:r>
    </w:p>
    <w:p w14:paraId="41A46EE9" w14:textId="77777777" w:rsidR="0012247E" w:rsidRPr="0012247E" w:rsidRDefault="0012247E" w:rsidP="0012247E">
      <w:pPr>
        <w:spacing w:after="0"/>
        <w:ind w:left="720" w:hanging="720"/>
        <w:rPr>
          <w:rFonts w:eastAsia="Times New Roman" w:cstheme="minorHAnsi"/>
          <w:lang w:eastAsia="en-GB"/>
        </w:rPr>
      </w:pPr>
      <w:r w:rsidRPr="0012247E">
        <w:rPr>
          <w:rFonts w:eastAsia="Times New Roman" w:cstheme="minorHAnsi"/>
          <w:lang w:eastAsia="en-GB"/>
        </w:rPr>
        <w:t>United Kingdom. Planning (Listed Buildings and Conservation Areas) Act 1990, 8 § (1990). https://www.legislation.gov.uk/ukpga/1990/9/contents.</w:t>
      </w:r>
    </w:p>
    <w:p w14:paraId="5C3FBB9B" w14:textId="77777777" w:rsidR="0012247E" w:rsidRPr="0012247E" w:rsidRDefault="0012247E" w:rsidP="0012247E">
      <w:pPr>
        <w:spacing w:after="0"/>
        <w:ind w:left="720" w:hanging="720"/>
        <w:rPr>
          <w:rFonts w:eastAsia="Times New Roman" w:cstheme="minorHAnsi"/>
          <w:lang w:eastAsia="en-GB"/>
        </w:rPr>
      </w:pPr>
      <w:r w:rsidRPr="0012247E">
        <w:rPr>
          <w:rFonts w:eastAsia="Times New Roman" w:cstheme="minorHAnsi"/>
          <w:lang w:eastAsia="en-GB"/>
        </w:rPr>
        <w:t xml:space="preserve">Venture, Tanya, Caitlin </w:t>
      </w:r>
      <w:proofErr w:type="spellStart"/>
      <w:r w:rsidRPr="0012247E">
        <w:rPr>
          <w:rFonts w:eastAsia="Times New Roman" w:cstheme="minorHAnsi"/>
          <w:lang w:eastAsia="en-GB"/>
        </w:rPr>
        <w:t>DeSilvey</w:t>
      </w:r>
      <w:proofErr w:type="spellEnd"/>
      <w:r w:rsidRPr="0012247E">
        <w:rPr>
          <w:rFonts w:eastAsia="Times New Roman" w:cstheme="minorHAnsi"/>
          <w:lang w:eastAsia="en-GB"/>
        </w:rPr>
        <w:t xml:space="preserve">, Bryony </w:t>
      </w:r>
      <w:proofErr w:type="spellStart"/>
      <w:r w:rsidRPr="0012247E">
        <w:rPr>
          <w:rFonts w:eastAsia="Times New Roman" w:cstheme="minorHAnsi"/>
          <w:lang w:eastAsia="en-GB"/>
        </w:rPr>
        <w:t>Onciul</w:t>
      </w:r>
      <w:proofErr w:type="spellEnd"/>
      <w:r w:rsidRPr="0012247E">
        <w:rPr>
          <w:rFonts w:eastAsia="Times New Roman" w:cstheme="minorHAnsi"/>
          <w:lang w:eastAsia="en-GB"/>
        </w:rPr>
        <w:t xml:space="preserve">, and Hannah </w:t>
      </w:r>
      <w:proofErr w:type="spellStart"/>
      <w:r w:rsidRPr="0012247E">
        <w:rPr>
          <w:rFonts w:eastAsia="Times New Roman" w:cstheme="minorHAnsi"/>
          <w:lang w:eastAsia="en-GB"/>
        </w:rPr>
        <w:t>Fluck</w:t>
      </w:r>
      <w:proofErr w:type="spellEnd"/>
      <w:r w:rsidRPr="0012247E">
        <w:rPr>
          <w:rFonts w:eastAsia="Times New Roman" w:cstheme="minorHAnsi"/>
          <w:lang w:eastAsia="en-GB"/>
        </w:rPr>
        <w:t xml:space="preserve">. “Articulating Loss: A Thematic Framework for Understanding Coastal Heritage Transformations.” </w:t>
      </w:r>
      <w:r w:rsidRPr="0012247E">
        <w:rPr>
          <w:rFonts w:eastAsia="Times New Roman" w:cstheme="minorHAnsi"/>
          <w:i/>
          <w:iCs/>
          <w:lang w:eastAsia="en-GB"/>
        </w:rPr>
        <w:t>The Historic Environment: Policy &amp; Practice</w:t>
      </w:r>
      <w:r w:rsidRPr="0012247E">
        <w:rPr>
          <w:rFonts w:eastAsia="Times New Roman" w:cstheme="minorHAnsi"/>
          <w:lang w:eastAsia="en-GB"/>
        </w:rPr>
        <w:t xml:space="preserve"> 12, no. 3-4 (June 30, 2021): 395–417. https://doi.org/10.1080/17567505.2021.1944567.</w:t>
      </w:r>
    </w:p>
    <w:p w14:paraId="140D16C8" w14:textId="77777777" w:rsidR="0012247E" w:rsidRPr="0012247E" w:rsidRDefault="0012247E" w:rsidP="0012247E">
      <w:pPr>
        <w:spacing w:after="0"/>
        <w:ind w:left="720" w:hanging="720"/>
        <w:rPr>
          <w:rFonts w:eastAsia="Times New Roman" w:cstheme="minorHAnsi"/>
          <w:lang w:eastAsia="en-GB"/>
        </w:rPr>
      </w:pPr>
      <w:r w:rsidRPr="0012247E">
        <w:rPr>
          <w:rFonts w:eastAsia="Times New Roman" w:cstheme="minorHAnsi"/>
          <w:lang w:eastAsia="en-GB"/>
        </w:rPr>
        <w:t>Welsh Government. “Planning Policy Wales,” February 2021. https://gov.wales/sites/default/files/publications/2021-02/planning-policy-wales-edition-11_0.pdf.</w:t>
      </w:r>
    </w:p>
    <w:p w14:paraId="0B5DB782" w14:textId="77777777" w:rsidR="00CB6BB0" w:rsidRDefault="00CB6BB0" w:rsidP="00CB6BB0"/>
    <w:sectPr w:rsidR="00CB6BB0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06BCE6" w14:textId="77777777" w:rsidR="0084627E" w:rsidRDefault="0084627E" w:rsidP="00B2012A">
      <w:pPr>
        <w:spacing w:after="0" w:line="240" w:lineRule="auto"/>
      </w:pPr>
      <w:r>
        <w:separator/>
      </w:r>
    </w:p>
  </w:endnote>
  <w:endnote w:type="continuationSeparator" w:id="0">
    <w:p w14:paraId="02654902" w14:textId="77777777" w:rsidR="0084627E" w:rsidRDefault="0084627E" w:rsidP="00B201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44646165"/>
      <w:docPartObj>
        <w:docPartGallery w:val="Page Numbers (Bottom of Page)"/>
        <w:docPartUnique/>
      </w:docPartObj>
    </w:sdtPr>
    <w:sdtContent>
      <w:p w14:paraId="78D1D47E" w14:textId="505B6F86" w:rsidR="00F8512B" w:rsidRDefault="00083C0D" w:rsidP="008D3D44">
        <w:pPr>
          <w:pStyle w:val="Footer"/>
          <w:pBdr>
            <w:top w:val="single" w:sz="4" w:space="1" w:color="auto"/>
          </w:pBdr>
        </w:pPr>
        <w:r>
          <w:t>03 November 2022</w:t>
        </w:r>
        <w:r>
          <w:ptab w:relativeTo="margin" w:alignment="right" w:leader="none"/>
        </w:r>
        <w:r w:rsidR="00F8512B">
          <w:fldChar w:fldCharType="begin"/>
        </w:r>
        <w:r w:rsidR="00F8512B">
          <w:instrText>PAGE   \* MERGEFORMAT</w:instrText>
        </w:r>
        <w:r w:rsidR="00F8512B">
          <w:fldChar w:fldCharType="separate"/>
        </w:r>
        <w:r w:rsidR="00F8512B">
          <w:t>2</w:t>
        </w:r>
        <w:r w:rsidR="00F8512B">
          <w:fldChar w:fldCharType="end"/>
        </w:r>
      </w:p>
    </w:sdtContent>
  </w:sdt>
  <w:p w14:paraId="3804ECB0" w14:textId="77777777" w:rsidR="00F8512B" w:rsidRDefault="00F8512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4E5853" w14:textId="77777777" w:rsidR="0084627E" w:rsidRDefault="0084627E" w:rsidP="00B2012A">
      <w:pPr>
        <w:spacing w:after="0" w:line="240" w:lineRule="auto"/>
      </w:pPr>
      <w:r>
        <w:separator/>
      </w:r>
    </w:p>
  </w:footnote>
  <w:footnote w:type="continuationSeparator" w:id="0">
    <w:p w14:paraId="31E125DB" w14:textId="77777777" w:rsidR="0084627E" w:rsidRDefault="0084627E" w:rsidP="00B2012A">
      <w:pPr>
        <w:spacing w:after="0" w:line="240" w:lineRule="auto"/>
      </w:pPr>
      <w:r>
        <w:continuationSeparator/>
      </w:r>
    </w:p>
  </w:footnote>
  <w:footnote w:id="1">
    <w:p w14:paraId="57F4626D" w14:textId="422F8203" w:rsidR="00B2012A" w:rsidRDefault="00B201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4634E" w:rsidRPr="00C4634E">
        <w:t xml:space="preserve">Caitlin </w:t>
      </w:r>
      <w:proofErr w:type="spellStart"/>
      <w:r w:rsidR="00C4634E" w:rsidRPr="00C4634E">
        <w:t>DeSilvey</w:t>
      </w:r>
      <w:proofErr w:type="spellEnd"/>
      <w:r w:rsidR="00C4634E" w:rsidRPr="00C4634E">
        <w:t xml:space="preserve"> and Rodney Harrison, “Anticipating Loss: Rethinking Endangerment in Heritage Futures,” </w:t>
      </w:r>
      <w:r w:rsidR="00C4634E" w:rsidRPr="00C4634E">
        <w:rPr>
          <w:i/>
          <w:iCs/>
        </w:rPr>
        <w:t>International Journal of Heritage Studies</w:t>
      </w:r>
      <w:r w:rsidR="00C4634E" w:rsidRPr="00C4634E">
        <w:t xml:space="preserve"> 26, no. 1 (August 26, 2019): 1–7, https://doi.org/</w:t>
      </w:r>
      <w:hyperlink r:id="rId1" w:history="1">
        <w:r w:rsidR="00C4634E" w:rsidRPr="00C4634E">
          <w:rPr>
            <w:rStyle w:val="Hyperlink"/>
          </w:rPr>
          <w:t>10.1080/13527258.2019.1644530</w:t>
        </w:r>
      </w:hyperlink>
      <w:r w:rsidR="00C4634E" w:rsidRPr="00C4634E">
        <w:t>.</w:t>
      </w:r>
    </w:p>
  </w:footnote>
  <w:footnote w:id="2">
    <w:p w14:paraId="00009CF1" w14:textId="6B769A24" w:rsidR="00490F96" w:rsidRDefault="00490F96">
      <w:pPr>
        <w:pStyle w:val="FootnoteText"/>
      </w:pPr>
      <w:r>
        <w:rPr>
          <w:rStyle w:val="FootnoteReference"/>
        </w:rPr>
        <w:footnoteRef/>
      </w:r>
      <w:r>
        <w:t xml:space="preserve"> Ibid, 1.</w:t>
      </w:r>
    </w:p>
  </w:footnote>
  <w:footnote w:id="3">
    <w:p w14:paraId="76AD6F20" w14:textId="47561A0B" w:rsidR="007305A2" w:rsidRDefault="007305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6429A">
        <w:t>Ibid.</w:t>
      </w:r>
    </w:p>
  </w:footnote>
  <w:footnote w:id="4">
    <w:p w14:paraId="4D763013" w14:textId="6CFDC63F" w:rsidR="00E53241" w:rsidRDefault="00E5324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F5FB0" w:rsidRPr="00AF5FB0">
        <w:t xml:space="preserve">Cornelius </w:t>
      </w:r>
      <w:proofErr w:type="spellStart"/>
      <w:r w:rsidR="00AF5FB0" w:rsidRPr="00AF5FB0">
        <w:t>Holtorf</w:t>
      </w:r>
      <w:proofErr w:type="spellEnd"/>
      <w:r w:rsidR="00AF5FB0" w:rsidRPr="00AF5FB0">
        <w:t xml:space="preserve">, “Can Less Be More? Heritage in the Age of Terrorism,” </w:t>
      </w:r>
      <w:r w:rsidR="00AF5FB0" w:rsidRPr="00AF5FB0">
        <w:rPr>
          <w:i/>
          <w:iCs/>
        </w:rPr>
        <w:t>Public Archaeology</w:t>
      </w:r>
      <w:r w:rsidR="00AF5FB0" w:rsidRPr="00AF5FB0">
        <w:t xml:space="preserve"> 5, no. 2 (January 2006): 10</w:t>
      </w:r>
      <w:r w:rsidR="00090241">
        <w:t>8</w:t>
      </w:r>
      <w:r w:rsidR="00AF5FB0" w:rsidRPr="00AF5FB0">
        <w:t>, https://doi.org/</w:t>
      </w:r>
      <w:hyperlink r:id="rId2" w:history="1">
        <w:r w:rsidR="00AF5FB0" w:rsidRPr="00AF5FB0">
          <w:rPr>
            <w:rStyle w:val="Hyperlink"/>
          </w:rPr>
          <w:t>10.1179/pua.2006.5.2.101</w:t>
        </w:r>
      </w:hyperlink>
      <w:r w:rsidR="00AF5FB0" w:rsidRPr="00AF5FB0">
        <w:t>.</w:t>
      </w:r>
    </w:p>
  </w:footnote>
  <w:footnote w:id="5">
    <w:p w14:paraId="37E9E739" w14:textId="2BDBB4A1" w:rsidR="002C0BEB" w:rsidRDefault="002C0BE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C0BEB">
        <w:t xml:space="preserve">Cornelius </w:t>
      </w:r>
      <w:proofErr w:type="spellStart"/>
      <w:r w:rsidRPr="002C0BEB">
        <w:t>Holtorf</w:t>
      </w:r>
      <w:proofErr w:type="spellEnd"/>
      <w:r w:rsidRPr="002C0BEB">
        <w:t xml:space="preserve">, “Averting Loss Aversion in Cultural Heritage,” </w:t>
      </w:r>
      <w:r w:rsidRPr="002C0BEB">
        <w:rPr>
          <w:i/>
          <w:iCs/>
        </w:rPr>
        <w:t>International Journal of Heritage Studies</w:t>
      </w:r>
      <w:r w:rsidRPr="002C0BEB">
        <w:t xml:space="preserve"> 21, no. 4 (August 12, 2014): 405–21, https://doi.org/</w:t>
      </w:r>
      <w:hyperlink r:id="rId3" w:history="1">
        <w:r w:rsidRPr="002C0BEB">
          <w:rPr>
            <w:rStyle w:val="Hyperlink"/>
          </w:rPr>
          <w:t>10.1080/13527258.2014.938766</w:t>
        </w:r>
      </w:hyperlink>
      <w:r w:rsidRPr="002C0BEB">
        <w:t>.</w:t>
      </w:r>
    </w:p>
  </w:footnote>
  <w:footnote w:id="6">
    <w:p w14:paraId="65E1186A" w14:textId="6266C5D9" w:rsidR="00982573" w:rsidRDefault="0098257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B683A">
        <w:t>Ibid</w:t>
      </w:r>
      <w:r w:rsidR="00C45BEB">
        <w:t xml:space="preserve">, </w:t>
      </w:r>
      <w:r w:rsidR="004B683A">
        <w:t>405</w:t>
      </w:r>
      <w:r w:rsidR="00873B4B">
        <w:t>.</w:t>
      </w:r>
    </w:p>
  </w:footnote>
  <w:footnote w:id="7">
    <w:p w14:paraId="7E3ABF35" w14:textId="2B793C0D" w:rsidR="00930080" w:rsidRDefault="009300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30080">
        <w:t xml:space="preserve">Nobel Prize Outreach, “The </w:t>
      </w:r>
      <w:proofErr w:type="spellStart"/>
      <w:r w:rsidRPr="00930080">
        <w:t>Sveriges</w:t>
      </w:r>
      <w:proofErr w:type="spellEnd"/>
      <w:r w:rsidRPr="00930080">
        <w:t xml:space="preserve"> </w:t>
      </w:r>
      <w:proofErr w:type="spellStart"/>
      <w:r w:rsidRPr="00930080">
        <w:t>Riksbank</w:t>
      </w:r>
      <w:proofErr w:type="spellEnd"/>
      <w:r w:rsidRPr="00930080">
        <w:t xml:space="preserve"> Prize in Economic Sciences in Memory of Alfred Nobel 2002,” NobelPrize.org, n.d., </w:t>
      </w:r>
      <w:hyperlink r:id="rId4" w:history="1">
        <w:r w:rsidRPr="00930080">
          <w:rPr>
            <w:rStyle w:val="Hyperlink"/>
          </w:rPr>
          <w:t>https://www.nobelprize.org/prizes/economic-sciences/2002/kahneman/facts/</w:t>
        </w:r>
      </w:hyperlink>
      <w:r w:rsidRPr="00930080">
        <w:t>.</w:t>
      </w:r>
    </w:p>
  </w:footnote>
  <w:footnote w:id="8">
    <w:p w14:paraId="2611C9FB" w14:textId="3198F7C6" w:rsidR="008E46B9" w:rsidRDefault="008E46B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E46B9">
        <w:t xml:space="preserve">Daniel Kahneman and Amos Tversky, “Prospect Theory: An Analysis of Decision under Risk,” </w:t>
      </w:r>
      <w:proofErr w:type="spellStart"/>
      <w:r w:rsidRPr="008E46B9">
        <w:rPr>
          <w:i/>
          <w:iCs/>
        </w:rPr>
        <w:t>Econometrica</w:t>
      </w:r>
      <w:proofErr w:type="spellEnd"/>
      <w:r w:rsidRPr="008E46B9">
        <w:t xml:space="preserve"> 47, no. 2 (March 1979): 263.</w:t>
      </w:r>
    </w:p>
  </w:footnote>
  <w:footnote w:id="9">
    <w:p w14:paraId="25F79D44" w14:textId="097E88EE" w:rsidR="00FE4A59" w:rsidRDefault="00FE4A5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4634E">
        <w:t xml:space="preserve">Caitlin </w:t>
      </w:r>
      <w:proofErr w:type="spellStart"/>
      <w:r w:rsidRPr="00C4634E">
        <w:t>DeSilvey</w:t>
      </w:r>
      <w:proofErr w:type="spellEnd"/>
      <w:r w:rsidRPr="00C4634E">
        <w:t xml:space="preserve"> and Rodney Harrison, “Anticipating Loss: Rethinking Endangerment in Heritage Futures,” </w:t>
      </w:r>
      <w:r w:rsidRPr="00C4634E">
        <w:rPr>
          <w:i/>
          <w:iCs/>
        </w:rPr>
        <w:t>International Journal of Heritage Studies</w:t>
      </w:r>
      <w:r w:rsidRPr="00C4634E">
        <w:t xml:space="preserve"> 26, no. 1 (August 26, 2019): </w:t>
      </w:r>
      <w:r>
        <w:t>2</w:t>
      </w:r>
      <w:r w:rsidRPr="00C4634E">
        <w:t>, https://doi.org/</w:t>
      </w:r>
      <w:hyperlink r:id="rId5" w:history="1">
        <w:r w:rsidRPr="00C4634E">
          <w:rPr>
            <w:rStyle w:val="Hyperlink"/>
          </w:rPr>
          <w:t>10.1080/13527258.2019.1644530</w:t>
        </w:r>
      </w:hyperlink>
      <w:r w:rsidRPr="00C4634E">
        <w:t>.</w:t>
      </w:r>
    </w:p>
  </w:footnote>
  <w:footnote w:id="10">
    <w:p w14:paraId="76D5FE41" w14:textId="4CC2FF39" w:rsidR="00E56C52" w:rsidRDefault="00E56C52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11">
    <w:p w14:paraId="6A3E417D" w14:textId="124F9BFA" w:rsidR="00E57841" w:rsidRDefault="00E57841">
      <w:pPr>
        <w:pStyle w:val="FootnoteText"/>
      </w:pPr>
      <w:r>
        <w:rPr>
          <w:rStyle w:val="FootnoteReference"/>
        </w:rPr>
        <w:footnoteRef/>
      </w:r>
      <w:r>
        <w:t xml:space="preserve"> Ibid, 3.</w:t>
      </w:r>
      <w:r w:rsidR="007C461A">
        <w:t xml:space="preserve"> See also </w:t>
      </w:r>
      <w:proofErr w:type="spellStart"/>
      <w:r w:rsidR="007C461A" w:rsidRPr="007C461A">
        <w:t>Laurajane</w:t>
      </w:r>
      <w:proofErr w:type="spellEnd"/>
      <w:r w:rsidR="007C461A" w:rsidRPr="007C461A">
        <w:t xml:space="preserve"> Smith, </w:t>
      </w:r>
      <w:r w:rsidR="007C461A" w:rsidRPr="007C461A">
        <w:rPr>
          <w:i/>
          <w:iCs/>
        </w:rPr>
        <w:t>Uses of Heritage</w:t>
      </w:r>
      <w:r w:rsidR="007C461A" w:rsidRPr="007C461A">
        <w:t xml:space="preserve"> (London; New York, N.Y.: Routledge, 2006).</w:t>
      </w:r>
    </w:p>
  </w:footnote>
  <w:footnote w:id="12">
    <w:p w14:paraId="1C14B0AB" w14:textId="11730CDC" w:rsidR="008100DA" w:rsidRDefault="008100DA">
      <w:pPr>
        <w:pStyle w:val="FootnoteText"/>
      </w:pPr>
      <w:r>
        <w:rPr>
          <w:rStyle w:val="FootnoteReference"/>
        </w:rPr>
        <w:footnoteRef/>
      </w:r>
      <w:r>
        <w:t xml:space="preserve"> Ibid</w:t>
      </w:r>
      <w:r w:rsidR="008D3D44">
        <w:t>.</w:t>
      </w:r>
    </w:p>
  </w:footnote>
  <w:footnote w:id="13">
    <w:p w14:paraId="06944466" w14:textId="7099F5E7" w:rsidR="00C9287B" w:rsidRDefault="00C928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4634E">
        <w:t xml:space="preserve">Caitlin </w:t>
      </w:r>
      <w:proofErr w:type="spellStart"/>
      <w:r w:rsidRPr="00C4634E">
        <w:t>DeSilvey</w:t>
      </w:r>
      <w:proofErr w:type="spellEnd"/>
      <w:r w:rsidRPr="00C4634E">
        <w:t xml:space="preserve"> and Rodney Harrison, “Anticipating Loss: Rethinking Endangerment in Heritage Futures,” </w:t>
      </w:r>
      <w:r w:rsidRPr="00C4634E">
        <w:rPr>
          <w:i/>
          <w:iCs/>
        </w:rPr>
        <w:t>International Journal of Heritage Studies</w:t>
      </w:r>
      <w:r w:rsidRPr="00C4634E">
        <w:t xml:space="preserve"> 26, no. 1 (August 26, 2019): </w:t>
      </w:r>
      <w:r>
        <w:t>7</w:t>
      </w:r>
      <w:r w:rsidRPr="00C4634E">
        <w:t>, https://doi.org/</w:t>
      </w:r>
      <w:hyperlink r:id="rId6" w:history="1">
        <w:r w:rsidRPr="00C4634E">
          <w:rPr>
            <w:rStyle w:val="Hyperlink"/>
          </w:rPr>
          <w:t>10.1080/13527258.2019.1644530</w:t>
        </w:r>
      </w:hyperlink>
      <w:r w:rsidRPr="00C4634E">
        <w:t>.</w:t>
      </w:r>
    </w:p>
  </w:footnote>
  <w:footnote w:id="14">
    <w:p w14:paraId="78A8A600" w14:textId="33C217D4" w:rsidR="0099630A" w:rsidRDefault="0099630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9630A">
        <w:t xml:space="preserve">“Planning (Listed Buildings and Conservation Areas) Act 1990,” c. 9 § (1990), </w:t>
      </w:r>
      <w:hyperlink r:id="rId7" w:history="1">
        <w:r w:rsidRPr="0099630A">
          <w:rPr>
            <w:rStyle w:val="Hyperlink"/>
          </w:rPr>
          <w:t>https://www.legislation.gov.uk/ukpga/1990/9/contents</w:t>
        </w:r>
      </w:hyperlink>
      <w:r w:rsidRPr="0099630A">
        <w:t>.</w:t>
      </w:r>
    </w:p>
  </w:footnote>
  <w:footnote w:id="15">
    <w:p w14:paraId="03DB434E" w14:textId="099B551D" w:rsidR="006A5447" w:rsidRDefault="006A544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B394D" w:rsidRPr="00AB394D">
        <w:t xml:space="preserve">Ministry of Housing, Communities and Local Government, “National Planning Policy Framework,” July 20, 2021, </w:t>
      </w:r>
      <w:hyperlink r:id="rId8" w:history="1">
        <w:r w:rsidR="00AB394D" w:rsidRPr="00AB394D">
          <w:rPr>
            <w:rStyle w:val="Hyperlink"/>
          </w:rPr>
          <w:t>www.gov.uk/government/publications</w:t>
        </w:r>
      </w:hyperlink>
      <w:r w:rsidR="00AB394D" w:rsidRPr="00AB394D">
        <w:t>.</w:t>
      </w:r>
    </w:p>
  </w:footnote>
  <w:footnote w:id="16">
    <w:p w14:paraId="36B4E653" w14:textId="1F84099A" w:rsidR="00D13166" w:rsidRDefault="00D1316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13166">
        <w:t xml:space="preserve">Welsh Government, “Planning Policy Wales,” February 2021, </w:t>
      </w:r>
      <w:hyperlink r:id="rId9" w:history="1">
        <w:r w:rsidRPr="00D13166">
          <w:rPr>
            <w:rStyle w:val="Hyperlink"/>
          </w:rPr>
          <w:t>https://gov.wales/sites/default/files/publications/2021-02/planning-policy-wales-edition-11_0.pdf</w:t>
        </w:r>
      </w:hyperlink>
      <w:r w:rsidRPr="00D13166">
        <w:t>.</w:t>
      </w:r>
    </w:p>
  </w:footnote>
  <w:footnote w:id="17">
    <w:p w14:paraId="6BFB7F44" w14:textId="63875BC9" w:rsidR="00513ED7" w:rsidRDefault="00513ED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13ED7">
        <w:t xml:space="preserve">Caitlin </w:t>
      </w:r>
      <w:proofErr w:type="spellStart"/>
      <w:r w:rsidRPr="00513ED7">
        <w:t>DeSilvey</w:t>
      </w:r>
      <w:proofErr w:type="spellEnd"/>
      <w:r w:rsidRPr="00513ED7">
        <w:t xml:space="preserve"> and Rodney Harrison, “Anticipating Loss: Rethinking Endangerment in Heritage Futures,” </w:t>
      </w:r>
      <w:r w:rsidRPr="00513ED7">
        <w:rPr>
          <w:i/>
          <w:iCs/>
        </w:rPr>
        <w:t>International Journal of Heritage Studies</w:t>
      </w:r>
      <w:r w:rsidRPr="00513ED7">
        <w:t xml:space="preserve"> 26, no. 1 (August 26, 2019): </w:t>
      </w:r>
      <w:r>
        <w:t>3</w:t>
      </w:r>
      <w:r w:rsidRPr="00513ED7">
        <w:t>, https://doi.org/</w:t>
      </w:r>
      <w:hyperlink r:id="rId10" w:history="1">
        <w:r w:rsidRPr="00513ED7">
          <w:rPr>
            <w:rStyle w:val="Hyperlink"/>
          </w:rPr>
          <w:t>10.1080/13527258.2019.1644530</w:t>
        </w:r>
      </w:hyperlink>
      <w:r w:rsidRPr="00513ED7">
        <w:t>.</w:t>
      </w:r>
    </w:p>
  </w:footnote>
  <w:footnote w:id="18">
    <w:p w14:paraId="555F79F4" w14:textId="25A511CF" w:rsidR="00513ED7" w:rsidRDefault="00513ED7">
      <w:pPr>
        <w:pStyle w:val="FootnoteText"/>
      </w:pPr>
      <w:r>
        <w:rPr>
          <w:rStyle w:val="FootnoteReference"/>
        </w:rPr>
        <w:footnoteRef/>
      </w:r>
      <w:r>
        <w:t xml:space="preserve"> Ibid</w:t>
      </w:r>
      <w:r w:rsidR="00101C9B">
        <w:t>.</w:t>
      </w:r>
    </w:p>
  </w:footnote>
  <w:footnote w:id="19">
    <w:p w14:paraId="1FD7F35F" w14:textId="7C1B766C" w:rsidR="00D27EF1" w:rsidRDefault="00D27EF1">
      <w:pPr>
        <w:pStyle w:val="FootnoteText"/>
      </w:pPr>
      <w:r>
        <w:rPr>
          <w:rStyle w:val="FootnoteReference"/>
        </w:rPr>
        <w:footnoteRef/>
      </w:r>
      <w:r>
        <w:t xml:space="preserve"> Ibid, 7.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C5BC95" w14:textId="204E0CAC" w:rsidR="00E93FAF" w:rsidRDefault="00E93FAF" w:rsidP="008D3D44">
    <w:pPr>
      <w:pStyle w:val="Header"/>
      <w:pBdr>
        <w:bottom w:val="single" w:sz="4" w:space="1" w:color="auto"/>
      </w:pBdr>
    </w:pPr>
    <w:r>
      <w:t>William Bedford</w:t>
    </w:r>
    <w:r w:rsidR="00F8512B">
      <w:ptab w:relativeTo="margin" w:alignment="right" w:leader="none"/>
    </w:r>
    <w:r w:rsidR="00F8512B" w:rsidRPr="00F8512B">
      <w:t xml:space="preserve"> </w:t>
    </w:r>
    <w:r w:rsidR="00F8512B" w:rsidRPr="00F8512B">
      <w:t>2221244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2E4B64"/>
    <w:multiLevelType w:val="hybridMultilevel"/>
    <w:tmpl w:val="62000E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277740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5FAF"/>
    <w:rsid w:val="00001C4E"/>
    <w:rsid w:val="00004E37"/>
    <w:rsid w:val="00016377"/>
    <w:rsid w:val="00064DC1"/>
    <w:rsid w:val="00083C0D"/>
    <w:rsid w:val="00086B30"/>
    <w:rsid w:val="00090241"/>
    <w:rsid w:val="00093E9F"/>
    <w:rsid w:val="000A25F5"/>
    <w:rsid w:val="000B1662"/>
    <w:rsid w:val="000C3C1D"/>
    <w:rsid w:val="000D6A3C"/>
    <w:rsid w:val="000D6A80"/>
    <w:rsid w:val="00101C9B"/>
    <w:rsid w:val="0012247E"/>
    <w:rsid w:val="0013565B"/>
    <w:rsid w:val="00155901"/>
    <w:rsid w:val="00175118"/>
    <w:rsid w:val="0018041F"/>
    <w:rsid w:val="00185FAF"/>
    <w:rsid w:val="0018767A"/>
    <w:rsid w:val="00187755"/>
    <w:rsid w:val="00187F35"/>
    <w:rsid w:val="0019221C"/>
    <w:rsid w:val="001A4E4E"/>
    <w:rsid w:val="001A7798"/>
    <w:rsid w:val="001B1619"/>
    <w:rsid w:val="001C294F"/>
    <w:rsid w:val="001E21C0"/>
    <w:rsid w:val="002068E8"/>
    <w:rsid w:val="00211296"/>
    <w:rsid w:val="00217602"/>
    <w:rsid w:val="00247ECF"/>
    <w:rsid w:val="00253AFC"/>
    <w:rsid w:val="002567F4"/>
    <w:rsid w:val="002649F3"/>
    <w:rsid w:val="002777E2"/>
    <w:rsid w:val="00280175"/>
    <w:rsid w:val="00295572"/>
    <w:rsid w:val="002A7E35"/>
    <w:rsid w:val="002B2963"/>
    <w:rsid w:val="002C0BEB"/>
    <w:rsid w:val="002F487D"/>
    <w:rsid w:val="002F548B"/>
    <w:rsid w:val="0033027E"/>
    <w:rsid w:val="0033600E"/>
    <w:rsid w:val="00340171"/>
    <w:rsid w:val="00361D81"/>
    <w:rsid w:val="003726D5"/>
    <w:rsid w:val="003A05E7"/>
    <w:rsid w:val="003A7E81"/>
    <w:rsid w:val="003C117C"/>
    <w:rsid w:val="003C1F8F"/>
    <w:rsid w:val="003C4263"/>
    <w:rsid w:val="003C6320"/>
    <w:rsid w:val="003E47A1"/>
    <w:rsid w:val="003F5DCD"/>
    <w:rsid w:val="00405FEE"/>
    <w:rsid w:val="00445656"/>
    <w:rsid w:val="00476538"/>
    <w:rsid w:val="00490F96"/>
    <w:rsid w:val="004B02B8"/>
    <w:rsid w:val="004B4719"/>
    <w:rsid w:val="004B53C7"/>
    <w:rsid w:val="004B683A"/>
    <w:rsid w:val="004D05E6"/>
    <w:rsid w:val="004D7DA1"/>
    <w:rsid w:val="004E25D2"/>
    <w:rsid w:val="004E6CF6"/>
    <w:rsid w:val="004F2A20"/>
    <w:rsid w:val="004F6ACB"/>
    <w:rsid w:val="00504C8D"/>
    <w:rsid w:val="005114B9"/>
    <w:rsid w:val="00513ED7"/>
    <w:rsid w:val="005304A5"/>
    <w:rsid w:val="00532997"/>
    <w:rsid w:val="00572B21"/>
    <w:rsid w:val="005749FF"/>
    <w:rsid w:val="00582314"/>
    <w:rsid w:val="00584515"/>
    <w:rsid w:val="00591459"/>
    <w:rsid w:val="005A12E4"/>
    <w:rsid w:val="005A5C04"/>
    <w:rsid w:val="005C4176"/>
    <w:rsid w:val="005F33DD"/>
    <w:rsid w:val="006200A2"/>
    <w:rsid w:val="006468EA"/>
    <w:rsid w:val="00662CF2"/>
    <w:rsid w:val="00667E99"/>
    <w:rsid w:val="006773EC"/>
    <w:rsid w:val="00684418"/>
    <w:rsid w:val="0068708D"/>
    <w:rsid w:val="0069483F"/>
    <w:rsid w:val="006A5447"/>
    <w:rsid w:val="006C0DB3"/>
    <w:rsid w:val="006E143C"/>
    <w:rsid w:val="006E2EF1"/>
    <w:rsid w:val="006F3D57"/>
    <w:rsid w:val="0070651B"/>
    <w:rsid w:val="00712F52"/>
    <w:rsid w:val="00723498"/>
    <w:rsid w:val="007305A2"/>
    <w:rsid w:val="007664B4"/>
    <w:rsid w:val="00770317"/>
    <w:rsid w:val="007772A3"/>
    <w:rsid w:val="00783433"/>
    <w:rsid w:val="007970FC"/>
    <w:rsid w:val="007B3279"/>
    <w:rsid w:val="007C0050"/>
    <w:rsid w:val="007C461A"/>
    <w:rsid w:val="007C5CE2"/>
    <w:rsid w:val="007C788F"/>
    <w:rsid w:val="007D1340"/>
    <w:rsid w:val="008100DA"/>
    <w:rsid w:val="00834AFD"/>
    <w:rsid w:val="00842D64"/>
    <w:rsid w:val="0084627E"/>
    <w:rsid w:val="00855350"/>
    <w:rsid w:val="00873B4B"/>
    <w:rsid w:val="00890E25"/>
    <w:rsid w:val="008922F7"/>
    <w:rsid w:val="008A33AF"/>
    <w:rsid w:val="008A54D6"/>
    <w:rsid w:val="008B5BBC"/>
    <w:rsid w:val="008D3D44"/>
    <w:rsid w:val="008D7C35"/>
    <w:rsid w:val="008E45FE"/>
    <w:rsid w:val="008E46B9"/>
    <w:rsid w:val="009018E3"/>
    <w:rsid w:val="00901F30"/>
    <w:rsid w:val="00904207"/>
    <w:rsid w:val="0091718E"/>
    <w:rsid w:val="00930080"/>
    <w:rsid w:val="00963C87"/>
    <w:rsid w:val="0096429A"/>
    <w:rsid w:val="009763A4"/>
    <w:rsid w:val="00982573"/>
    <w:rsid w:val="00983BE8"/>
    <w:rsid w:val="0099630A"/>
    <w:rsid w:val="009A502A"/>
    <w:rsid w:val="009A6045"/>
    <w:rsid w:val="009C3545"/>
    <w:rsid w:val="009C475C"/>
    <w:rsid w:val="009E5058"/>
    <w:rsid w:val="009F4694"/>
    <w:rsid w:val="009F67FB"/>
    <w:rsid w:val="00A03EC9"/>
    <w:rsid w:val="00A201AB"/>
    <w:rsid w:val="00A25675"/>
    <w:rsid w:val="00A43A27"/>
    <w:rsid w:val="00A451E3"/>
    <w:rsid w:val="00A463BB"/>
    <w:rsid w:val="00A708A4"/>
    <w:rsid w:val="00A81452"/>
    <w:rsid w:val="00A95198"/>
    <w:rsid w:val="00AA5902"/>
    <w:rsid w:val="00AA7B71"/>
    <w:rsid w:val="00AB1A36"/>
    <w:rsid w:val="00AB394D"/>
    <w:rsid w:val="00AB5DF2"/>
    <w:rsid w:val="00AD5751"/>
    <w:rsid w:val="00AE2B70"/>
    <w:rsid w:val="00AE330C"/>
    <w:rsid w:val="00AE5E8D"/>
    <w:rsid w:val="00AF3414"/>
    <w:rsid w:val="00AF3E2F"/>
    <w:rsid w:val="00AF5FB0"/>
    <w:rsid w:val="00B0032D"/>
    <w:rsid w:val="00B12B92"/>
    <w:rsid w:val="00B2012A"/>
    <w:rsid w:val="00B23CDE"/>
    <w:rsid w:val="00B25BC9"/>
    <w:rsid w:val="00B30546"/>
    <w:rsid w:val="00B33800"/>
    <w:rsid w:val="00B47BF0"/>
    <w:rsid w:val="00B51954"/>
    <w:rsid w:val="00B6487D"/>
    <w:rsid w:val="00B71E47"/>
    <w:rsid w:val="00B8629E"/>
    <w:rsid w:val="00B930D7"/>
    <w:rsid w:val="00BA0F5B"/>
    <w:rsid w:val="00BA539A"/>
    <w:rsid w:val="00BA67D7"/>
    <w:rsid w:val="00BB17BA"/>
    <w:rsid w:val="00BD76A3"/>
    <w:rsid w:val="00BF37DE"/>
    <w:rsid w:val="00C21BB2"/>
    <w:rsid w:val="00C305AC"/>
    <w:rsid w:val="00C35EA3"/>
    <w:rsid w:val="00C45BEB"/>
    <w:rsid w:val="00C4634E"/>
    <w:rsid w:val="00C56042"/>
    <w:rsid w:val="00C774A7"/>
    <w:rsid w:val="00C777DF"/>
    <w:rsid w:val="00C83DB7"/>
    <w:rsid w:val="00C9077B"/>
    <w:rsid w:val="00C91EE1"/>
    <w:rsid w:val="00C9287B"/>
    <w:rsid w:val="00C96805"/>
    <w:rsid w:val="00CB6BB0"/>
    <w:rsid w:val="00CB7C5C"/>
    <w:rsid w:val="00CD234A"/>
    <w:rsid w:val="00CE072E"/>
    <w:rsid w:val="00CF1B6F"/>
    <w:rsid w:val="00D13166"/>
    <w:rsid w:val="00D26082"/>
    <w:rsid w:val="00D26493"/>
    <w:rsid w:val="00D27EF1"/>
    <w:rsid w:val="00D3336E"/>
    <w:rsid w:val="00D340A1"/>
    <w:rsid w:val="00D46D8F"/>
    <w:rsid w:val="00D52ACD"/>
    <w:rsid w:val="00D82131"/>
    <w:rsid w:val="00D95B7F"/>
    <w:rsid w:val="00DB686D"/>
    <w:rsid w:val="00DC1586"/>
    <w:rsid w:val="00DC43DF"/>
    <w:rsid w:val="00DC7033"/>
    <w:rsid w:val="00DD645F"/>
    <w:rsid w:val="00DF7196"/>
    <w:rsid w:val="00E0482A"/>
    <w:rsid w:val="00E2183F"/>
    <w:rsid w:val="00E53241"/>
    <w:rsid w:val="00E53D9D"/>
    <w:rsid w:val="00E56C52"/>
    <w:rsid w:val="00E57841"/>
    <w:rsid w:val="00E81B2A"/>
    <w:rsid w:val="00E93FAF"/>
    <w:rsid w:val="00ED543A"/>
    <w:rsid w:val="00F47A5B"/>
    <w:rsid w:val="00F6373F"/>
    <w:rsid w:val="00F7077A"/>
    <w:rsid w:val="00F837A9"/>
    <w:rsid w:val="00F8512B"/>
    <w:rsid w:val="00F92CE3"/>
    <w:rsid w:val="00FD1A01"/>
    <w:rsid w:val="00FE4A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37DF78E"/>
  <w15:chartTrackingRefBased/>
  <w15:docId w15:val="{69FE552F-A117-4E6F-9958-D0D29F627C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B1662"/>
    <w:pPr>
      <w:spacing w:line="360" w:lineRule="auto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B2012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2012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2012A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C4634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634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E53241"/>
    <w:rPr>
      <w:rFonts w:ascii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E93F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3FAF"/>
  </w:style>
  <w:style w:type="paragraph" w:styleId="Footer">
    <w:name w:val="footer"/>
    <w:basedOn w:val="Normal"/>
    <w:link w:val="FooterChar"/>
    <w:uiPriority w:val="99"/>
    <w:unhideWhenUsed/>
    <w:rsid w:val="00E93F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3FAF"/>
  </w:style>
  <w:style w:type="paragraph" w:styleId="ListParagraph">
    <w:name w:val="List Paragraph"/>
    <w:basedOn w:val="Normal"/>
    <w:uiPriority w:val="34"/>
    <w:qFormat/>
    <w:rsid w:val="0028017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2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5601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0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2281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034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2037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www.gov.uk/government/publications" TargetMode="External"/><Relationship Id="rId3" Type="http://schemas.openxmlformats.org/officeDocument/2006/relationships/hyperlink" Target="10.1080/13527258.2014.938766" TargetMode="External"/><Relationship Id="rId7" Type="http://schemas.openxmlformats.org/officeDocument/2006/relationships/hyperlink" Target="https://www.legislation.gov.uk/ukpga/1990/9/contents" TargetMode="External"/><Relationship Id="rId2" Type="http://schemas.openxmlformats.org/officeDocument/2006/relationships/hyperlink" Target="10.1179/pua.2006.5.2.101" TargetMode="External"/><Relationship Id="rId1" Type="http://schemas.openxmlformats.org/officeDocument/2006/relationships/hyperlink" Target="10.1080/13527258.2019.1644530" TargetMode="External"/><Relationship Id="rId6" Type="http://schemas.openxmlformats.org/officeDocument/2006/relationships/hyperlink" Target="10.1080/13527258.2019.1644530" TargetMode="External"/><Relationship Id="rId5" Type="http://schemas.openxmlformats.org/officeDocument/2006/relationships/hyperlink" Target="10.1080/13527258.2019.1644530" TargetMode="External"/><Relationship Id="rId10" Type="http://schemas.openxmlformats.org/officeDocument/2006/relationships/hyperlink" Target="10.1080/13527258.2019.1644530" TargetMode="External"/><Relationship Id="rId4" Type="http://schemas.openxmlformats.org/officeDocument/2006/relationships/hyperlink" Target="https://www.nobelprize.org/prizes/economic-sciences/2002/kahneman/facts/" TargetMode="External"/><Relationship Id="rId9" Type="http://schemas.openxmlformats.org/officeDocument/2006/relationships/hyperlink" Target="https://gov.wales/sites/default/files/publications/2021-02/planning-policy-wales-edition-11_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BD3BB63-FBD6-4305-851C-CC4FE9053B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167</TotalTime>
  <Pages>6</Pages>
  <Words>2073</Words>
  <Characters>10843</Characters>
  <Application>Microsoft Office Word</Application>
  <DocSecurity>0</DocSecurity>
  <Lines>130</Lines>
  <Paragraphs>76</Paragraphs>
  <ScaleCrop>false</ScaleCrop>
  <Company/>
  <LinksUpToDate>false</LinksUpToDate>
  <CharactersWithSpaces>12840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 Bedford</dc:creator>
  <cp:keywords/>
  <dc:description/>
  <cp:lastModifiedBy>Will Bedford</cp:lastModifiedBy>
  <cp:revision>232</cp:revision>
  <dcterms:created xsi:type="dcterms:W3CDTF">2022-11-03T20:50:00Z</dcterms:created>
  <dcterms:modified xsi:type="dcterms:W3CDTF">2022-11-03T23:39:00Z</dcterms:modified>
</cp:coreProperties>
</file>