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20" w:before="120" w:line="360" w:lineRule="auto"/>
        <w:ind w:firstLine="720"/>
        <w:jc w:val="left"/>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 Name: Roxann Richmond </w:t>
      </w:r>
    </w:p>
    <w:p w:rsidR="00000000" w:rsidDel="00000000" w:rsidP="00000000" w:rsidRDefault="00000000" w:rsidRPr="00000000" w14:paraId="00000002">
      <w:pPr>
        <w:spacing w:after="120" w:before="120" w:line="360" w:lineRule="auto"/>
        <w:ind w:firstLine="720"/>
        <w:jc w:val="left"/>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Student Number: 1714480</w:t>
      </w:r>
    </w:p>
    <w:p w:rsidR="00000000" w:rsidDel="00000000" w:rsidP="00000000" w:rsidRDefault="00000000" w:rsidRPr="00000000" w14:paraId="00000003">
      <w:pPr>
        <w:spacing w:after="120" w:before="120" w:line="360" w:lineRule="auto"/>
        <w:ind w:firstLine="720"/>
        <w:jc w:val="center"/>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04">
      <w:pPr>
        <w:spacing w:after="120" w:before="120" w:line="360" w:lineRule="auto"/>
        <w:ind w:firstLine="720"/>
        <w:jc w:val="center"/>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05">
      <w:pPr>
        <w:spacing w:after="120" w:before="120" w:line="360" w:lineRule="auto"/>
        <w:ind w:firstLine="720"/>
        <w:jc w:val="center"/>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06">
      <w:pPr>
        <w:spacing w:after="120" w:before="120" w:line="360" w:lineRule="auto"/>
        <w:ind w:firstLine="720"/>
        <w:jc w:val="center"/>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07">
      <w:pPr>
        <w:spacing w:after="120" w:before="120" w:line="360" w:lineRule="auto"/>
        <w:ind w:firstLine="720"/>
        <w:jc w:val="center"/>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08">
      <w:pPr>
        <w:spacing w:after="120" w:before="120" w:line="360" w:lineRule="auto"/>
        <w:ind w:firstLine="720"/>
        <w:jc w:val="cente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Early help systems</w:t>
      </w:r>
    </w:p>
    <w:p w:rsidR="00000000" w:rsidDel="00000000" w:rsidP="00000000" w:rsidRDefault="00000000" w:rsidRPr="00000000" w14:paraId="00000009">
      <w:pPr>
        <w:spacing w:after="120" w:before="120" w:line="360" w:lineRule="auto"/>
        <w:ind w:firstLine="720"/>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Introduction</w:t>
      </w:r>
    </w:p>
    <w:p w:rsidR="00000000" w:rsidDel="00000000" w:rsidP="00000000" w:rsidRDefault="00000000" w:rsidRPr="00000000" w14:paraId="0000000A">
      <w:pPr>
        <w:spacing w:after="120" w:before="120" w:line="360" w:lineRule="auto"/>
        <w:ind w:firstLine="720"/>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According to Section 17 of the Children’s Act 1989, the well-being of vulnerable populations, especially children, is everyone's collective duty (Foster, 2025). It emphasizes the duty of local governments to provide essential services to needy children. It recognizes everyone's role in contributing to the economic development of a country. The UK government, therefore, introduced early help systems that could bridge the gap between those who can positively impact society and those who cannot by eliminating their bottlenecks and making them equally productive. Local governments have developed these systems ('</w:t>
      </w:r>
      <w:r w:rsidDel="00000000" w:rsidR="00000000" w:rsidRPr="00000000">
        <w:rPr>
          <w:rFonts w:ascii="Times New Roman" w:cs="Times New Roman" w:eastAsia="Times New Roman" w:hAnsi="Times New Roman"/>
          <w:b w:val="1"/>
          <w:bCs w:val="1"/>
          <w:i w:val="1"/>
          <w:iCs w:val="1"/>
          <w:rtl w:val="0"/>
        </w:rPr>
        <w:t xml:space="preserve">Supporting Families: Early Help System guide</w:t>
      </w:r>
      <w:r w:rsidDel="00000000" w:rsidR="00000000" w:rsidRPr="00000000">
        <w:rPr>
          <w:rFonts w:ascii="Times New Roman" w:cs="Times New Roman" w:eastAsia="Times New Roman" w:hAnsi="Times New Roman"/>
          <w:b w:val="1"/>
          <w:bCs w:val="1"/>
          <w:rtl w:val="0"/>
        </w:rPr>
        <w:t xml:space="preserve">,' no date). One of the greatest deterrences of its full implementation is accessibility. Accessibility of Early Help Systems depends on several factors, including how these services are proposed (Sapiets et al., 2021). Signposting involves people, at all times, quickly accessing these services before their issues reach a point where they cannot be managed anymore. As part of the efforts of the local governments to ensure that it is utilized, their local government websites have been part of the platforms where these services have been signposted. This report, therefore, explores Early Help Systems, multiagency working, and an evaluation of how local governments have signposted these services on their websites,</w:t>
      </w:r>
    </w:p>
    <w:p w:rsidR="00000000" w:rsidDel="00000000" w:rsidP="00000000" w:rsidRDefault="00000000" w:rsidRPr="00000000" w14:paraId="0000000B">
      <w:pPr>
        <w:spacing w:after="120" w:before="120" w:line="360" w:lineRule="auto"/>
        <w:ind w:firstLine="720"/>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Early help system</w:t>
      </w:r>
    </w:p>
    <w:p w:rsidR="00000000" w:rsidDel="00000000" w:rsidP="00000000" w:rsidRDefault="00000000" w:rsidRPr="00000000" w14:paraId="0000000C">
      <w:pPr>
        <w:spacing w:after="120" w:before="120" w:line="360" w:lineRule="auto"/>
        <w:ind w:firstLine="720"/>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The early Help system is a multi-sectorial and collaborative approach designed by the UK to support children and families witnessing hardships . The system brings together professionals from diverse backgrounds, such as education, health, security, and healthcare, to provide coordinated interventions to ensure children grow and thrive in a stable and safe environment. Challenges that the system addresses cut across all humanity's bottlenecks to growth, such as family breakdown, economic hardship, mental health issues, educational hardships, and poor health (‘Early Help System Guide’, 2022).</w:t>
      </w:r>
    </w:p>
    <w:p w:rsidR="00000000" w:rsidDel="00000000" w:rsidP="00000000" w:rsidRDefault="00000000" w:rsidRPr="00000000" w14:paraId="0000000D">
      <w:pPr>
        <w:spacing w:after="120" w:before="120" w:line="360" w:lineRule="auto"/>
        <w:ind w:firstLine="720"/>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The concept is designed to identify these issues early enough and lay down strategies to curb them when they require the least resources rather than wait until things escalate. For instance, some students who struggle with school attendance due to family instabilities are given emotional support through canceling and educational assistance. Without these interventions, the situation may worsen, leading</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b w:val="1"/>
          <w:bCs w:val="1"/>
          <w:rtl w:val="0"/>
        </w:rPr>
        <w:t xml:space="preserve">to involvement in mental health and school exclusion ('Early Help System Guide,' 2022).</w:t>
      </w:r>
    </w:p>
    <w:p w:rsidR="00000000" w:rsidDel="00000000" w:rsidP="00000000" w:rsidRDefault="00000000" w:rsidRPr="00000000" w14:paraId="0000000E">
      <w:pPr>
        <w:spacing w:after="120" w:before="120" w:line="360" w:lineRule="auto"/>
        <w:ind w:firstLine="720"/>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The system fulfills statutory laws such as Working Together to Safeguard Children 2023, which is responsible for providing the moral campus of the ethical needs of stakeholders when handling children and carers ("</w:t>
      </w:r>
      <w:r w:rsidDel="00000000" w:rsidR="00000000" w:rsidRPr="00000000">
        <w:rPr>
          <w:rFonts w:ascii="Times New Roman" w:cs="Times New Roman" w:eastAsia="Times New Roman" w:hAnsi="Times New Roman"/>
          <w:b w:val="1"/>
          <w:bCs w:val="1"/>
          <w:i w:val="1"/>
          <w:iCs w:val="1"/>
          <w:rtl w:val="0"/>
        </w:rPr>
        <w:t xml:space="preserve">Working Together to safeguard children</w:t>
      </w:r>
      <w:r w:rsidDel="00000000" w:rsidR="00000000" w:rsidRPr="00000000">
        <w:rPr>
          <w:rFonts w:ascii="Times New Roman" w:cs="Times New Roman" w:eastAsia="Times New Roman" w:hAnsi="Times New Roman"/>
          <w:b w:val="1"/>
          <w:bCs w:val="1"/>
          <w:rtl w:val="0"/>
        </w:rPr>
        <w:t xml:space="preserve">," 2024). In this case, the given aid should not cause harm to the subject, should respect human dignity, and ensure that the help is voluntary. In addition, early help systems reduce the likelihood of a crime happening due to poverty, homelessness, and suffering. It goes hand in hand with the concepts of Rawlsian justice, a philosophical standpoint that implores fairness and offers equal opportunities for growth for all (Sapiets et al., 2021).</w:t>
      </w:r>
    </w:p>
    <w:p w:rsidR="00000000" w:rsidDel="00000000" w:rsidP="00000000" w:rsidRDefault="00000000" w:rsidRPr="00000000" w14:paraId="0000000F">
      <w:pPr>
        <w:spacing w:after="120" w:before="120" w:line="360" w:lineRule="auto"/>
        <w:ind w:firstLine="720"/>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Despite its advantages, the system has faced various challenges, such as limited federal funding. This has potentially reduced its effectiveness by leaving numerous families vulnerable to social, environmental, and political struggles. This, in turn, raises questions about the selection criteria for families that need help and requires explanations of why they are left out. To reduce these inconsistencies, the system should be funded well (Neuman and Powers, 2021).</w:t>
      </w:r>
    </w:p>
    <w:p w:rsidR="00000000" w:rsidDel="00000000" w:rsidP="00000000" w:rsidRDefault="00000000" w:rsidRPr="00000000" w14:paraId="00000010">
      <w:pPr>
        <w:spacing w:after="120" w:before="120" w:line="360" w:lineRule="auto"/>
        <w:ind w:firstLine="720"/>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In addition, the issue of accessibility of these services comes in. Many people in need may not be aware of these systems; if they are, they do not know where to turn. This poses the question of the type and methodology of signposting these services (Sapiets, Totsika and Hastings, 2021).</w:t>
      </w:r>
    </w:p>
    <w:p w:rsidR="00000000" w:rsidDel="00000000" w:rsidP="00000000" w:rsidRDefault="00000000" w:rsidRPr="00000000" w14:paraId="00000011">
      <w:pPr>
        <w:spacing w:after="120" w:before="120" w:line="360" w:lineRule="auto"/>
        <w:ind w:firstLine="720"/>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Therefore, these systems are essential initiatives in UK Health and Social Care. They ensure that everyone has equal opportunities to grow and excel in life. </w:t>
      </w:r>
    </w:p>
    <w:p w:rsidR="00000000" w:rsidDel="00000000" w:rsidP="00000000" w:rsidRDefault="00000000" w:rsidRPr="00000000" w14:paraId="00000012">
      <w:pPr>
        <w:spacing w:after="120" w:before="120" w:line="360" w:lineRule="auto"/>
        <w:ind w:firstLine="720"/>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Multiagency Working</w:t>
      </w:r>
    </w:p>
    <w:p w:rsidR="00000000" w:rsidDel="00000000" w:rsidP="00000000" w:rsidRDefault="00000000" w:rsidRPr="00000000" w14:paraId="00000013">
      <w:pPr>
        <w:spacing w:after="120" w:before="120" w:line="360" w:lineRule="auto"/>
        <w:ind w:firstLine="720"/>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Early Help Systems works with a well-coordinated partnership involving many professionals and agencies. This is called multiagency working, which is the practice of collaborative efforts involving numerous organizations, agencies, and professionals to ensure that people who require early help are helped holistically (Dixon </w:t>
      </w:r>
      <w:r w:rsidDel="00000000" w:rsidR="00000000" w:rsidRPr="00000000">
        <w:rPr>
          <w:rFonts w:ascii="Times New Roman" w:cs="Times New Roman" w:eastAsia="Times New Roman" w:hAnsi="Times New Roman"/>
          <w:b w:val="1"/>
          <w:bCs w:val="1"/>
          <w:i w:val="1"/>
          <w:iCs w:val="1"/>
          <w:rtl w:val="0"/>
        </w:rPr>
        <w:t xml:space="preserve">et al.</w:t>
      </w:r>
      <w:r w:rsidDel="00000000" w:rsidR="00000000" w:rsidRPr="00000000">
        <w:rPr>
          <w:rFonts w:ascii="Times New Roman" w:cs="Times New Roman" w:eastAsia="Times New Roman" w:hAnsi="Times New Roman"/>
          <w:b w:val="1"/>
          <w:bCs w:val="1"/>
          <w:rtl w:val="0"/>
        </w:rPr>
        <w:t xml:space="preserve">, 2022). Multiagency working is synonymous with partnership working and SDG 17—Partnership for Goals. This shows that working in collaboration is not just a concept of deficiency but also sustainability (Cruz, 2023). </w:t>
      </w:r>
    </w:p>
    <w:p w:rsidR="00000000" w:rsidDel="00000000" w:rsidP="00000000" w:rsidRDefault="00000000" w:rsidRPr="00000000" w14:paraId="00000014">
      <w:pPr>
        <w:spacing w:after="120" w:before="120" w:line="360" w:lineRule="auto"/>
        <w:ind w:firstLine="720"/>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In the context of Early Help, Multiagency Working brings together healthcare professionals, social workers, police, teachers, the judiciary, and other stakeholders to address complex issues facing families and individuals. A partnership takes advantage of diverse knowledge and skills that, when combined, can make early help interventions more effective in preventing harm and delivering holistic care.</w:t>
      </w:r>
    </w:p>
    <w:p w:rsidR="00000000" w:rsidDel="00000000" w:rsidP="00000000" w:rsidRDefault="00000000" w:rsidRPr="00000000" w14:paraId="00000015">
      <w:pPr>
        <w:spacing w:after="120" w:before="120" w:line="360" w:lineRule="auto"/>
        <w:ind w:firstLine="720"/>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Studies indicate that the efficiency of multiagency working is enshrined in its ability to reduce duplication of services, ensure that no single service is overburdened, and ensure that people receive customized care comprehensively (Dixon </w:t>
      </w:r>
      <w:r w:rsidDel="00000000" w:rsidR="00000000" w:rsidRPr="00000000">
        <w:rPr>
          <w:rFonts w:ascii="Times New Roman" w:cs="Times New Roman" w:eastAsia="Times New Roman" w:hAnsi="Times New Roman"/>
          <w:b w:val="1"/>
          <w:bCs w:val="1"/>
          <w:i w:val="1"/>
          <w:iCs w:val="1"/>
          <w:rtl w:val="0"/>
        </w:rPr>
        <w:t xml:space="preserve">et al.</w:t>
      </w:r>
      <w:r w:rsidDel="00000000" w:rsidR="00000000" w:rsidRPr="00000000">
        <w:rPr>
          <w:rFonts w:ascii="Times New Roman" w:cs="Times New Roman" w:eastAsia="Times New Roman" w:hAnsi="Times New Roman"/>
          <w:b w:val="1"/>
          <w:bCs w:val="1"/>
          <w:rtl w:val="0"/>
        </w:rPr>
        <w:t xml:space="preserve">, 2022; Driscoll </w:t>
      </w:r>
      <w:r w:rsidDel="00000000" w:rsidR="00000000" w:rsidRPr="00000000">
        <w:rPr>
          <w:rFonts w:ascii="Times New Roman" w:cs="Times New Roman" w:eastAsia="Times New Roman" w:hAnsi="Times New Roman"/>
          <w:b w:val="1"/>
          <w:bCs w:val="1"/>
          <w:i w:val="1"/>
          <w:iCs w:val="1"/>
          <w:rtl w:val="0"/>
        </w:rPr>
        <w:t xml:space="preserve">et al.</w:t>
      </w:r>
      <w:r w:rsidDel="00000000" w:rsidR="00000000" w:rsidRPr="00000000">
        <w:rPr>
          <w:rFonts w:ascii="Times New Roman" w:cs="Times New Roman" w:eastAsia="Times New Roman" w:hAnsi="Times New Roman"/>
          <w:b w:val="1"/>
          <w:bCs w:val="1"/>
          <w:rtl w:val="0"/>
        </w:rPr>
        <w:t xml:space="preserve">, 2022; Cruz, 2023). This also reduces the likelihood of service provision delays. It feeds on the initial practice of needs assessment, where all problems and challenges facing an individual or family are evaluated, and duties are assigned to each partner based on urgency and need.</w:t>
      </w:r>
    </w:p>
    <w:p w:rsidR="00000000" w:rsidDel="00000000" w:rsidP="00000000" w:rsidRDefault="00000000" w:rsidRPr="00000000" w14:paraId="00000016">
      <w:pPr>
        <w:spacing w:after="120" w:before="120" w:line="360" w:lineRule="auto"/>
        <w:ind w:firstLine="720"/>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 A well-functioning Partnership needs proper coordination, which is facilitated by effective communication strategies that keep information flowing (Muda, 2017). Without effective communication, a partnership can be equated to a fleet that has lost direction and cannot achieve positive results. To avoid this, some strategies in the Early Help system have been formulated, including the creation of Local Safeguarding Children Boards, which help coordinate the agencies involved in the Early Help System. </w:t>
      </w:r>
    </w:p>
    <w:p w:rsidR="00000000" w:rsidDel="00000000" w:rsidP="00000000" w:rsidRDefault="00000000" w:rsidRPr="00000000" w14:paraId="00000017">
      <w:pPr>
        <w:spacing w:after="120" w:before="120" w:line="360" w:lineRule="auto"/>
        <w:ind w:firstLine="720"/>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Signposting of Early Help by local authority websites</w:t>
      </w:r>
    </w:p>
    <w:p w:rsidR="00000000" w:rsidDel="00000000" w:rsidP="00000000" w:rsidRDefault="00000000" w:rsidRPr="00000000" w14:paraId="00000018">
      <w:pPr>
        <w:spacing w:after="120" w:before="120" w:line="360" w:lineRule="auto"/>
        <w:ind w:firstLine="720"/>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The following is an evaluation of how signposting of the Early Help services has been signposted in three local governments in the UK: Leeds, Bristol, and Lewisham.</w:t>
      </w:r>
    </w:p>
    <w:p w:rsidR="00000000" w:rsidDel="00000000" w:rsidP="00000000" w:rsidRDefault="00000000" w:rsidRPr="00000000" w14:paraId="0000001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120" w:line="360" w:lineRule="auto"/>
        <w:ind w:left="1080" w:right="0" w:hanging="360"/>
        <w:jc w:val="both"/>
        <w:rPr>
          <w:rFonts w:ascii="Times New Roman" w:cs="Times New Roman" w:eastAsia="Times New Roman" w:hAnsi="Times New Roman"/>
          <w:b w:val="1"/>
          <w:bCs w:val="1"/>
          <w:i w:val="0"/>
          <w:iCs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Leeds City Council Website</w:t>
      </w:r>
    </w:p>
    <w:p w:rsidR="00000000" w:rsidDel="00000000" w:rsidP="00000000" w:rsidRDefault="00000000" w:rsidRPr="00000000" w14:paraId="0000001A">
      <w:pPr>
        <w:spacing w:after="120" w:before="120" w:line="360" w:lineRule="auto"/>
        <w:ind w:firstLine="720"/>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The Leeds City Council website has a simple, attractive, and user-friendly interface (</w:t>
      </w:r>
      <w:r w:rsidDel="00000000" w:rsidR="00000000" w:rsidRPr="00000000">
        <w:rPr>
          <w:rFonts w:ascii="Times New Roman" w:cs="Times New Roman" w:eastAsia="Times New Roman" w:hAnsi="Times New Roman"/>
          <w:b w:val="1"/>
          <w:bCs w:val="1"/>
          <w:i w:val="1"/>
          <w:iCs w:val="1"/>
          <w:rtl w:val="0"/>
        </w:rPr>
        <w:t xml:space="preserve">Welcome to Leeds | Leeds.gov.uk</w:t>
      </w:r>
      <w:r w:rsidDel="00000000" w:rsidR="00000000" w:rsidRPr="00000000">
        <w:rPr>
          <w:rFonts w:ascii="Times New Roman" w:cs="Times New Roman" w:eastAsia="Times New Roman" w:hAnsi="Times New Roman"/>
          <w:b w:val="1"/>
          <w:bCs w:val="1"/>
          <w:rtl w:val="0"/>
        </w:rPr>
        <w:t xml:space="preserve">, no date). The website has conspicuously listed the “Children and families” section using bold words that can be easily seen. This section offers other options such as "Fostering," 'Child-friendly Leeds,' and ‘Report a child protection concern. While these sites contain important messages on some early help services, such as reporting child abuse cases, the site does not directly mention “Early Help Services” in the user interface, the main navigation, or the submenus. The absence of this phrase in the website navigation and submenus may hinder people seeking Early Help services from accessing the required information. It makes it cumbersome to start guessing which tap to click instead of providing direct language that implies it. However, under the Child-friendly Leeds submenus, Leeds offers a no-minute guide on topics such as Early help and working together to safeguard children. It also uses a cluster model that groups services according to their services. Also, under the one-minute guide, one of the guides is about 'Early start,' which outlines the role of service providers in working with families with children to foster partnerships in child care. The website also uses conspicuous headlines and large Fonts that can be easily seen to enhance accessibility.</w:t>
      </w:r>
    </w:p>
    <w:p w:rsidR="00000000" w:rsidDel="00000000" w:rsidP="00000000" w:rsidRDefault="00000000" w:rsidRPr="00000000" w14:paraId="0000001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120" w:line="360" w:lineRule="auto"/>
        <w:ind w:left="1080" w:right="0" w:hanging="360"/>
        <w:jc w:val="both"/>
        <w:rPr>
          <w:rFonts w:ascii="Times New Roman" w:cs="Times New Roman" w:eastAsia="Times New Roman" w:hAnsi="Times New Roman"/>
          <w:b w:val="1"/>
          <w:bCs w:val="1"/>
          <w:i w:val="0"/>
          <w:iCs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Lewisham, Council Website</w:t>
      </w:r>
    </w:p>
    <w:p w:rsidR="00000000" w:rsidDel="00000000" w:rsidP="00000000" w:rsidRDefault="00000000" w:rsidRPr="00000000" w14:paraId="0000001C">
      <w:pPr>
        <w:spacing w:after="120" w:before="120" w:line="360" w:lineRule="auto"/>
        <w:ind w:firstLine="720"/>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The website has bold writing in the "Children and young people's service" section in the primary navigation. Under this section, the "Early Help Services' is mentioned in the submenus. The section provides direct access to what a person should be pitied on available support. Direct naming is a technique in signposting that ensures that service seekers quickly pinpoint the services they require, compared to using words and phrases that are not usually common to people. In addition, early help does not provide all the information needed for early help; other taps, such as the "Cost of Living Crisis," offer information on food support services essential for animals that seek relief. It also has “Information for families tap that offers guidance on certain Early Help services especially from prenatal stages of lie to 18 years and 25 years for children with special needs. The websites also have a submenu for “Supporting Families Programme" that describes it as an initiative focusing on holistically supporting families ('</w:t>
      </w:r>
      <w:r w:rsidDel="00000000" w:rsidR="00000000" w:rsidRPr="00000000">
        <w:rPr>
          <w:rFonts w:ascii="Times New Roman" w:cs="Times New Roman" w:eastAsia="Times New Roman" w:hAnsi="Times New Roman"/>
          <w:b w:val="1"/>
          <w:bCs w:val="1"/>
          <w:i w:val="1"/>
          <w:iCs w:val="1"/>
          <w:rtl w:val="0"/>
        </w:rPr>
        <w:t xml:space="preserve">Lewisham Safeguarding Children Partnership - Early Help &amp; MASH</w:t>
      </w:r>
      <w:r w:rsidDel="00000000" w:rsidR="00000000" w:rsidRPr="00000000">
        <w:rPr>
          <w:rFonts w:ascii="Times New Roman" w:cs="Times New Roman" w:eastAsia="Times New Roman" w:hAnsi="Times New Roman"/>
          <w:b w:val="1"/>
          <w:bCs w:val="1"/>
          <w:rtl w:val="0"/>
        </w:rPr>
        <w:t xml:space="preserve">,' no date).</w:t>
      </w:r>
    </w:p>
    <w:p w:rsidR="00000000" w:rsidDel="00000000" w:rsidP="00000000" w:rsidRDefault="00000000" w:rsidRPr="00000000" w14:paraId="0000001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120" w:line="360" w:lineRule="auto"/>
        <w:ind w:left="1080" w:right="0" w:hanging="360"/>
        <w:jc w:val="both"/>
        <w:rPr>
          <w:rFonts w:ascii="Times New Roman" w:cs="Times New Roman" w:eastAsia="Times New Roman" w:hAnsi="Times New Roman"/>
          <w:b w:val="1"/>
          <w:bCs w:val="1"/>
          <w:i w:val="0"/>
          <w:iCs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Bristol City Council</w:t>
      </w:r>
    </w:p>
    <w:p w:rsidR="00000000" w:rsidDel="00000000" w:rsidP="00000000" w:rsidRDefault="00000000" w:rsidRPr="00000000" w14:paraId="0000001E">
      <w:pPr>
        <w:spacing w:after="120" w:before="120" w:line="360" w:lineRule="auto"/>
        <w:ind w:firstLine="720"/>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Bristol City Council is one of the governments with a well-structured main navigation; it has categories such as Children and Families, Social Care, Benefits, and initial help tabs. All these taps offer information on Early Help in different categories, except that it does not have a direct link to Early Help or a term with an equivalent meaning (</w:t>
      </w:r>
      <w:r w:rsidDel="00000000" w:rsidR="00000000" w:rsidRPr="00000000">
        <w:rPr>
          <w:rFonts w:ascii="Times New Roman" w:cs="Times New Roman" w:eastAsia="Times New Roman" w:hAnsi="Times New Roman"/>
          <w:b w:val="1"/>
          <w:bCs w:val="1"/>
          <w:i w:val="1"/>
          <w:iCs w:val="1"/>
          <w:rtl w:val="0"/>
        </w:rPr>
        <w:t xml:space="preserve">Bristol City Council</w:t>
      </w:r>
      <w:r w:rsidDel="00000000" w:rsidR="00000000" w:rsidRPr="00000000">
        <w:rPr>
          <w:rFonts w:ascii="Times New Roman" w:cs="Times New Roman" w:eastAsia="Times New Roman" w:hAnsi="Times New Roman"/>
          <w:b w:val="1"/>
          <w:bCs w:val="1"/>
          <w:rtl w:val="0"/>
        </w:rPr>
        <w:t xml:space="preserve">, no date). It requires users to explore several sections or utilize the search function to locate the specific Early Help services. However, this appears indirect and may pose navigation challenges to Families unfamiliar with alternative terms. What stands out on this website is the presence of about three family hubs, which are navigated by clicking 'For residents’&gt;; Social care and health’ &gt; ‘Children and families’ &gt; and ‘Help for families. Under this, Early Help is written as a blog and does not have an independent tap. Family hubs form part of the mentions but with embedded links (</w:t>
      </w:r>
      <w:r w:rsidDel="00000000" w:rsidR="00000000" w:rsidRPr="00000000">
        <w:rPr>
          <w:rFonts w:ascii="Times New Roman" w:cs="Times New Roman" w:eastAsia="Times New Roman" w:hAnsi="Times New Roman"/>
          <w:b w:val="1"/>
          <w:bCs w:val="1"/>
          <w:i w:val="1"/>
          <w:iCs w:val="1"/>
          <w:rtl w:val="0"/>
        </w:rPr>
        <w:t xml:space="preserve">Children and families</w:t>
      </w:r>
      <w:r w:rsidDel="00000000" w:rsidR="00000000" w:rsidRPr="00000000">
        <w:rPr>
          <w:rFonts w:ascii="Times New Roman" w:cs="Times New Roman" w:eastAsia="Times New Roman" w:hAnsi="Times New Roman"/>
          <w:b w:val="1"/>
          <w:bCs w:val="1"/>
          <w:rtl w:val="0"/>
        </w:rPr>
        <w:t xml:space="preserve">, no date). Family hubs are excellent avenues to seek new parents, seek support from relevant carers, and seek information on how to take care of a friend’s child.</w:t>
      </w:r>
    </w:p>
    <w:p w:rsidR="00000000" w:rsidDel="00000000" w:rsidP="00000000" w:rsidRDefault="00000000" w:rsidRPr="00000000" w14:paraId="0000001F">
      <w:pPr>
        <w:spacing w:after="120" w:before="120" w:line="360" w:lineRule="auto"/>
        <w:ind w:firstLine="720"/>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Comparison </w:t>
      </w:r>
    </w:p>
    <w:p w:rsidR="00000000" w:rsidDel="00000000" w:rsidP="00000000" w:rsidRDefault="00000000" w:rsidRPr="00000000" w14:paraId="00000020">
      <w:pPr>
        <w:spacing w:after="120" w:before="120" w:line="360" w:lineRule="auto"/>
        <w:ind w:firstLine="720"/>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Strengths</w:t>
      </w:r>
    </w:p>
    <w:p w:rsidR="00000000" w:rsidDel="00000000" w:rsidP="00000000" w:rsidRDefault="00000000" w:rsidRPr="00000000" w14:paraId="00000021">
      <w:pPr>
        <w:spacing w:after="120" w:before="120" w:line="360" w:lineRule="auto"/>
        <w:ind w:firstLine="720"/>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Lewisham Council is the best website for signposting Early Help Services. This is attributed to its clear and direct use of language, explicitly labeling it at the main navigation toolbar as 'Early Help Services .'This makes it easy for anyone using the site to spot it. However, while this is a strength particular to this website, the site does not provide more interactive tools, such as chatbots, that could guide users in a more friendly way.</w:t>
      </w:r>
    </w:p>
    <w:p w:rsidR="00000000" w:rsidDel="00000000" w:rsidP="00000000" w:rsidRDefault="00000000" w:rsidRPr="00000000" w14:paraId="00000022">
      <w:pPr>
        <w:spacing w:after="120" w:before="120" w:line="360" w:lineRule="auto"/>
        <w:ind w:firstLine="720"/>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On the other hand, while Leeds and Bristol have not directly signed up for Early Help Services, they present some strengths, such as their structure. For instance, the Leeds website has a well-structured section for 'Children and Families, which indirectly leads to services explicitly for Early Help. This is the same case as Bristol. Both sides exhibit key weaknesses, including the potentiality to cause confusion among users, especially those that need urgent attention. This could be corrected by using direct words such as "Early Help Services" that will be visible and quickly give a user some focus in navigation.</w:t>
      </w:r>
    </w:p>
    <w:p w:rsidR="00000000" w:rsidDel="00000000" w:rsidP="00000000" w:rsidRDefault="00000000" w:rsidRPr="00000000" w14:paraId="00000023">
      <w:pPr>
        <w:spacing w:after="120" w:before="120" w:line="360" w:lineRule="auto"/>
        <w:ind w:firstLine="720"/>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Conclusion and recommendation.</w:t>
      </w:r>
    </w:p>
    <w:p w:rsidR="00000000" w:rsidDel="00000000" w:rsidP="00000000" w:rsidRDefault="00000000" w:rsidRPr="00000000" w14:paraId="00000024">
      <w:pPr>
        <w:spacing w:after="120" w:before="120" w:line="360" w:lineRule="auto"/>
        <w:ind w:firstLine="720"/>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The above analysis shows that local governments are committed to ensuring that vulnerable groups of people receive the care they need before their issues escalate to levels that may not be reversed. However, what differs is the design and signposting of the key messages that have a direct impact on the people seeking these services. It has been noted that these sites have various challenges that need some corrections.</w:t>
      </w:r>
    </w:p>
    <w:p w:rsidR="00000000" w:rsidDel="00000000" w:rsidP="00000000" w:rsidRDefault="00000000" w:rsidRPr="00000000" w14:paraId="00000025">
      <w:pPr>
        <w:spacing w:after="120" w:before="120" w:line="360" w:lineRule="auto"/>
        <w:ind w:firstLine="720"/>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The analysis shows that the three local authorities can learn from each other. Lewisham uses Direct language and has placed the Early Help Services tap among the main navigation taps. This increases visibility and makes it easier for first-time users and people with emergencies to navigate faster. However, this is not the case on the Bristol and Leeds sites, which need to employ the same strategy to enhance the visibility of Early Help Services. </w:t>
      </w:r>
    </w:p>
    <w:p w:rsidR="00000000" w:rsidDel="00000000" w:rsidP="00000000" w:rsidRDefault="00000000" w:rsidRPr="00000000" w14:paraId="00000026">
      <w:pPr>
        <w:spacing w:after="120" w:before="120" w:line="360" w:lineRule="auto"/>
        <w:ind w:firstLine="720"/>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 Though Lewisham stands out in signposting language, it is not as well structured as Leeds and Bristol. The local government should consider restructuring its website to enhance visibility and make it easier for users to follow their navigation step by step.</w:t>
      </w:r>
    </w:p>
    <w:p w:rsidR="00000000" w:rsidDel="00000000" w:rsidP="00000000" w:rsidRDefault="00000000" w:rsidRPr="00000000" w14:paraId="00000027">
      <w:pPr>
        <w:spacing w:after="120" w:before="120" w:line="360" w:lineRule="auto"/>
        <w:ind w:firstLine="720"/>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In addition, the UK is a multicultural country in Europe. Its diversity is enormous, and this poses a challenge to inclusivity. Early Help is essential and, therefore, needs a multicultural approach. Consequently, it could incorporate language translations and hubs where you can find someone with whom you can share your deepest secrets. This will enhance service delivery and general outcomes.</w:t>
      </w:r>
    </w:p>
    <w:p w:rsidR="00000000" w:rsidDel="00000000" w:rsidP="00000000" w:rsidRDefault="00000000" w:rsidRPr="00000000" w14:paraId="00000028">
      <w:pPr>
        <w:spacing w:after="120" w:before="120" w:line="360" w:lineRule="auto"/>
        <w:ind w:firstLine="720"/>
        <w:jc w:val="both"/>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29">
      <w:pPr>
        <w:spacing w:after="120" w:before="120" w:line="360" w:lineRule="auto"/>
        <w:ind w:firstLine="720"/>
        <w:jc w:val="both"/>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2A">
      <w:pPr>
        <w:spacing w:after="120" w:before="120" w:line="360" w:lineRule="auto"/>
        <w:ind w:firstLine="720"/>
        <w:jc w:val="both"/>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2B">
      <w:pPr>
        <w:spacing w:after="120" w:before="120" w:line="360" w:lineRule="auto"/>
        <w:ind w:firstLine="720"/>
        <w:jc w:val="both"/>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2C">
      <w:pPr>
        <w:spacing w:after="120" w:before="120" w:line="360" w:lineRule="auto"/>
        <w:ind w:firstLine="720"/>
        <w:jc w:val="both"/>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2D">
      <w:pPr>
        <w:spacing w:after="120" w:before="120" w:line="360" w:lineRule="auto"/>
        <w:ind w:firstLine="72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E">
      <w:pPr>
        <w:spacing w:after="120" w:before="120" w:line="360" w:lineRule="auto"/>
        <w:ind w:firstLine="72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F">
      <w:pPr>
        <w:spacing w:after="120" w:before="120" w:line="360" w:lineRule="auto"/>
        <w:ind w:firstLine="72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0">
      <w:pPr>
        <w:spacing w:after="120" w:before="120" w:line="360" w:lineRule="auto"/>
        <w:ind w:firstLine="72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1">
      <w:pPr>
        <w:spacing w:after="120" w:before="120" w:line="360" w:lineRule="auto"/>
        <w:ind w:firstLine="72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2">
      <w:pPr>
        <w:spacing w:after="120" w:before="120" w:line="360" w:lineRule="auto"/>
        <w:ind w:firstLine="72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3">
      <w:pPr>
        <w:spacing w:after="120" w:before="120" w:line="360" w:lineRule="auto"/>
        <w:ind w:firstLine="72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4">
      <w:pPr>
        <w:spacing w:after="120" w:before="120" w:line="360" w:lineRule="auto"/>
        <w:ind w:firstLine="72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5">
      <w:pPr>
        <w:spacing w:after="120" w:before="120" w:line="360" w:lineRule="auto"/>
        <w:ind w:firstLine="72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6">
      <w:pPr>
        <w:spacing w:after="120" w:before="120" w:line="360" w:lineRule="auto"/>
        <w:ind w:firstLine="72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7">
      <w:pPr>
        <w:spacing w:after="120" w:before="120" w:line="360" w:lineRule="auto"/>
        <w:ind w:firstLine="72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8">
      <w:pPr>
        <w:spacing w:after="120" w:before="120" w:line="360" w:lineRule="auto"/>
        <w:ind w:firstLine="72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9">
      <w:pPr>
        <w:spacing w:after="120" w:before="120" w:line="360" w:lineRule="auto"/>
        <w:ind w:firstLine="72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A">
      <w:pPr>
        <w:spacing w:after="120" w:before="120" w:line="360" w:lineRule="auto"/>
        <w:ind w:firstLine="720"/>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References </w:t>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0" w:right="0" w:firstLine="720"/>
        <w:jc w:val="both"/>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24"/>
          <w:szCs w:val="24"/>
          <w:u w:val="none"/>
          <w:shd w:fill="auto" w:val="clear"/>
          <w:vertAlign w:val="baseline"/>
          <w:rtl w:val="0"/>
        </w:rPr>
        <w:t xml:space="preserve">Bristol City Council</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(no date) </w:t>
      </w:r>
      <w:r w:rsidDel="00000000" w:rsidR="00000000" w:rsidRPr="00000000">
        <w:rPr>
          <w:rFonts w:ascii="Times New Roman" w:cs="Times New Roman" w:eastAsia="Times New Roman" w:hAnsi="Times New Roman"/>
          <w:b w:val="1"/>
          <w:bCs w:val="1"/>
          <w:i w:val="1"/>
          <w:iCs w:val="1"/>
          <w:smallCaps w:val="0"/>
          <w:strike w:val="0"/>
          <w:color w:val="000000"/>
          <w:sz w:val="24"/>
          <w:szCs w:val="24"/>
          <w:u w:val="none"/>
          <w:shd w:fill="auto" w:val="clear"/>
          <w:vertAlign w:val="baseline"/>
          <w:rtl w:val="0"/>
        </w:rPr>
        <w:t xml:space="preserve">Bristol City Council</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Available at: https://www.bristol.gov.uk/ (Accessed: 16 March 2025).</w:t>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0" w:right="0" w:firstLine="720"/>
        <w:jc w:val="both"/>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Cruz, S.A. (2023) ‘SDG 17 and global partnership for sustainable development: unraveling the rhetoric of collaboration’, </w:t>
      </w:r>
      <w:r w:rsidDel="00000000" w:rsidR="00000000" w:rsidRPr="00000000">
        <w:rPr>
          <w:rFonts w:ascii="Times New Roman" w:cs="Times New Roman" w:eastAsia="Times New Roman" w:hAnsi="Times New Roman"/>
          <w:b w:val="1"/>
          <w:bCs w:val="1"/>
          <w:i w:val="1"/>
          <w:iCs w:val="1"/>
          <w:smallCaps w:val="0"/>
          <w:strike w:val="0"/>
          <w:color w:val="000000"/>
          <w:sz w:val="24"/>
          <w:szCs w:val="24"/>
          <w:u w:val="none"/>
          <w:shd w:fill="auto" w:val="clear"/>
          <w:vertAlign w:val="baseline"/>
          <w:rtl w:val="0"/>
        </w:rPr>
        <w:t xml:space="preserve">Frontiers in Environmental Science</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11. Available at: https://doi.org/10.3389/fenvs.2023.1155828.</w:t>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0" w:right="0" w:firstLine="720"/>
        <w:jc w:val="both"/>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Dixon, S. </w:t>
      </w:r>
      <w:r w:rsidDel="00000000" w:rsidR="00000000" w:rsidRPr="00000000">
        <w:rPr>
          <w:rFonts w:ascii="Times New Roman" w:cs="Times New Roman" w:eastAsia="Times New Roman" w:hAnsi="Times New Roman"/>
          <w:b w:val="1"/>
          <w:bCs w:val="1"/>
          <w:i w:val="1"/>
          <w:iCs w:val="1"/>
          <w:smallCaps w:val="0"/>
          <w:strike w:val="0"/>
          <w:color w:val="000000"/>
          <w:sz w:val="24"/>
          <w:szCs w:val="24"/>
          <w:u w:val="none"/>
          <w:shd w:fill="auto" w:val="clear"/>
          <w:vertAlign w:val="baseline"/>
          <w:rtl w:val="0"/>
        </w:rPr>
        <w:t xml:space="preserve">et al.</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(2022) ‘Supporting the “multi” in multi-agency working: learning with and from each other could enable multi-agency safeguarding’, </w:t>
      </w:r>
      <w:r w:rsidDel="00000000" w:rsidR="00000000" w:rsidRPr="00000000">
        <w:rPr>
          <w:rFonts w:ascii="Times New Roman" w:cs="Times New Roman" w:eastAsia="Times New Roman" w:hAnsi="Times New Roman"/>
          <w:b w:val="1"/>
          <w:bCs w:val="1"/>
          <w:i w:val="1"/>
          <w:iCs w:val="1"/>
          <w:smallCaps w:val="0"/>
          <w:strike w:val="0"/>
          <w:color w:val="000000"/>
          <w:sz w:val="24"/>
          <w:szCs w:val="24"/>
          <w:u w:val="none"/>
          <w:shd w:fill="auto" w:val="clear"/>
          <w:vertAlign w:val="baseline"/>
          <w:rtl w:val="0"/>
        </w:rPr>
        <w:t xml:space="preserve">The British Journal of General Practice</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72(722), pp. 438–439. Available at: https://doi.org/10.3399/bjgp22X720617.</w:t>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0" w:right="0" w:firstLine="720"/>
        <w:jc w:val="both"/>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Driscoll, J. </w:t>
      </w:r>
      <w:r w:rsidDel="00000000" w:rsidR="00000000" w:rsidRPr="00000000">
        <w:rPr>
          <w:rFonts w:ascii="Times New Roman" w:cs="Times New Roman" w:eastAsia="Times New Roman" w:hAnsi="Times New Roman"/>
          <w:b w:val="1"/>
          <w:bCs w:val="1"/>
          <w:i w:val="1"/>
          <w:iCs w:val="1"/>
          <w:smallCaps w:val="0"/>
          <w:strike w:val="0"/>
          <w:color w:val="000000"/>
          <w:sz w:val="24"/>
          <w:szCs w:val="24"/>
          <w:u w:val="none"/>
          <w:shd w:fill="auto" w:val="clear"/>
          <w:vertAlign w:val="baseline"/>
          <w:rtl w:val="0"/>
        </w:rPr>
        <w:t xml:space="preserve">et al.</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(2022) ‘Multiagency safeguarding arrangements during and beyond the Covid‐19 pandemic: Identifying shared learning’, </w:t>
      </w:r>
      <w:r w:rsidDel="00000000" w:rsidR="00000000" w:rsidRPr="00000000">
        <w:rPr>
          <w:rFonts w:ascii="Times New Roman" w:cs="Times New Roman" w:eastAsia="Times New Roman" w:hAnsi="Times New Roman"/>
          <w:b w:val="1"/>
          <w:bCs w:val="1"/>
          <w:i w:val="1"/>
          <w:iCs w:val="1"/>
          <w:smallCaps w:val="0"/>
          <w:strike w:val="0"/>
          <w:color w:val="000000"/>
          <w:sz w:val="24"/>
          <w:szCs w:val="24"/>
          <w:u w:val="none"/>
          <w:shd w:fill="auto" w:val="clear"/>
          <w:vertAlign w:val="baseline"/>
          <w:rtl w:val="0"/>
        </w:rPr>
        <w:t xml:space="preserve">Child Abuse Review (Chichester, England : 1992)</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31(5), p. e2774. Available at: https://doi.org/10.1002/car.2774.</w:t>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0" w:right="0" w:firstLine="720"/>
        <w:jc w:val="both"/>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‘Early Help System Guide’ (2022).</w:t>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0" w:right="0" w:firstLine="720"/>
        <w:jc w:val="both"/>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Foster, D. (2025) ‘An overview of child protection legislation in England’. Available at: https://commonslibrary.parliament.uk/research-briefings/sn06787/ (Accessed: 20 March 2025).</w:t>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0" w:right="0" w:firstLine="720"/>
        <w:jc w:val="both"/>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24"/>
          <w:szCs w:val="24"/>
          <w:u w:val="none"/>
          <w:shd w:fill="auto" w:val="clear"/>
          <w:vertAlign w:val="baseline"/>
          <w:rtl w:val="0"/>
        </w:rPr>
        <w:t xml:space="preserve">Lewisham Safeguarding Children Partnership - Early Help &amp; MASH</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(no date). Available at: https://www.safeguardinglewisham.org.uk/lscp/lscp/professionals/early-help-mash (Accessed: 20 March 2025).</w:t>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Muda, S. (2017) ‘Communication and nurturing to sustain collaborative partnership’,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SHS Web of Conferences</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33, p. 00076. Available at: https://doi.org/10.1051/shsconf/20173300076.</w:t>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Neuman, M.J. and Powers, S. (2021) ‘Political prioritization of early childhood education in low- and middle-income countries’,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International Journal of Educational Development</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86, p. 102458. Available at: https://doi.org/10.1016/j.ijedudev.2021.102458.</w:t>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Sapiets, S.J., Totsika, V. and Hastings, R.P. (2021) ‘Factors influencing access to early intervention for families of children with developmental disabilities: A narrative review’,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Journal of Applied Research in Intellectual Disabilities</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34(3), pp. 695–711. Available at: https://doi.org/10.1111/jar.12852.</w:t>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Supporting Families: Early Help System guide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(no date)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GOV.UK</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Available at: https://www.gov.uk/government/publications/supporting-families-early-help-system-guide (Accessed: 20 March 2025).</w:t>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Welcome to Leeds | Leeds.gov.uk</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(no date). Available at: https://www.leeds.gov.uk/ (Accessed: 20 March 2025).</w:t>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Working together to safeguard children</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(2024)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GOV.UK</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Available at: https://www.gov.uk/government/publications/working-together-to-safeguard-children--2 (Accessed: 16 March 2025).</w:t>
      </w:r>
    </w:p>
    <w:p w:rsidR="00000000" w:rsidDel="00000000" w:rsidP="00000000" w:rsidRDefault="00000000" w:rsidRPr="00000000" w14:paraId="00000048">
      <w:pPr>
        <w:spacing w:after="120" w:before="120" w:line="360" w:lineRule="auto"/>
        <w:ind w:firstLine="720"/>
        <w:jc w:val="both"/>
        <w:rPr>
          <w:rFonts w:ascii="Times New Roman" w:cs="Times New Roman" w:eastAsia="Times New Roman" w:hAnsi="Times New Roman"/>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4"/>
        <w:szCs w:val="24"/>
        <w:lang w:val="en"/>
      </w:rPr>
    </w:rPrDefault>
    <w:pPrDefault>
      <w:pPr>
        <w:spacing w:after="160" w:line="278.0000000000000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Calibri" w:cs="Calibri" w:eastAsia="Calibri" w:hAnsi="Calibri"/>
      <w:color w:val="2f5496"/>
      <w:sz w:val="40"/>
      <w:szCs w:val="40"/>
    </w:rPr>
  </w:style>
  <w:style w:type="paragraph" w:styleId="Heading2">
    <w:name w:val="heading 2"/>
    <w:basedOn w:val="Normal"/>
    <w:next w:val="Normal"/>
    <w:pPr>
      <w:keepNext w:val="1"/>
      <w:keepLines w:val="1"/>
      <w:spacing w:after="80" w:before="160" w:lineRule="auto"/>
    </w:pPr>
    <w:rPr>
      <w:rFonts w:ascii="Calibri" w:cs="Calibri" w:eastAsia="Calibri" w:hAnsi="Calibri"/>
      <w:color w:val="2f5496"/>
      <w:sz w:val="32"/>
      <w:szCs w:val="32"/>
    </w:rPr>
  </w:style>
  <w:style w:type="paragraph" w:styleId="Heading3">
    <w:name w:val="heading 3"/>
    <w:basedOn w:val="Normal"/>
    <w:next w:val="Normal"/>
    <w:pPr>
      <w:keepNext w:val="1"/>
      <w:keepLines w:val="1"/>
      <w:spacing w:after="80" w:before="160" w:lineRule="auto"/>
    </w:pPr>
    <w:rPr>
      <w:color w:val="2f5496"/>
      <w:sz w:val="28"/>
      <w:szCs w:val="28"/>
    </w:rPr>
  </w:style>
  <w:style w:type="paragraph" w:styleId="Heading4">
    <w:name w:val="heading 4"/>
    <w:basedOn w:val="Normal"/>
    <w:next w:val="Normal"/>
    <w:pPr>
      <w:keepNext w:val="1"/>
      <w:keepLines w:val="1"/>
      <w:spacing w:after="40" w:before="80" w:lineRule="auto"/>
    </w:pPr>
    <w:rPr>
      <w:i w:val="1"/>
      <w:iCs w:val="1"/>
      <w:color w:val="2f5496"/>
    </w:rPr>
  </w:style>
  <w:style w:type="paragraph" w:styleId="Heading5">
    <w:name w:val="heading 5"/>
    <w:basedOn w:val="Normal"/>
    <w:next w:val="Normal"/>
    <w:pPr>
      <w:keepNext w:val="1"/>
      <w:keepLines w:val="1"/>
      <w:spacing w:after="40" w:before="80" w:lineRule="auto"/>
    </w:pPr>
    <w:rPr>
      <w:color w:val="2f5496"/>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Calibri" w:cs="Calibri" w:eastAsia="Calibri" w:hAnsi="Calibri"/>
      <w:sz w:val="56"/>
      <w:szCs w:val="56"/>
    </w:rPr>
  </w:style>
  <w:style w:type="paragraph" w:styleId="Normal" w:default="1">
    <w:name w:val="normal"/>
  </w:style>
  <w:style w:type="table" w:styleId="TableNormal" w:default="1">
    <w:name w:val="Table Normal"/>
  </w:style>
  <w:style w:type="paragraph" w:styleId="Heading7">
    <w:name w:val="heading 7"/>
    <w:basedOn w:val="Normal"/>
    <w:next w:val="Normal"/>
    <w:link w:val="Heading7Char"/>
    <w:uiPriority w:val="9"/>
    <w:semiHidden w:val="1"/>
    <w:unhideWhenUsed w:val="1"/>
    <w:qFormat w:val="1"/>
    <w:rsid w:val="00E12C1C"/>
    <w:pPr>
      <w:keepNext w:val="1"/>
      <w:keepLines w:val="1"/>
      <w:spacing w:after="0" w:before="40"/>
      <w:outlineLvl w:val="6"/>
    </w:pPr>
    <w:rPr>
      <w:rFonts w:cstheme="majorBidi" w:eastAsiaTheme="majorEastAsia"/>
      <w:color w:val="595959" w:themeColor="text1" w:themeTint="0000A6"/>
    </w:rPr>
  </w:style>
  <w:style w:type="paragraph" w:styleId="Heading8">
    <w:name w:val="heading 8"/>
    <w:basedOn w:val="Normal"/>
    <w:next w:val="Normal"/>
    <w:link w:val="Heading8Char"/>
    <w:uiPriority w:val="9"/>
    <w:semiHidden w:val="1"/>
    <w:unhideWhenUsed w:val="1"/>
    <w:qFormat w:val="1"/>
    <w:rsid w:val="00E12C1C"/>
    <w:pPr>
      <w:keepNext w:val="1"/>
      <w:keepLines w:val="1"/>
      <w:spacing w:after="0"/>
      <w:outlineLvl w:val="7"/>
    </w:pPr>
    <w:rPr>
      <w:rFonts w:cstheme="majorBidi" w:eastAsiaTheme="majorEastAsia"/>
      <w:i w:val="1"/>
      <w:iCs w:val="1"/>
      <w:color w:val="272727" w:themeColor="text1" w:themeTint="0000D8"/>
    </w:rPr>
  </w:style>
  <w:style w:type="paragraph" w:styleId="Heading9">
    <w:name w:val="heading 9"/>
    <w:basedOn w:val="Normal"/>
    <w:next w:val="Normal"/>
    <w:link w:val="Heading9Char"/>
    <w:uiPriority w:val="9"/>
    <w:semiHidden w:val="1"/>
    <w:unhideWhenUsed w:val="1"/>
    <w:qFormat w:val="1"/>
    <w:rsid w:val="00E12C1C"/>
    <w:pPr>
      <w:keepNext w:val="1"/>
      <w:keepLines w:val="1"/>
      <w:spacing w:after="0"/>
      <w:outlineLvl w:val="8"/>
    </w:pPr>
    <w:rPr>
      <w:rFonts w:cstheme="majorBidi" w:eastAsiaTheme="majorEastAsia"/>
      <w:color w:val="272727" w:themeColor="text1" w:themeTint="0000D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E12C1C"/>
    <w:rPr>
      <w:rFonts w:asciiTheme="majorHAnsi" w:cstheme="majorBidi" w:eastAsiaTheme="majorEastAsia" w:hAnsiTheme="majorHAnsi"/>
      <w:color w:val="2f5496" w:themeColor="accent1" w:themeShade="0000BF"/>
      <w:sz w:val="40"/>
      <w:szCs w:val="40"/>
    </w:rPr>
  </w:style>
  <w:style w:type="character" w:styleId="Heading2Char" w:customStyle="1">
    <w:name w:val="Heading 2 Char"/>
    <w:basedOn w:val="DefaultParagraphFont"/>
    <w:link w:val="Heading2"/>
    <w:uiPriority w:val="9"/>
    <w:semiHidden w:val="1"/>
    <w:rsid w:val="00E12C1C"/>
    <w:rPr>
      <w:rFonts w:asciiTheme="majorHAnsi" w:cstheme="majorBidi" w:eastAsiaTheme="majorEastAsia" w:hAnsiTheme="majorHAnsi"/>
      <w:color w:val="2f5496" w:themeColor="accent1" w:themeShade="0000BF"/>
      <w:sz w:val="32"/>
      <w:szCs w:val="32"/>
    </w:rPr>
  </w:style>
  <w:style w:type="character" w:styleId="Heading3Char" w:customStyle="1">
    <w:name w:val="Heading 3 Char"/>
    <w:basedOn w:val="DefaultParagraphFont"/>
    <w:link w:val="Heading3"/>
    <w:uiPriority w:val="9"/>
    <w:semiHidden w:val="1"/>
    <w:rsid w:val="00E12C1C"/>
    <w:rPr>
      <w:rFonts w:cstheme="majorBidi" w:eastAsiaTheme="majorEastAsia"/>
      <w:color w:val="2f5496" w:themeColor="accent1" w:themeShade="0000BF"/>
      <w:sz w:val="28"/>
      <w:szCs w:val="28"/>
    </w:rPr>
  </w:style>
  <w:style w:type="character" w:styleId="Heading4Char" w:customStyle="1">
    <w:name w:val="Heading 4 Char"/>
    <w:basedOn w:val="DefaultParagraphFont"/>
    <w:link w:val="Heading4"/>
    <w:uiPriority w:val="9"/>
    <w:semiHidden w:val="1"/>
    <w:rsid w:val="00E12C1C"/>
    <w:rPr>
      <w:rFonts w:cstheme="majorBidi" w:eastAsiaTheme="majorEastAsia"/>
      <w:i w:val="1"/>
      <w:iCs w:val="1"/>
      <w:color w:val="2f5496" w:themeColor="accent1" w:themeShade="0000BF"/>
    </w:rPr>
  </w:style>
  <w:style w:type="character" w:styleId="Heading5Char" w:customStyle="1">
    <w:name w:val="Heading 5 Char"/>
    <w:basedOn w:val="DefaultParagraphFont"/>
    <w:link w:val="Heading5"/>
    <w:uiPriority w:val="9"/>
    <w:semiHidden w:val="1"/>
    <w:rsid w:val="00E12C1C"/>
    <w:rPr>
      <w:rFonts w:cstheme="majorBidi" w:eastAsiaTheme="majorEastAsia"/>
      <w:color w:val="2f5496" w:themeColor="accent1" w:themeShade="0000BF"/>
    </w:rPr>
  </w:style>
  <w:style w:type="character" w:styleId="Heading6Char" w:customStyle="1">
    <w:name w:val="Heading 6 Char"/>
    <w:basedOn w:val="DefaultParagraphFont"/>
    <w:link w:val="Heading6"/>
    <w:uiPriority w:val="9"/>
    <w:semiHidden w:val="1"/>
    <w:rsid w:val="00E12C1C"/>
    <w:rPr>
      <w:rFonts w:cstheme="majorBidi" w:eastAsiaTheme="majorEastAsia"/>
      <w:i w:val="1"/>
      <w:iCs w:val="1"/>
      <w:color w:val="595959" w:themeColor="text1" w:themeTint="0000A6"/>
    </w:rPr>
  </w:style>
  <w:style w:type="character" w:styleId="Heading7Char" w:customStyle="1">
    <w:name w:val="Heading 7 Char"/>
    <w:basedOn w:val="DefaultParagraphFont"/>
    <w:link w:val="Heading7"/>
    <w:uiPriority w:val="9"/>
    <w:semiHidden w:val="1"/>
    <w:rsid w:val="00E12C1C"/>
    <w:rPr>
      <w:rFonts w:cstheme="majorBidi" w:eastAsiaTheme="majorEastAsia"/>
      <w:color w:val="595959" w:themeColor="text1" w:themeTint="0000A6"/>
    </w:rPr>
  </w:style>
  <w:style w:type="character" w:styleId="Heading8Char" w:customStyle="1">
    <w:name w:val="Heading 8 Char"/>
    <w:basedOn w:val="DefaultParagraphFont"/>
    <w:link w:val="Heading8"/>
    <w:uiPriority w:val="9"/>
    <w:semiHidden w:val="1"/>
    <w:rsid w:val="00E12C1C"/>
    <w:rPr>
      <w:rFonts w:cstheme="majorBidi" w:eastAsiaTheme="majorEastAsia"/>
      <w:i w:val="1"/>
      <w:iCs w:val="1"/>
      <w:color w:val="272727" w:themeColor="text1" w:themeTint="0000D8"/>
    </w:rPr>
  </w:style>
  <w:style w:type="character" w:styleId="Heading9Char" w:customStyle="1">
    <w:name w:val="Heading 9 Char"/>
    <w:basedOn w:val="DefaultParagraphFont"/>
    <w:link w:val="Heading9"/>
    <w:uiPriority w:val="9"/>
    <w:semiHidden w:val="1"/>
    <w:rsid w:val="00E12C1C"/>
    <w:rPr>
      <w:rFonts w:cstheme="majorBidi" w:eastAsiaTheme="majorEastAsia"/>
      <w:color w:val="272727" w:themeColor="text1" w:themeTint="0000D8"/>
    </w:rPr>
  </w:style>
  <w:style w:type="character" w:styleId="TitleChar" w:customStyle="1">
    <w:name w:val="Title Char"/>
    <w:basedOn w:val="DefaultParagraphFont"/>
    <w:link w:val="Title"/>
    <w:uiPriority w:val="10"/>
    <w:rsid w:val="00E12C1C"/>
    <w:rPr>
      <w:rFonts w:asciiTheme="majorHAnsi" w:cstheme="majorBidi" w:eastAsiaTheme="majorEastAsia" w:hAnsiTheme="majorHAnsi"/>
      <w:spacing w:val="-10"/>
      <w:kern w:val="28"/>
      <w:sz w:val="56"/>
      <w:szCs w:val="56"/>
    </w:rPr>
  </w:style>
  <w:style w:type="character" w:styleId="SubtitleChar" w:customStyle="1">
    <w:name w:val="Subtitle Char"/>
    <w:basedOn w:val="DefaultParagraphFont"/>
    <w:link w:val="Subtitle"/>
    <w:uiPriority w:val="11"/>
    <w:rsid w:val="00E12C1C"/>
    <w:rPr>
      <w:rFonts w:cstheme="majorBidi" w:eastAsiaTheme="majorEastAsia"/>
      <w:color w:val="595959" w:themeColor="text1" w:themeTint="0000A6"/>
      <w:spacing w:val="15"/>
      <w:sz w:val="28"/>
      <w:szCs w:val="28"/>
    </w:rPr>
  </w:style>
  <w:style w:type="paragraph" w:styleId="Quote">
    <w:name w:val="Quote"/>
    <w:basedOn w:val="Normal"/>
    <w:next w:val="Normal"/>
    <w:link w:val="QuoteChar"/>
    <w:uiPriority w:val="29"/>
    <w:qFormat w:val="1"/>
    <w:rsid w:val="00E12C1C"/>
    <w:pPr>
      <w:spacing w:before="160"/>
      <w:jc w:val="center"/>
    </w:pPr>
    <w:rPr>
      <w:i w:val="1"/>
      <w:iCs w:val="1"/>
      <w:color w:val="404040" w:themeColor="text1" w:themeTint="0000BF"/>
    </w:rPr>
  </w:style>
  <w:style w:type="character" w:styleId="QuoteChar" w:customStyle="1">
    <w:name w:val="Quote Char"/>
    <w:basedOn w:val="DefaultParagraphFont"/>
    <w:link w:val="Quote"/>
    <w:uiPriority w:val="29"/>
    <w:rsid w:val="00E12C1C"/>
    <w:rPr>
      <w:i w:val="1"/>
      <w:iCs w:val="1"/>
      <w:color w:val="404040" w:themeColor="text1" w:themeTint="0000BF"/>
    </w:rPr>
  </w:style>
  <w:style w:type="paragraph" w:styleId="ListParagraph">
    <w:name w:val="List Paragraph"/>
    <w:basedOn w:val="Normal"/>
    <w:uiPriority w:val="34"/>
    <w:qFormat w:val="1"/>
    <w:rsid w:val="00E12C1C"/>
    <w:pPr>
      <w:ind w:left="720"/>
      <w:contextualSpacing w:val="1"/>
    </w:pPr>
  </w:style>
  <w:style w:type="character" w:styleId="IntenseEmphasis">
    <w:name w:val="Intense Emphasis"/>
    <w:basedOn w:val="DefaultParagraphFont"/>
    <w:uiPriority w:val="21"/>
    <w:qFormat w:val="1"/>
    <w:rsid w:val="00E12C1C"/>
    <w:rPr>
      <w:i w:val="1"/>
      <w:iCs w:val="1"/>
      <w:color w:val="2f5496" w:themeColor="accent1" w:themeShade="0000BF"/>
    </w:rPr>
  </w:style>
  <w:style w:type="paragraph" w:styleId="IntenseQuote">
    <w:name w:val="Intense Quote"/>
    <w:basedOn w:val="Normal"/>
    <w:next w:val="Normal"/>
    <w:link w:val="IntenseQuoteChar"/>
    <w:uiPriority w:val="30"/>
    <w:qFormat w:val="1"/>
    <w:rsid w:val="00E12C1C"/>
    <w:pPr>
      <w:pBdr>
        <w:top w:color="2f5496" w:space="10" w:sz="4" w:themeColor="accent1" w:themeShade="0000BF" w:val="single"/>
        <w:bottom w:color="2f5496" w:space="10" w:sz="4" w:themeColor="accent1" w:themeShade="0000BF" w:val="single"/>
      </w:pBdr>
      <w:spacing w:after="360" w:before="360"/>
      <w:ind w:left="864" w:right="864"/>
      <w:jc w:val="center"/>
    </w:pPr>
    <w:rPr>
      <w:i w:val="1"/>
      <w:iCs w:val="1"/>
      <w:color w:val="2f5496" w:themeColor="accent1" w:themeShade="0000BF"/>
    </w:rPr>
  </w:style>
  <w:style w:type="character" w:styleId="IntenseQuoteChar" w:customStyle="1">
    <w:name w:val="Intense Quote Char"/>
    <w:basedOn w:val="DefaultParagraphFont"/>
    <w:link w:val="IntenseQuote"/>
    <w:uiPriority w:val="30"/>
    <w:rsid w:val="00E12C1C"/>
    <w:rPr>
      <w:i w:val="1"/>
      <w:iCs w:val="1"/>
      <w:color w:val="2f5496" w:themeColor="accent1" w:themeShade="0000BF"/>
    </w:rPr>
  </w:style>
  <w:style w:type="character" w:styleId="IntenseReference">
    <w:name w:val="Intense Reference"/>
    <w:basedOn w:val="DefaultParagraphFont"/>
    <w:uiPriority w:val="32"/>
    <w:qFormat w:val="1"/>
    <w:rsid w:val="00E12C1C"/>
    <w:rPr>
      <w:b w:val="1"/>
      <w:bCs w:val="1"/>
      <w:smallCaps w:val="1"/>
      <w:color w:val="2f5496" w:themeColor="accent1" w:themeShade="0000BF"/>
      <w:spacing w:val="5"/>
    </w:rPr>
  </w:style>
  <w:style w:type="paragraph" w:styleId="NormalWeb">
    <w:name w:val="Normal (Web)"/>
    <w:basedOn w:val="Normal"/>
    <w:uiPriority w:val="99"/>
    <w:semiHidden w:val="1"/>
    <w:unhideWhenUsed w:val="1"/>
    <w:rsid w:val="00855AD1"/>
    <w:rPr>
      <w:rFonts w:ascii="Times New Roman" w:cs="Times New Roman" w:hAnsi="Times New Roman"/>
    </w:rPr>
  </w:style>
  <w:style w:type="paragraph" w:styleId="Bibliography">
    <w:name w:val="Bibliography"/>
    <w:basedOn w:val="Normal"/>
    <w:next w:val="Normal"/>
    <w:uiPriority w:val="37"/>
    <w:unhideWhenUsed w:val="1"/>
    <w:rsid w:val="0026546E"/>
    <w:pPr>
      <w:spacing w:after="240" w:line="240" w:lineRule="auto"/>
    </w:pPr>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NFZ6+6A6V/fmRcSvAMeW2EYGedQ==">CgMxLjA4AHIhMV81SUtRczJlNjRlN3M4UmRCa3VaaVY4Z0g1a05mV1g0</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2025-03-20T09:46:00Z</dcterms:created>
  <dc:creator>PC</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zotero-version="7.0.15"&gt;&lt;session id="1xshkj4x"/&gt;&lt;style id="http://www.zotero.org/styles/harvard-cite-them-right" hasBibliography="1" bibliographyStyleHasBeenSet="1"/&gt;&lt;prefs&gt;&lt;pref name="fieldType" value="Field"/&gt;&lt;pref name="automatic</vt:lpwstr>
  </property>
  <property fmtid="{D5CDD505-2E9C-101B-9397-08002B2CF9AE}" pid="3" name="ZOTERO_PREF_2">
    <vt:lpwstr>JournalAbbreviations" value="true"/&gt;&lt;/prefs&gt;&lt;/data&gt;</vt:lpwstr>
  </property>
</Properties>
</file>