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CD9E36" w14:textId="77777777" w:rsidR="00843530" w:rsidRPr="00843530" w:rsidRDefault="00843530" w:rsidP="00843530">
      <w:pPr>
        <w:shd w:val="clear" w:color="auto" w:fill="FFFFFF"/>
        <w:spacing w:before="100" w:beforeAutospacing="1" w:after="100" w:afterAutospacing="1"/>
        <w:rPr>
          <w:rFonts w:ascii="Helvetica" w:hAnsi="Helvetica" w:cs="Times New Roman"/>
          <w:color w:val="333333"/>
          <w:sz w:val="30"/>
          <w:szCs w:val="30"/>
          <w:lang w:eastAsia="en-GB"/>
        </w:rPr>
      </w:pPr>
      <w:r w:rsidRPr="00843530">
        <w:rPr>
          <w:rFonts w:ascii="Helvetica" w:hAnsi="Helvetica" w:cs="Times New Roman"/>
          <w:color w:val="333333"/>
          <w:sz w:val="30"/>
          <w:szCs w:val="30"/>
          <w:lang w:eastAsia="en-GB"/>
        </w:rPr>
        <w:t>The first </w:t>
      </w:r>
      <w:r w:rsidRPr="00843530">
        <w:rPr>
          <w:rFonts w:ascii="Helvetica" w:hAnsi="Helvetica" w:cs="Times New Roman"/>
          <w:i/>
          <w:iCs/>
          <w:color w:val="333333"/>
          <w:sz w:val="30"/>
          <w:szCs w:val="30"/>
          <w:lang w:eastAsia="en-GB"/>
        </w:rPr>
        <w:t>World Happiness Report</w:t>
      </w:r>
      <w:r w:rsidRPr="00843530">
        <w:rPr>
          <w:rFonts w:ascii="Helvetica" w:hAnsi="Helvetica" w:cs="Times New Roman"/>
          <w:color w:val="333333"/>
          <w:sz w:val="30"/>
          <w:szCs w:val="30"/>
          <w:lang w:eastAsia="en-GB"/>
        </w:rPr>
        <w:t xml:space="preserve"> was published in April, 2012, in support of the UN High Level Meeting on happiness and well-being. Since then the world has come a long way. Increasingly, happiness is considered to be the proper measure of social progress and the goal of public policy. In </w:t>
      </w:r>
      <w:proofErr w:type="gramStart"/>
      <w:r w:rsidRPr="00843530">
        <w:rPr>
          <w:rFonts w:ascii="Helvetica" w:hAnsi="Helvetica" w:cs="Times New Roman"/>
          <w:color w:val="333333"/>
          <w:sz w:val="30"/>
          <w:szCs w:val="30"/>
          <w:lang w:eastAsia="en-GB"/>
        </w:rPr>
        <w:t>June 2016</w:t>
      </w:r>
      <w:proofErr w:type="gramEnd"/>
      <w:r w:rsidRPr="00843530">
        <w:rPr>
          <w:rFonts w:ascii="Helvetica" w:hAnsi="Helvetica" w:cs="Times New Roman"/>
          <w:color w:val="333333"/>
          <w:sz w:val="30"/>
          <w:szCs w:val="30"/>
          <w:lang w:eastAsia="en-GB"/>
        </w:rPr>
        <w:t xml:space="preserve"> the OECD committed itself </w:t>
      </w:r>
      <w:hyperlink r:id="rId5" w:history="1">
        <w:r w:rsidRPr="00843530">
          <w:rPr>
            <w:rFonts w:ascii="Helvetica" w:hAnsi="Helvetica" w:cs="Times New Roman"/>
            <w:color w:val="333333"/>
            <w:sz w:val="30"/>
            <w:szCs w:val="30"/>
            <w:u w:val="single"/>
            <w:lang w:eastAsia="en-GB"/>
          </w:rPr>
          <w:t xml:space="preserve">“to redefine the growth narrative to put people’s well-being at the </w:t>
        </w:r>
        <w:proofErr w:type="spellStart"/>
        <w:r w:rsidRPr="00843530">
          <w:rPr>
            <w:rFonts w:ascii="Helvetica" w:hAnsi="Helvetica" w:cs="Times New Roman"/>
            <w:color w:val="333333"/>
            <w:sz w:val="30"/>
            <w:szCs w:val="30"/>
            <w:u w:val="single"/>
            <w:lang w:eastAsia="en-GB"/>
          </w:rPr>
          <w:t>center</w:t>
        </w:r>
        <w:proofErr w:type="spellEnd"/>
        <w:r w:rsidRPr="00843530">
          <w:rPr>
            <w:rFonts w:ascii="Helvetica" w:hAnsi="Helvetica" w:cs="Times New Roman"/>
            <w:color w:val="333333"/>
            <w:sz w:val="30"/>
            <w:szCs w:val="30"/>
            <w:u w:val="single"/>
            <w:lang w:eastAsia="en-GB"/>
          </w:rPr>
          <w:t xml:space="preserve"> of governments’ efforts”</w:t>
        </w:r>
      </w:hyperlink>
      <w:r w:rsidRPr="00843530">
        <w:rPr>
          <w:rFonts w:ascii="Helvetica" w:hAnsi="Helvetica" w:cs="Times New Roman"/>
          <w:color w:val="333333"/>
          <w:sz w:val="30"/>
          <w:szCs w:val="30"/>
          <w:lang w:eastAsia="en-GB"/>
        </w:rPr>
        <w:t>. In February 2017, the United Arab Emirates held a full-day World Happiness meeting, as part of the World Government Summit. Now on World Happiness Day, March 20th, we launch the </w:t>
      </w:r>
      <w:r w:rsidRPr="00843530">
        <w:rPr>
          <w:rFonts w:ascii="Helvetica" w:hAnsi="Helvetica" w:cs="Times New Roman"/>
          <w:i/>
          <w:iCs/>
          <w:color w:val="333333"/>
          <w:sz w:val="30"/>
          <w:szCs w:val="30"/>
          <w:lang w:eastAsia="en-GB"/>
        </w:rPr>
        <w:t>World Happiness Report 2017</w:t>
      </w:r>
      <w:r w:rsidRPr="00843530">
        <w:rPr>
          <w:rFonts w:ascii="Helvetica" w:hAnsi="Helvetica" w:cs="Times New Roman"/>
          <w:color w:val="333333"/>
          <w:sz w:val="30"/>
          <w:szCs w:val="30"/>
          <w:lang w:eastAsia="en-GB"/>
        </w:rPr>
        <w:t>, once again back at the United Nations, again published by the Sustainable Development Solutions Network, and now supported by a generous three-year grant from the Ernesto Illy Foundation. Some highlights are as follows.</w:t>
      </w:r>
    </w:p>
    <w:p w14:paraId="3E3B720E" w14:textId="77777777" w:rsidR="00843530" w:rsidRPr="00843530" w:rsidRDefault="00843530" w:rsidP="00843530">
      <w:pPr>
        <w:shd w:val="clear" w:color="auto" w:fill="FFFFFF"/>
        <w:spacing w:after="180"/>
        <w:outlineLvl w:val="1"/>
        <w:rPr>
          <w:rFonts w:ascii="Helvetica" w:eastAsia="Times New Roman" w:hAnsi="Helvetica" w:cs="Times New Roman"/>
          <w:color w:val="333333"/>
          <w:sz w:val="48"/>
          <w:szCs w:val="48"/>
          <w:lang w:eastAsia="en-GB"/>
        </w:rPr>
      </w:pPr>
      <w:r w:rsidRPr="00843530">
        <w:rPr>
          <w:rFonts w:ascii="Helvetica" w:eastAsia="Times New Roman" w:hAnsi="Helvetica" w:cs="Times New Roman"/>
          <w:color w:val="333333"/>
          <w:sz w:val="48"/>
          <w:szCs w:val="48"/>
          <w:lang w:eastAsia="en-GB"/>
        </w:rPr>
        <w:t>Norway tops the global happiness rankings for 2017</w:t>
      </w:r>
    </w:p>
    <w:p w14:paraId="0993676B" w14:textId="77777777" w:rsidR="00843530" w:rsidRPr="00843530" w:rsidRDefault="00843530" w:rsidP="00843530">
      <w:pPr>
        <w:shd w:val="clear" w:color="auto" w:fill="FFFFFF"/>
        <w:spacing w:before="100" w:beforeAutospacing="1" w:after="100" w:afterAutospacing="1"/>
        <w:rPr>
          <w:rFonts w:ascii="Helvetica" w:hAnsi="Helvetica" w:cs="Times New Roman"/>
          <w:color w:val="333333"/>
          <w:sz w:val="30"/>
          <w:szCs w:val="30"/>
          <w:lang w:eastAsia="en-GB"/>
        </w:rPr>
      </w:pPr>
      <w:r w:rsidRPr="00843530">
        <w:rPr>
          <w:rFonts w:ascii="Helvetica" w:hAnsi="Helvetica" w:cs="Times New Roman"/>
          <w:color w:val="333333"/>
          <w:sz w:val="30"/>
          <w:szCs w:val="30"/>
          <w:lang w:eastAsia="en-GB"/>
        </w:rPr>
        <w:t>Norway has jumped from 4th place in 2016 to 1st place this year, followed by Denmark, Iceland and Switzerland in a tightly packed bunch. All of the top four countries rank highly on all the main factors found to support happiness: caring, freedom, generosity, honesty, health, income and good governance. Their averages are so close that small changes can re-order the rankings from year to year. Norway moves to the top of the ranking despite weaker oil prices. It is sometimes said that Norway achieves and maintains its high happiness not because of its oil wealth, but in spite of it. By choosing to produce its oil slowly, and investing the proceeds for the future rather than spending them in the present, Norway has insulated itself from the boom and bust cycle of many other resource-rich economies. To do this successfully requires high levels of mutual trust, shared purpose, generosity and good governance, all factors that help to keep Norway and other top countries where they are in the happiness rankings.</w:t>
      </w:r>
    </w:p>
    <w:p w14:paraId="76F32FA9" w14:textId="77777777" w:rsidR="00843530" w:rsidRPr="00843530" w:rsidRDefault="00843530" w:rsidP="00843530">
      <w:pPr>
        <w:shd w:val="clear" w:color="auto" w:fill="FFFFFF"/>
        <w:spacing w:before="100" w:beforeAutospacing="1" w:after="100" w:afterAutospacing="1"/>
        <w:rPr>
          <w:rFonts w:ascii="Helvetica" w:hAnsi="Helvetica" w:cs="Times New Roman"/>
          <w:color w:val="333333"/>
          <w:sz w:val="30"/>
          <w:szCs w:val="30"/>
          <w:lang w:eastAsia="en-GB"/>
        </w:rPr>
      </w:pPr>
      <w:r w:rsidRPr="00843530">
        <w:rPr>
          <w:rFonts w:ascii="Helvetica" w:hAnsi="Helvetica" w:cs="Times New Roman"/>
          <w:color w:val="333333"/>
          <w:sz w:val="30"/>
          <w:szCs w:val="30"/>
          <w:lang w:eastAsia="en-GB"/>
        </w:rPr>
        <w:t xml:space="preserve">All of the other countries in the top ten also have high values in all six of the key variables used to explain happiness differences among countries and through time – income, healthy life </w:t>
      </w:r>
      <w:r w:rsidRPr="00843530">
        <w:rPr>
          <w:rFonts w:ascii="Helvetica" w:hAnsi="Helvetica" w:cs="Times New Roman"/>
          <w:color w:val="333333"/>
          <w:sz w:val="30"/>
          <w:szCs w:val="30"/>
          <w:lang w:eastAsia="en-GB"/>
        </w:rPr>
        <w:lastRenderedPageBreak/>
        <w:t>expectancy, having someone to count on in times of trouble, generosity, freedom and trust, with the latter measured by the absence of corruption in business and government. Here too there has been some shuffling of ranks among closely grouped countries, with this year’s rankings placing Finland in 5thplace, followed by the Netherlands, Canada, New Zealand, and Australia and Sweden tied for the 9th position, having the same 2014-2016 score to three decimals.</w:t>
      </w:r>
    </w:p>
    <w:p w14:paraId="6A7864A5" w14:textId="77777777" w:rsidR="00843530" w:rsidRPr="00843530" w:rsidRDefault="00843530" w:rsidP="00843530">
      <w:pPr>
        <w:shd w:val="clear" w:color="auto" w:fill="FFFFFF"/>
        <w:spacing w:after="180"/>
        <w:outlineLvl w:val="1"/>
        <w:rPr>
          <w:rFonts w:ascii="Helvetica" w:eastAsia="Times New Roman" w:hAnsi="Helvetica" w:cs="Times New Roman"/>
          <w:color w:val="333333"/>
          <w:sz w:val="48"/>
          <w:szCs w:val="48"/>
          <w:lang w:eastAsia="en-GB"/>
        </w:rPr>
      </w:pPr>
      <w:r w:rsidRPr="00843530">
        <w:rPr>
          <w:rFonts w:ascii="Helvetica" w:eastAsia="Times New Roman" w:hAnsi="Helvetica" w:cs="Times New Roman"/>
          <w:color w:val="333333"/>
          <w:sz w:val="48"/>
          <w:szCs w:val="48"/>
          <w:lang w:eastAsia="en-GB"/>
        </w:rPr>
        <w:t>Happiness is both social and personal</w:t>
      </w:r>
    </w:p>
    <w:p w14:paraId="27BA10B1" w14:textId="77777777" w:rsidR="00843530" w:rsidRPr="00843530" w:rsidRDefault="00843530" w:rsidP="00843530">
      <w:pPr>
        <w:shd w:val="clear" w:color="auto" w:fill="FFFFFF"/>
        <w:spacing w:before="100" w:beforeAutospacing="1" w:after="100" w:afterAutospacing="1"/>
        <w:rPr>
          <w:rFonts w:ascii="Helvetica" w:hAnsi="Helvetica" w:cs="Times New Roman"/>
          <w:color w:val="333333"/>
          <w:sz w:val="30"/>
          <w:szCs w:val="30"/>
          <w:lang w:eastAsia="en-GB"/>
        </w:rPr>
      </w:pPr>
      <w:r w:rsidRPr="00843530">
        <w:rPr>
          <w:rFonts w:ascii="Helvetica" w:hAnsi="Helvetica" w:cs="Times New Roman"/>
          <w:color w:val="333333"/>
          <w:sz w:val="30"/>
          <w:szCs w:val="30"/>
          <w:lang w:eastAsia="en-GB"/>
        </w:rPr>
        <w:t>This year’s report emphasizes the importance of the social foundations of happiness (see </w:t>
      </w:r>
      <w:hyperlink r:id="rId6" w:history="1">
        <w:r w:rsidRPr="00843530">
          <w:rPr>
            <w:rFonts w:ascii="Helvetica" w:hAnsi="Helvetica" w:cs="Times New Roman"/>
            <w:color w:val="333333"/>
            <w:sz w:val="30"/>
            <w:szCs w:val="30"/>
            <w:u w:val="single"/>
            <w:lang w:eastAsia="en-GB"/>
          </w:rPr>
          <w:t>Chapter 2</w:t>
        </w:r>
      </w:hyperlink>
      <w:r w:rsidRPr="00843530">
        <w:rPr>
          <w:rFonts w:ascii="Helvetica" w:hAnsi="Helvetica" w:cs="Times New Roman"/>
          <w:color w:val="333333"/>
          <w:sz w:val="30"/>
          <w:szCs w:val="30"/>
          <w:lang w:eastAsia="en-GB"/>
        </w:rPr>
        <w:t>). This can be seen by comparing the life experiences between the top and bottom ten countries in this year’s happiness rankings. There is a four-point happiness gap between the two groups of countries, of which three-quarters is explained by the six variables, half due to differences in having someone to count on, generosity, a sense of freedom, and freedom from corruption. The other half of the explained difference is attributed to GDP per capita and healthy life expectancy, both of which, as the report explains, also depend importantly on the social context.</w:t>
      </w:r>
    </w:p>
    <w:p w14:paraId="281F2EB8" w14:textId="77777777" w:rsidR="00843530" w:rsidRPr="00843530" w:rsidRDefault="00843530" w:rsidP="00843530">
      <w:pPr>
        <w:shd w:val="clear" w:color="auto" w:fill="FFFFFF"/>
        <w:spacing w:before="100" w:beforeAutospacing="1" w:after="100" w:afterAutospacing="1"/>
        <w:rPr>
          <w:rFonts w:ascii="Helvetica" w:hAnsi="Helvetica" w:cs="Times New Roman"/>
          <w:color w:val="333333"/>
          <w:sz w:val="30"/>
          <w:szCs w:val="30"/>
          <w:lang w:eastAsia="en-GB"/>
        </w:rPr>
      </w:pPr>
      <w:proofErr w:type="gramStart"/>
      <w:r w:rsidRPr="00843530">
        <w:rPr>
          <w:rFonts w:ascii="Helvetica" w:hAnsi="Helvetica" w:cs="Times New Roman"/>
          <w:color w:val="333333"/>
          <w:sz w:val="30"/>
          <w:szCs w:val="30"/>
          <w:lang w:eastAsia="en-GB"/>
        </w:rPr>
        <w:t>However</w:t>
      </w:r>
      <w:proofErr w:type="gramEnd"/>
      <w:r w:rsidRPr="00843530">
        <w:rPr>
          <w:rFonts w:ascii="Helvetica" w:hAnsi="Helvetica" w:cs="Times New Roman"/>
          <w:color w:val="333333"/>
          <w:sz w:val="30"/>
          <w:szCs w:val="30"/>
          <w:lang w:eastAsia="en-GB"/>
        </w:rPr>
        <w:t xml:space="preserve"> 80% of the variance of happiness across the world occurs within countries. In richer countries the within-country differences are not mainly explained by income inequality, but by differences in mental health, physical health and personal relationships: the biggest single source of misery is mental illness (see </w:t>
      </w:r>
      <w:hyperlink r:id="rId7" w:history="1">
        <w:r w:rsidRPr="00843530">
          <w:rPr>
            <w:rFonts w:ascii="Helvetica" w:hAnsi="Helvetica" w:cs="Times New Roman"/>
            <w:color w:val="333333"/>
            <w:sz w:val="30"/>
            <w:szCs w:val="30"/>
            <w:u w:val="single"/>
            <w:lang w:eastAsia="en-GB"/>
          </w:rPr>
          <w:t>Chapter 5</w:t>
        </w:r>
      </w:hyperlink>
      <w:r w:rsidRPr="00843530">
        <w:rPr>
          <w:rFonts w:ascii="Helvetica" w:hAnsi="Helvetica" w:cs="Times New Roman"/>
          <w:color w:val="333333"/>
          <w:sz w:val="30"/>
          <w:szCs w:val="30"/>
          <w:lang w:eastAsia="en-GB"/>
        </w:rPr>
        <w:t>). Income differences matter more in poorer countries, but even their mental illness is a major source of misery.</w:t>
      </w:r>
    </w:p>
    <w:p w14:paraId="4F500935" w14:textId="77777777" w:rsidR="00843530" w:rsidRPr="00843530" w:rsidRDefault="00843530" w:rsidP="00843530">
      <w:pPr>
        <w:shd w:val="clear" w:color="auto" w:fill="FFFFFF"/>
        <w:spacing w:before="100" w:beforeAutospacing="1" w:after="100" w:afterAutospacing="1"/>
        <w:rPr>
          <w:rFonts w:ascii="Helvetica" w:hAnsi="Helvetica" w:cs="Times New Roman"/>
          <w:color w:val="333333"/>
          <w:sz w:val="30"/>
          <w:szCs w:val="30"/>
          <w:lang w:eastAsia="en-GB"/>
        </w:rPr>
      </w:pPr>
      <w:r w:rsidRPr="00843530">
        <w:rPr>
          <w:rFonts w:ascii="Helvetica" w:hAnsi="Helvetica" w:cs="Times New Roman"/>
          <w:color w:val="333333"/>
          <w:sz w:val="30"/>
          <w:szCs w:val="30"/>
          <w:lang w:eastAsia="en-GB"/>
        </w:rPr>
        <w:t>Work is also a major factor affecting happiness (see </w:t>
      </w:r>
      <w:hyperlink r:id="rId8" w:history="1">
        <w:r w:rsidRPr="00843530">
          <w:rPr>
            <w:rFonts w:ascii="Helvetica" w:hAnsi="Helvetica" w:cs="Times New Roman"/>
            <w:color w:val="333333"/>
            <w:sz w:val="30"/>
            <w:szCs w:val="30"/>
            <w:u w:val="single"/>
            <w:lang w:eastAsia="en-GB"/>
          </w:rPr>
          <w:t>Chapter 6</w:t>
        </w:r>
      </w:hyperlink>
      <w:r w:rsidRPr="00843530">
        <w:rPr>
          <w:rFonts w:ascii="Helvetica" w:hAnsi="Helvetica" w:cs="Times New Roman"/>
          <w:color w:val="333333"/>
          <w:sz w:val="30"/>
          <w:szCs w:val="30"/>
          <w:lang w:eastAsia="en-GB"/>
        </w:rPr>
        <w:t>). Unemployment causes a major fall in happiness, and even for those in work the quality of work can cause major variations in happiness.</w:t>
      </w:r>
    </w:p>
    <w:p w14:paraId="4C7E1137" w14:textId="77777777" w:rsidR="00843530" w:rsidRPr="00843530" w:rsidRDefault="00843530" w:rsidP="00843530">
      <w:pPr>
        <w:shd w:val="clear" w:color="auto" w:fill="FFFFFF"/>
        <w:spacing w:after="180"/>
        <w:outlineLvl w:val="1"/>
        <w:rPr>
          <w:rFonts w:ascii="Helvetica" w:eastAsia="Times New Roman" w:hAnsi="Helvetica" w:cs="Times New Roman"/>
          <w:color w:val="333333"/>
          <w:sz w:val="48"/>
          <w:szCs w:val="48"/>
          <w:lang w:eastAsia="en-GB"/>
        </w:rPr>
      </w:pPr>
      <w:r w:rsidRPr="00843530">
        <w:rPr>
          <w:rFonts w:ascii="Helvetica" w:eastAsia="Times New Roman" w:hAnsi="Helvetica" w:cs="Times New Roman"/>
          <w:color w:val="333333"/>
          <w:sz w:val="48"/>
          <w:szCs w:val="48"/>
          <w:lang w:eastAsia="en-GB"/>
        </w:rPr>
        <w:t>People in China are no happier than 25 years ago</w:t>
      </w:r>
    </w:p>
    <w:p w14:paraId="1B675874" w14:textId="77777777" w:rsidR="00843530" w:rsidRPr="00843530" w:rsidRDefault="00843530" w:rsidP="00843530">
      <w:pPr>
        <w:shd w:val="clear" w:color="auto" w:fill="FFFFFF"/>
        <w:spacing w:before="100" w:beforeAutospacing="1" w:after="100" w:afterAutospacing="1"/>
        <w:rPr>
          <w:rFonts w:ascii="Helvetica" w:hAnsi="Helvetica" w:cs="Times New Roman"/>
          <w:color w:val="333333"/>
          <w:sz w:val="30"/>
          <w:szCs w:val="30"/>
          <w:lang w:eastAsia="en-GB"/>
        </w:rPr>
      </w:pPr>
      <w:r w:rsidRPr="00843530">
        <w:rPr>
          <w:rFonts w:ascii="Helvetica" w:hAnsi="Helvetica" w:cs="Times New Roman"/>
          <w:color w:val="333333"/>
          <w:sz w:val="30"/>
          <w:szCs w:val="30"/>
          <w:lang w:eastAsia="en-GB"/>
        </w:rPr>
        <w:t xml:space="preserve">Our China chapter is led by Richard A. </w:t>
      </w:r>
      <w:proofErr w:type="spellStart"/>
      <w:r w:rsidRPr="00843530">
        <w:rPr>
          <w:rFonts w:ascii="Helvetica" w:hAnsi="Helvetica" w:cs="Times New Roman"/>
          <w:color w:val="333333"/>
          <w:sz w:val="30"/>
          <w:szCs w:val="30"/>
          <w:lang w:eastAsia="en-GB"/>
        </w:rPr>
        <w:t>Easterlin</w:t>
      </w:r>
      <w:proofErr w:type="spellEnd"/>
      <w:r w:rsidRPr="00843530">
        <w:rPr>
          <w:rFonts w:ascii="Helvetica" w:hAnsi="Helvetica" w:cs="Times New Roman"/>
          <w:color w:val="333333"/>
          <w:sz w:val="30"/>
          <w:szCs w:val="30"/>
          <w:lang w:eastAsia="en-GB"/>
        </w:rPr>
        <w:t>, who pioneered the economics of happiness more than 40 years ago. It contrasts the sharply growing per capita income in China over the past 25 years with life evaluations that fell steadily from 1990 till about 2005, recovering since then to about the 1990 levels. They attribute the dropping happiness in the first part of the period to rising unemployment and fraying social safety nets, with recoveries since in both (see </w:t>
      </w:r>
      <w:hyperlink r:id="rId9" w:history="1">
        <w:r w:rsidRPr="00843530">
          <w:rPr>
            <w:rFonts w:ascii="Helvetica" w:hAnsi="Helvetica" w:cs="Times New Roman"/>
            <w:color w:val="333333"/>
            <w:sz w:val="30"/>
            <w:szCs w:val="30"/>
            <w:u w:val="single"/>
            <w:lang w:eastAsia="en-GB"/>
          </w:rPr>
          <w:t>Chapter 3</w:t>
        </w:r>
      </w:hyperlink>
      <w:r w:rsidRPr="00843530">
        <w:rPr>
          <w:rFonts w:ascii="Helvetica" w:hAnsi="Helvetica" w:cs="Times New Roman"/>
          <w:color w:val="333333"/>
          <w:sz w:val="30"/>
          <w:szCs w:val="30"/>
          <w:lang w:eastAsia="en-GB"/>
        </w:rPr>
        <w:t>).</w:t>
      </w:r>
    </w:p>
    <w:p w14:paraId="66B91C13" w14:textId="77777777" w:rsidR="00843530" w:rsidRPr="00843530" w:rsidRDefault="00843530" w:rsidP="00843530">
      <w:pPr>
        <w:shd w:val="clear" w:color="auto" w:fill="FFFFFF"/>
        <w:spacing w:after="180"/>
        <w:outlineLvl w:val="1"/>
        <w:rPr>
          <w:rFonts w:ascii="Helvetica" w:eastAsia="Times New Roman" w:hAnsi="Helvetica" w:cs="Times New Roman"/>
          <w:color w:val="333333"/>
          <w:sz w:val="48"/>
          <w:szCs w:val="48"/>
          <w:lang w:eastAsia="en-GB"/>
        </w:rPr>
      </w:pPr>
      <w:r w:rsidRPr="00843530">
        <w:rPr>
          <w:rFonts w:ascii="Helvetica" w:eastAsia="Times New Roman" w:hAnsi="Helvetica" w:cs="Times New Roman"/>
          <w:color w:val="333333"/>
          <w:sz w:val="48"/>
          <w:szCs w:val="48"/>
          <w:lang w:eastAsia="en-GB"/>
        </w:rPr>
        <w:t>Much of Africa is struggling</w:t>
      </w:r>
    </w:p>
    <w:p w14:paraId="6676FF1C" w14:textId="77777777" w:rsidR="00843530" w:rsidRPr="00843530" w:rsidRDefault="00843530" w:rsidP="00843530">
      <w:pPr>
        <w:shd w:val="clear" w:color="auto" w:fill="FFFFFF"/>
        <w:spacing w:before="100" w:beforeAutospacing="1" w:after="100" w:afterAutospacing="1"/>
        <w:rPr>
          <w:rFonts w:ascii="Helvetica" w:hAnsi="Helvetica" w:cs="Times New Roman"/>
          <w:color w:val="333333"/>
          <w:sz w:val="30"/>
          <w:szCs w:val="30"/>
          <w:lang w:eastAsia="en-GB"/>
        </w:rPr>
      </w:pPr>
      <w:r w:rsidRPr="00843530">
        <w:rPr>
          <w:rFonts w:ascii="Helvetica" w:hAnsi="Helvetica" w:cs="Times New Roman"/>
          <w:color w:val="333333"/>
          <w:sz w:val="30"/>
          <w:szCs w:val="30"/>
          <w:lang w:eastAsia="en-GB"/>
        </w:rPr>
        <w:t xml:space="preserve">The Africa chapter, led by Valerie </w:t>
      </w:r>
      <w:proofErr w:type="spellStart"/>
      <w:r w:rsidRPr="00843530">
        <w:rPr>
          <w:rFonts w:ascii="Helvetica" w:hAnsi="Helvetica" w:cs="Times New Roman"/>
          <w:color w:val="333333"/>
          <w:sz w:val="30"/>
          <w:szCs w:val="30"/>
          <w:lang w:eastAsia="en-GB"/>
        </w:rPr>
        <w:t>Møller</w:t>
      </w:r>
      <w:proofErr w:type="spellEnd"/>
      <w:r w:rsidRPr="00843530">
        <w:rPr>
          <w:rFonts w:ascii="Helvetica" w:hAnsi="Helvetica" w:cs="Times New Roman"/>
          <w:color w:val="333333"/>
          <w:sz w:val="30"/>
          <w:szCs w:val="30"/>
          <w:lang w:eastAsia="en-GB"/>
        </w:rPr>
        <w:t>, tells a much more diverse story, as fits the African reality with its great number and vast range of experiences. But these are often marked by delayed and disappointed hopes for happier lives (see </w:t>
      </w:r>
      <w:hyperlink r:id="rId10" w:history="1">
        <w:r w:rsidRPr="00843530">
          <w:rPr>
            <w:rFonts w:ascii="Helvetica" w:hAnsi="Helvetica" w:cs="Times New Roman"/>
            <w:color w:val="333333"/>
            <w:sz w:val="30"/>
            <w:szCs w:val="30"/>
            <w:u w:val="single"/>
            <w:lang w:eastAsia="en-GB"/>
          </w:rPr>
          <w:t>Chapter 4</w:t>
        </w:r>
      </w:hyperlink>
      <w:r w:rsidRPr="00843530">
        <w:rPr>
          <w:rFonts w:ascii="Helvetica" w:hAnsi="Helvetica" w:cs="Times New Roman"/>
          <w:color w:val="333333"/>
          <w:sz w:val="30"/>
          <w:szCs w:val="30"/>
          <w:lang w:eastAsia="en-GB"/>
        </w:rPr>
        <w:t>).</w:t>
      </w:r>
    </w:p>
    <w:p w14:paraId="7E25B8D3" w14:textId="77777777" w:rsidR="00843530" w:rsidRPr="00843530" w:rsidRDefault="00843530" w:rsidP="00843530">
      <w:pPr>
        <w:shd w:val="clear" w:color="auto" w:fill="FFFFFF"/>
        <w:spacing w:after="180"/>
        <w:outlineLvl w:val="1"/>
        <w:rPr>
          <w:rFonts w:ascii="Helvetica" w:eastAsia="Times New Roman" w:hAnsi="Helvetica" w:cs="Times New Roman"/>
          <w:color w:val="333333"/>
          <w:sz w:val="48"/>
          <w:szCs w:val="48"/>
          <w:lang w:eastAsia="en-GB"/>
        </w:rPr>
      </w:pPr>
      <w:r w:rsidRPr="00843530">
        <w:rPr>
          <w:rFonts w:ascii="Helvetica" w:eastAsia="Times New Roman" w:hAnsi="Helvetica" w:cs="Times New Roman"/>
          <w:color w:val="333333"/>
          <w:sz w:val="48"/>
          <w:szCs w:val="48"/>
          <w:lang w:eastAsia="en-GB"/>
        </w:rPr>
        <w:t>Happiness has fallen in America</w:t>
      </w:r>
    </w:p>
    <w:p w14:paraId="083066D3" w14:textId="77777777" w:rsidR="00843530" w:rsidRPr="00843530" w:rsidRDefault="00843530" w:rsidP="00843530">
      <w:pPr>
        <w:shd w:val="clear" w:color="auto" w:fill="FFFFFF"/>
        <w:spacing w:before="100" w:beforeAutospacing="1" w:after="100" w:afterAutospacing="1"/>
        <w:rPr>
          <w:rFonts w:ascii="Helvetica" w:hAnsi="Helvetica" w:cs="Times New Roman"/>
          <w:color w:val="333333"/>
          <w:sz w:val="30"/>
          <w:szCs w:val="30"/>
          <w:lang w:eastAsia="en-GB"/>
        </w:rPr>
      </w:pPr>
      <w:r w:rsidRPr="00843530">
        <w:rPr>
          <w:rFonts w:ascii="Helvetica" w:hAnsi="Helvetica" w:cs="Times New Roman"/>
          <w:color w:val="333333"/>
          <w:sz w:val="30"/>
          <w:szCs w:val="30"/>
          <w:lang w:eastAsia="en-GB"/>
        </w:rPr>
        <w:t xml:space="preserve">The USA is a story of reduced happiness. In 2007 the USA ranked 3rd among the OECD countries; in </w:t>
      </w:r>
      <w:proofErr w:type="gramStart"/>
      <w:r w:rsidRPr="00843530">
        <w:rPr>
          <w:rFonts w:ascii="Helvetica" w:hAnsi="Helvetica" w:cs="Times New Roman"/>
          <w:color w:val="333333"/>
          <w:sz w:val="30"/>
          <w:szCs w:val="30"/>
          <w:lang w:eastAsia="en-GB"/>
        </w:rPr>
        <w:t>2016</w:t>
      </w:r>
      <w:proofErr w:type="gramEnd"/>
      <w:r w:rsidRPr="00843530">
        <w:rPr>
          <w:rFonts w:ascii="Helvetica" w:hAnsi="Helvetica" w:cs="Times New Roman"/>
          <w:color w:val="333333"/>
          <w:sz w:val="30"/>
          <w:szCs w:val="30"/>
          <w:lang w:eastAsia="en-GB"/>
        </w:rPr>
        <w:t xml:space="preserve"> it came 19th. The reasons are declining social support and increased corruption (see </w:t>
      </w:r>
      <w:hyperlink r:id="rId11" w:history="1">
        <w:r w:rsidRPr="00843530">
          <w:rPr>
            <w:rFonts w:ascii="Helvetica" w:hAnsi="Helvetica" w:cs="Times New Roman"/>
            <w:color w:val="333333"/>
            <w:sz w:val="30"/>
            <w:szCs w:val="30"/>
            <w:u w:val="single"/>
            <w:lang w:eastAsia="en-GB"/>
          </w:rPr>
          <w:t>Chapter 7</w:t>
        </w:r>
      </w:hyperlink>
      <w:r w:rsidRPr="00843530">
        <w:rPr>
          <w:rFonts w:ascii="Helvetica" w:hAnsi="Helvetica" w:cs="Times New Roman"/>
          <w:color w:val="333333"/>
          <w:sz w:val="30"/>
          <w:szCs w:val="30"/>
          <w:lang w:eastAsia="en-GB"/>
        </w:rPr>
        <w:t>) and it is these same factors that explain why the Nordic countries do so much better.</w:t>
      </w:r>
    </w:p>
    <w:p w14:paraId="43E55CFB" w14:textId="77777777" w:rsidR="00F53C39" w:rsidRDefault="004C7E62" w:rsidP="00843530"/>
    <w:p w14:paraId="512CE917" w14:textId="77777777" w:rsidR="00EC00C7" w:rsidRDefault="00EC00C7" w:rsidP="00843530"/>
    <w:p w14:paraId="42F70460" w14:textId="77777777" w:rsidR="00EC00C7" w:rsidRDefault="00EC00C7" w:rsidP="00843530"/>
    <w:p w14:paraId="196FBBBB" w14:textId="77777777" w:rsidR="00EC00C7" w:rsidRDefault="00EC00C7" w:rsidP="00843530">
      <w:r>
        <w:t>Donaldson</w:t>
      </w:r>
    </w:p>
    <w:p w14:paraId="6E81BB24" w14:textId="77777777" w:rsidR="00EC00C7" w:rsidRDefault="00EC00C7" w:rsidP="00843530">
      <w:r>
        <w:t>p. 46</w:t>
      </w:r>
    </w:p>
    <w:p w14:paraId="01F5357D" w14:textId="77777777" w:rsidR="00EC00C7" w:rsidRDefault="00EC00C7" w:rsidP="00EC00C7">
      <w:pPr>
        <w:widowControl w:val="0"/>
        <w:autoSpaceDE w:val="0"/>
        <w:autoSpaceDN w:val="0"/>
        <w:adjustRightInd w:val="0"/>
        <w:spacing w:after="240" w:line="480" w:lineRule="atLeast"/>
        <w:rPr>
          <w:rFonts w:ascii="Times" w:hAnsi="Times" w:cs="Times"/>
          <w:color w:val="000000"/>
        </w:rPr>
      </w:pPr>
      <w:r>
        <w:rPr>
          <w:rFonts w:ascii="Times" w:hAnsi="Times" w:cs="Times"/>
          <w:color w:val="000000"/>
          <w:sz w:val="42"/>
          <w:szCs w:val="42"/>
        </w:rPr>
        <w:t xml:space="preserve">Developing distinctive purposes of the curriculum for Wales </w:t>
      </w:r>
    </w:p>
    <w:p w14:paraId="3711B4FB" w14:textId="77777777" w:rsidR="00EC00C7" w:rsidRDefault="00EC00C7" w:rsidP="00EC00C7">
      <w:pPr>
        <w:widowControl w:val="0"/>
        <w:autoSpaceDE w:val="0"/>
        <w:autoSpaceDN w:val="0"/>
        <w:adjustRightInd w:val="0"/>
        <w:spacing w:after="240" w:line="360" w:lineRule="atLeast"/>
        <w:rPr>
          <w:rFonts w:ascii="Times" w:hAnsi="Times" w:cs="Times"/>
          <w:color w:val="000000"/>
        </w:rPr>
      </w:pPr>
      <w:r>
        <w:rPr>
          <w:rFonts w:ascii="Times" w:hAnsi="Times" w:cs="Times"/>
          <w:color w:val="000000"/>
          <w:sz w:val="32"/>
          <w:szCs w:val="32"/>
        </w:rPr>
        <w:t xml:space="preserve">The views gathered during the Review’s extensive discussions with school leaders, </w:t>
      </w:r>
    </w:p>
    <w:p w14:paraId="3D58E058" w14:textId="77777777" w:rsidR="00EC00C7" w:rsidRDefault="00EC00C7" w:rsidP="00EC00C7">
      <w:pPr>
        <w:widowControl w:val="0"/>
        <w:autoSpaceDE w:val="0"/>
        <w:autoSpaceDN w:val="0"/>
        <w:adjustRightInd w:val="0"/>
        <w:spacing w:after="240" w:line="360" w:lineRule="atLeast"/>
        <w:rPr>
          <w:rFonts w:ascii="Times" w:hAnsi="Times" w:cs="Times"/>
          <w:color w:val="000000"/>
        </w:rPr>
      </w:pPr>
      <w:r>
        <w:rPr>
          <w:rFonts w:ascii="Times" w:hAnsi="Times" w:cs="Times"/>
          <w:color w:val="000000"/>
          <w:sz w:val="32"/>
          <w:szCs w:val="32"/>
        </w:rPr>
        <w:t xml:space="preserve">teachers and other stakeholders help to begin to shape purposes for the curriculum </w:t>
      </w:r>
    </w:p>
    <w:p w14:paraId="15A374AD" w14:textId="77777777" w:rsidR="00EC00C7" w:rsidRDefault="00EC00C7" w:rsidP="00EC00C7">
      <w:pPr>
        <w:widowControl w:val="0"/>
        <w:autoSpaceDE w:val="0"/>
        <w:autoSpaceDN w:val="0"/>
        <w:adjustRightInd w:val="0"/>
        <w:spacing w:after="240" w:line="360" w:lineRule="atLeast"/>
        <w:rPr>
          <w:rFonts w:ascii="Times" w:hAnsi="Times" w:cs="Times"/>
          <w:color w:val="000000"/>
        </w:rPr>
      </w:pPr>
      <w:r>
        <w:rPr>
          <w:rFonts w:ascii="Times" w:hAnsi="Times" w:cs="Times"/>
          <w:color w:val="000000"/>
          <w:sz w:val="32"/>
          <w:szCs w:val="32"/>
        </w:rPr>
        <w:t xml:space="preserve">in Wales. For example, responses to the question in the call for evidence ‘What are </w:t>
      </w:r>
    </w:p>
    <w:p w14:paraId="3ABFC91F" w14:textId="77777777" w:rsidR="00EC00C7" w:rsidRDefault="00EC00C7" w:rsidP="00EC00C7">
      <w:pPr>
        <w:widowControl w:val="0"/>
        <w:autoSpaceDE w:val="0"/>
        <w:autoSpaceDN w:val="0"/>
        <w:adjustRightInd w:val="0"/>
        <w:spacing w:after="240" w:line="360" w:lineRule="atLeast"/>
        <w:rPr>
          <w:rFonts w:ascii="Times" w:hAnsi="Times" w:cs="Times"/>
          <w:color w:val="000000"/>
        </w:rPr>
      </w:pPr>
      <w:r>
        <w:rPr>
          <w:rFonts w:ascii="Times" w:hAnsi="Times" w:cs="Times"/>
          <w:color w:val="000000"/>
          <w:sz w:val="32"/>
          <w:szCs w:val="32"/>
        </w:rPr>
        <w:t xml:space="preserve">the three best things about education in Wales?’ </w:t>
      </w:r>
    </w:p>
    <w:p w14:paraId="6A936D8C" w14:textId="77777777" w:rsidR="00EC00C7" w:rsidRDefault="00EC00C7" w:rsidP="00EC00C7">
      <w:pPr>
        <w:widowControl w:val="0"/>
        <w:autoSpaceDE w:val="0"/>
        <w:autoSpaceDN w:val="0"/>
        <w:adjustRightInd w:val="0"/>
        <w:spacing w:after="240" w:line="160" w:lineRule="atLeast"/>
        <w:rPr>
          <w:rFonts w:ascii="Times" w:hAnsi="Times" w:cs="Times"/>
          <w:color w:val="000000"/>
        </w:rPr>
      </w:pPr>
      <w:r>
        <w:rPr>
          <w:rFonts w:ascii="Times" w:hAnsi="Times" w:cs="Times"/>
          <w:color w:val="000000"/>
          <w:sz w:val="13"/>
          <w:szCs w:val="13"/>
        </w:rPr>
        <w:t xml:space="preserve">14 </w:t>
      </w:r>
    </w:p>
    <w:p w14:paraId="34DE720C" w14:textId="77777777" w:rsidR="00EC00C7" w:rsidRDefault="00EC00C7" w:rsidP="00EC00C7">
      <w:pPr>
        <w:widowControl w:val="0"/>
        <w:autoSpaceDE w:val="0"/>
        <w:autoSpaceDN w:val="0"/>
        <w:adjustRightInd w:val="0"/>
        <w:spacing w:after="240" w:line="360" w:lineRule="atLeast"/>
        <w:rPr>
          <w:rFonts w:ascii="Times" w:hAnsi="Times" w:cs="Times"/>
          <w:color w:val="000000"/>
        </w:rPr>
      </w:pPr>
      <w:r>
        <w:rPr>
          <w:rFonts w:ascii="Times" w:hAnsi="Times" w:cs="Times"/>
          <w:color w:val="000000"/>
          <w:sz w:val="32"/>
          <w:szCs w:val="32"/>
        </w:rPr>
        <w:t xml:space="preserve">highlighted support for: </w:t>
      </w:r>
    </w:p>
    <w:p w14:paraId="54C9F633" w14:textId="77777777" w:rsidR="00EC00C7" w:rsidRDefault="00EC00C7" w:rsidP="00EC00C7">
      <w:pPr>
        <w:widowControl w:val="0"/>
        <w:autoSpaceDE w:val="0"/>
        <w:autoSpaceDN w:val="0"/>
        <w:adjustRightInd w:val="0"/>
        <w:spacing w:after="240" w:line="360" w:lineRule="atLeast"/>
        <w:rPr>
          <w:rFonts w:ascii="Times" w:hAnsi="Times" w:cs="Times"/>
          <w:color w:val="000000"/>
        </w:rPr>
      </w:pPr>
    </w:p>
    <w:p w14:paraId="62F6D313" w14:textId="77777777" w:rsidR="00EC00C7" w:rsidRDefault="00EC00C7" w:rsidP="00EC00C7">
      <w:pPr>
        <w:widowControl w:val="0"/>
        <w:autoSpaceDE w:val="0"/>
        <w:autoSpaceDN w:val="0"/>
        <w:adjustRightInd w:val="0"/>
        <w:spacing w:after="240" w:line="320" w:lineRule="atLeast"/>
        <w:rPr>
          <w:rFonts w:ascii="Times" w:hAnsi="Times" w:cs="Times"/>
          <w:color w:val="000000"/>
        </w:rPr>
      </w:pPr>
      <w:r>
        <w:rPr>
          <w:rFonts w:ascii="Zapf Dingbats" w:hAnsi="Zapf Dingbats" w:cs="Zapf Dingbats"/>
          <w:color w:val="000000"/>
          <w:sz w:val="32"/>
          <w:szCs w:val="32"/>
        </w:rPr>
        <w:t></w:t>
      </w:r>
      <w:r>
        <w:rPr>
          <w:rFonts w:ascii="Zapf Dingbats" w:hAnsi="Zapf Dingbats" w:cs="Zapf Dingbats"/>
          <w:color w:val="000000"/>
          <w:sz w:val="32"/>
          <w:szCs w:val="32"/>
        </w:rPr>
        <w:t></w:t>
      </w:r>
    </w:p>
    <w:p w14:paraId="320C63DC" w14:textId="77777777" w:rsidR="00EC00C7" w:rsidRDefault="00EC00C7" w:rsidP="00EC00C7">
      <w:pPr>
        <w:widowControl w:val="0"/>
        <w:autoSpaceDE w:val="0"/>
        <w:autoSpaceDN w:val="0"/>
        <w:adjustRightInd w:val="0"/>
        <w:spacing w:after="240" w:line="360" w:lineRule="atLeast"/>
        <w:rPr>
          <w:rFonts w:ascii="Times" w:hAnsi="Times" w:cs="Times"/>
          <w:color w:val="000000"/>
        </w:rPr>
      </w:pPr>
      <w:r>
        <w:rPr>
          <w:rFonts w:ascii="Times" w:hAnsi="Times" w:cs="Times"/>
          <w:color w:val="000000"/>
          <w:sz w:val="32"/>
          <w:szCs w:val="32"/>
        </w:rPr>
        <w:t xml:space="preserve">the principles enshrined in the UNCRC </w:t>
      </w:r>
    </w:p>
    <w:p w14:paraId="205FAE3D" w14:textId="77777777" w:rsidR="00EC00C7" w:rsidRDefault="00EC00C7" w:rsidP="00EC00C7">
      <w:pPr>
        <w:widowControl w:val="0"/>
        <w:autoSpaceDE w:val="0"/>
        <w:autoSpaceDN w:val="0"/>
        <w:adjustRightInd w:val="0"/>
        <w:spacing w:after="240" w:line="360" w:lineRule="atLeast"/>
        <w:rPr>
          <w:rFonts w:ascii="Times" w:hAnsi="Times" w:cs="Times"/>
          <w:color w:val="000000"/>
        </w:rPr>
      </w:pPr>
    </w:p>
    <w:p w14:paraId="11AC204C" w14:textId="77777777" w:rsidR="00EC00C7" w:rsidRDefault="00EC00C7" w:rsidP="00EC00C7">
      <w:pPr>
        <w:widowControl w:val="0"/>
        <w:autoSpaceDE w:val="0"/>
        <w:autoSpaceDN w:val="0"/>
        <w:adjustRightInd w:val="0"/>
        <w:spacing w:after="240" w:line="320" w:lineRule="atLeast"/>
        <w:rPr>
          <w:rFonts w:ascii="Times" w:hAnsi="Times" w:cs="Times"/>
          <w:color w:val="000000"/>
        </w:rPr>
      </w:pPr>
      <w:r>
        <w:rPr>
          <w:rFonts w:ascii="Zapf Dingbats" w:hAnsi="Zapf Dingbats" w:cs="Zapf Dingbats"/>
          <w:color w:val="000000"/>
          <w:sz w:val="32"/>
          <w:szCs w:val="32"/>
        </w:rPr>
        <w:t></w:t>
      </w:r>
      <w:r>
        <w:rPr>
          <w:rFonts w:ascii="Zapf Dingbats" w:hAnsi="Zapf Dingbats" w:cs="Zapf Dingbats"/>
          <w:color w:val="000000"/>
          <w:sz w:val="32"/>
          <w:szCs w:val="32"/>
        </w:rPr>
        <w:t></w:t>
      </w:r>
    </w:p>
    <w:p w14:paraId="135FB7B0" w14:textId="77777777" w:rsidR="00EC00C7" w:rsidRDefault="00EC00C7" w:rsidP="00EC00C7">
      <w:pPr>
        <w:widowControl w:val="0"/>
        <w:autoSpaceDE w:val="0"/>
        <w:autoSpaceDN w:val="0"/>
        <w:adjustRightInd w:val="0"/>
        <w:spacing w:after="240" w:line="360" w:lineRule="atLeast"/>
        <w:rPr>
          <w:rFonts w:ascii="Times" w:hAnsi="Times" w:cs="Times"/>
          <w:color w:val="000000"/>
        </w:rPr>
      </w:pPr>
      <w:r>
        <w:rPr>
          <w:rFonts w:ascii="Times" w:hAnsi="Times" w:cs="Times"/>
          <w:color w:val="000000"/>
          <w:sz w:val="32"/>
          <w:szCs w:val="32"/>
        </w:rPr>
        <w:t xml:space="preserve">an inclusive approach to education, including the commitment to the </w:t>
      </w:r>
    </w:p>
    <w:p w14:paraId="5A1697A1" w14:textId="77777777" w:rsidR="00EC00C7" w:rsidRDefault="00EC00C7" w:rsidP="00EC00C7">
      <w:pPr>
        <w:widowControl w:val="0"/>
        <w:autoSpaceDE w:val="0"/>
        <w:autoSpaceDN w:val="0"/>
        <w:adjustRightInd w:val="0"/>
        <w:spacing w:after="240" w:line="360" w:lineRule="atLeast"/>
        <w:rPr>
          <w:rFonts w:ascii="Times" w:hAnsi="Times" w:cs="Times"/>
          <w:color w:val="000000"/>
        </w:rPr>
      </w:pPr>
      <w:r>
        <w:rPr>
          <w:rFonts w:ascii="Times" w:hAnsi="Times" w:cs="Times"/>
          <w:color w:val="000000"/>
          <w:sz w:val="32"/>
          <w:szCs w:val="32"/>
        </w:rPr>
        <w:t xml:space="preserve">comprehensive school system </w:t>
      </w:r>
    </w:p>
    <w:p w14:paraId="2FC3DA46" w14:textId="77777777" w:rsidR="00EC00C7" w:rsidRDefault="00EC00C7" w:rsidP="00EC00C7">
      <w:pPr>
        <w:widowControl w:val="0"/>
        <w:autoSpaceDE w:val="0"/>
        <w:autoSpaceDN w:val="0"/>
        <w:adjustRightInd w:val="0"/>
        <w:spacing w:after="240" w:line="360" w:lineRule="atLeast"/>
        <w:rPr>
          <w:rFonts w:ascii="Times" w:hAnsi="Times" w:cs="Times"/>
          <w:color w:val="000000"/>
        </w:rPr>
      </w:pPr>
    </w:p>
    <w:p w14:paraId="079980A8" w14:textId="77777777" w:rsidR="00EC00C7" w:rsidRDefault="00EC00C7" w:rsidP="00EC00C7">
      <w:pPr>
        <w:widowControl w:val="0"/>
        <w:autoSpaceDE w:val="0"/>
        <w:autoSpaceDN w:val="0"/>
        <w:adjustRightInd w:val="0"/>
        <w:spacing w:after="240" w:line="320" w:lineRule="atLeast"/>
        <w:rPr>
          <w:rFonts w:ascii="Times" w:hAnsi="Times" w:cs="Times"/>
          <w:color w:val="000000"/>
        </w:rPr>
      </w:pPr>
      <w:r>
        <w:rPr>
          <w:rFonts w:ascii="Zapf Dingbats" w:hAnsi="Zapf Dingbats" w:cs="Zapf Dingbats"/>
          <w:color w:val="000000"/>
          <w:sz w:val="32"/>
          <w:szCs w:val="32"/>
        </w:rPr>
        <w:t></w:t>
      </w:r>
      <w:r>
        <w:rPr>
          <w:rFonts w:ascii="Zapf Dingbats" w:hAnsi="Zapf Dingbats" w:cs="Zapf Dingbats"/>
          <w:color w:val="000000"/>
          <w:sz w:val="32"/>
          <w:szCs w:val="32"/>
        </w:rPr>
        <w:t></w:t>
      </w:r>
    </w:p>
    <w:p w14:paraId="26E95C9D" w14:textId="77777777" w:rsidR="00EC00C7" w:rsidRDefault="00EC00C7" w:rsidP="00EC00C7">
      <w:pPr>
        <w:widowControl w:val="0"/>
        <w:autoSpaceDE w:val="0"/>
        <w:autoSpaceDN w:val="0"/>
        <w:adjustRightInd w:val="0"/>
        <w:spacing w:after="240" w:line="360" w:lineRule="atLeast"/>
        <w:rPr>
          <w:rFonts w:ascii="Times" w:hAnsi="Times" w:cs="Times"/>
          <w:color w:val="000000"/>
        </w:rPr>
      </w:pPr>
      <w:r>
        <w:rPr>
          <w:rFonts w:ascii="Times" w:hAnsi="Times" w:cs="Times"/>
          <w:color w:val="000000"/>
          <w:sz w:val="32"/>
          <w:szCs w:val="32"/>
        </w:rPr>
        <w:t xml:space="preserve">the Welsh language and culture </w:t>
      </w:r>
    </w:p>
    <w:p w14:paraId="6192B39F" w14:textId="77777777" w:rsidR="00EC00C7" w:rsidRDefault="00EC00C7" w:rsidP="00EC00C7">
      <w:pPr>
        <w:widowControl w:val="0"/>
        <w:autoSpaceDE w:val="0"/>
        <w:autoSpaceDN w:val="0"/>
        <w:adjustRightInd w:val="0"/>
        <w:spacing w:after="240" w:line="360" w:lineRule="atLeast"/>
        <w:rPr>
          <w:rFonts w:ascii="Times" w:hAnsi="Times" w:cs="Times"/>
          <w:color w:val="000000"/>
        </w:rPr>
      </w:pPr>
    </w:p>
    <w:p w14:paraId="5401CAA1" w14:textId="77777777" w:rsidR="00EC00C7" w:rsidRDefault="00EC00C7" w:rsidP="00EC00C7">
      <w:pPr>
        <w:widowControl w:val="0"/>
        <w:autoSpaceDE w:val="0"/>
        <w:autoSpaceDN w:val="0"/>
        <w:adjustRightInd w:val="0"/>
        <w:spacing w:after="240" w:line="320" w:lineRule="atLeast"/>
        <w:rPr>
          <w:rFonts w:ascii="Times" w:hAnsi="Times" w:cs="Times"/>
          <w:color w:val="000000"/>
        </w:rPr>
      </w:pPr>
      <w:r>
        <w:rPr>
          <w:rFonts w:ascii="Zapf Dingbats" w:hAnsi="Zapf Dingbats" w:cs="Zapf Dingbats"/>
          <w:color w:val="000000"/>
          <w:sz w:val="32"/>
          <w:szCs w:val="32"/>
        </w:rPr>
        <w:t></w:t>
      </w:r>
      <w:r>
        <w:rPr>
          <w:rFonts w:ascii="Zapf Dingbats" w:hAnsi="Zapf Dingbats" w:cs="Zapf Dingbats"/>
          <w:color w:val="000000"/>
          <w:sz w:val="32"/>
          <w:szCs w:val="32"/>
        </w:rPr>
        <w:t></w:t>
      </w:r>
    </w:p>
    <w:p w14:paraId="63C76398" w14:textId="77777777" w:rsidR="00EC00C7" w:rsidRDefault="00EC00C7" w:rsidP="00EC00C7">
      <w:pPr>
        <w:widowControl w:val="0"/>
        <w:autoSpaceDE w:val="0"/>
        <w:autoSpaceDN w:val="0"/>
        <w:adjustRightInd w:val="0"/>
        <w:spacing w:after="240" w:line="360" w:lineRule="atLeast"/>
        <w:rPr>
          <w:rFonts w:ascii="Times" w:hAnsi="Times" w:cs="Times"/>
          <w:color w:val="000000"/>
        </w:rPr>
      </w:pPr>
      <w:r>
        <w:rPr>
          <w:rFonts w:ascii="Times" w:hAnsi="Times" w:cs="Times"/>
          <w:color w:val="000000"/>
          <w:sz w:val="32"/>
          <w:szCs w:val="32"/>
        </w:rPr>
        <w:t xml:space="preserve">the community and civic role of schools in Wales’ society </w:t>
      </w:r>
    </w:p>
    <w:p w14:paraId="7344A7A4" w14:textId="77777777" w:rsidR="00EC00C7" w:rsidRDefault="00EC00C7" w:rsidP="00EC00C7">
      <w:pPr>
        <w:widowControl w:val="0"/>
        <w:autoSpaceDE w:val="0"/>
        <w:autoSpaceDN w:val="0"/>
        <w:adjustRightInd w:val="0"/>
        <w:spacing w:after="240" w:line="360" w:lineRule="atLeast"/>
        <w:rPr>
          <w:rFonts w:ascii="Times" w:hAnsi="Times" w:cs="Times"/>
          <w:color w:val="000000"/>
        </w:rPr>
      </w:pPr>
    </w:p>
    <w:p w14:paraId="2BE02E39" w14:textId="77777777" w:rsidR="00EC00C7" w:rsidRDefault="00EC00C7" w:rsidP="00EC00C7">
      <w:pPr>
        <w:widowControl w:val="0"/>
        <w:autoSpaceDE w:val="0"/>
        <w:autoSpaceDN w:val="0"/>
        <w:adjustRightInd w:val="0"/>
        <w:spacing w:after="240" w:line="320" w:lineRule="atLeast"/>
        <w:rPr>
          <w:rFonts w:ascii="Times" w:hAnsi="Times" w:cs="Times"/>
          <w:color w:val="000000"/>
        </w:rPr>
      </w:pPr>
      <w:r>
        <w:rPr>
          <w:rFonts w:ascii="Zapf Dingbats" w:hAnsi="Zapf Dingbats" w:cs="Zapf Dingbats"/>
          <w:color w:val="000000"/>
          <w:sz w:val="32"/>
          <w:szCs w:val="32"/>
        </w:rPr>
        <w:t></w:t>
      </w:r>
      <w:r>
        <w:rPr>
          <w:rFonts w:ascii="Zapf Dingbats" w:hAnsi="Zapf Dingbats" w:cs="Zapf Dingbats"/>
          <w:color w:val="000000"/>
          <w:sz w:val="32"/>
          <w:szCs w:val="32"/>
        </w:rPr>
        <w:t></w:t>
      </w:r>
    </w:p>
    <w:p w14:paraId="525A0D0F" w14:textId="77777777" w:rsidR="00EC00C7" w:rsidRDefault="00EC00C7" w:rsidP="00EC00C7">
      <w:pPr>
        <w:widowControl w:val="0"/>
        <w:autoSpaceDE w:val="0"/>
        <w:autoSpaceDN w:val="0"/>
        <w:adjustRightInd w:val="0"/>
        <w:spacing w:after="240" w:line="360" w:lineRule="atLeast"/>
        <w:rPr>
          <w:rFonts w:ascii="Times" w:hAnsi="Times" w:cs="Times"/>
          <w:color w:val="000000"/>
        </w:rPr>
      </w:pPr>
      <w:r>
        <w:rPr>
          <w:rFonts w:ascii="Times" w:hAnsi="Times" w:cs="Times"/>
          <w:color w:val="000000"/>
          <w:sz w:val="32"/>
          <w:szCs w:val="32"/>
        </w:rPr>
        <w:t xml:space="preserve">the health and well-being of our children and young people. </w:t>
      </w:r>
    </w:p>
    <w:p w14:paraId="63B3D5CF" w14:textId="77777777" w:rsidR="002C1CA9" w:rsidRDefault="002C1CA9" w:rsidP="002C1CA9">
      <w:pPr>
        <w:pStyle w:val="Heading1"/>
        <w:rPr>
          <w:rFonts w:ascii="Helvetica" w:eastAsia="Times New Roman" w:hAnsi="Helvetica"/>
          <w:color w:val="000000"/>
          <w:sz w:val="48"/>
          <w:szCs w:val="48"/>
          <w:lang w:eastAsia="en-GB"/>
        </w:rPr>
      </w:pPr>
      <w:r>
        <w:rPr>
          <w:rFonts w:ascii="Helvetica" w:eastAsia="Times New Roman" w:hAnsi="Helvetica"/>
          <w:color w:val="000000"/>
        </w:rPr>
        <w:t>Nuffield Primary History</w:t>
      </w:r>
    </w:p>
    <w:p w14:paraId="051E4C7B" w14:textId="77777777" w:rsidR="002C1CA9" w:rsidRDefault="002C1CA9" w:rsidP="002C1CA9">
      <w:pPr>
        <w:pStyle w:val="NormalWeb"/>
        <w:rPr>
          <w:rFonts w:ascii="Helvetica" w:hAnsi="Helvetica"/>
          <w:color w:val="000000"/>
          <w:sz w:val="21"/>
          <w:szCs w:val="21"/>
        </w:rPr>
      </w:pPr>
      <w:r>
        <w:rPr>
          <w:rStyle w:val="Strong"/>
          <w:rFonts w:ascii="Helvetica" w:hAnsi="Helvetica"/>
          <w:color w:val="000000"/>
          <w:sz w:val="21"/>
          <w:szCs w:val="21"/>
        </w:rPr>
        <w:t xml:space="preserve">Directors: Jon Nichol, John Fines, Jacqui Dean and Ray </w:t>
      </w:r>
      <w:proofErr w:type="spellStart"/>
      <w:r>
        <w:rPr>
          <w:rStyle w:val="Strong"/>
          <w:rFonts w:ascii="Helvetica" w:hAnsi="Helvetica"/>
          <w:color w:val="000000"/>
          <w:sz w:val="21"/>
          <w:szCs w:val="21"/>
        </w:rPr>
        <w:t>Verrier</w:t>
      </w:r>
      <w:proofErr w:type="spellEnd"/>
    </w:p>
    <w:p w14:paraId="7668BBD5" w14:textId="77777777" w:rsidR="002C1CA9" w:rsidRDefault="002C1CA9" w:rsidP="002C1CA9">
      <w:pPr>
        <w:pStyle w:val="NormalWeb"/>
        <w:rPr>
          <w:rFonts w:ascii="Helvetica" w:hAnsi="Helvetica"/>
          <w:color w:val="000000"/>
          <w:sz w:val="21"/>
          <w:szCs w:val="21"/>
        </w:rPr>
      </w:pPr>
      <w:r>
        <w:rPr>
          <w:rFonts w:ascii="Helvetica" w:hAnsi="Helvetica"/>
          <w:color w:val="000000"/>
          <w:sz w:val="21"/>
          <w:szCs w:val="21"/>
        </w:rPr>
        <w:t>The Nuffield Primary History principle is that everything published has been taught by teachers or the team. Lessons take the form of a narrative based on work with children. Many lessons were produced by teachers on professional development courses.</w:t>
      </w:r>
    </w:p>
    <w:p w14:paraId="2AFAE094" w14:textId="77777777" w:rsidR="002C1CA9" w:rsidRDefault="002C1CA9" w:rsidP="002C1CA9">
      <w:pPr>
        <w:pStyle w:val="NormalWeb"/>
        <w:rPr>
          <w:rFonts w:ascii="Helvetica" w:hAnsi="Helvetica"/>
          <w:color w:val="000000"/>
          <w:sz w:val="21"/>
          <w:szCs w:val="21"/>
        </w:rPr>
      </w:pPr>
      <w:r>
        <w:rPr>
          <w:rFonts w:ascii="Helvetica" w:hAnsi="Helvetica"/>
          <w:color w:val="000000"/>
          <w:sz w:val="21"/>
          <w:szCs w:val="21"/>
        </w:rPr>
        <w:t>Resources include notes on teaching approaches exemplified by over a hundred lessons and short lessons. There is also advice on leading history in primary schools.</w:t>
      </w:r>
    </w:p>
    <w:p w14:paraId="75864D87" w14:textId="77777777" w:rsidR="002C1CA9" w:rsidRDefault="002C1CA9" w:rsidP="002C1CA9">
      <w:pPr>
        <w:pStyle w:val="NormalWeb"/>
        <w:rPr>
          <w:rFonts w:ascii="Helvetica" w:hAnsi="Helvetica"/>
          <w:color w:val="000000"/>
          <w:sz w:val="21"/>
          <w:szCs w:val="21"/>
        </w:rPr>
      </w:pPr>
      <w:r>
        <w:rPr>
          <w:rFonts w:ascii="Helvetica" w:hAnsi="Helvetica"/>
          <w:noProof/>
          <w:color w:val="000000"/>
          <w:sz w:val="21"/>
          <w:szCs w:val="21"/>
        </w:rPr>
        <w:drawing>
          <wp:inline distT="0" distB="0" distL="0" distR="0" wp14:anchorId="7936C5EA" wp14:editId="455398D8">
            <wp:extent cx="1790700" cy="1003300"/>
            <wp:effectExtent l="0" t="0" r="12700" b="12700"/>
            <wp:docPr id="2" name="Picture 2" descr="http://www.nuffieldfoundation.org/sites/default/files/images/primary%20history%20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uffieldfoundation.org/sites/default/files/images/primary%20history%20logo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0" cy="1003300"/>
                    </a:xfrm>
                    <a:prstGeom prst="rect">
                      <a:avLst/>
                    </a:prstGeom>
                    <a:noFill/>
                    <a:ln>
                      <a:noFill/>
                    </a:ln>
                  </pic:spPr>
                </pic:pic>
              </a:graphicData>
            </a:graphic>
          </wp:inline>
        </w:drawing>
      </w:r>
    </w:p>
    <w:p w14:paraId="3C5923FD" w14:textId="77777777" w:rsidR="002C1CA9" w:rsidRDefault="002C1CA9" w:rsidP="002C1CA9">
      <w:pPr>
        <w:pStyle w:val="Heading5"/>
        <w:rPr>
          <w:rFonts w:ascii="Helvetica" w:eastAsia="Times New Roman" w:hAnsi="Helvetica"/>
          <w:color w:val="000000"/>
          <w:sz w:val="21"/>
          <w:szCs w:val="21"/>
        </w:rPr>
      </w:pPr>
      <w:r>
        <w:rPr>
          <w:rFonts w:ascii="Helvetica" w:eastAsia="Times New Roman" w:hAnsi="Helvetica"/>
          <w:color w:val="000000"/>
          <w:sz w:val="21"/>
          <w:szCs w:val="21"/>
        </w:rPr>
        <w:t>Nuffield Primary History principles</w:t>
      </w:r>
    </w:p>
    <w:p w14:paraId="42C662C6" w14:textId="77777777" w:rsidR="002C1CA9" w:rsidRDefault="002C1CA9" w:rsidP="002C1CA9">
      <w:pPr>
        <w:pStyle w:val="NormalWeb"/>
        <w:rPr>
          <w:rFonts w:ascii="Helvetica" w:hAnsi="Helvetica"/>
          <w:color w:val="000000"/>
          <w:sz w:val="21"/>
          <w:szCs w:val="21"/>
        </w:rPr>
      </w:pPr>
      <w:r>
        <w:rPr>
          <w:rFonts w:ascii="Helvetica" w:hAnsi="Helvetica"/>
          <w:color w:val="000000"/>
          <w:sz w:val="21"/>
          <w:szCs w:val="21"/>
        </w:rPr>
        <w:t>Pupils study a few well-chosen authentic materials in depth. Learning is made accessible to all children by starting with what they know and can do, something they can identify with, and building on that.</w:t>
      </w:r>
    </w:p>
    <w:p w14:paraId="4FC812CE" w14:textId="77777777" w:rsidR="002C1CA9" w:rsidRDefault="002C1CA9" w:rsidP="002C1CA9">
      <w:pPr>
        <w:pStyle w:val="NormalWeb"/>
        <w:rPr>
          <w:rFonts w:ascii="Helvetica" w:hAnsi="Helvetica"/>
          <w:color w:val="000000"/>
          <w:sz w:val="21"/>
          <w:szCs w:val="21"/>
        </w:rPr>
      </w:pPr>
      <w:r>
        <w:rPr>
          <w:rFonts w:ascii="Helvetica" w:hAnsi="Helvetica"/>
          <w:color w:val="000000"/>
          <w:sz w:val="21"/>
          <w:szCs w:val="21"/>
        </w:rPr>
        <w:t>Questions challenge pupils to tackle real issues and important questions – to speculate, debate, and make connections. They have plenty of opportunity to practise communication skills, speaking and listening, reading and writing.</w:t>
      </w:r>
    </w:p>
    <w:p w14:paraId="4986509D" w14:textId="77777777" w:rsidR="002C1CA9" w:rsidRDefault="002C1CA9" w:rsidP="002C1CA9">
      <w:pPr>
        <w:pStyle w:val="NormalWeb"/>
        <w:spacing w:before="0" w:after="0"/>
        <w:rPr>
          <w:rFonts w:ascii="Helvetica" w:hAnsi="Helvetica"/>
          <w:color w:val="000000"/>
          <w:sz w:val="21"/>
          <w:szCs w:val="21"/>
        </w:rPr>
      </w:pPr>
      <w:r>
        <w:rPr>
          <w:rFonts w:ascii="Helvetica" w:hAnsi="Helvetica"/>
          <w:noProof/>
          <w:color w:val="000000"/>
          <w:sz w:val="21"/>
          <w:szCs w:val="21"/>
        </w:rPr>
        <w:drawing>
          <wp:inline distT="0" distB="0" distL="0" distR="0" wp14:anchorId="331B739B" wp14:editId="3F2ED2AE">
            <wp:extent cx="1790700" cy="1346200"/>
            <wp:effectExtent l="0" t="0" r="12700" b="0"/>
            <wp:docPr id="1" name="Picture 1" descr="http://www.nuffieldfoundation.org/sites/default/files/images/NPH%20Tell%20his%20m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uffieldfoundation.org/sites/default/files/images/NPH%20Tell%20his%20mum.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90700" cy="1346200"/>
                    </a:xfrm>
                    <a:prstGeom prst="rect">
                      <a:avLst/>
                    </a:prstGeom>
                    <a:noFill/>
                    <a:ln>
                      <a:noFill/>
                    </a:ln>
                  </pic:spPr>
                </pic:pic>
              </a:graphicData>
            </a:graphic>
          </wp:inline>
        </w:drawing>
      </w:r>
      <w:r>
        <w:rPr>
          <w:rStyle w:val="image-caption"/>
          <w:rFonts w:ascii="Helvetica" w:hAnsi="Helvetica"/>
          <w:i/>
          <w:iCs/>
          <w:color w:val="000000"/>
          <w:sz w:val="18"/>
          <w:szCs w:val="18"/>
        </w:rPr>
        <w:t>Gunpowder plot – year 2 discussion about how to deal with King James.</w:t>
      </w:r>
    </w:p>
    <w:p w14:paraId="40CF6077" w14:textId="77777777" w:rsidR="002C1CA9" w:rsidRDefault="002C1CA9" w:rsidP="002C1CA9">
      <w:pPr>
        <w:pStyle w:val="Heading5"/>
        <w:rPr>
          <w:rFonts w:ascii="Helvetica" w:eastAsia="Times New Roman" w:hAnsi="Helvetica"/>
          <w:color w:val="000000"/>
          <w:sz w:val="20"/>
          <w:szCs w:val="20"/>
        </w:rPr>
      </w:pPr>
      <w:r>
        <w:rPr>
          <w:rFonts w:ascii="Helvetica" w:eastAsia="Times New Roman" w:hAnsi="Helvetica"/>
          <w:color w:val="000000"/>
        </w:rPr>
        <w:t>Resources and outcomes</w:t>
      </w:r>
    </w:p>
    <w:p w14:paraId="6EB48F5E" w14:textId="77777777" w:rsidR="002C1CA9" w:rsidRDefault="002C1CA9" w:rsidP="002C1CA9">
      <w:pPr>
        <w:pStyle w:val="NormalWeb"/>
        <w:rPr>
          <w:rFonts w:ascii="Helvetica" w:hAnsi="Helvetica"/>
          <w:color w:val="000000"/>
          <w:sz w:val="21"/>
          <w:szCs w:val="21"/>
        </w:rPr>
      </w:pPr>
      <w:r>
        <w:rPr>
          <w:rStyle w:val="Emphasis"/>
          <w:rFonts w:ascii="Helvetica" w:hAnsi="Helvetica"/>
          <w:color w:val="000000"/>
          <w:sz w:val="21"/>
          <w:szCs w:val="21"/>
        </w:rPr>
        <w:t>Teaching Primary History</w:t>
      </w:r>
      <w:r>
        <w:rPr>
          <w:rFonts w:ascii="Helvetica" w:hAnsi="Helvetica"/>
          <w:color w:val="000000"/>
          <w:sz w:val="21"/>
          <w:szCs w:val="21"/>
        </w:rPr>
        <w:t> published by a commercial publisher was very influential, especially in initial teacher training.</w:t>
      </w:r>
    </w:p>
    <w:p w14:paraId="1FECF6B2" w14:textId="77777777" w:rsidR="002C1CA9" w:rsidRDefault="002C1CA9" w:rsidP="002C1CA9">
      <w:pPr>
        <w:pStyle w:val="NormalWeb"/>
        <w:rPr>
          <w:rFonts w:ascii="Helvetica" w:hAnsi="Helvetica"/>
          <w:color w:val="000000"/>
          <w:sz w:val="21"/>
          <w:szCs w:val="21"/>
        </w:rPr>
      </w:pPr>
      <w:proofErr w:type="gramStart"/>
      <w:r>
        <w:rPr>
          <w:rFonts w:ascii="Helvetica" w:hAnsi="Helvetica"/>
          <w:color w:val="000000"/>
          <w:sz w:val="21"/>
          <w:szCs w:val="21"/>
        </w:rPr>
        <w:t>However</w:t>
      </w:r>
      <w:proofErr w:type="gramEnd"/>
      <w:r>
        <w:rPr>
          <w:rFonts w:ascii="Helvetica" w:hAnsi="Helvetica"/>
          <w:color w:val="000000"/>
          <w:sz w:val="21"/>
          <w:szCs w:val="21"/>
        </w:rPr>
        <w:t xml:space="preserve"> the project was better served by non-commercial publishing through the Nuffield Primary History website, with over 150,000 unique visitors a year most of them from Britain. Thinking about teaching and learning in primary history continues to be dominated by the work of the Nuffield Primary History project.</w:t>
      </w:r>
    </w:p>
    <w:p w14:paraId="60C0D3B8" w14:textId="77777777" w:rsidR="002C1CA9" w:rsidRDefault="002C1CA9" w:rsidP="002C1CA9">
      <w:pPr>
        <w:pStyle w:val="NormalWeb"/>
        <w:rPr>
          <w:rFonts w:ascii="Helvetica" w:hAnsi="Helvetica"/>
          <w:color w:val="000000"/>
          <w:sz w:val="21"/>
          <w:szCs w:val="21"/>
        </w:rPr>
      </w:pPr>
      <w:r>
        <w:rPr>
          <w:rFonts w:ascii="Helvetica" w:hAnsi="Helvetica"/>
          <w:color w:val="000000"/>
          <w:sz w:val="21"/>
          <w:szCs w:val="21"/>
        </w:rPr>
        <w:t>All the resources continue to be freely available to all on the </w:t>
      </w:r>
      <w:hyperlink r:id="rId14" w:tgtFrame="_blank" w:history="1">
        <w:r>
          <w:rPr>
            <w:rStyle w:val="Hyperlink"/>
            <w:rFonts w:ascii="Helvetica" w:hAnsi="Helvetica"/>
            <w:color w:val="000000"/>
            <w:sz w:val="21"/>
            <w:szCs w:val="21"/>
          </w:rPr>
          <w:t>Historical Association website</w:t>
        </w:r>
      </w:hyperlink>
      <w:r>
        <w:rPr>
          <w:rFonts w:ascii="Helvetica" w:hAnsi="Helvetica"/>
          <w:color w:val="000000"/>
          <w:sz w:val="21"/>
          <w:szCs w:val="21"/>
        </w:rPr>
        <w:t> </w:t>
      </w:r>
      <w:r>
        <w:rPr>
          <w:rStyle w:val="print-footnote"/>
          <w:rFonts w:ascii="Helvetica" w:hAnsi="Helvetica"/>
          <w:color w:val="000000"/>
          <w:sz w:val="15"/>
          <w:szCs w:val="15"/>
        </w:rPr>
        <w:t>[1]</w:t>
      </w:r>
      <w:r>
        <w:rPr>
          <w:rFonts w:ascii="Helvetica" w:hAnsi="Helvetica"/>
          <w:color w:val="000000"/>
          <w:sz w:val="21"/>
          <w:szCs w:val="21"/>
        </w:rPr>
        <w:t>, and work continues via the </w:t>
      </w:r>
      <w:r>
        <w:rPr>
          <w:rStyle w:val="Emphasis"/>
          <w:rFonts w:ascii="Helvetica" w:hAnsi="Helvetica"/>
          <w:color w:val="000000"/>
          <w:sz w:val="21"/>
          <w:szCs w:val="21"/>
        </w:rPr>
        <w:t>Primary History</w:t>
      </w:r>
      <w:r>
        <w:rPr>
          <w:rFonts w:ascii="Helvetica" w:hAnsi="Helvetica"/>
          <w:color w:val="000000"/>
          <w:sz w:val="21"/>
          <w:szCs w:val="21"/>
        </w:rPr>
        <w:t> journal. </w:t>
      </w:r>
    </w:p>
    <w:p w14:paraId="60871781" w14:textId="77777777" w:rsidR="002C1CA9" w:rsidRDefault="002C1CA9" w:rsidP="002C1CA9">
      <w:pPr>
        <w:pStyle w:val="Heading2"/>
        <w:rPr>
          <w:rFonts w:ascii="Helvetica" w:eastAsia="Times New Roman" w:hAnsi="Helvetica"/>
          <w:color w:val="000000"/>
        </w:rPr>
      </w:pPr>
      <w:r>
        <w:rPr>
          <w:rFonts w:ascii="Helvetica" w:eastAsia="Times New Roman" w:hAnsi="Helvetica"/>
          <w:color w:val="000000"/>
        </w:rPr>
        <w:t>See also</w:t>
      </w:r>
    </w:p>
    <w:p w14:paraId="399D8BA7" w14:textId="77777777" w:rsidR="002C1CA9" w:rsidRDefault="002C1CA9" w:rsidP="002C1CA9">
      <w:pPr>
        <w:pStyle w:val="NormalWeb"/>
        <w:rPr>
          <w:rFonts w:ascii="Helvetica" w:hAnsi="Helvetica"/>
          <w:color w:val="000000"/>
          <w:sz w:val="21"/>
          <w:szCs w:val="21"/>
        </w:rPr>
      </w:pPr>
      <w:hyperlink r:id="rId15" w:tgtFrame="_blank" w:history="1">
        <w:r>
          <w:rPr>
            <w:rStyle w:val="Hyperlink"/>
            <w:rFonts w:ascii="Helvetica" w:hAnsi="Helvetica"/>
            <w:b/>
            <w:bCs/>
            <w:color w:val="000000"/>
            <w:sz w:val="21"/>
            <w:szCs w:val="21"/>
          </w:rPr>
          <w:t>Nuffield Primary History resources on the Historical Association website</w:t>
        </w:r>
      </w:hyperlink>
      <w:r>
        <w:rPr>
          <w:rStyle w:val="Strong"/>
          <w:rFonts w:ascii="Helvetica" w:hAnsi="Helvetica"/>
          <w:color w:val="000000"/>
          <w:sz w:val="21"/>
          <w:szCs w:val="21"/>
        </w:rPr>
        <w:t> </w:t>
      </w:r>
      <w:r>
        <w:rPr>
          <w:rStyle w:val="print-footnote"/>
          <w:rFonts w:ascii="Helvetica" w:hAnsi="Helvetica"/>
          <w:b/>
          <w:bCs/>
          <w:color w:val="000000"/>
          <w:sz w:val="15"/>
          <w:szCs w:val="15"/>
        </w:rPr>
        <w:t>[1]</w:t>
      </w:r>
    </w:p>
    <w:p w14:paraId="6C034CB3" w14:textId="77777777" w:rsidR="002C1CA9" w:rsidRDefault="002C1CA9" w:rsidP="002C1CA9">
      <w:pPr>
        <w:rPr>
          <w:rFonts w:ascii="Helvetica" w:eastAsia="Times New Roman" w:hAnsi="Helvetica"/>
          <w:color w:val="000000"/>
          <w:sz w:val="27"/>
          <w:szCs w:val="27"/>
        </w:rPr>
      </w:pPr>
      <w:r>
        <w:rPr>
          <w:rFonts w:ascii="Helvetica" w:eastAsia="Times New Roman" w:hAnsi="Helvetica"/>
          <w:color w:val="000000"/>
          <w:sz w:val="27"/>
          <w:szCs w:val="27"/>
        </w:rPr>
        <w:t> </w:t>
      </w:r>
    </w:p>
    <w:p w14:paraId="55A2505C" w14:textId="77777777" w:rsidR="002C1CA9" w:rsidRDefault="002C1CA9" w:rsidP="002C1CA9">
      <w:pPr>
        <w:jc w:val="center"/>
        <w:rPr>
          <w:rFonts w:ascii="Helvetica" w:eastAsia="Times New Roman" w:hAnsi="Helvetica"/>
          <w:color w:val="000000"/>
          <w:sz w:val="27"/>
          <w:szCs w:val="27"/>
        </w:rPr>
      </w:pPr>
    </w:p>
    <w:p w14:paraId="4EF1B176" w14:textId="77777777" w:rsidR="002C1CA9" w:rsidRDefault="002C1CA9" w:rsidP="002C1CA9">
      <w:pPr>
        <w:rPr>
          <w:rFonts w:ascii="Times New Roman" w:eastAsia="Times New Roman" w:hAnsi="Times New Roman"/>
        </w:rPr>
      </w:pPr>
      <w:r>
        <w:rPr>
          <w:rFonts w:eastAsia="Times New Roman"/>
        </w:rPr>
        <w:pict w14:anchorId="02554118">
          <v:rect id="_x0000_i1025" style="width:921pt;height:.75pt" o:hrpct="0" o:hralign="center" o:hrstd="t" o:hrnoshade="t" o:hr="t" fillcolor="#9e9e9e" stroked="f"/>
        </w:pict>
      </w:r>
    </w:p>
    <w:p w14:paraId="2931E61E" w14:textId="77777777" w:rsidR="002C1CA9" w:rsidRDefault="002C1CA9" w:rsidP="002C1CA9">
      <w:pPr>
        <w:rPr>
          <w:rFonts w:ascii="Helvetica" w:eastAsia="Times New Roman" w:hAnsi="Helvetica"/>
          <w:color w:val="000000"/>
        </w:rPr>
      </w:pPr>
      <w:r>
        <w:rPr>
          <w:rStyle w:val="Strong"/>
          <w:rFonts w:ascii="Helvetica" w:eastAsia="Times New Roman" w:hAnsi="Helvetica"/>
          <w:color w:val="000000"/>
        </w:rPr>
        <w:t>Source URL:</w:t>
      </w:r>
      <w:r>
        <w:rPr>
          <w:rFonts w:ascii="Helvetica" w:eastAsia="Times New Roman" w:hAnsi="Helvetica"/>
          <w:color w:val="000000"/>
        </w:rPr>
        <w:t> </w:t>
      </w:r>
      <w:hyperlink r:id="rId16" w:history="1">
        <w:r>
          <w:rPr>
            <w:rStyle w:val="Hyperlink"/>
            <w:rFonts w:ascii="Helvetica" w:eastAsia="Times New Roman" w:hAnsi="Helvetica"/>
            <w:color w:val="000000"/>
          </w:rPr>
          <w:t>http://www.nuffieldfoundation.org/nuffield-primary-history-0</w:t>
        </w:r>
      </w:hyperlink>
    </w:p>
    <w:p w14:paraId="7A55D61A" w14:textId="77777777" w:rsidR="002C1CA9" w:rsidRDefault="002C1CA9" w:rsidP="002C1CA9">
      <w:pPr>
        <w:pStyle w:val="NormalWeb"/>
        <w:rPr>
          <w:rFonts w:ascii="Helvetica" w:hAnsi="Helvetica"/>
          <w:color w:val="000000"/>
          <w:sz w:val="21"/>
          <w:szCs w:val="21"/>
        </w:rPr>
      </w:pPr>
      <w:r>
        <w:rPr>
          <w:rStyle w:val="Strong"/>
          <w:rFonts w:ascii="Helvetica" w:hAnsi="Helvetica"/>
          <w:color w:val="000000"/>
          <w:sz w:val="21"/>
          <w:szCs w:val="21"/>
        </w:rPr>
        <w:t>Links:</w:t>
      </w:r>
      <w:r>
        <w:rPr>
          <w:rFonts w:ascii="Helvetica" w:hAnsi="Helvetica"/>
          <w:color w:val="000000"/>
          <w:sz w:val="21"/>
          <w:szCs w:val="21"/>
        </w:rPr>
        <w:br/>
        <w:t>[1] http://www.history.org.uk/resources/primary_resources_129.html</w:t>
      </w:r>
    </w:p>
    <w:p w14:paraId="4A038F0B" w14:textId="77777777" w:rsidR="00EC00C7" w:rsidRDefault="00EC00C7" w:rsidP="00843530"/>
    <w:p w14:paraId="05936C8C" w14:textId="77777777" w:rsidR="00993273" w:rsidRDefault="00993273" w:rsidP="00843530"/>
    <w:p w14:paraId="03B7D848" w14:textId="77777777" w:rsidR="00993273" w:rsidRDefault="00993273" w:rsidP="00843530">
      <w:hyperlink r:id="rId17" w:history="1">
        <w:r w:rsidRPr="00240E29">
          <w:rPr>
            <w:rStyle w:val="Hyperlink"/>
          </w:rPr>
          <w:t>https://www.teachprimary.com/learning_resources/view/teaching-emotional-subject-in-history</w:t>
        </w:r>
      </w:hyperlink>
    </w:p>
    <w:p w14:paraId="3EF0F615" w14:textId="77777777" w:rsidR="00993273" w:rsidRDefault="00993273" w:rsidP="00843530"/>
    <w:p w14:paraId="3D1D58BF" w14:textId="77777777" w:rsidR="00DF6D41" w:rsidRDefault="00DF6D41" w:rsidP="00DF6D41">
      <w:pPr>
        <w:pStyle w:val="NormalWeb"/>
        <w:shd w:val="clear" w:color="auto" w:fill="FFFFFF"/>
        <w:spacing w:before="225" w:beforeAutospacing="0" w:after="225" w:afterAutospacing="0" w:line="240" w:lineRule="atLeast"/>
        <w:textAlignment w:val="baseline"/>
        <w:rPr>
          <w:rFonts w:ascii="Myriad Pro" w:hAnsi="Myriad Pro"/>
          <w:color w:val="555555"/>
          <w:sz w:val="18"/>
          <w:szCs w:val="18"/>
        </w:rPr>
      </w:pPr>
      <w:r>
        <w:rPr>
          <w:rFonts w:ascii="Myriad Pro" w:hAnsi="Myriad Pro"/>
          <w:color w:val="555555"/>
          <w:sz w:val="18"/>
          <w:szCs w:val="18"/>
        </w:rPr>
        <w:t>There is nothing historians like more than a good controversy. Regular viewers of Channel 4’s Time Team see the historians and archaeologists revel in their disagreements about where to dig next, or the meaning and significance of a small piece of mud-caked pot.</w:t>
      </w:r>
    </w:p>
    <w:p w14:paraId="29E27E6A" w14:textId="77777777" w:rsidR="00DF6D41" w:rsidRDefault="00DF6D41" w:rsidP="00DF6D41">
      <w:pPr>
        <w:pStyle w:val="NormalWeb"/>
        <w:shd w:val="clear" w:color="auto" w:fill="FFFFFF"/>
        <w:spacing w:before="225" w:beforeAutospacing="0" w:after="225" w:afterAutospacing="0" w:line="240" w:lineRule="atLeast"/>
        <w:textAlignment w:val="baseline"/>
        <w:rPr>
          <w:rFonts w:ascii="Myriad Pro" w:hAnsi="Myriad Pro"/>
          <w:color w:val="555555"/>
          <w:sz w:val="18"/>
          <w:szCs w:val="18"/>
        </w:rPr>
      </w:pPr>
      <w:r>
        <w:rPr>
          <w:rFonts w:ascii="Myriad Pro" w:hAnsi="Myriad Pro"/>
          <w:color w:val="555555"/>
          <w:sz w:val="18"/>
          <w:szCs w:val="18"/>
        </w:rPr>
        <w:t xml:space="preserve">Having a variety of views on something is the very thing that makes history interesting. And in the TEACH report – commissioned by the History Association - a group of teachers and academics consider how emotive and controversial history can be approached in schools. They examine the opportunities and constraints upon teaching elements of the past which are likely to cause debate in the classroom, and make suggestions on how teachers can broach these </w:t>
      </w:r>
      <w:proofErr w:type="gramStart"/>
      <w:r>
        <w:rPr>
          <w:rFonts w:ascii="Myriad Pro" w:hAnsi="Myriad Pro"/>
          <w:color w:val="555555"/>
          <w:sz w:val="18"/>
          <w:szCs w:val="18"/>
        </w:rPr>
        <w:t>sometimes sensitive</w:t>
      </w:r>
      <w:proofErr w:type="gramEnd"/>
      <w:r>
        <w:rPr>
          <w:rFonts w:ascii="Myriad Pro" w:hAnsi="Myriad Pro"/>
          <w:color w:val="555555"/>
          <w:sz w:val="18"/>
          <w:szCs w:val="18"/>
        </w:rPr>
        <w:t xml:space="preserve"> subjects.</w:t>
      </w:r>
    </w:p>
    <w:p w14:paraId="711878FA" w14:textId="77777777" w:rsidR="00DF6D41" w:rsidRDefault="00DF6D41" w:rsidP="00DF6D41">
      <w:pPr>
        <w:pStyle w:val="NormalWeb"/>
        <w:shd w:val="clear" w:color="auto" w:fill="FFFFFF"/>
        <w:spacing w:before="225" w:beforeAutospacing="0" w:after="225" w:afterAutospacing="0" w:line="240" w:lineRule="atLeast"/>
        <w:textAlignment w:val="baseline"/>
        <w:rPr>
          <w:rFonts w:ascii="Myriad Pro" w:hAnsi="Myriad Pro"/>
          <w:color w:val="555555"/>
          <w:sz w:val="18"/>
          <w:szCs w:val="18"/>
        </w:rPr>
      </w:pPr>
      <w:r>
        <w:rPr>
          <w:rFonts w:ascii="Myriad Pro" w:hAnsi="Myriad Pro"/>
          <w:color w:val="555555"/>
          <w:sz w:val="18"/>
          <w:szCs w:val="18"/>
        </w:rPr>
        <w:t>The report begins with the following definition of what constitutes emotional or controversial history:</w:t>
      </w:r>
    </w:p>
    <w:p w14:paraId="52E6122B" w14:textId="77777777" w:rsidR="00DF6D41" w:rsidRDefault="00DF6D41" w:rsidP="00DF6D41">
      <w:pPr>
        <w:pStyle w:val="NormalWeb"/>
        <w:shd w:val="clear" w:color="auto" w:fill="FFFFFF"/>
        <w:spacing w:before="225" w:beforeAutospacing="0" w:after="225" w:afterAutospacing="0" w:line="240" w:lineRule="atLeast"/>
        <w:textAlignment w:val="baseline"/>
        <w:rPr>
          <w:rFonts w:ascii="Myriad Pro" w:hAnsi="Myriad Pro"/>
          <w:color w:val="555555"/>
          <w:sz w:val="18"/>
          <w:szCs w:val="18"/>
        </w:rPr>
      </w:pPr>
      <w:r>
        <w:rPr>
          <w:rFonts w:ascii="Myriad Pro" w:hAnsi="Myriad Pro"/>
          <w:color w:val="555555"/>
          <w:sz w:val="18"/>
          <w:szCs w:val="18"/>
        </w:rPr>
        <w:t>“The study of History can be emotive and controversial where there is actual or perceived unfairness to people by another individual or group in the past. This may also be the case where there are disparities between what is taught in school history family/community histories and other histories. Such issues and disparities create a strong resonance with students in particular educational settings.”</w:t>
      </w:r>
    </w:p>
    <w:p w14:paraId="5F53E57E" w14:textId="77777777" w:rsidR="00DF6D41" w:rsidRDefault="00DF6D41" w:rsidP="00DF6D41">
      <w:pPr>
        <w:pStyle w:val="Heading3"/>
        <w:shd w:val="clear" w:color="auto" w:fill="FFFFFF"/>
        <w:spacing w:before="0"/>
        <w:textAlignment w:val="baseline"/>
        <w:rPr>
          <w:rFonts w:ascii="Myriad Pro" w:eastAsia="Times New Roman" w:hAnsi="Myriad Pro"/>
          <w:color w:val="7459A6"/>
          <w:sz w:val="25"/>
          <w:szCs w:val="25"/>
        </w:rPr>
      </w:pPr>
      <w:r>
        <w:rPr>
          <w:rFonts w:ascii="Myriad Pro" w:eastAsia="Times New Roman" w:hAnsi="Myriad Pro"/>
          <w:b/>
          <w:bCs/>
          <w:color w:val="7459A6"/>
          <w:sz w:val="25"/>
          <w:szCs w:val="25"/>
        </w:rPr>
        <w:t>What are the opportunities?</w:t>
      </w:r>
    </w:p>
    <w:p w14:paraId="309805DD" w14:textId="77777777" w:rsidR="00DF6D41" w:rsidRDefault="00DF6D41" w:rsidP="00DF6D41">
      <w:pPr>
        <w:pStyle w:val="NormalWeb"/>
        <w:shd w:val="clear" w:color="auto" w:fill="FFFFFF"/>
        <w:spacing w:before="225" w:beforeAutospacing="0" w:after="225" w:afterAutospacing="0" w:line="240" w:lineRule="atLeast"/>
        <w:textAlignment w:val="baseline"/>
        <w:rPr>
          <w:rFonts w:ascii="Myriad Pro" w:hAnsi="Myriad Pro"/>
          <w:color w:val="555555"/>
          <w:sz w:val="18"/>
          <w:szCs w:val="18"/>
        </w:rPr>
      </w:pPr>
      <w:r>
        <w:rPr>
          <w:rFonts w:ascii="Myriad Pro" w:hAnsi="Myriad Pro"/>
          <w:noProof/>
          <w:color w:val="555555"/>
          <w:sz w:val="18"/>
          <w:szCs w:val="18"/>
        </w:rPr>
        <w:drawing>
          <wp:inline distT="0" distB="0" distL="0" distR="0" wp14:anchorId="1BAEEE11" wp14:editId="20EFCC6F">
            <wp:extent cx="1524000" cy="2082800"/>
            <wp:effectExtent l="0" t="0" r="0" b="0"/>
            <wp:docPr id="4" name="Picture 4" descr="https://www.teachprimary.com/resource_uploads/sw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teachprimary.com/resource_uploads/sword.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4000" cy="2082800"/>
                    </a:xfrm>
                    <a:prstGeom prst="rect">
                      <a:avLst/>
                    </a:prstGeom>
                    <a:noFill/>
                    <a:ln>
                      <a:noFill/>
                    </a:ln>
                  </pic:spPr>
                </pic:pic>
              </a:graphicData>
            </a:graphic>
          </wp:inline>
        </w:drawing>
      </w:r>
      <w:r>
        <w:rPr>
          <w:rFonts w:ascii="Myriad Pro" w:hAnsi="Myriad Pro"/>
          <w:color w:val="555555"/>
          <w:sz w:val="18"/>
          <w:szCs w:val="18"/>
        </w:rPr>
        <w:t>The report identified a number of reasons why primary teachers might want to teach emotive and controversial topics in history, and why it might support good quality history teaching:</w:t>
      </w:r>
    </w:p>
    <w:p w14:paraId="5325C920" w14:textId="77777777" w:rsidR="00DF6D41" w:rsidRDefault="00DF6D41" w:rsidP="00DF6D41">
      <w:pPr>
        <w:pStyle w:val="NormalWeb"/>
        <w:shd w:val="clear" w:color="auto" w:fill="FFFFFF"/>
        <w:spacing w:before="225" w:beforeAutospacing="0" w:after="225" w:afterAutospacing="0" w:line="240" w:lineRule="atLeast"/>
        <w:textAlignment w:val="baseline"/>
        <w:rPr>
          <w:rFonts w:ascii="Myriad Pro" w:hAnsi="Myriad Pro"/>
          <w:color w:val="555555"/>
          <w:sz w:val="18"/>
          <w:szCs w:val="18"/>
        </w:rPr>
      </w:pPr>
      <w:r>
        <w:rPr>
          <w:rFonts w:ascii="Myriad Pro" w:hAnsi="Myriad Pro"/>
          <w:color w:val="555555"/>
          <w:sz w:val="18"/>
          <w:szCs w:val="18"/>
        </w:rPr>
        <w:t>The primary curriculum, especially at KS1, is flexible enough to allow teachers to choose their own topics to some extent. Often, teachers enjoy teaching things they have selected themselves more than something which is prescribed for them. This works especially well with local history studies, where teachers can follow their own and pupils’ interests through learning about the history on their doorstep in the places and the buildings and the people in the local community.</w:t>
      </w:r>
    </w:p>
    <w:p w14:paraId="6BA1A24B" w14:textId="77777777" w:rsidR="00DF6D41" w:rsidRDefault="00DF6D41" w:rsidP="00DF6D41">
      <w:pPr>
        <w:pStyle w:val="NormalWeb"/>
        <w:shd w:val="clear" w:color="auto" w:fill="FFFFFF"/>
        <w:spacing w:before="225" w:beforeAutospacing="0" w:after="225" w:afterAutospacing="0" w:line="240" w:lineRule="atLeast"/>
        <w:textAlignment w:val="baseline"/>
        <w:rPr>
          <w:rFonts w:ascii="Myriad Pro" w:hAnsi="Myriad Pro"/>
          <w:color w:val="555555"/>
          <w:sz w:val="18"/>
          <w:szCs w:val="18"/>
        </w:rPr>
      </w:pPr>
      <w:r>
        <w:rPr>
          <w:rFonts w:ascii="Myriad Pro" w:hAnsi="Myriad Pro"/>
          <w:color w:val="555555"/>
          <w:sz w:val="18"/>
          <w:szCs w:val="18"/>
        </w:rPr>
        <w:t>Good quality history teaching has a strong focus on enquiry skills and cross curricular work, both of these are supported by emotive and controversial history when pupils discuss, debate and form their own opinions.</w:t>
      </w:r>
    </w:p>
    <w:p w14:paraId="32DC1700" w14:textId="77777777" w:rsidR="00DF6D41" w:rsidRDefault="00DF6D41" w:rsidP="00DF6D41">
      <w:pPr>
        <w:pStyle w:val="NormalWeb"/>
        <w:shd w:val="clear" w:color="auto" w:fill="FFFFFF"/>
        <w:spacing w:before="225" w:beforeAutospacing="0" w:after="225" w:afterAutospacing="0" w:line="240" w:lineRule="atLeast"/>
        <w:textAlignment w:val="baseline"/>
        <w:rPr>
          <w:rFonts w:ascii="Myriad Pro" w:hAnsi="Myriad Pro"/>
          <w:color w:val="555555"/>
          <w:sz w:val="18"/>
          <w:szCs w:val="18"/>
        </w:rPr>
      </w:pPr>
      <w:r>
        <w:rPr>
          <w:rFonts w:ascii="Myriad Pro" w:hAnsi="Myriad Pro"/>
          <w:color w:val="555555"/>
          <w:sz w:val="18"/>
          <w:szCs w:val="18"/>
        </w:rPr>
        <w:t>By definition, emotive and controversial history teaching requires both teachers and pupils to engage in an emotional way with the subject matter. Everyone in the classroom needs to feel comfortable about this, and able to say whether something they are learning about makes them feel angry or sad. Emotionally secure classrooms where this can happen are good places to learn and promote pupils’ personal, social and emotional development.</w:t>
      </w:r>
    </w:p>
    <w:p w14:paraId="406B294D" w14:textId="77777777" w:rsidR="00DF6D41" w:rsidRDefault="00DF6D41" w:rsidP="00DF6D41">
      <w:pPr>
        <w:pStyle w:val="NormalWeb"/>
        <w:shd w:val="clear" w:color="auto" w:fill="FFFFFF"/>
        <w:spacing w:before="225" w:beforeAutospacing="0" w:after="225" w:afterAutospacing="0" w:line="240" w:lineRule="atLeast"/>
        <w:textAlignment w:val="baseline"/>
        <w:rPr>
          <w:rFonts w:ascii="Myriad Pro" w:hAnsi="Myriad Pro"/>
          <w:color w:val="555555"/>
          <w:sz w:val="18"/>
          <w:szCs w:val="18"/>
        </w:rPr>
      </w:pPr>
      <w:r>
        <w:rPr>
          <w:rFonts w:ascii="Myriad Pro" w:hAnsi="Myriad Pro"/>
          <w:color w:val="555555"/>
          <w:sz w:val="18"/>
          <w:szCs w:val="18"/>
        </w:rPr>
        <w:t>There are some good quality and interesting resources, especially books, which teachers can use as a basis for their teaching. Teachers should consider using both stories themselves and the pictures on their own to promote debate.</w:t>
      </w:r>
    </w:p>
    <w:p w14:paraId="6A1C41B1" w14:textId="77777777" w:rsidR="00DF6D41" w:rsidRDefault="00DF6D41" w:rsidP="00DF6D41">
      <w:pPr>
        <w:pStyle w:val="Heading3"/>
        <w:shd w:val="clear" w:color="auto" w:fill="FFFFFF"/>
        <w:spacing w:before="0"/>
        <w:textAlignment w:val="baseline"/>
        <w:rPr>
          <w:rFonts w:ascii="Myriad Pro" w:eastAsia="Times New Roman" w:hAnsi="Myriad Pro"/>
          <w:color w:val="7459A6"/>
          <w:sz w:val="25"/>
          <w:szCs w:val="25"/>
        </w:rPr>
      </w:pPr>
      <w:r>
        <w:rPr>
          <w:rFonts w:ascii="Myriad Pro" w:eastAsia="Times New Roman" w:hAnsi="Myriad Pro"/>
          <w:b/>
          <w:bCs/>
          <w:color w:val="7459A6"/>
          <w:sz w:val="25"/>
          <w:szCs w:val="25"/>
        </w:rPr>
        <w:t>What are the constraints?</w:t>
      </w:r>
    </w:p>
    <w:p w14:paraId="59111185" w14:textId="77777777" w:rsidR="00DF6D41" w:rsidRDefault="00DF6D41" w:rsidP="00DF6D41">
      <w:pPr>
        <w:pStyle w:val="NormalWeb"/>
        <w:shd w:val="clear" w:color="auto" w:fill="FFFFFF"/>
        <w:spacing w:before="225" w:beforeAutospacing="0" w:after="225" w:afterAutospacing="0" w:line="240" w:lineRule="atLeast"/>
        <w:textAlignment w:val="baseline"/>
        <w:rPr>
          <w:rFonts w:ascii="Myriad Pro" w:hAnsi="Myriad Pro"/>
          <w:color w:val="555555"/>
          <w:sz w:val="18"/>
          <w:szCs w:val="18"/>
        </w:rPr>
      </w:pPr>
      <w:r>
        <w:rPr>
          <w:rFonts w:ascii="Myriad Pro" w:hAnsi="Myriad Pro"/>
          <w:noProof/>
          <w:color w:val="555555"/>
          <w:sz w:val="18"/>
          <w:szCs w:val="18"/>
        </w:rPr>
        <w:drawing>
          <wp:inline distT="0" distB="0" distL="0" distR="0" wp14:anchorId="2A828908" wp14:editId="6CCFAF0D">
            <wp:extent cx="1524000" cy="1003300"/>
            <wp:effectExtent l="0" t="0" r="0" b="12700"/>
            <wp:docPr id="3" name="Picture 3" descr="https://www.teachprimary.com/resource_uploads/chained-statu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teachprimary.com/resource_uploads/chained-statues.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24000" cy="1003300"/>
                    </a:xfrm>
                    <a:prstGeom prst="rect">
                      <a:avLst/>
                    </a:prstGeom>
                    <a:noFill/>
                    <a:ln>
                      <a:noFill/>
                    </a:ln>
                  </pic:spPr>
                </pic:pic>
              </a:graphicData>
            </a:graphic>
          </wp:inline>
        </w:drawing>
      </w:r>
      <w:r>
        <w:rPr>
          <w:rFonts w:ascii="Myriad Pro" w:hAnsi="Myriad Pro"/>
          <w:color w:val="555555"/>
          <w:sz w:val="18"/>
          <w:szCs w:val="18"/>
        </w:rPr>
        <w:t>The report also identified problems and constraints of taking this approach to history teaching:</w:t>
      </w:r>
    </w:p>
    <w:p w14:paraId="7ED9FC92" w14:textId="77777777" w:rsidR="00DF6D41" w:rsidRDefault="00DF6D41" w:rsidP="00DF6D41">
      <w:pPr>
        <w:pStyle w:val="NormalWeb"/>
        <w:shd w:val="clear" w:color="auto" w:fill="FFFFFF"/>
        <w:spacing w:before="225" w:beforeAutospacing="0" w:after="225" w:afterAutospacing="0" w:line="240" w:lineRule="atLeast"/>
        <w:textAlignment w:val="baseline"/>
        <w:rPr>
          <w:rFonts w:ascii="Myriad Pro" w:hAnsi="Myriad Pro"/>
          <w:color w:val="555555"/>
          <w:sz w:val="18"/>
          <w:szCs w:val="18"/>
        </w:rPr>
      </w:pPr>
      <w:r>
        <w:rPr>
          <w:rFonts w:ascii="Myriad Pro" w:hAnsi="Myriad Pro"/>
          <w:color w:val="555555"/>
          <w:sz w:val="18"/>
          <w:szCs w:val="18"/>
        </w:rPr>
        <w:t>• History is sometimes a ‘bit part player’ in a curriculum where literacy and numeracy dominate. Some teachers may not be able to allocate enough time to history to teach it in such an innovative way.</w:t>
      </w:r>
    </w:p>
    <w:p w14:paraId="0BBB6467" w14:textId="77777777" w:rsidR="00DF6D41" w:rsidRDefault="00DF6D41" w:rsidP="00DF6D41">
      <w:pPr>
        <w:pStyle w:val="NormalWeb"/>
        <w:shd w:val="clear" w:color="auto" w:fill="FFFFFF"/>
        <w:spacing w:before="225" w:beforeAutospacing="0" w:after="225" w:afterAutospacing="0" w:line="240" w:lineRule="atLeast"/>
        <w:textAlignment w:val="baseline"/>
        <w:rPr>
          <w:rFonts w:ascii="Myriad Pro" w:hAnsi="Myriad Pro"/>
          <w:color w:val="555555"/>
          <w:sz w:val="18"/>
          <w:szCs w:val="18"/>
        </w:rPr>
      </w:pPr>
      <w:r>
        <w:rPr>
          <w:rFonts w:ascii="Myriad Pro" w:hAnsi="Myriad Pro"/>
          <w:color w:val="555555"/>
          <w:sz w:val="18"/>
          <w:szCs w:val="18"/>
        </w:rPr>
        <w:t xml:space="preserve">• It is sometimes worrying to teach so called ‘tricky’ topics which address issues such as immigration or war. It is easier to play safe by glossing over difficult aspects of topics and concentrating on less controversial topics. This is evident at KS2, where World War 2 is often taught through the topic of evacuees. Some materials present the evacuation as something akin to a nice holiday in the country for children, whereas the reality that being moved away from home to a strange place leaving Mum and Dad facing bombs </w:t>
      </w:r>
      <w:proofErr w:type="spellStart"/>
      <w:r>
        <w:rPr>
          <w:rFonts w:ascii="Myriad Pro" w:hAnsi="Myriad Pro"/>
          <w:color w:val="555555"/>
          <w:sz w:val="18"/>
          <w:szCs w:val="18"/>
        </w:rPr>
        <w:t>aily</w:t>
      </w:r>
      <w:proofErr w:type="spellEnd"/>
      <w:r>
        <w:rPr>
          <w:rFonts w:ascii="Myriad Pro" w:hAnsi="Myriad Pro"/>
          <w:color w:val="555555"/>
          <w:sz w:val="18"/>
          <w:szCs w:val="18"/>
        </w:rPr>
        <w:t xml:space="preserve"> in the city must have been a very traumatic experience for children. This is not to say that the teachers should not try to avoid aspects of history which may be too distressing for their pupils, but rather teachers should make sure the picture painted is as realistic as possible. Most children will identify with history which is about other children, and empathise readily.</w:t>
      </w:r>
    </w:p>
    <w:p w14:paraId="2F078488" w14:textId="77777777" w:rsidR="00DF6D41" w:rsidRDefault="00DF6D41" w:rsidP="00DF6D41">
      <w:pPr>
        <w:pStyle w:val="NormalWeb"/>
        <w:shd w:val="clear" w:color="auto" w:fill="FFFFFF"/>
        <w:spacing w:before="225" w:beforeAutospacing="0" w:after="225" w:afterAutospacing="0" w:line="240" w:lineRule="atLeast"/>
        <w:textAlignment w:val="baseline"/>
        <w:rPr>
          <w:rFonts w:ascii="Myriad Pro" w:hAnsi="Myriad Pro"/>
          <w:color w:val="555555"/>
          <w:sz w:val="18"/>
          <w:szCs w:val="18"/>
        </w:rPr>
      </w:pPr>
      <w:r>
        <w:rPr>
          <w:rFonts w:ascii="Myriad Pro" w:hAnsi="Myriad Pro"/>
          <w:color w:val="555555"/>
          <w:sz w:val="18"/>
          <w:szCs w:val="18"/>
        </w:rPr>
        <w:t>• Schools understandably tend to select topics for which they can get good quality resources, it is very time consuming to find and prepare new resources. This sometimes leads teachers to have to teach the same subjects year after year because the books are available. This has certainly happened in the case of Florence Nightingale, who has become popular in schools in a way that is disproportionate to her actual historical importance!</w:t>
      </w:r>
    </w:p>
    <w:p w14:paraId="4E742953" w14:textId="77777777" w:rsidR="00DF6D41" w:rsidRDefault="00DF6D41" w:rsidP="00DF6D41">
      <w:pPr>
        <w:pStyle w:val="Heading3"/>
        <w:shd w:val="clear" w:color="auto" w:fill="FFFFFF"/>
        <w:spacing w:before="0"/>
        <w:textAlignment w:val="baseline"/>
        <w:rPr>
          <w:rFonts w:ascii="Myriad Pro" w:eastAsia="Times New Roman" w:hAnsi="Myriad Pro"/>
          <w:color w:val="7459A6"/>
          <w:sz w:val="25"/>
          <w:szCs w:val="25"/>
        </w:rPr>
      </w:pPr>
      <w:r>
        <w:rPr>
          <w:rFonts w:ascii="Myriad Pro" w:eastAsia="Times New Roman" w:hAnsi="Myriad Pro"/>
          <w:b/>
          <w:bCs/>
          <w:color w:val="7459A6"/>
          <w:sz w:val="25"/>
          <w:szCs w:val="25"/>
        </w:rPr>
        <w:t>What can I do?</w:t>
      </w:r>
    </w:p>
    <w:p w14:paraId="59623FC6" w14:textId="77777777" w:rsidR="00DF6D41" w:rsidRDefault="00DF6D41" w:rsidP="00DF6D41">
      <w:pPr>
        <w:pStyle w:val="NormalWeb"/>
        <w:shd w:val="clear" w:color="auto" w:fill="FFFFFF"/>
        <w:spacing w:before="225" w:beforeAutospacing="0" w:after="225" w:afterAutospacing="0" w:line="240" w:lineRule="atLeast"/>
        <w:textAlignment w:val="baseline"/>
        <w:rPr>
          <w:rFonts w:ascii="Myriad Pro" w:hAnsi="Myriad Pro"/>
          <w:color w:val="555555"/>
          <w:sz w:val="18"/>
          <w:szCs w:val="18"/>
        </w:rPr>
      </w:pPr>
      <w:r>
        <w:rPr>
          <w:rFonts w:ascii="Myriad Pro" w:hAnsi="Myriad Pro"/>
          <w:color w:val="555555"/>
          <w:sz w:val="18"/>
          <w:szCs w:val="18"/>
        </w:rPr>
        <w:t>This is the big question for you as a teacher: is it worth tackling the constraints in order to take the opportunity to teach in this way? I would argue that it is. For me, the best thing about history is that it provokes debate and makes teachers and pupils reflect. Really authentic learning experiences are often those which promote emotional and personal engagement with a topic. In addition, where pupils feel their teacher is enthusiastic and really wants to hear their views, however diverse, on a topic, they tend to engage more readily in the learning. In short, where good history teaching is emotive and controversial, it is absorbing and stimulating for learners.</w:t>
      </w:r>
    </w:p>
    <w:p w14:paraId="29357AFA" w14:textId="77777777" w:rsidR="00DF6D41" w:rsidRDefault="00DF6D41" w:rsidP="00DF6D41">
      <w:pPr>
        <w:pStyle w:val="Heading3"/>
        <w:shd w:val="clear" w:color="auto" w:fill="FFFFFF"/>
        <w:spacing w:before="0"/>
        <w:textAlignment w:val="baseline"/>
        <w:rPr>
          <w:rFonts w:ascii="Myriad Pro" w:eastAsia="Times New Roman" w:hAnsi="Myriad Pro"/>
          <w:color w:val="7459A6"/>
          <w:sz w:val="25"/>
          <w:szCs w:val="25"/>
        </w:rPr>
      </w:pPr>
      <w:r>
        <w:rPr>
          <w:rFonts w:ascii="Myriad Pro" w:eastAsia="Times New Roman" w:hAnsi="Myriad Pro"/>
          <w:b/>
          <w:bCs/>
          <w:color w:val="7459A6"/>
          <w:sz w:val="25"/>
          <w:szCs w:val="25"/>
        </w:rPr>
        <w:t>Activities for KS1</w:t>
      </w:r>
    </w:p>
    <w:p w14:paraId="03BB9FD1" w14:textId="77777777" w:rsidR="00DF6D41" w:rsidRDefault="00DF6D41" w:rsidP="00DF6D41">
      <w:pPr>
        <w:pStyle w:val="NormalWeb"/>
        <w:shd w:val="clear" w:color="auto" w:fill="FFFFFF"/>
        <w:spacing w:before="225" w:beforeAutospacing="0" w:after="225" w:afterAutospacing="0" w:line="240" w:lineRule="atLeast"/>
        <w:textAlignment w:val="baseline"/>
        <w:rPr>
          <w:rFonts w:ascii="Myriad Pro" w:hAnsi="Myriad Pro"/>
          <w:color w:val="555555"/>
          <w:sz w:val="18"/>
          <w:szCs w:val="18"/>
        </w:rPr>
      </w:pPr>
      <w:r>
        <w:rPr>
          <w:rFonts w:ascii="Myriad Pro" w:hAnsi="Myriad Pro"/>
          <w:color w:val="555555"/>
          <w:sz w:val="18"/>
          <w:szCs w:val="18"/>
        </w:rPr>
        <w:t>Stories are central to children’s developing understanding of the world around them and its history. They also introduce pupils to a range of emotions in a way which enables them to talk about feelings without it being too threatening. Teachers might use traditional and familiar tales to explore this with young children. For example, how did the bears feel when Goldilocks stole their porridge? Were the pigs frightened by the big bad wolf? And did he deserve what he got? Once children are used to discussing characters and stories in this way and have built up their thinking skills, they could move on to story and picture books which link to their history topics. For example, during the KS1 topic of Toys, children could look at books their parents might have read and children. This could include classics such as The Very Hungry Caterpillar, Each Peach Pear Plum and Dogger. All of these books are good to inspire debate amongst children and memories of family history from parents.</w:t>
      </w:r>
    </w:p>
    <w:p w14:paraId="4FEEC3FB" w14:textId="77777777" w:rsidR="00DF6D41" w:rsidRDefault="00DF6D41" w:rsidP="00DF6D41">
      <w:pPr>
        <w:pStyle w:val="Heading3"/>
        <w:shd w:val="clear" w:color="auto" w:fill="FFFFFF"/>
        <w:spacing w:before="0"/>
        <w:textAlignment w:val="baseline"/>
        <w:rPr>
          <w:rFonts w:ascii="Myriad Pro" w:eastAsia="Times New Roman" w:hAnsi="Myriad Pro"/>
          <w:color w:val="7459A6"/>
          <w:sz w:val="25"/>
          <w:szCs w:val="25"/>
        </w:rPr>
      </w:pPr>
      <w:r>
        <w:rPr>
          <w:rFonts w:ascii="Myriad Pro" w:eastAsia="Times New Roman" w:hAnsi="Myriad Pro"/>
          <w:b/>
          <w:bCs/>
          <w:color w:val="7459A6"/>
          <w:sz w:val="25"/>
          <w:szCs w:val="25"/>
        </w:rPr>
        <w:t>Activities for KS2</w:t>
      </w:r>
    </w:p>
    <w:p w14:paraId="15E150B9" w14:textId="77777777" w:rsidR="00DF6D41" w:rsidRDefault="00DF6D41" w:rsidP="00DF6D41">
      <w:pPr>
        <w:pStyle w:val="NormalWeb"/>
        <w:shd w:val="clear" w:color="auto" w:fill="FFFFFF"/>
        <w:spacing w:before="225" w:beforeAutospacing="0" w:after="225" w:afterAutospacing="0" w:line="240" w:lineRule="atLeast"/>
        <w:textAlignment w:val="baseline"/>
        <w:rPr>
          <w:rFonts w:ascii="Myriad Pro" w:hAnsi="Myriad Pro"/>
          <w:color w:val="555555"/>
          <w:sz w:val="18"/>
          <w:szCs w:val="18"/>
        </w:rPr>
      </w:pPr>
      <w:r>
        <w:rPr>
          <w:rFonts w:ascii="Myriad Pro" w:hAnsi="Myriad Pro"/>
          <w:color w:val="555555"/>
          <w:sz w:val="18"/>
          <w:szCs w:val="18"/>
        </w:rPr>
        <w:t xml:space="preserve">KS2 books can again be useful starting points for considering emotional and controversial history topics. During a World War 2 project, Michael Foreman’s book War Boy provides some useful images and stories about life for a child during the war. It might also be useful to look at other children’s perspectives on the war, using Ian McEwan’s book Rose Blanche or Ruth Vander Zee’s Erica’s Story. In addition, at KS2, strong links with citizenship can be made. As well as providing a context for discussion, aspects of the curriculum that look at British history, such as the Invaders and Settlers topics, can be a starting point for understanding the range and diversity of all pupils’ backgrounds. Looking at how the country grew from its tribal roots through successive invasion and settlement by the Romans, Anglo Saxons and then Vikings is a good way to help pupils consider the history of Britain in the context of its </w:t>
      </w:r>
      <w:proofErr w:type="gramStart"/>
      <w:r>
        <w:rPr>
          <w:rFonts w:ascii="Myriad Pro" w:hAnsi="Myriad Pro"/>
          <w:color w:val="555555"/>
          <w:sz w:val="18"/>
          <w:szCs w:val="18"/>
        </w:rPr>
        <w:t>ever changing</w:t>
      </w:r>
      <w:proofErr w:type="gramEnd"/>
      <w:r>
        <w:rPr>
          <w:rFonts w:ascii="Myriad Pro" w:hAnsi="Myriad Pro"/>
          <w:color w:val="555555"/>
          <w:sz w:val="18"/>
          <w:szCs w:val="18"/>
        </w:rPr>
        <w:t xml:space="preserve"> population. Influences on British culture can also be examined through topic on the Tudors and Victorians, where travel, exploration, trade, cultural exchange and Empire are all important themes.</w:t>
      </w:r>
    </w:p>
    <w:p w14:paraId="7FE28931" w14:textId="77777777" w:rsidR="00DF6D41" w:rsidRDefault="00DF6D41" w:rsidP="00DF6D41">
      <w:pPr>
        <w:pStyle w:val="NormalWeb"/>
        <w:shd w:val="clear" w:color="auto" w:fill="FFFFFF"/>
        <w:spacing w:before="225" w:beforeAutospacing="0" w:after="225" w:afterAutospacing="0" w:line="240" w:lineRule="atLeast"/>
        <w:textAlignment w:val="baseline"/>
        <w:rPr>
          <w:rFonts w:ascii="Myriad Pro" w:hAnsi="Myriad Pro"/>
          <w:color w:val="555555"/>
          <w:sz w:val="18"/>
          <w:szCs w:val="18"/>
        </w:rPr>
      </w:pPr>
      <w:r>
        <w:rPr>
          <w:rFonts w:ascii="Myriad Pro" w:hAnsi="Myriad Pro"/>
          <w:color w:val="555555"/>
          <w:sz w:val="18"/>
          <w:szCs w:val="18"/>
        </w:rPr>
        <w:t>Teaching emotive and controversial history is not the easy option but it can be thought provoking and motivating for pupils and teachers.</w:t>
      </w:r>
    </w:p>
    <w:p w14:paraId="30B621A6" w14:textId="77777777" w:rsidR="00DF6D41" w:rsidRDefault="00DF6D41" w:rsidP="00DF6D41">
      <w:pPr>
        <w:pStyle w:val="NormalWeb"/>
        <w:shd w:val="clear" w:color="auto" w:fill="FFFFFF"/>
        <w:spacing w:before="225" w:beforeAutospacing="0" w:after="225" w:afterAutospacing="0" w:line="240" w:lineRule="atLeast"/>
        <w:textAlignment w:val="baseline"/>
        <w:rPr>
          <w:rFonts w:ascii="Myriad Pro" w:hAnsi="Myriad Pro"/>
          <w:color w:val="555555"/>
          <w:sz w:val="18"/>
          <w:szCs w:val="18"/>
        </w:rPr>
      </w:pPr>
      <w:r>
        <w:rPr>
          <w:rFonts w:ascii="Myriad Pro" w:hAnsi="Myriad Pro"/>
          <w:color w:val="555555"/>
          <w:sz w:val="18"/>
          <w:szCs w:val="18"/>
        </w:rPr>
        <w:br/>
        <w:t>For more on this subject, including subject knowledge, case studies and further reading, download the whole report at the Historical Association’s website (history.org.uk/resources/resource_780.html)</w:t>
      </w:r>
    </w:p>
    <w:p w14:paraId="5635B917" w14:textId="77777777" w:rsidR="00993273" w:rsidRDefault="00993273" w:rsidP="00843530"/>
    <w:p w14:paraId="660A94C0" w14:textId="77777777" w:rsidR="00DF6D41" w:rsidRDefault="00DF6D41" w:rsidP="00843530"/>
    <w:p w14:paraId="3EF96B15" w14:textId="77777777" w:rsidR="00DF6D41" w:rsidRDefault="0035542A" w:rsidP="00843530">
      <w:r>
        <w:t>Black history month</w:t>
      </w:r>
    </w:p>
    <w:p w14:paraId="018DDC99" w14:textId="77777777" w:rsidR="0035542A" w:rsidRDefault="0035542A" w:rsidP="00843530"/>
    <w:p w14:paraId="3A549680" w14:textId="77777777" w:rsidR="0035542A" w:rsidRDefault="0035542A" w:rsidP="00843530">
      <w:hyperlink r:id="rId20" w:history="1">
        <w:r w:rsidRPr="00240E29">
          <w:rPr>
            <w:rStyle w:val="Hyperlink"/>
          </w:rPr>
          <w:t>https://bhmwales.org.uk/</w:t>
        </w:r>
      </w:hyperlink>
    </w:p>
    <w:p w14:paraId="5A1E79D3" w14:textId="77777777" w:rsidR="0035542A" w:rsidRDefault="00FD78F4" w:rsidP="00843530">
      <w:hyperlink r:id="rId21" w:history="1">
        <w:r w:rsidRPr="00240E29">
          <w:rPr>
            <w:rStyle w:val="Hyperlink"/>
          </w:rPr>
          <w:t>http://www.blackhistorymonth.org.uk/listings/region/wales/</w:t>
        </w:r>
      </w:hyperlink>
    </w:p>
    <w:p w14:paraId="5E348A56" w14:textId="77777777" w:rsidR="00FD78F4" w:rsidRDefault="00FD78F4" w:rsidP="00843530"/>
    <w:p w14:paraId="20ABFAA8" w14:textId="77777777" w:rsidR="00FD78F4" w:rsidRDefault="00FD78F4" w:rsidP="00843530">
      <w:hyperlink r:id="rId22" w:history="1">
        <w:r w:rsidRPr="00240E29">
          <w:rPr>
            <w:rStyle w:val="Hyperlink"/>
          </w:rPr>
          <w:t>http://www.bbc.co.uk/wales/history/sites/themes/society/blackhistory_month.shtml</w:t>
        </w:r>
      </w:hyperlink>
    </w:p>
    <w:p w14:paraId="00BBCAB7" w14:textId="77777777" w:rsidR="00FD78F4" w:rsidRDefault="00FD78F4" w:rsidP="00843530"/>
    <w:p w14:paraId="3F5C6D20" w14:textId="77777777" w:rsidR="00FD78F4" w:rsidRDefault="00FD78F4" w:rsidP="00843530"/>
    <w:p w14:paraId="57D349A1" w14:textId="77777777" w:rsidR="00FD78F4" w:rsidRDefault="00E61BA5" w:rsidP="00843530">
      <w:hyperlink r:id="rId23" w:history="1">
        <w:r w:rsidRPr="00240E29">
          <w:rPr>
            <w:rStyle w:val="Hyperlink"/>
          </w:rPr>
          <w:t>https://www.theguardian.com/teacher-network/2015/sep/28/how-to-teach-black-history-month-2015</w:t>
        </w:r>
      </w:hyperlink>
    </w:p>
    <w:p w14:paraId="5FBC8518" w14:textId="77777777" w:rsidR="00E61BA5" w:rsidRDefault="00E61BA5" w:rsidP="00843530"/>
    <w:p w14:paraId="5E4AE13A" w14:textId="77777777" w:rsidR="00E61BA5" w:rsidRDefault="00E61BA5" w:rsidP="00843530">
      <w:r>
        <w:t>Rosa Parks</w:t>
      </w:r>
    </w:p>
    <w:p w14:paraId="79AF6368" w14:textId="77777777" w:rsidR="00E61BA5" w:rsidRDefault="00E61BA5" w:rsidP="00843530">
      <w:r>
        <w:t xml:space="preserve">Martin Luther </w:t>
      </w:r>
      <w:proofErr w:type="gramStart"/>
      <w:r>
        <w:t>King  I</w:t>
      </w:r>
      <w:proofErr w:type="gramEnd"/>
      <w:r>
        <w:t xml:space="preserve"> have a dream</w:t>
      </w:r>
    </w:p>
    <w:p w14:paraId="588577DA" w14:textId="77777777" w:rsidR="00E61BA5" w:rsidRDefault="00E61BA5" w:rsidP="00843530"/>
    <w:p w14:paraId="1353D5C4" w14:textId="77777777" w:rsidR="00E61BA5" w:rsidRDefault="00E61BA5" w:rsidP="00843530">
      <w:hyperlink r:id="rId24" w:history="1">
        <w:r w:rsidRPr="00240E29">
          <w:rPr>
            <w:rStyle w:val="Hyperlink"/>
          </w:rPr>
          <w:t>http://www.twinkl.co.uk/event/black-history-month-2018</w:t>
        </w:r>
      </w:hyperlink>
    </w:p>
    <w:p w14:paraId="123C8571" w14:textId="77777777" w:rsidR="00E61BA5" w:rsidRDefault="00E61BA5" w:rsidP="00843530"/>
    <w:p w14:paraId="36D7ED3C" w14:textId="77777777" w:rsidR="00E61BA5" w:rsidRDefault="00F153D6" w:rsidP="00843530">
      <w:hyperlink r:id="rId25" w:history="1">
        <w:r w:rsidRPr="00240E29">
          <w:rPr>
            <w:rStyle w:val="Hyperlink"/>
          </w:rPr>
          <w:t>https://resources.hwb.wales.gov.uk/VTC/2008-09/pse/irf08_21/index.html</w:t>
        </w:r>
      </w:hyperlink>
    </w:p>
    <w:p w14:paraId="14B4DE95" w14:textId="77777777" w:rsidR="00F153D6" w:rsidRDefault="00F153D6" w:rsidP="00843530"/>
    <w:p w14:paraId="79CBAE0D" w14:textId="77777777" w:rsidR="00F153D6" w:rsidRDefault="00F153D6" w:rsidP="00843530"/>
    <w:p w14:paraId="0496A8CC" w14:textId="77777777" w:rsidR="001F0B13" w:rsidRPr="001F0B13" w:rsidRDefault="001F0B13" w:rsidP="001F0B13">
      <w:pPr>
        <w:spacing w:after="100" w:afterAutospacing="1"/>
        <w:rPr>
          <w:rFonts w:ascii="Lato" w:hAnsi="Lato" w:cs="Times New Roman"/>
          <w:color w:val="333333"/>
          <w:sz w:val="27"/>
          <w:szCs w:val="27"/>
          <w:lang w:eastAsia="en-GB"/>
        </w:rPr>
      </w:pPr>
      <w:r w:rsidRPr="001F0B13">
        <w:rPr>
          <w:rFonts w:ascii="Lato" w:hAnsi="Lato" w:cs="Times New Roman"/>
          <w:color w:val="333333"/>
          <w:sz w:val="27"/>
          <w:szCs w:val="27"/>
          <w:lang w:eastAsia="en-GB"/>
        </w:rPr>
        <w:br/>
        <w:t>History is an irreplaceable resource for critically examining the human condition and the ways in which societies work. Through history, you can lead children to understand why people act as they do, and to appreciate and respect those who lived in the different, foreign country of the past. As such, history makes a crucial contribution to citizenship education, in that it can help pupils to understand and respect our common humanity and diversity, and can provide the conceptual means to make sense of their lives.</w:t>
      </w:r>
    </w:p>
    <w:p w14:paraId="22D65501" w14:textId="77777777" w:rsidR="001F0B13" w:rsidRPr="001F0B13" w:rsidRDefault="001F0B13" w:rsidP="001F0B13">
      <w:pPr>
        <w:spacing w:after="100" w:afterAutospacing="1"/>
        <w:rPr>
          <w:rFonts w:ascii="Lato" w:hAnsi="Lato" w:cs="Times New Roman"/>
          <w:color w:val="333333"/>
          <w:sz w:val="27"/>
          <w:szCs w:val="27"/>
          <w:lang w:eastAsia="en-GB"/>
        </w:rPr>
      </w:pPr>
      <w:r w:rsidRPr="001F0B13">
        <w:rPr>
          <w:rFonts w:ascii="Lato" w:hAnsi="Lato" w:cs="Times New Roman"/>
          <w:color w:val="333333"/>
          <w:sz w:val="27"/>
          <w:szCs w:val="27"/>
          <w:lang w:eastAsia="en-GB"/>
        </w:rPr>
        <w:t>History provides the imaginative teacher with many opportunities for fostering citizenship. The skills, concepts and processes involved in learning history can help to develop thoughtful, principled and confident citizens</w:t>
      </w:r>
    </w:p>
    <w:p w14:paraId="1387D85D" w14:textId="77777777" w:rsidR="001F0B13" w:rsidRPr="001F0B13" w:rsidRDefault="001F0B13" w:rsidP="001F0B13">
      <w:pPr>
        <w:spacing w:after="100" w:afterAutospacing="1"/>
        <w:rPr>
          <w:rFonts w:ascii="Lato" w:hAnsi="Lato" w:cs="Times New Roman"/>
          <w:color w:val="333333"/>
          <w:sz w:val="27"/>
          <w:szCs w:val="27"/>
          <w:lang w:eastAsia="en-GB"/>
        </w:rPr>
      </w:pPr>
      <w:r w:rsidRPr="001F0B13">
        <w:rPr>
          <w:rFonts w:ascii="Lato" w:hAnsi="Lato" w:cs="Times New Roman"/>
          <w:b/>
          <w:bCs/>
          <w:color w:val="333333"/>
          <w:sz w:val="27"/>
          <w:szCs w:val="27"/>
          <w:lang w:eastAsia="en-GB"/>
        </w:rPr>
        <w:t>Citizenship opportunities</w:t>
      </w:r>
      <w:r w:rsidRPr="001F0B13">
        <w:rPr>
          <w:rFonts w:ascii="Lato" w:hAnsi="Lato" w:cs="Times New Roman"/>
          <w:color w:val="333333"/>
          <w:sz w:val="27"/>
          <w:szCs w:val="27"/>
          <w:lang w:eastAsia="en-GB"/>
        </w:rPr>
        <w:br/>
        <w:t>Good history teaching will offer many opportunities for young children to start developing the knowledge, understandings, attitudes and values essential for citizenship.</w:t>
      </w:r>
    </w:p>
    <w:p w14:paraId="5D8428D2" w14:textId="77777777" w:rsidR="001F0B13" w:rsidRPr="001F0B13" w:rsidRDefault="001F0B13" w:rsidP="001F0B13">
      <w:pPr>
        <w:spacing w:after="100" w:afterAutospacing="1"/>
        <w:rPr>
          <w:rFonts w:ascii="Lato" w:hAnsi="Lato" w:cs="Times New Roman"/>
          <w:color w:val="333333"/>
          <w:sz w:val="27"/>
          <w:szCs w:val="27"/>
          <w:lang w:eastAsia="en-GB"/>
        </w:rPr>
      </w:pPr>
      <w:r w:rsidRPr="001F0B13">
        <w:rPr>
          <w:rFonts w:ascii="Lato" w:hAnsi="Lato" w:cs="Times New Roman"/>
          <w:color w:val="333333"/>
          <w:sz w:val="27"/>
          <w:szCs w:val="27"/>
          <w:lang w:eastAsia="en-GB"/>
        </w:rPr>
        <w:t>Specifically, learning history can result in children developing a sense of:</w:t>
      </w:r>
    </w:p>
    <w:p w14:paraId="321EF39B" w14:textId="77777777" w:rsidR="001F0B13" w:rsidRPr="001F0B13" w:rsidRDefault="001F0B13" w:rsidP="001F0B13">
      <w:pPr>
        <w:numPr>
          <w:ilvl w:val="0"/>
          <w:numId w:val="1"/>
        </w:numPr>
        <w:spacing w:before="100" w:beforeAutospacing="1" w:after="100" w:afterAutospacing="1"/>
        <w:rPr>
          <w:rFonts w:ascii="Lato" w:eastAsia="Times New Roman" w:hAnsi="Lato" w:cs="Times New Roman"/>
          <w:color w:val="333333"/>
          <w:sz w:val="27"/>
          <w:szCs w:val="27"/>
          <w:lang w:eastAsia="en-GB"/>
        </w:rPr>
      </w:pPr>
      <w:r w:rsidRPr="001F0B13">
        <w:rPr>
          <w:rFonts w:ascii="Lato" w:eastAsia="Times New Roman" w:hAnsi="Lato" w:cs="Times New Roman"/>
          <w:color w:val="333333"/>
          <w:sz w:val="27"/>
          <w:szCs w:val="27"/>
          <w:lang w:eastAsia="en-GB"/>
        </w:rPr>
        <w:t>identity - through developing knowledge and understanding of self and others and their place in the community</w:t>
      </w:r>
    </w:p>
    <w:p w14:paraId="687449B0" w14:textId="77777777" w:rsidR="001F0B13" w:rsidRPr="001F0B13" w:rsidRDefault="001F0B13" w:rsidP="001F0B13">
      <w:pPr>
        <w:numPr>
          <w:ilvl w:val="0"/>
          <w:numId w:val="1"/>
        </w:numPr>
        <w:spacing w:before="100" w:beforeAutospacing="1" w:after="100" w:afterAutospacing="1"/>
        <w:rPr>
          <w:rFonts w:ascii="Lato" w:eastAsia="Times New Roman" w:hAnsi="Lato" w:cs="Times New Roman"/>
          <w:color w:val="333333"/>
          <w:sz w:val="27"/>
          <w:szCs w:val="27"/>
          <w:lang w:eastAsia="en-GB"/>
        </w:rPr>
      </w:pPr>
      <w:r w:rsidRPr="001F0B13">
        <w:rPr>
          <w:rFonts w:ascii="Lato" w:eastAsia="Times New Roman" w:hAnsi="Lato" w:cs="Times New Roman"/>
          <w:color w:val="333333"/>
          <w:sz w:val="27"/>
          <w:szCs w:val="27"/>
          <w:lang w:eastAsia="en-GB"/>
        </w:rPr>
        <w:t>security - through understanding change over time</w:t>
      </w:r>
    </w:p>
    <w:p w14:paraId="503BD09C" w14:textId="77777777" w:rsidR="001F0B13" w:rsidRPr="001F0B13" w:rsidRDefault="001F0B13" w:rsidP="001F0B13">
      <w:pPr>
        <w:numPr>
          <w:ilvl w:val="0"/>
          <w:numId w:val="1"/>
        </w:numPr>
        <w:spacing w:before="100" w:beforeAutospacing="1" w:after="100" w:afterAutospacing="1"/>
        <w:rPr>
          <w:rFonts w:ascii="Lato" w:eastAsia="Times New Roman" w:hAnsi="Lato" w:cs="Times New Roman"/>
          <w:color w:val="333333"/>
          <w:sz w:val="27"/>
          <w:szCs w:val="27"/>
          <w:lang w:eastAsia="en-GB"/>
        </w:rPr>
      </w:pPr>
      <w:r w:rsidRPr="001F0B13">
        <w:rPr>
          <w:rFonts w:ascii="Lato" w:eastAsia="Times New Roman" w:hAnsi="Lato" w:cs="Times New Roman"/>
          <w:color w:val="333333"/>
          <w:sz w:val="27"/>
          <w:szCs w:val="27"/>
          <w:lang w:eastAsia="en-GB"/>
        </w:rPr>
        <w:t>tolerance - through a respect for, and acceptance of, difference</w:t>
      </w:r>
    </w:p>
    <w:p w14:paraId="21BECB30" w14:textId="77777777" w:rsidR="001F0B13" w:rsidRPr="001F0B13" w:rsidRDefault="001F0B13" w:rsidP="001F0B13">
      <w:pPr>
        <w:numPr>
          <w:ilvl w:val="0"/>
          <w:numId w:val="1"/>
        </w:numPr>
        <w:spacing w:before="100" w:beforeAutospacing="1" w:after="100" w:afterAutospacing="1"/>
        <w:rPr>
          <w:rFonts w:ascii="Lato" w:eastAsia="Times New Roman" w:hAnsi="Lato" w:cs="Times New Roman"/>
          <w:color w:val="333333"/>
          <w:sz w:val="27"/>
          <w:szCs w:val="27"/>
          <w:lang w:eastAsia="en-GB"/>
        </w:rPr>
      </w:pPr>
      <w:r w:rsidRPr="001F0B13">
        <w:rPr>
          <w:rFonts w:ascii="Lato" w:eastAsia="Times New Roman" w:hAnsi="Lato" w:cs="Times New Roman"/>
          <w:color w:val="333333"/>
          <w:sz w:val="27"/>
          <w:szCs w:val="27"/>
          <w:lang w:eastAsia="en-GB"/>
        </w:rPr>
        <w:t>discrimination/judgement - through developing a critical attitude to opinion and a respect for evidence.</w:t>
      </w:r>
      <w:r w:rsidRPr="001F0B13">
        <w:rPr>
          <w:rFonts w:ascii="Lato" w:eastAsia="Times New Roman" w:hAnsi="Lato" w:cs="Times New Roman"/>
          <w:color w:val="333333"/>
          <w:sz w:val="27"/>
          <w:szCs w:val="27"/>
          <w:lang w:eastAsia="en-GB"/>
        </w:rPr>
        <w:br/>
        <w:t xml:space="preserve">(With thanks to Peter </w:t>
      </w:r>
      <w:proofErr w:type="spellStart"/>
      <w:r w:rsidRPr="001F0B13">
        <w:rPr>
          <w:rFonts w:ascii="Lato" w:eastAsia="Times New Roman" w:hAnsi="Lato" w:cs="Times New Roman"/>
          <w:color w:val="333333"/>
          <w:sz w:val="27"/>
          <w:szCs w:val="27"/>
          <w:lang w:eastAsia="en-GB"/>
        </w:rPr>
        <w:t>MacNamara</w:t>
      </w:r>
      <w:proofErr w:type="spellEnd"/>
      <w:r w:rsidRPr="001F0B13">
        <w:rPr>
          <w:rFonts w:ascii="Lato" w:eastAsia="Times New Roman" w:hAnsi="Lato" w:cs="Times New Roman"/>
          <w:color w:val="333333"/>
          <w:sz w:val="27"/>
          <w:szCs w:val="27"/>
          <w:lang w:eastAsia="en-GB"/>
        </w:rPr>
        <w:t>).</w:t>
      </w:r>
    </w:p>
    <w:p w14:paraId="2F85B419" w14:textId="77777777" w:rsidR="001F0B13" w:rsidRPr="001F0B13" w:rsidRDefault="001F0B13" w:rsidP="001F0B13">
      <w:pPr>
        <w:spacing w:after="100" w:afterAutospacing="1"/>
        <w:rPr>
          <w:rFonts w:ascii="Lato" w:hAnsi="Lato" w:cs="Times New Roman"/>
          <w:color w:val="333333"/>
          <w:sz w:val="27"/>
          <w:szCs w:val="27"/>
          <w:lang w:eastAsia="en-GB"/>
        </w:rPr>
      </w:pPr>
      <w:r w:rsidRPr="001F0B13">
        <w:rPr>
          <w:rFonts w:ascii="Lato" w:hAnsi="Lato" w:cs="Times New Roman"/>
          <w:b/>
          <w:bCs/>
          <w:color w:val="333333"/>
          <w:sz w:val="27"/>
          <w:szCs w:val="27"/>
          <w:lang w:eastAsia="en-GB"/>
        </w:rPr>
        <w:t>Medium and message</w:t>
      </w:r>
      <w:r w:rsidRPr="001F0B13">
        <w:rPr>
          <w:rFonts w:ascii="Lato" w:hAnsi="Lato" w:cs="Times New Roman"/>
          <w:color w:val="333333"/>
          <w:sz w:val="27"/>
          <w:szCs w:val="27"/>
          <w:lang w:eastAsia="en-GB"/>
        </w:rPr>
        <w:br/>
        <w:t>Teachers have a powerful role in ensuring that all children feel included, that they feel that they, their beliefs and their culture, are respected. Such respect is a crucial component of their development as people and as citizens. In other words, telling children what democratic citizenship </w:t>
      </w:r>
      <w:r w:rsidRPr="001F0B13">
        <w:rPr>
          <w:rFonts w:ascii="Lato" w:hAnsi="Lato" w:cs="Times New Roman"/>
          <w:i/>
          <w:iCs/>
          <w:color w:val="333333"/>
          <w:sz w:val="27"/>
          <w:szCs w:val="27"/>
          <w:lang w:eastAsia="en-GB"/>
        </w:rPr>
        <w:t>is</w:t>
      </w:r>
      <w:r w:rsidRPr="001F0B13">
        <w:rPr>
          <w:rFonts w:ascii="Lato" w:hAnsi="Lato" w:cs="Times New Roman"/>
          <w:color w:val="333333"/>
          <w:sz w:val="27"/>
          <w:szCs w:val="27"/>
          <w:lang w:eastAsia="en-GB"/>
        </w:rPr>
        <w:t> will not help produce good citizens on its own.</w:t>
      </w:r>
    </w:p>
    <w:p w14:paraId="375AFDBF" w14:textId="77777777" w:rsidR="001F0B13" w:rsidRPr="001F0B13" w:rsidRDefault="001F0B13" w:rsidP="001F0B13">
      <w:pPr>
        <w:spacing w:after="100" w:afterAutospacing="1"/>
        <w:rPr>
          <w:rFonts w:ascii="Lato" w:hAnsi="Lato" w:cs="Times New Roman"/>
          <w:color w:val="333333"/>
          <w:sz w:val="27"/>
          <w:szCs w:val="27"/>
          <w:lang w:eastAsia="en-GB"/>
        </w:rPr>
      </w:pPr>
      <w:r w:rsidRPr="001F0B13">
        <w:rPr>
          <w:rFonts w:ascii="Lato" w:hAnsi="Lato" w:cs="Times New Roman"/>
          <w:color w:val="333333"/>
          <w:sz w:val="27"/>
          <w:szCs w:val="27"/>
          <w:lang w:eastAsia="en-GB"/>
        </w:rPr>
        <w:t>The teaching must be underpinned by democratic principles, that is, an ethos based on the principles of respect for pupils, of their autonomy and of justice.</w:t>
      </w:r>
    </w:p>
    <w:p w14:paraId="38C559FC" w14:textId="77777777" w:rsidR="001F0B13" w:rsidRPr="001F0B13" w:rsidRDefault="001F0B13" w:rsidP="001F0B13">
      <w:pPr>
        <w:spacing w:after="100" w:afterAutospacing="1"/>
        <w:rPr>
          <w:rFonts w:ascii="Lato" w:hAnsi="Lato" w:cs="Times New Roman"/>
          <w:color w:val="333333"/>
          <w:sz w:val="27"/>
          <w:szCs w:val="27"/>
          <w:lang w:eastAsia="en-GB"/>
        </w:rPr>
      </w:pPr>
      <w:r w:rsidRPr="001F0B13">
        <w:rPr>
          <w:rFonts w:ascii="Lato" w:hAnsi="Lato" w:cs="Times New Roman"/>
          <w:color w:val="333333"/>
          <w:sz w:val="27"/>
          <w:szCs w:val="27"/>
          <w:lang w:eastAsia="en-GB"/>
        </w:rPr>
        <w:t>The most powerful learning combines experience (doing) with cognitive challenge that encourages children actively to question, to speculate, to debate and to listen (thinking), within a secure, safe and fair environment. Within such an ethos citizenship values can be practised.</w:t>
      </w:r>
    </w:p>
    <w:p w14:paraId="0619EAF9" w14:textId="77777777" w:rsidR="001F0B13" w:rsidRPr="001F0B13" w:rsidRDefault="001F0B13" w:rsidP="001F0B13">
      <w:pPr>
        <w:spacing w:after="100" w:afterAutospacing="1"/>
        <w:rPr>
          <w:rFonts w:ascii="Lato" w:hAnsi="Lato" w:cs="Times New Roman"/>
          <w:color w:val="333333"/>
          <w:sz w:val="27"/>
          <w:szCs w:val="27"/>
          <w:lang w:eastAsia="en-GB"/>
        </w:rPr>
      </w:pPr>
      <w:r w:rsidRPr="001F0B13">
        <w:rPr>
          <w:rFonts w:ascii="Lato" w:hAnsi="Lato" w:cs="Times New Roman"/>
          <w:b/>
          <w:bCs/>
          <w:color w:val="333333"/>
          <w:sz w:val="27"/>
          <w:szCs w:val="27"/>
          <w:lang w:eastAsia="en-GB"/>
        </w:rPr>
        <w:t>Societies different from their own</w:t>
      </w:r>
      <w:r w:rsidRPr="001F0B13">
        <w:rPr>
          <w:rFonts w:ascii="Lato" w:hAnsi="Lato" w:cs="Times New Roman"/>
          <w:color w:val="333333"/>
          <w:sz w:val="27"/>
          <w:szCs w:val="27"/>
          <w:lang w:eastAsia="en-GB"/>
        </w:rPr>
        <w:br/>
        <w:t>Children will be much better helped to develop as citizens with a respect for diversity, and tolerance for others' attitudes and beliefs, if they are also encouraged to understand and respect societies different from their own in time as well as place. Such understanding needs to be from the perspective of those past people (that is, understanding from the inside) as well as from our perspective now.</w:t>
      </w:r>
    </w:p>
    <w:p w14:paraId="2B57FE71" w14:textId="77777777" w:rsidR="001F0B13" w:rsidRPr="001F0B13" w:rsidRDefault="001F0B13" w:rsidP="001F0B13">
      <w:pPr>
        <w:spacing w:after="100" w:afterAutospacing="1"/>
        <w:rPr>
          <w:rFonts w:ascii="Lato" w:hAnsi="Lato" w:cs="Times New Roman"/>
          <w:color w:val="333333"/>
          <w:sz w:val="27"/>
          <w:szCs w:val="27"/>
          <w:lang w:eastAsia="en-GB"/>
        </w:rPr>
      </w:pPr>
      <w:r w:rsidRPr="001F0B13">
        <w:rPr>
          <w:rFonts w:ascii="Lato" w:hAnsi="Lato" w:cs="Times New Roman"/>
          <w:b/>
          <w:bCs/>
          <w:color w:val="333333"/>
          <w:sz w:val="27"/>
          <w:szCs w:val="27"/>
          <w:lang w:eastAsia="en-GB"/>
        </w:rPr>
        <w:t>Key moral concepts</w:t>
      </w:r>
      <w:r w:rsidRPr="001F0B13">
        <w:rPr>
          <w:rFonts w:ascii="Lato" w:hAnsi="Lato" w:cs="Times New Roman"/>
          <w:color w:val="333333"/>
          <w:sz w:val="27"/>
          <w:szCs w:val="27"/>
          <w:lang w:eastAsia="en-GB"/>
        </w:rPr>
        <w:br/>
        <w:t>At primary school, what are the key moral concepts that children need to grasp in order to develop into good citizens? They need:</w:t>
      </w:r>
    </w:p>
    <w:p w14:paraId="69C9006D" w14:textId="77777777" w:rsidR="001F0B13" w:rsidRPr="001F0B13" w:rsidRDefault="001F0B13" w:rsidP="001F0B13">
      <w:pPr>
        <w:numPr>
          <w:ilvl w:val="0"/>
          <w:numId w:val="2"/>
        </w:numPr>
        <w:spacing w:before="100" w:beforeAutospacing="1" w:after="100" w:afterAutospacing="1"/>
        <w:rPr>
          <w:rFonts w:ascii="Lato" w:eastAsia="Times New Roman" w:hAnsi="Lato" w:cs="Times New Roman"/>
          <w:color w:val="333333"/>
          <w:sz w:val="27"/>
          <w:szCs w:val="27"/>
          <w:lang w:eastAsia="en-GB"/>
        </w:rPr>
      </w:pPr>
      <w:r w:rsidRPr="001F0B13">
        <w:rPr>
          <w:rFonts w:ascii="Lato" w:eastAsia="Times New Roman" w:hAnsi="Lato" w:cs="Times New Roman"/>
          <w:color w:val="333333"/>
          <w:sz w:val="27"/>
          <w:szCs w:val="27"/>
          <w:lang w:eastAsia="en-GB"/>
        </w:rPr>
        <w:t>to understand that 'different' does not mean 'inferior'</w:t>
      </w:r>
    </w:p>
    <w:p w14:paraId="5F224B75" w14:textId="77777777" w:rsidR="001F0B13" w:rsidRPr="001F0B13" w:rsidRDefault="001F0B13" w:rsidP="001F0B13">
      <w:pPr>
        <w:numPr>
          <w:ilvl w:val="0"/>
          <w:numId w:val="2"/>
        </w:numPr>
        <w:spacing w:before="100" w:beforeAutospacing="1" w:after="100" w:afterAutospacing="1"/>
        <w:rPr>
          <w:rFonts w:ascii="Lato" w:eastAsia="Times New Roman" w:hAnsi="Lato" w:cs="Times New Roman"/>
          <w:color w:val="333333"/>
          <w:sz w:val="27"/>
          <w:szCs w:val="27"/>
          <w:lang w:eastAsia="en-GB"/>
        </w:rPr>
      </w:pPr>
      <w:r w:rsidRPr="001F0B13">
        <w:rPr>
          <w:rFonts w:ascii="Lato" w:eastAsia="Times New Roman" w:hAnsi="Lato" w:cs="Times New Roman"/>
          <w:color w:val="333333"/>
          <w:sz w:val="27"/>
          <w:szCs w:val="27"/>
          <w:lang w:eastAsia="en-GB"/>
        </w:rPr>
        <w:t>to appreciate that we are all worthy of being valued</w:t>
      </w:r>
    </w:p>
    <w:p w14:paraId="41B5BCFE" w14:textId="77777777" w:rsidR="001F0B13" w:rsidRDefault="001F0B13" w:rsidP="001F0B13">
      <w:pPr>
        <w:numPr>
          <w:ilvl w:val="0"/>
          <w:numId w:val="2"/>
        </w:numPr>
        <w:spacing w:before="100" w:beforeAutospacing="1" w:after="100" w:afterAutospacing="1"/>
        <w:rPr>
          <w:rFonts w:ascii="Lato" w:eastAsia="Times New Roman" w:hAnsi="Lato" w:cs="Times New Roman"/>
          <w:color w:val="333333"/>
          <w:sz w:val="27"/>
          <w:szCs w:val="27"/>
          <w:lang w:eastAsia="en-GB"/>
        </w:rPr>
      </w:pPr>
      <w:r w:rsidRPr="001F0B13">
        <w:rPr>
          <w:rFonts w:ascii="Lato" w:eastAsia="Times New Roman" w:hAnsi="Lato" w:cs="Times New Roman"/>
          <w:color w:val="333333"/>
          <w:sz w:val="27"/>
          <w:szCs w:val="27"/>
          <w:lang w:eastAsia="en-GB"/>
        </w:rPr>
        <w:t>an understanding that we have shared human needs.</w:t>
      </w:r>
    </w:p>
    <w:p w14:paraId="4EC237BB" w14:textId="77777777" w:rsidR="004C7E62" w:rsidRDefault="004C7E62" w:rsidP="004C7E62">
      <w:pPr>
        <w:spacing w:before="100" w:beforeAutospacing="1" w:after="100" w:afterAutospacing="1"/>
        <w:rPr>
          <w:rFonts w:ascii="Lato" w:eastAsia="Times New Roman" w:hAnsi="Lato" w:cs="Times New Roman"/>
          <w:color w:val="333333"/>
          <w:sz w:val="27"/>
          <w:szCs w:val="27"/>
          <w:lang w:eastAsia="en-GB"/>
        </w:rPr>
      </w:pPr>
    </w:p>
    <w:p w14:paraId="0BE0E351" w14:textId="5DF9A7DE" w:rsidR="004C7E62" w:rsidRDefault="004C7E62" w:rsidP="004C7E62">
      <w:pPr>
        <w:spacing w:before="100" w:beforeAutospacing="1" w:after="100" w:afterAutospacing="1"/>
        <w:rPr>
          <w:rFonts w:ascii="Lato" w:eastAsia="Times New Roman" w:hAnsi="Lato" w:cs="Times New Roman"/>
          <w:color w:val="333333"/>
          <w:sz w:val="27"/>
          <w:szCs w:val="27"/>
          <w:lang w:eastAsia="en-GB"/>
        </w:rPr>
      </w:pPr>
      <w:r>
        <w:rPr>
          <w:rFonts w:ascii="Lato" w:eastAsia="Times New Roman" w:hAnsi="Lato" w:cs="Times New Roman"/>
          <w:color w:val="333333"/>
          <w:sz w:val="27"/>
          <w:szCs w:val="27"/>
          <w:lang w:eastAsia="en-GB"/>
        </w:rPr>
        <w:t>Gun powder plot</w:t>
      </w:r>
    </w:p>
    <w:p w14:paraId="4D7D60DC" w14:textId="6F19C432" w:rsidR="004C7E62" w:rsidRDefault="004C7E62" w:rsidP="004C7E62">
      <w:pPr>
        <w:spacing w:before="100" w:beforeAutospacing="1" w:after="100" w:afterAutospacing="1"/>
        <w:rPr>
          <w:rFonts w:ascii="Lato" w:eastAsia="Times New Roman" w:hAnsi="Lato" w:cs="Times New Roman"/>
          <w:color w:val="333333"/>
          <w:sz w:val="27"/>
          <w:szCs w:val="27"/>
          <w:lang w:eastAsia="en-GB"/>
        </w:rPr>
      </w:pPr>
      <w:hyperlink r:id="rId26" w:history="1">
        <w:r w:rsidRPr="00240E29">
          <w:rPr>
            <w:rStyle w:val="Hyperlink"/>
            <w:rFonts w:ascii="Lato" w:eastAsia="Times New Roman" w:hAnsi="Lato" w:cs="Times New Roman"/>
            <w:sz w:val="27"/>
            <w:szCs w:val="27"/>
            <w:lang w:eastAsia="en-GB"/>
          </w:rPr>
          <w:t>https://www.history.org.uk/resource/3675</w:t>
        </w:r>
      </w:hyperlink>
    </w:p>
    <w:p w14:paraId="334DB1A5" w14:textId="77777777" w:rsidR="004C7E62" w:rsidRDefault="004C7E62" w:rsidP="004C7E62">
      <w:pPr>
        <w:spacing w:before="100" w:beforeAutospacing="1" w:after="100" w:afterAutospacing="1"/>
        <w:rPr>
          <w:rFonts w:ascii="Lato" w:eastAsia="Times New Roman" w:hAnsi="Lato" w:cs="Times New Roman"/>
          <w:color w:val="333333"/>
          <w:sz w:val="27"/>
          <w:szCs w:val="27"/>
          <w:lang w:eastAsia="en-GB"/>
        </w:rPr>
      </w:pPr>
    </w:p>
    <w:p w14:paraId="4A889C1D" w14:textId="77777777" w:rsidR="004C7E62" w:rsidRPr="001F0B13" w:rsidRDefault="004C7E62" w:rsidP="004C7E62">
      <w:pPr>
        <w:spacing w:before="100" w:beforeAutospacing="1" w:after="100" w:afterAutospacing="1"/>
        <w:rPr>
          <w:rFonts w:ascii="Lato" w:eastAsia="Times New Roman" w:hAnsi="Lato" w:cs="Times New Roman"/>
          <w:color w:val="333333"/>
          <w:sz w:val="27"/>
          <w:szCs w:val="27"/>
          <w:lang w:eastAsia="en-GB"/>
        </w:rPr>
      </w:pPr>
      <w:bookmarkStart w:id="0" w:name="_GoBack"/>
      <w:bookmarkEnd w:id="0"/>
    </w:p>
    <w:p w14:paraId="15E12435" w14:textId="77777777" w:rsidR="00F153D6" w:rsidRPr="00843530" w:rsidRDefault="00F153D6" w:rsidP="00843530"/>
    <w:sectPr w:rsidR="00F153D6" w:rsidRPr="00843530" w:rsidSect="00A8492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Times">
    <w:panose1 w:val="00000500000000020000"/>
    <w:charset w:val="00"/>
    <w:family w:val="roman"/>
    <w:pitch w:val="variable"/>
    <w:sig w:usb0="00000003" w:usb1="00000000" w:usb2="00000000" w:usb3="00000000" w:csb0="00000001" w:csb1="00000000"/>
  </w:font>
  <w:font w:name="Zapf Dingbats">
    <w:panose1 w:val="05020102010704020609"/>
    <w:charset w:val="02"/>
    <w:family w:val="auto"/>
    <w:pitch w:val="variable"/>
    <w:sig w:usb0="00000000" w:usb1="10000000" w:usb2="00000000" w:usb3="00000000" w:csb0="80000000" w:csb1="00000000"/>
  </w:font>
  <w:font w:name="Myriad Pro">
    <w:panose1 w:val="020B0503030403020204"/>
    <w:charset w:val="00"/>
    <w:family w:val="auto"/>
    <w:pitch w:val="variable"/>
    <w:sig w:usb0="20000287" w:usb1="00000001" w:usb2="00000000" w:usb3="00000000" w:csb0="0000019F" w:csb1="00000000"/>
  </w:font>
  <w:font w:name="Lato">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FE1E81"/>
    <w:multiLevelType w:val="multilevel"/>
    <w:tmpl w:val="08784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CD06373"/>
    <w:multiLevelType w:val="multilevel"/>
    <w:tmpl w:val="F8600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530"/>
    <w:rsid w:val="001F0B13"/>
    <w:rsid w:val="002C1CA9"/>
    <w:rsid w:val="0035542A"/>
    <w:rsid w:val="004C7E62"/>
    <w:rsid w:val="00843530"/>
    <w:rsid w:val="00993273"/>
    <w:rsid w:val="00A8492D"/>
    <w:rsid w:val="00DE1887"/>
    <w:rsid w:val="00DF6D41"/>
    <w:rsid w:val="00E61BA5"/>
    <w:rsid w:val="00EC00C7"/>
    <w:rsid w:val="00F153D6"/>
    <w:rsid w:val="00F6017E"/>
    <w:rsid w:val="00FD7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A158F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1CA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43530"/>
    <w:pPr>
      <w:spacing w:before="100" w:beforeAutospacing="1" w:after="100" w:afterAutospacing="1"/>
      <w:outlineLvl w:val="1"/>
    </w:pPr>
    <w:rPr>
      <w:rFonts w:ascii="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DF6D41"/>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semiHidden/>
    <w:unhideWhenUsed/>
    <w:qFormat/>
    <w:rsid w:val="002C1CA9"/>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43530"/>
    <w:rPr>
      <w:rFonts w:ascii="Times New Roman" w:hAnsi="Times New Roman" w:cs="Times New Roman"/>
      <w:b/>
      <w:bCs/>
      <w:sz w:val="36"/>
      <w:szCs w:val="36"/>
      <w:lang w:eastAsia="en-GB"/>
    </w:rPr>
  </w:style>
  <w:style w:type="paragraph" w:styleId="NormalWeb">
    <w:name w:val="Normal (Web)"/>
    <w:basedOn w:val="Normal"/>
    <w:uiPriority w:val="99"/>
    <w:semiHidden/>
    <w:unhideWhenUsed/>
    <w:rsid w:val="00843530"/>
    <w:pPr>
      <w:spacing w:before="100" w:beforeAutospacing="1" w:after="100" w:afterAutospacing="1"/>
    </w:pPr>
    <w:rPr>
      <w:rFonts w:ascii="Times New Roman" w:hAnsi="Times New Roman" w:cs="Times New Roman"/>
      <w:lang w:eastAsia="en-GB"/>
    </w:rPr>
  </w:style>
  <w:style w:type="character" w:styleId="Emphasis">
    <w:name w:val="Emphasis"/>
    <w:basedOn w:val="DefaultParagraphFont"/>
    <w:uiPriority w:val="20"/>
    <w:qFormat/>
    <w:rsid w:val="00843530"/>
    <w:rPr>
      <w:i/>
      <w:iCs/>
    </w:rPr>
  </w:style>
  <w:style w:type="character" w:styleId="Hyperlink">
    <w:name w:val="Hyperlink"/>
    <w:basedOn w:val="DefaultParagraphFont"/>
    <w:uiPriority w:val="99"/>
    <w:unhideWhenUsed/>
    <w:rsid w:val="00843530"/>
    <w:rPr>
      <w:color w:val="0000FF"/>
      <w:u w:val="single"/>
    </w:rPr>
  </w:style>
  <w:style w:type="character" w:customStyle="1" w:styleId="Heading1Char">
    <w:name w:val="Heading 1 Char"/>
    <w:basedOn w:val="DefaultParagraphFont"/>
    <w:link w:val="Heading1"/>
    <w:uiPriority w:val="9"/>
    <w:rsid w:val="002C1CA9"/>
    <w:rPr>
      <w:rFonts w:asciiTheme="majorHAnsi" w:eastAsiaTheme="majorEastAsia" w:hAnsiTheme="majorHAnsi" w:cstheme="majorBidi"/>
      <w:color w:val="2F5496" w:themeColor="accent1" w:themeShade="BF"/>
      <w:sz w:val="32"/>
      <w:szCs w:val="32"/>
    </w:rPr>
  </w:style>
  <w:style w:type="character" w:customStyle="1" w:styleId="Heading5Char">
    <w:name w:val="Heading 5 Char"/>
    <w:basedOn w:val="DefaultParagraphFont"/>
    <w:link w:val="Heading5"/>
    <w:uiPriority w:val="9"/>
    <w:semiHidden/>
    <w:rsid w:val="002C1CA9"/>
    <w:rPr>
      <w:rFonts w:asciiTheme="majorHAnsi" w:eastAsiaTheme="majorEastAsia" w:hAnsiTheme="majorHAnsi" w:cstheme="majorBidi"/>
      <w:color w:val="2F5496" w:themeColor="accent1" w:themeShade="BF"/>
    </w:rPr>
  </w:style>
  <w:style w:type="character" w:styleId="Strong">
    <w:name w:val="Strong"/>
    <w:basedOn w:val="DefaultParagraphFont"/>
    <w:uiPriority w:val="22"/>
    <w:qFormat/>
    <w:rsid w:val="002C1CA9"/>
    <w:rPr>
      <w:b/>
      <w:bCs/>
    </w:rPr>
  </w:style>
  <w:style w:type="character" w:customStyle="1" w:styleId="image-caption">
    <w:name w:val="image-caption"/>
    <w:basedOn w:val="DefaultParagraphFont"/>
    <w:rsid w:val="002C1CA9"/>
  </w:style>
  <w:style w:type="character" w:customStyle="1" w:styleId="print-footnote">
    <w:name w:val="print-footnote"/>
    <w:basedOn w:val="DefaultParagraphFont"/>
    <w:rsid w:val="002C1CA9"/>
  </w:style>
  <w:style w:type="character" w:customStyle="1" w:styleId="Heading3Char">
    <w:name w:val="Heading 3 Char"/>
    <w:basedOn w:val="DefaultParagraphFont"/>
    <w:link w:val="Heading3"/>
    <w:uiPriority w:val="9"/>
    <w:semiHidden/>
    <w:rsid w:val="00DF6D41"/>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593230">
      <w:bodyDiv w:val="1"/>
      <w:marLeft w:val="0"/>
      <w:marRight w:val="0"/>
      <w:marTop w:val="0"/>
      <w:marBottom w:val="0"/>
      <w:divBdr>
        <w:top w:val="none" w:sz="0" w:space="0" w:color="auto"/>
        <w:left w:val="none" w:sz="0" w:space="0" w:color="auto"/>
        <w:bottom w:val="none" w:sz="0" w:space="0" w:color="auto"/>
        <w:right w:val="none" w:sz="0" w:space="0" w:color="auto"/>
      </w:divBdr>
    </w:div>
    <w:div w:id="810748676">
      <w:bodyDiv w:val="1"/>
      <w:marLeft w:val="0"/>
      <w:marRight w:val="0"/>
      <w:marTop w:val="0"/>
      <w:marBottom w:val="0"/>
      <w:divBdr>
        <w:top w:val="none" w:sz="0" w:space="0" w:color="auto"/>
        <w:left w:val="none" w:sz="0" w:space="0" w:color="auto"/>
        <w:bottom w:val="none" w:sz="0" w:space="0" w:color="auto"/>
        <w:right w:val="none" w:sz="0" w:space="0" w:color="auto"/>
      </w:divBdr>
    </w:div>
    <w:div w:id="1646739249">
      <w:bodyDiv w:val="1"/>
      <w:marLeft w:val="0"/>
      <w:marRight w:val="0"/>
      <w:marTop w:val="0"/>
      <w:marBottom w:val="0"/>
      <w:divBdr>
        <w:top w:val="none" w:sz="0" w:space="0" w:color="auto"/>
        <w:left w:val="none" w:sz="0" w:space="0" w:color="auto"/>
        <w:bottom w:val="none" w:sz="0" w:space="0" w:color="auto"/>
        <w:right w:val="none" w:sz="0" w:space="0" w:color="auto"/>
      </w:divBdr>
    </w:div>
    <w:div w:id="1912036231">
      <w:bodyDiv w:val="1"/>
      <w:marLeft w:val="0"/>
      <w:marRight w:val="0"/>
      <w:marTop w:val="0"/>
      <w:marBottom w:val="0"/>
      <w:divBdr>
        <w:top w:val="none" w:sz="0" w:space="0" w:color="auto"/>
        <w:left w:val="none" w:sz="0" w:space="0" w:color="auto"/>
        <w:bottom w:val="none" w:sz="0" w:space="0" w:color="auto"/>
        <w:right w:val="none" w:sz="0" w:space="0" w:color="auto"/>
      </w:divBdr>
      <w:divsChild>
        <w:div w:id="1069814473">
          <w:marLeft w:val="0"/>
          <w:marRight w:val="0"/>
          <w:marTop w:val="0"/>
          <w:marBottom w:val="0"/>
          <w:divBdr>
            <w:top w:val="none" w:sz="0" w:space="0" w:color="auto"/>
            <w:left w:val="none" w:sz="0" w:space="0" w:color="auto"/>
            <w:bottom w:val="none" w:sz="0" w:space="0" w:color="auto"/>
            <w:right w:val="none" w:sz="0" w:space="0" w:color="auto"/>
          </w:divBdr>
          <w:divsChild>
            <w:div w:id="1183975016">
              <w:marLeft w:val="0"/>
              <w:marRight w:val="0"/>
              <w:marTop w:val="0"/>
              <w:marBottom w:val="0"/>
              <w:divBdr>
                <w:top w:val="none" w:sz="0" w:space="0" w:color="auto"/>
                <w:left w:val="none" w:sz="0" w:space="0" w:color="auto"/>
                <w:bottom w:val="none" w:sz="0" w:space="0" w:color="auto"/>
                <w:right w:val="none" w:sz="0" w:space="0" w:color="auto"/>
              </w:divBdr>
              <w:divsChild>
                <w:div w:id="2081098010">
                  <w:marLeft w:val="0"/>
                  <w:marRight w:val="0"/>
                  <w:marTop w:val="0"/>
                  <w:marBottom w:val="0"/>
                  <w:divBdr>
                    <w:top w:val="none" w:sz="0" w:space="0" w:color="auto"/>
                    <w:left w:val="none" w:sz="0" w:space="0" w:color="auto"/>
                    <w:bottom w:val="none" w:sz="0" w:space="0" w:color="auto"/>
                    <w:right w:val="none" w:sz="0" w:space="0" w:color="auto"/>
                  </w:divBdr>
                  <w:divsChild>
                    <w:div w:id="2140217569">
                      <w:marLeft w:val="0"/>
                      <w:marRight w:val="0"/>
                      <w:marTop w:val="0"/>
                      <w:marBottom w:val="0"/>
                      <w:divBdr>
                        <w:top w:val="none" w:sz="0" w:space="0" w:color="auto"/>
                        <w:left w:val="none" w:sz="0" w:space="0" w:color="auto"/>
                        <w:bottom w:val="none" w:sz="0" w:space="0" w:color="auto"/>
                        <w:right w:val="none" w:sz="0" w:space="0" w:color="auto"/>
                      </w:divBdr>
                      <w:divsChild>
                        <w:div w:id="2028214418">
                          <w:marLeft w:val="0"/>
                          <w:marRight w:val="0"/>
                          <w:marTop w:val="0"/>
                          <w:marBottom w:val="0"/>
                          <w:divBdr>
                            <w:top w:val="none" w:sz="0" w:space="0" w:color="auto"/>
                            <w:left w:val="none" w:sz="0" w:space="0" w:color="auto"/>
                            <w:bottom w:val="none" w:sz="0" w:space="0" w:color="auto"/>
                            <w:right w:val="none" w:sz="0" w:space="0" w:color="auto"/>
                          </w:divBdr>
                        </w:div>
                        <w:div w:id="212616621">
                          <w:marLeft w:val="0"/>
                          <w:marRight w:val="0"/>
                          <w:marTop w:val="0"/>
                          <w:marBottom w:val="0"/>
                          <w:divBdr>
                            <w:top w:val="none" w:sz="0" w:space="0" w:color="auto"/>
                            <w:left w:val="none" w:sz="0" w:space="0" w:color="auto"/>
                            <w:bottom w:val="none" w:sz="0" w:space="0" w:color="auto"/>
                            <w:right w:val="none" w:sz="0" w:space="0" w:color="auto"/>
                          </w:divBdr>
                          <w:divsChild>
                            <w:div w:id="502091695">
                              <w:marLeft w:val="0"/>
                              <w:marRight w:val="0"/>
                              <w:marTop w:val="0"/>
                              <w:marBottom w:val="0"/>
                              <w:divBdr>
                                <w:top w:val="none" w:sz="0" w:space="0" w:color="auto"/>
                                <w:left w:val="none" w:sz="0" w:space="0" w:color="auto"/>
                                <w:bottom w:val="none" w:sz="0" w:space="0" w:color="auto"/>
                                <w:right w:val="none" w:sz="0" w:space="0" w:color="auto"/>
                              </w:divBdr>
                            </w:div>
                          </w:divsChild>
                        </w:div>
                        <w:div w:id="42454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485070">
          <w:marLeft w:val="0"/>
          <w:marRight w:val="0"/>
          <w:marTop w:val="0"/>
          <w:marBottom w:val="0"/>
          <w:divBdr>
            <w:top w:val="none" w:sz="0" w:space="0" w:color="auto"/>
            <w:left w:val="none" w:sz="0" w:space="0" w:color="auto"/>
            <w:bottom w:val="none" w:sz="0" w:space="0" w:color="auto"/>
            <w:right w:val="none" w:sz="0" w:space="0" w:color="auto"/>
          </w:divBdr>
        </w:div>
        <w:div w:id="1727147631">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orldhappiness.report/wp-content/uploads/sites/2/2017/03/HR17-Ch3.pdf" TargetMode="External"/><Relationship Id="rId20" Type="http://schemas.openxmlformats.org/officeDocument/2006/relationships/hyperlink" Target="https://bhmwales.org.uk/" TargetMode="External"/><Relationship Id="rId21" Type="http://schemas.openxmlformats.org/officeDocument/2006/relationships/hyperlink" Target="http://www.blackhistorymonth.org.uk/listings/region/wales/" TargetMode="External"/><Relationship Id="rId22" Type="http://schemas.openxmlformats.org/officeDocument/2006/relationships/hyperlink" Target="http://www.bbc.co.uk/wales/history/sites/themes/society/blackhistory_month.shtml" TargetMode="External"/><Relationship Id="rId23" Type="http://schemas.openxmlformats.org/officeDocument/2006/relationships/hyperlink" Target="https://www.theguardian.com/teacher-network/2015/sep/28/how-to-teach-black-history-month-2015" TargetMode="External"/><Relationship Id="rId24" Type="http://schemas.openxmlformats.org/officeDocument/2006/relationships/hyperlink" Target="http://www.twinkl.co.uk/event/black-history-month-2018" TargetMode="External"/><Relationship Id="rId25" Type="http://schemas.openxmlformats.org/officeDocument/2006/relationships/hyperlink" Target="https://resources.hwb.wales.gov.uk/VTC/2008-09/pse/irf08_21/index.html" TargetMode="External"/><Relationship Id="rId26" Type="http://schemas.openxmlformats.org/officeDocument/2006/relationships/hyperlink" Target="https://www.history.org.uk/resource/3675" TargetMode="Externa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worldhappiness.report/wp-content/uploads/sites/2/2017/03/HR17-Ch4_w-oAppendix.pdf" TargetMode="External"/><Relationship Id="rId11" Type="http://schemas.openxmlformats.org/officeDocument/2006/relationships/hyperlink" Target="http://worldhappiness.report/wp-content/uploads/sites/2/2017/03/HR17-Ch7.pdf" TargetMode="Externa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hyperlink" Target="http://www.history.org.uk/resources/primary_resources_129.html" TargetMode="External"/><Relationship Id="rId15" Type="http://schemas.openxmlformats.org/officeDocument/2006/relationships/hyperlink" Target="http://www.history.org.uk/resources/primary_resources_129.html" TargetMode="External"/><Relationship Id="rId16" Type="http://schemas.openxmlformats.org/officeDocument/2006/relationships/hyperlink" Target="http://www.nuffieldfoundation.org/nuffield-primary-history-0" TargetMode="External"/><Relationship Id="rId17" Type="http://schemas.openxmlformats.org/officeDocument/2006/relationships/hyperlink" Target="https://www.teachprimary.com/learning_resources/view/teaching-emotional-subject-in-history" TargetMode="External"/><Relationship Id="rId18" Type="http://schemas.openxmlformats.org/officeDocument/2006/relationships/image" Target="media/image3.jpeg"/><Relationship Id="rId19" Type="http://schemas.openxmlformats.org/officeDocument/2006/relationships/image" Target="media/image4.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oecd.org/mcm/documents/strategic-orientations-of-the-secretary-general-2016.pdf" TargetMode="External"/><Relationship Id="rId6" Type="http://schemas.openxmlformats.org/officeDocument/2006/relationships/hyperlink" Target="http://worldhappiness.report/wp-content/uploads/sites/2/2017/03/HR17-Ch2.pdf" TargetMode="External"/><Relationship Id="rId7" Type="http://schemas.openxmlformats.org/officeDocument/2006/relationships/hyperlink" Target="http://worldhappiness.report/wp-content/uploads/sites/2/2017/03/HR17-Ch5_w-oAppendix.pdf" TargetMode="External"/><Relationship Id="rId8" Type="http://schemas.openxmlformats.org/officeDocument/2006/relationships/hyperlink" Target="http://worldhappiness.report/wp-content/uploads/sites/2/2017/03/HR17-Ch6_wAppendix.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3065</Words>
  <Characters>17473</Characters>
  <Application>Microsoft Macintosh Word</Application>
  <DocSecurity>0</DocSecurity>
  <Lines>145</Lines>
  <Paragraphs>40</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    Norway tops the global happiness rankings for 2017</vt:lpstr>
      <vt:lpstr>    Happiness is both social and personal</vt:lpstr>
      <vt:lpstr>    People in China are no happier than 25 years ago</vt:lpstr>
      <vt:lpstr>    Much of Africa is struggling</vt:lpstr>
      <vt:lpstr>    Happiness has fallen in America</vt:lpstr>
      <vt:lpstr>Nuffield Primary History</vt:lpstr>
      <vt:lpstr>    See also</vt:lpstr>
      <vt:lpstr>        What are the opportunities?</vt:lpstr>
      <vt:lpstr>        What are the constraints?</vt:lpstr>
      <vt:lpstr>        What can I do?</vt:lpstr>
      <vt:lpstr>        Activities for KS1</vt:lpstr>
      <vt:lpstr>        Activities for KS2</vt:lpstr>
    </vt:vector>
  </TitlesOfParts>
  <LinksUpToDate>false</LinksUpToDate>
  <CharactersWithSpaces>20498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2017-12-19T10:02:00Z</dcterms:created>
  <dcterms:modified xsi:type="dcterms:W3CDTF">2017-12-19T10:02:00Z</dcterms:modified>
</cp:coreProperties>
</file>