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8C8DD7" w14:textId="77777777" w:rsidR="00E52F63" w:rsidRDefault="00E52F63" w:rsidP="00E52F63">
      <w:pPr>
        <w:pStyle w:val="Header"/>
        <w:jc w:val="center"/>
        <w:rPr>
          <w:b/>
          <w:bCs/>
          <w:sz w:val="56"/>
          <w:szCs w:val="38"/>
          <w:lang w:val="en-US"/>
        </w:rPr>
      </w:pPr>
    </w:p>
    <w:p w14:paraId="28E9815C" w14:textId="77777777" w:rsidR="00E52F63" w:rsidRDefault="00E52F63" w:rsidP="00E52F63">
      <w:pPr>
        <w:pStyle w:val="Header"/>
        <w:jc w:val="center"/>
        <w:rPr>
          <w:b/>
          <w:bCs/>
          <w:sz w:val="56"/>
          <w:szCs w:val="38"/>
          <w:lang w:val="en-US"/>
        </w:rPr>
      </w:pPr>
    </w:p>
    <w:p w14:paraId="28BD70B5" w14:textId="77777777" w:rsidR="00E52F63" w:rsidRDefault="00E52F63" w:rsidP="00E52F63">
      <w:pPr>
        <w:pStyle w:val="Header"/>
        <w:jc w:val="center"/>
        <w:rPr>
          <w:b/>
          <w:bCs/>
          <w:sz w:val="56"/>
          <w:szCs w:val="38"/>
          <w:lang w:val="en-US"/>
        </w:rPr>
      </w:pPr>
    </w:p>
    <w:p w14:paraId="4B4EF477" w14:textId="77777777" w:rsidR="00E52F63" w:rsidRDefault="00E52F63" w:rsidP="00E52F63">
      <w:pPr>
        <w:pStyle w:val="Header"/>
        <w:jc w:val="center"/>
        <w:rPr>
          <w:b/>
          <w:bCs/>
          <w:sz w:val="56"/>
          <w:szCs w:val="38"/>
          <w:lang w:val="en-US"/>
        </w:rPr>
      </w:pPr>
    </w:p>
    <w:p w14:paraId="7C281600" w14:textId="77777777" w:rsidR="00E52F63" w:rsidRDefault="00E52F63" w:rsidP="00E52F63">
      <w:pPr>
        <w:pStyle w:val="Header"/>
        <w:jc w:val="center"/>
        <w:rPr>
          <w:b/>
          <w:bCs/>
          <w:sz w:val="56"/>
          <w:szCs w:val="38"/>
          <w:lang w:val="en-US"/>
        </w:rPr>
      </w:pPr>
    </w:p>
    <w:p w14:paraId="56E74C47" w14:textId="77777777" w:rsidR="00E52F63" w:rsidRDefault="00E52F63" w:rsidP="00E52F63">
      <w:pPr>
        <w:pStyle w:val="Header"/>
        <w:jc w:val="center"/>
        <w:rPr>
          <w:b/>
          <w:bCs/>
          <w:sz w:val="56"/>
          <w:szCs w:val="38"/>
          <w:lang w:val="en-US"/>
        </w:rPr>
      </w:pPr>
    </w:p>
    <w:p w14:paraId="4A29C991" w14:textId="58078440" w:rsidR="003152DB" w:rsidRPr="003152DB" w:rsidRDefault="003152DB" w:rsidP="003152DB">
      <w:pPr>
        <w:pStyle w:val="Header"/>
        <w:spacing w:line="276" w:lineRule="auto"/>
        <w:jc w:val="center"/>
        <w:rPr>
          <w:b/>
          <w:bCs/>
          <w:sz w:val="44"/>
          <w:szCs w:val="44"/>
          <w:lang w:val="en-US"/>
        </w:rPr>
      </w:pPr>
      <w:r>
        <w:rPr>
          <w:b/>
          <w:bCs/>
          <w:sz w:val="44"/>
          <w:szCs w:val="44"/>
          <w:lang w:val="en-US"/>
        </w:rPr>
        <w:t>Accounting Fundamentals</w:t>
      </w:r>
    </w:p>
    <w:p w14:paraId="38DA9AD4" w14:textId="26CD4CBE" w:rsidR="00307865" w:rsidRPr="003152DB" w:rsidRDefault="003152DB" w:rsidP="003152DB">
      <w:pPr>
        <w:pStyle w:val="Header"/>
        <w:spacing w:line="276" w:lineRule="auto"/>
        <w:jc w:val="center"/>
        <w:rPr>
          <w:b/>
          <w:bCs/>
          <w:sz w:val="44"/>
          <w:szCs w:val="44"/>
          <w:lang w:val="en-US"/>
        </w:rPr>
      </w:pPr>
      <w:r>
        <w:rPr>
          <w:b/>
          <w:bCs/>
          <w:sz w:val="44"/>
          <w:szCs w:val="44"/>
          <w:lang w:val="en-US"/>
        </w:rPr>
        <w:t xml:space="preserve">Module </w:t>
      </w:r>
      <w:proofErr w:type="gramStart"/>
      <w:r>
        <w:rPr>
          <w:b/>
          <w:bCs/>
          <w:sz w:val="44"/>
          <w:szCs w:val="44"/>
          <w:lang w:val="en-US"/>
        </w:rPr>
        <w:t>Code:LCBB</w:t>
      </w:r>
      <w:proofErr w:type="gramEnd"/>
      <w:r>
        <w:rPr>
          <w:b/>
          <w:bCs/>
          <w:sz w:val="44"/>
          <w:szCs w:val="44"/>
          <w:lang w:val="en-US"/>
        </w:rPr>
        <w:t>4001</w:t>
      </w:r>
    </w:p>
    <w:p w14:paraId="233E782A" w14:textId="4301D1CD" w:rsidR="003152DB" w:rsidRDefault="003152DB" w:rsidP="003152DB">
      <w:pPr>
        <w:pStyle w:val="Header"/>
        <w:spacing w:line="276" w:lineRule="auto"/>
        <w:jc w:val="center"/>
        <w:rPr>
          <w:b/>
          <w:bCs/>
          <w:sz w:val="44"/>
          <w:szCs w:val="44"/>
          <w:lang w:val="en-US"/>
        </w:rPr>
      </w:pPr>
      <w:r>
        <w:rPr>
          <w:b/>
          <w:bCs/>
          <w:sz w:val="44"/>
          <w:szCs w:val="44"/>
          <w:lang w:val="en-US"/>
        </w:rPr>
        <w:t>Lecturer Name: Nadeem Mirza</w:t>
      </w:r>
    </w:p>
    <w:p w14:paraId="17519665" w14:textId="167D602A" w:rsidR="003152DB" w:rsidRDefault="003152DB" w:rsidP="003152DB">
      <w:pPr>
        <w:pStyle w:val="Header"/>
        <w:spacing w:line="276" w:lineRule="auto"/>
        <w:jc w:val="center"/>
        <w:rPr>
          <w:b/>
          <w:bCs/>
          <w:sz w:val="44"/>
          <w:szCs w:val="44"/>
          <w:lang w:val="en-US"/>
        </w:rPr>
      </w:pPr>
      <w:r>
        <w:rPr>
          <w:b/>
          <w:bCs/>
          <w:sz w:val="44"/>
          <w:szCs w:val="44"/>
          <w:lang w:val="en-US"/>
        </w:rPr>
        <w:t>Student Name: Camelia Danila</w:t>
      </w:r>
    </w:p>
    <w:p w14:paraId="3974730F" w14:textId="4C6C5668" w:rsidR="003152DB" w:rsidRPr="00307865" w:rsidRDefault="003152DB" w:rsidP="00307865">
      <w:pPr>
        <w:pStyle w:val="Header"/>
        <w:jc w:val="center"/>
        <w:rPr>
          <w:b/>
          <w:bCs/>
          <w:sz w:val="44"/>
          <w:szCs w:val="44"/>
          <w:lang w:val="en-US"/>
        </w:rPr>
      </w:pPr>
      <w:r>
        <w:rPr>
          <w:b/>
          <w:bCs/>
          <w:sz w:val="44"/>
          <w:szCs w:val="44"/>
          <w:lang w:val="en-US"/>
        </w:rPr>
        <w:t>Student id:2119198</w:t>
      </w:r>
    </w:p>
    <w:p w14:paraId="23600BDC" w14:textId="77777777" w:rsidR="00E52F63" w:rsidRDefault="00000000">
      <w:pPr>
        <w:spacing w:line="259" w:lineRule="auto"/>
        <w:jc w:val="left"/>
        <w:rPr>
          <w:b/>
          <w:bCs/>
          <w:sz w:val="56"/>
          <w:szCs w:val="38"/>
          <w:lang w:val="en-US"/>
        </w:rPr>
      </w:pPr>
      <w:r>
        <w:rPr>
          <w:b/>
          <w:bCs/>
          <w:sz w:val="56"/>
          <w:szCs w:val="38"/>
          <w:lang w:val="en-US"/>
        </w:rPr>
        <w:br w:type="page"/>
      </w:r>
    </w:p>
    <w:p w14:paraId="0A5DDD6E" w14:textId="77777777" w:rsidR="00E52F63" w:rsidRDefault="00000000" w:rsidP="00E52F63">
      <w:pPr>
        <w:jc w:val="center"/>
        <w:rPr>
          <w:b/>
          <w:bCs/>
          <w:color w:val="auto"/>
          <w:szCs w:val="24"/>
          <w:lang w:val="en-US"/>
        </w:rPr>
      </w:pPr>
      <w:r>
        <w:rPr>
          <w:b/>
          <w:bCs/>
        </w:rPr>
        <w:lastRenderedPageBreak/>
        <w:t>Executive summary</w:t>
      </w:r>
    </w:p>
    <w:p w14:paraId="2172E663" w14:textId="501C4ECE" w:rsidR="005229E7" w:rsidRDefault="002B1D61" w:rsidP="00EA0544">
      <w:r w:rsidRPr="002B1D61">
        <w:t>The earnings and financial statements of a</w:t>
      </w:r>
      <w:r w:rsidR="00B6619B">
        <w:t>n organisation</w:t>
      </w:r>
      <w:r w:rsidRPr="002B1D61">
        <w:t xml:space="preserve"> such as Wales plc, are </w:t>
      </w:r>
      <w:r w:rsidR="00B6619B">
        <w:t>showcased</w:t>
      </w:r>
      <w:r w:rsidRPr="002B1D61">
        <w:t xml:space="preserve"> in this report to highlight the organi</w:t>
      </w:r>
      <w:r w:rsidR="00EA0544">
        <w:t>s</w:t>
      </w:r>
      <w:r w:rsidRPr="002B1D61">
        <w:t xml:space="preserve">ation's financial status. It describes the financial condition and recommends strategies for maintaining top performance throughout </w:t>
      </w:r>
      <w:r w:rsidR="00B6619B">
        <w:t xml:space="preserve">the financial </w:t>
      </w:r>
      <w:r w:rsidRPr="002B1D61">
        <w:t xml:space="preserve">year. Furthermore, the </w:t>
      </w:r>
      <w:r w:rsidR="00EA0544">
        <w:t>report</w:t>
      </w:r>
      <w:r w:rsidRPr="002B1D61">
        <w:t xml:space="preserve"> assesses the c</w:t>
      </w:r>
      <w:r w:rsidR="00B6619B">
        <w:t>omputation</w:t>
      </w:r>
      <w:r w:rsidRPr="002B1D61">
        <w:t xml:space="preserve"> of several financial ratios </w:t>
      </w:r>
      <w:r w:rsidR="00EA0544">
        <w:t>to</w:t>
      </w:r>
      <w:r w:rsidRPr="002B1D61">
        <w:t xml:space="preserve"> estimate the </w:t>
      </w:r>
      <w:r w:rsidR="00B6619B">
        <w:t>effectiveness</w:t>
      </w:r>
      <w:r w:rsidRPr="002B1D61">
        <w:t xml:space="preserve"> and </w:t>
      </w:r>
      <w:r w:rsidR="00B6619B">
        <w:t>func</w:t>
      </w:r>
      <w:r w:rsidRPr="002B1D61">
        <w:t>tional efficacy of a corporation such as Sweet's plc.</w:t>
      </w:r>
      <w:r w:rsidR="005229E7">
        <w:br w:type="page"/>
      </w:r>
    </w:p>
    <w:sdt>
      <w:sdtPr>
        <w:rPr>
          <w:rFonts w:ascii="Times New Roman" w:eastAsiaTheme="minorHAnsi" w:hAnsi="Times New Roman" w:cstheme="minorBidi"/>
          <w:color w:val="000000" w:themeColor="text1"/>
          <w:kern w:val="2"/>
          <w:sz w:val="24"/>
          <w:szCs w:val="22"/>
          <w:lang w:val="en-IN"/>
          <w14:ligatures w14:val="standardContextual"/>
        </w:rPr>
        <w:id w:val="-1446390844"/>
        <w:docPartObj>
          <w:docPartGallery w:val="Table of Contents"/>
          <w:docPartUnique/>
        </w:docPartObj>
      </w:sdtPr>
      <w:sdtEndPr>
        <w:rPr>
          <w:b/>
          <w:bCs/>
          <w:noProof/>
        </w:rPr>
      </w:sdtEndPr>
      <w:sdtContent>
        <w:p w14:paraId="442D90A4" w14:textId="19C6FE00" w:rsidR="005229E7" w:rsidRDefault="005229E7">
          <w:pPr>
            <w:pStyle w:val="TOCHeading"/>
          </w:pPr>
          <w:r>
            <w:t>Table of Contents</w:t>
          </w:r>
        </w:p>
        <w:p w14:paraId="3BD1F308" w14:textId="7D8731A4" w:rsidR="00202958" w:rsidRDefault="005229E7">
          <w:pPr>
            <w:pStyle w:val="TOC1"/>
            <w:tabs>
              <w:tab w:val="right" w:leader="dot" w:pos="9350"/>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152264390" w:history="1">
            <w:r w:rsidR="00202958" w:rsidRPr="000351E9">
              <w:rPr>
                <w:rStyle w:val="Hyperlink"/>
                <w:noProof/>
                <w:lang w:val="en-US" w:bidi="th-TH"/>
              </w:rPr>
              <w:t>Introduction</w:t>
            </w:r>
            <w:r w:rsidR="00202958">
              <w:rPr>
                <w:noProof/>
                <w:webHidden/>
              </w:rPr>
              <w:tab/>
            </w:r>
            <w:r w:rsidR="00202958">
              <w:rPr>
                <w:noProof/>
                <w:webHidden/>
              </w:rPr>
              <w:fldChar w:fldCharType="begin"/>
            </w:r>
            <w:r w:rsidR="00202958">
              <w:rPr>
                <w:noProof/>
                <w:webHidden/>
              </w:rPr>
              <w:instrText xml:space="preserve"> PAGEREF _Toc152264390 \h </w:instrText>
            </w:r>
            <w:r w:rsidR="00202958">
              <w:rPr>
                <w:noProof/>
                <w:webHidden/>
              </w:rPr>
            </w:r>
            <w:r w:rsidR="00202958">
              <w:rPr>
                <w:noProof/>
                <w:webHidden/>
              </w:rPr>
              <w:fldChar w:fldCharType="separate"/>
            </w:r>
            <w:r w:rsidR="00202958">
              <w:rPr>
                <w:noProof/>
                <w:webHidden/>
              </w:rPr>
              <w:t>4</w:t>
            </w:r>
            <w:r w:rsidR="00202958">
              <w:rPr>
                <w:noProof/>
                <w:webHidden/>
              </w:rPr>
              <w:fldChar w:fldCharType="end"/>
            </w:r>
          </w:hyperlink>
        </w:p>
        <w:p w14:paraId="006548E3" w14:textId="2D1F2161" w:rsidR="00202958" w:rsidRDefault="00000000">
          <w:pPr>
            <w:pStyle w:val="TOC1"/>
            <w:tabs>
              <w:tab w:val="right" w:leader="dot" w:pos="9350"/>
            </w:tabs>
            <w:rPr>
              <w:rFonts w:asciiTheme="minorHAnsi" w:eastAsiaTheme="minorEastAsia" w:hAnsiTheme="minorHAnsi"/>
              <w:noProof/>
              <w:color w:val="auto"/>
              <w:sz w:val="22"/>
              <w:lang w:val="en-US"/>
            </w:rPr>
          </w:pPr>
          <w:hyperlink w:anchor="_Toc152264391" w:history="1">
            <w:r w:rsidR="00202958" w:rsidRPr="000351E9">
              <w:rPr>
                <w:rStyle w:val="Hyperlink"/>
                <w:noProof/>
                <w:lang w:val="en-US" w:bidi="th-TH"/>
              </w:rPr>
              <w:t>Question 1- Considering the statements</w:t>
            </w:r>
            <w:r w:rsidR="00202958">
              <w:rPr>
                <w:noProof/>
                <w:webHidden/>
              </w:rPr>
              <w:tab/>
            </w:r>
            <w:r w:rsidR="00202958">
              <w:rPr>
                <w:noProof/>
                <w:webHidden/>
              </w:rPr>
              <w:fldChar w:fldCharType="begin"/>
            </w:r>
            <w:r w:rsidR="00202958">
              <w:rPr>
                <w:noProof/>
                <w:webHidden/>
              </w:rPr>
              <w:instrText xml:space="preserve"> PAGEREF _Toc152264391 \h </w:instrText>
            </w:r>
            <w:r w:rsidR="00202958">
              <w:rPr>
                <w:noProof/>
                <w:webHidden/>
              </w:rPr>
            </w:r>
            <w:r w:rsidR="00202958">
              <w:rPr>
                <w:noProof/>
                <w:webHidden/>
              </w:rPr>
              <w:fldChar w:fldCharType="separate"/>
            </w:r>
            <w:r w:rsidR="00202958">
              <w:rPr>
                <w:noProof/>
                <w:webHidden/>
              </w:rPr>
              <w:t>5</w:t>
            </w:r>
            <w:r w:rsidR="00202958">
              <w:rPr>
                <w:noProof/>
                <w:webHidden/>
              </w:rPr>
              <w:fldChar w:fldCharType="end"/>
            </w:r>
          </w:hyperlink>
        </w:p>
        <w:p w14:paraId="48A9CAD0" w14:textId="1EE1AE02" w:rsidR="00202958" w:rsidRDefault="00000000">
          <w:pPr>
            <w:pStyle w:val="TOC1"/>
            <w:tabs>
              <w:tab w:val="right" w:leader="dot" w:pos="9350"/>
            </w:tabs>
            <w:rPr>
              <w:rFonts w:asciiTheme="minorHAnsi" w:eastAsiaTheme="minorEastAsia" w:hAnsiTheme="minorHAnsi"/>
              <w:noProof/>
              <w:color w:val="auto"/>
              <w:sz w:val="22"/>
              <w:lang w:val="en-US"/>
            </w:rPr>
          </w:pPr>
          <w:hyperlink w:anchor="_Toc152264392" w:history="1">
            <w:r w:rsidR="00202958" w:rsidRPr="000351E9">
              <w:rPr>
                <w:rStyle w:val="Hyperlink"/>
                <w:noProof/>
                <w:lang w:bidi="th-TH"/>
              </w:rPr>
              <w:t>Question 2: Creating and assessing the income statement</w:t>
            </w:r>
            <w:r w:rsidR="00202958">
              <w:rPr>
                <w:noProof/>
                <w:webHidden/>
              </w:rPr>
              <w:tab/>
            </w:r>
            <w:r w:rsidR="00202958">
              <w:rPr>
                <w:noProof/>
                <w:webHidden/>
              </w:rPr>
              <w:fldChar w:fldCharType="begin"/>
            </w:r>
            <w:r w:rsidR="00202958">
              <w:rPr>
                <w:noProof/>
                <w:webHidden/>
              </w:rPr>
              <w:instrText xml:space="preserve"> PAGEREF _Toc152264392 \h </w:instrText>
            </w:r>
            <w:r w:rsidR="00202958">
              <w:rPr>
                <w:noProof/>
                <w:webHidden/>
              </w:rPr>
            </w:r>
            <w:r w:rsidR="00202958">
              <w:rPr>
                <w:noProof/>
                <w:webHidden/>
              </w:rPr>
              <w:fldChar w:fldCharType="separate"/>
            </w:r>
            <w:r w:rsidR="00202958">
              <w:rPr>
                <w:noProof/>
                <w:webHidden/>
              </w:rPr>
              <w:t>7</w:t>
            </w:r>
            <w:r w:rsidR="00202958">
              <w:rPr>
                <w:noProof/>
                <w:webHidden/>
              </w:rPr>
              <w:fldChar w:fldCharType="end"/>
            </w:r>
          </w:hyperlink>
        </w:p>
        <w:p w14:paraId="34D656B2" w14:textId="67A05DDB" w:rsidR="00202958" w:rsidRDefault="00000000">
          <w:pPr>
            <w:pStyle w:val="TOC1"/>
            <w:tabs>
              <w:tab w:val="right" w:leader="dot" w:pos="9350"/>
            </w:tabs>
            <w:rPr>
              <w:rFonts w:asciiTheme="minorHAnsi" w:eastAsiaTheme="minorEastAsia" w:hAnsiTheme="minorHAnsi"/>
              <w:noProof/>
              <w:color w:val="auto"/>
              <w:sz w:val="22"/>
              <w:lang w:val="en-US"/>
            </w:rPr>
          </w:pPr>
          <w:hyperlink w:anchor="_Toc152264393" w:history="1">
            <w:r w:rsidR="00202958" w:rsidRPr="000351E9">
              <w:rPr>
                <w:rStyle w:val="Hyperlink"/>
                <w:noProof/>
                <w:lang w:bidi="th-TH"/>
              </w:rPr>
              <w:t>Question 3- Financial ratio preparation and interpretation</w:t>
            </w:r>
            <w:r w:rsidR="00202958">
              <w:rPr>
                <w:noProof/>
                <w:webHidden/>
              </w:rPr>
              <w:tab/>
            </w:r>
            <w:r w:rsidR="00202958">
              <w:rPr>
                <w:noProof/>
                <w:webHidden/>
              </w:rPr>
              <w:fldChar w:fldCharType="begin"/>
            </w:r>
            <w:r w:rsidR="00202958">
              <w:rPr>
                <w:noProof/>
                <w:webHidden/>
              </w:rPr>
              <w:instrText xml:space="preserve"> PAGEREF _Toc152264393 \h </w:instrText>
            </w:r>
            <w:r w:rsidR="00202958">
              <w:rPr>
                <w:noProof/>
                <w:webHidden/>
              </w:rPr>
            </w:r>
            <w:r w:rsidR="00202958">
              <w:rPr>
                <w:noProof/>
                <w:webHidden/>
              </w:rPr>
              <w:fldChar w:fldCharType="separate"/>
            </w:r>
            <w:r w:rsidR="00202958">
              <w:rPr>
                <w:noProof/>
                <w:webHidden/>
              </w:rPr>
              <w:t>9</w:t>
            </w:r>
            <w:r w:rsidR="00202958">
              <w:rPr>
                <w:noProof/>
                <w:webHidden/>
              </w:rPr>
              <w:fldChar w:fldCharType="end"/>
            </w:r>
          </w:hyperlink>
        </w:p>
        <w:p w14:paraId="1DC8B751" w14:textId="7B7C20A0" w:rsidR="00202958" w:rsidRDefault="00000000">
          <w:pPr>
            <w:pStyle w:val="TOC2"/>
            <w:tabs>
              <w:tab w:val="right" w:leader="dot" w:pos="9350"/>
            </w:tabs>
            <w:rPr>
              <w:rFonts w:asciiTheme="minorHAnsi" w:eastAsiaTheme="minorEastAsia" w:hAnsiTheme="minorHAnsi"/>
              <w:noProof/>
              <w:color w:val="auto"/>
              <w:sz w:val="22"/>
              <w:lang w:val="en-US"/>
            </w:rPr>
          </w:pPr>
          <w:hyperlink w:anchor="_Toc152264394" w:history="1">
            <w:r w:rsidR="00202958" w:rsidRPr="000351E9">
              <w:rPr>
                <w:rStyle w:val="Hyperlink"/>
                <w:noProof/>
                <w:lang w:val="en-US" w:bidi="th-TH"/>
              </w:rPr>
              <w:t>Sweets plc financial ratios calculated for the years 2022 and 2021</w:t>
            </w:r>
            <w:r w:rsidR="00202958">
              <w:rPr>
                <w:noProof/>
                <w:webHidden/>
              </w:rPr>
              <w:tab/>
            </w:r>
            <w:r w:rsidR="00202958">
              <w:rPr>
                <w:noProof/>
                <w:webHidden/>
              </w:rPr>
              <w:fldChar w:fldCharType="begin"/>
            </w:r>
            <w:r w:rsidR="00202958">
              <w:rPr>
                <w:noProof/>
                <w:webHidden/>
              </w:rPr>
              <w:instrText xml:space="preserve"> PAGEREF _Toc152264394 \h </w:instrText>
            </w:r>
            <w:r w:rsidR="00202958">
              <w:rPr>
                <w:noProof/>
                <w:webHidden/>
              </w:rPr>
            </w:r>
            <w:r w:rsidR="00202958">
              <w:rPr>
                <w:noProof/>
                <w:webHidden/>
              </w:rPr>
              <w:fldChar w:fldCharType="separate"/>
            </w:r>
            <w:r w:rsidR="00202958">
              <w:rPr>
                <w:noProof/>
                <w:webHidden/>
              </w:rPr>
              <w:t>9</w:t>
            </w:r>
            <w:r w:rsidR="00202958">
              <w:rPr>
                <w:noProof/>
                <w:webHidden/>
              </w:rPr>
              <w:fldChar w:fldCharType="end"/>
            </w:r>
          </w:hyperlink>
        </w:p>
        <w:p w14:paraId="382D714C" w14:textId="7E836FCB" w:rsidR="00202958" w:rsidRDefault="00000000">
          <w:pPr>
            <w:pStyle w:val="TOC1"/>
            <w:tabs>
              <w:tab w:val="right" w:leader="dot" w:pos="9350"/>
            </w:tabs>
            <w:rPr>
              <w:rFonts w:asciiTheme="minorHAnsi" w:eastAsiaTheme="minorEastAsia" w:hAnsiTheme="minorHAnsi"/>
              <w:noProof/>
              <w:color w:val="auto"/>
              <w:sz w:val="22"/>
              <w:lang w:val="en-US"/>
            </w:rPr>
          </w:pPr>
          <w:hyperlink w:anchor="_Toc152264395" w:history="1">
            <w:r w:rsidR="00202958" w:rsidRPr="000351E9">
              <w:rPr>
                <w:rStyle w:val="Hyperlink"/>
                <w:noProof/>
                <w:lang w:bidi="th-TH"/>
              </w:rPr>
              <w:t>Conclusion</w:t>
            </w:r>
            <w:r w:rsidR="00202958">
              <w:rPr>
                <w:noProof/>
                <w:webHidden/>
              </w:rPr>
              <w:tab/>
            </w:r>
            <w:r w:rsidR="00202958">
              <w:rPr>
                <w:noProof/>
                <w:webHidden/>
              </w:rPr>
              <w:fldChar w:fldCharType="begin"/>
            </w:r>
            <w:r w:rsidR="00202958">
              <w:rPr>
                <w:noProof/>
                <w:webHidden/>
              </w:rPr>
              <w:instrText xml:space="preserve"> PAGEREF _Toc152264395 \h </w:instrText>
            </w:r>
            <w:r w:rsidR="00202958">
              <w:rPr>
                <w:noProof/>
                <w:webHidden/>
              </w:rPr>
            </w:r>
            <w:r w:rsidR="00202958">
              <w:rPr>
                <w:noProof/>
                <w:webHidden/>
              </w:rPr>
              <w:fldChar w:fldCharType="separate"/>
            </w:r>
            <w:r w:rsidR="00202958">
              <w:rPr>
                <w:noProof/>
                <w:webHidden/>
              </w:rPr>
              <w:t>19</w:t>
            </w:r>
            <w:r w:rsidR="00202958">
              <w:rPr>
                <w:noProof/>
                <w:webHidden/>
              </w:rPr>
              <w:fldChar w:fldCharType="end"/>
            </w:r>
          </w:hyperlink>
        </w:p>
        <w:p w14:paraId="42604667" w14:textId="5A20477B" w:rsidR="00202958" w:rsidRDefault="00000000">
          <w:pPr>
            <w:pStyle w:val="TOC1"/>
            <w:tabs>
              <w:tab w:val="right" w:leader="dot" w:pos="9350"/>
            </w:tabs>
            <w:rPr>
              <w:rFonts w:asciiTheme="minorHAnsi" w:eastAsiaTheme="minorEastAsia" w:hAnsiTheme="minorHAnsi"/>
              <w:noProof/>
              <w:color w:val="auto"/>
              <w:sz w:val="22"/>
              <w:lang w:val="en-US"/>
            </w:rPr>
          </w:pPr>
          <w:hyperlink w:anchor="_Toc152264396" w:history="1">
            <w:r w:rsidR="00202958" w:rsidRPr="000351E9">
              <w:rPr>
                <w:rStyle w:val="Hyperlink"/>
                <w:noProof/>
                <w:lang w:val="en-US" w:bidi="th-TH"/>
              </w:rPr>
              <w:t>References</w:t>
            </w:r>
            <w:r w:rsidR="00202958">
              <w:rPr>
                <w:noProof/>
                <w:webHidden/>
              </w:rPr>
              <w:tab/>
            </w:r>
            <w:r w:rsidR="00202958">
              <w:rPr>
                <w:noProof/>
                <w:webHidden/>
              </w:rPr>
              <w:fldChar w:fldCharType="begin"/>
            </w:r>
            <w:r w:rsidR="00202958">
              <w:rPr>
                <w:noProof/>
                <w:webHidden/>
              </w:rPr>
              <w:instrText xml:space="preserve"> PAGEREF _Toc152264396 \h </w:instrText>
            </w:r>
            <w:r w:rsidR="00202958">
              <w:rPr>
                <w:noProof/>
                <w:webHidden/>
              </w:rPr>
            </w:r>
            <w:r w:rsidR="00202958">
              <w:rPr>
                <w:noProof/>
                <w:webHidden/>
              </w:rPr>
              <w:fldChar w:fldCharType="separate"/>
            </w:r>
            <w:r w:rsidR="00202958">
              <w:rPr>
                <w:noProof/>
                <w:webHidden/>
              </w:rPr>
              <w:t>20</w:t>
            </w:r>
            <w:r w:rsidR="00202958">
              <w:rPr>
                <w:noProof/>
                <w:webHidden/>
              </w:rPr>
              <w:fldChar w:fldCharType="end"/>
            </w:r>
          </w:hyperlink>
        </w:p>
        <w:p w14:paraId="2312C955" w14:textId="0279B670" w:rsidR="005229E7" w:rsidRDefault="005229E7">
          <w:r>
            <w:rPr>
              <w:b/>
              <w:bCs/>
              <w:noProof/>
            </w:rPr>
            <w:fldChar w:fldCharType="end"/>
          </w:r>
        </w:p>
      </w:sdtContent>
    </w:sdt>
    <w:p w14:paraId="67724936" w14:textId="77777777" w:rsidR="00E52F63" w:rsidRPr="00E52F63" w:rsidRDefault="00E52F63" w:rsidP="005229E7"/>
    <w:p w14:paraId="61AE41A4" w14:textId="77777777" w:rsidR="00E52F63" w:rsidRDefault="00000000">
      <w:pPr>
        <w:spacing w:line="259" w:lineRule="auto"/>
        <w:jc w:val="left"/>
        <w:rPr>
          <w:b/>
          <w:bCs/>
          <w:sz w:val="56"/>
          <w:szCs w:val="38"/>
          <w:lang w:val="en-US"/>
        </w:rPr>
      </w:pPr>
      <w:r>
        <w:rPr>
          <w:b/>
          <w:bCs/>
          <w:sz w:val="56"/>
          <w:szCs w:val="38"/>
          <w:lang w:val="en-US"/>
        </w:rPr>
        <w:br w:type="page"/>
      </w:r>
    </w:p>
    <w:p w14:paraId="26505B38" w14:textId="2B04CC85" w:rsidR="00E52F63" w:rsidRDefault="00000000" w:rsidP="00E52F63">
      <w:pPr>
        <w:pStyle w:val="Heading1"/>
        <w:rPr>
          <w:lang w:val="en-US"/>
        </w:rPr>
      </w:pPr>
      <w:bookmarkStart w:id="0" w:name="_Toc152264390"/>
      <w:r>
        <w:rPr>
          <w:lang w:val="en-US"/>
        </w:rPr>
        <w:lastRenderedPageBreak/>
        <w:t>Introduction</w:t>
      </w:r>
      <w:bookmarkEnd w:id="0"/>
    </w:p>
    <w:p w14:paraId="53F7ABE8" w14:textId="1A546F7F" w:rsidR="00C85AA7" w:rsidRDefault="00EA0544" w:rsidP="00EA0544">
      <w:pPr>
        <w:rPr>
          <w:lang w:val="en-US" w:bidi="th-TH"/>
        </w:rPr>
      </w:pPr>
      <w:r>
        <w:rPr>
          <w:lang w:val="en-US" w:bidi="th-TH"/>
        </w:rPr>
        <w:t>The accounting</w:t>
      </w:r>
      <w:r w:rsidR="002B1D61" w:rsidRPr="002B1D61">
        <w:rPr>
          <w:lang w:val="en-US" w:bidi="th-TH"/>
        </w:rPr>
        <w:t xml:space="preserve"> principles encompass a wide variety of responsibilities related to processing financial transactions, recording entries, and creating financial paperwork for a certain fiscal year. Another component of this process is keeping </w:t>
      </w:r>
      <w:r w:rsidR="00C23827">
        <w:rPr>
          <w:lang w:val="en-US" w:bidi="th-TH"/>
        </w:rPr>
        <w:t xml:space="preserve">a </w:t>
      </w:r>
      <w:r w:rsidR="00B6619B">
        <w:rPr>
          <w:lang w:val="en-US" w:bidi="th-TH"/>
        </w:rPr>
        <w:t>record</w:t>
      </w:r>
      <w:r w:rsidR="002B1D61" w:rsidRPr="002B1D61">
        <w:rPr>
          <w:lang w:val="en-US" w:bidi="th-TH"/>
        </w:rPr>
        <w:t xml:space="preserve"> of the balances of all corporate accounts. The business's balance sheet </w:t>
      </w:r>
      <w:r w:rsidR="00B6619B">
        <w:rPr>
          <w:lang w:val="en-US" w:bidi="th-TH"/>
        </w:rPr>
        <w:t>as well as</w:t>
      </w:r>
      <w:r w:rsidR="002B1D61" w:rsidRPr="002B1D61">
        <w:rPr>
          <w:lang w:val="en-US" w:bidi="th-TH"/>
        </w:rPr>
        <w:t xml:space="preserve"> income statements will be </w:t>
      </w:r>
      <w:r w:rsidR="00B6619B">
        <w:rPr>
          <w:lang w:val="en-US" w:bidi="th-TH"/>
        </w:rPr>
        <w:t>fully</w:t>
      </w:r>
      <w:r w:rsidR="002B1D61" w:rsidRPr="002B1D61">
        <w:rPr>
          <w:lang w:val="en-US" w:bidi="th-TH"/>
        </w:rPr>
        <w:t xml:space="preserve"> analy</w:t>
      </w:r>
      <w:r>
        <w:rPr>
          <w:lang w:val="en-US" w:bidi="th-TH"/>
        </w:rPr>
        <w:t>s</w:t>
      </w:r>
      <w:r w:rsidR="002B1D61" w:rsidRPr="002B1D61">
        <w:rPr>
          <w:lang w:val="en-US" w:bidi="th-TH"/>
        </w:rPr>
        <w:t xml:space="preserve">ed in the next report, providing readers with a detailed </w:t>
      </w:r>
      <w:r w:rsidR="00B6619B" w:rsidRPr="00B6619B">
        <w:rPr>
          <w:lang w:val="en-US" w:bidi="th-TH"/>
        </w:rPr>
        <w:t xml:space="preserve">image of its </w:t>
      </w:r>
      <w:r w:rsidR="00C23827">
        <w:rPr>
          <w:lang w:val="en-US" w:bidi="th-TH"/>
        </w:rPr>
        <w:t>financial</w:t>
      </w:r>
      <w:r w:rsidR="002B1D61" w:rsidRPr="002B1D61">
        <w:rPr>
          <w:lang w:val="en-US" w:bidi="th-TH"/>
        </w:rPr>
        <w:t xml:space="preserve"> status. It aims to provide information on the company's financial </w:t>
      </w:r>
      <w:r w:rsidR="00B6619B">
        <w:rPr>
          <w:lang w:val="en-US" w:bidi="th-TH"/>
        </w:rPr>
        <w:t>stability</w:t>
      </w:r>
      <w:r w:rsidR="002B1D61" w:rsidRPr="002B1D61">
        <w:rPr>
          <w:lang w:val="en-US" w:bidi="th-TH"/>
        </w:rPr>
        <w:t xml:space="preserve"> and to present goals for maintaining top performance throughout </w:t>
      </w:r>
      <w:r w:rsidR="00B6619B" w:rsidRPr="00B6619B">
        <w:rPr>
          <w:lang w:val="en-US" w:bidi="th-TH"/>
        </w:rPr>
        <w:t>the year in fiscal terms. Additionally, the report will</w:t>
      </w:r>
      <w:r w:rsidR="002B1D61" w:rsidRPr="002B1D61">
        <w:rPr>
          <w:lang w:val="en-US" w:bidi="th-TH"/>
        </w:rPr>
        <w:t xml:space="preserve"> also look at</w:t>
      </w:r>
      <w:r w:rsidR="00B6619B" w:rsidRPr="00B6619B">
        <w:t xml:space="preserve"> </w:t>
      </w:r>
      <w:r w:rsidR="00B6619B" w:rsidRPr="00B6619B">
        <w:rPr>
          <w:lang w:val="en-US" w:bidi="th-TH"/>
        </w:rPr>
        <w:t>the degree of variation in financial ratios</w:t>
      </w:r>
      <w:r w:rsidR="002B1D61" w:rsidRPr="002B1D61">
        <w:rPr>
          <w:lang w:val="en-US" w:bidi="th-TH"/>
        </w:rPr>
        <w:t xml:space="preserve"> generated, which will provide </w:t>
      </w:r>
      <w:r w:rsidR="00B6619B">
        <w:rPr>
          <w:lang w:val="en-US" w:bidi="th-TH"/>
        </w:rPr>
        <w:t>data</w:t>
      </w:r>
      <w:r w:rsidR="002B1D61" w:rsidRPr="002B1D61">
        <w:rPr>
          <w:lang w:val="en-US" w:bidi="th-TH"/>
        </w:rPr>
        <w:t xml:space="preserve"> on the business's e</w:t>
      </w:r>
      <w:r w:rsidR="00B6619B">
        <w:rPr>
          <w:lang w:val="en-US" w:bidi="th-TH"/>
        </w:rPr>
        <w:t>fficiency</w:t>
      </w:r>
      <w:r w:rsidR="002B1D61" w:rsidRPr="002B1D61">
        <w:rPr>
          <w:lang w:val="en-US" w:bidi="th-TH"/>
        </w:rPr>
        <w:t xml:space="preserve"> and success.</w:t>
      </w:r>
      <w:r w:rsidR="002B1D61">
        <w:rPr>
          <w:lang w:val="en-US" w:bidi="th-TH"/>
        </w:rPr>
        <w:br w:type="page"/>
      </w:r>
    </w:p>
    <w:p w14:paraId="54E771FB" w14:textId="3446094B" w:rsidR="00C85AA7" w:rsidRDefault="00000000" w:rsidP="00565248">
      <w:pPr>
        <w:pStyle w:val="Heading1"/>
        <w:rPr>
          <w:lang w:val="en-US"/>
        </w:rPr>
      </w:pPr>
      <w:bookmarkStart w:id="1" w:name="_Toc152264391"/>
      <w:r>
        <w:rPr>
          <w:lang w:val="en-US"/>
        </w:rPr>
        <w:lastRenderedPageBreak/>
        <w:t>Question 1- Co</w:t>
      </w:r>
      <w:r w:rsidR="00B6619B">
        <w:rPr>
          <w:lang w:val="en-US"/>
        </w:rPr>
        <w:t>nsidering</w:t>
      </w:r>
      <w:r>
        <w:rPr>
          <w:lang w:val="en-US"/>
        </w:rPr>
        <w:t xml:space="preserve"> the statements</w:t>
      </w:r>
      <w:bookmarkEnd w:id="1"/>
    </w:p>
    <w:p w14:paraId="0F3BF1A7" w14:textId="3CC68478" w:rsidR="00565248" w:rsidRDefault="00000000" w:rsidP="00565248">
      <w:pPr>
        <w:rPr>
          <w:b/>
          <w:bCs/>
          <w:i/>
          <w:iCs/>
          <w:u w:val="single"/>
          <w:lang w:val="en-US"/>
        </w:rPr>
      </w:pPr>
      <w:r>
        <w:rPr>
          <w:b/>
          <w:bCs/>
          <w:i/>
          <w:iCs/>
          <w:u w:val="single"/>
          <w:lang w:val="en-US"/>
        </w:rPr>
        <w:t>For statement 1:</w:t>
      </w:r>
    </w:p>
    <w:p w14:paraId="48EA9242" w14:textId="25EED9B3" w:rsidR="002B1D61" w:rsidRPr="00F15D29" w:rsidRDefault="002B1D61" w:rsidP="00565248">
      <w:pPr>
        <w:rPr>
          <w:rFonts w:cs="Times New Roman"/>
          <w:color w:val="222222"/>
          <w:szCs w:val="24"/>
          <w:shd w:val="clear" w:color="auto" w:fill="FFFFFF"/>
        </w:rPr>
      </w:pPr>
      <w:r w:rsidRPr="002B1D61">
        <w:rPr>
          <w:lang w:val="en-US"/>
        </w:rPr>
        <w:t xml:space="preserve">The balance sheet, commonly known as the statement of financial position, does not explicitly reflect cash flow information for an accounting period </w:t>
      </w:r>
      <w:r w:rsidR="00F15D29">
        <w:rPr>
          <w:rFonts w:cs="Times New Roman"/>
          <w:color w:val="222222"/>
          <w:szCs w:val="24"/>
          <w:shd w:val="clear" w:color="auto" w:fill="FFFFFF"/>
        </w:rPr>
        <w:t>(</w:t>
      </w:r>
      <w:proofErr w:type="spellStart"/>
      <w:r w:rsidR="00F15D29" w:rsidRPr="00F15D29">
        <w:rPr>
          <w:rFonts w:cs="Times New Roman"/>
          <w:color w:val="222222"/>
          <w:szCs w:val="24"/>
          <w:shd w:val="clear" w:color="auto" w:fill="FFFFFF"/>
        </w:rPr>
        <w:t>Cussatt</w:t>
      </w:r>
      <w:proofErr w:type="spellEnd"/>
      <w:r w:rsidR="00F15D29">
        <w:rPr>
          <w:rFonts w:cs="Times New Roman"/>
          <w:color w:val="222222"/>
          <w:szCs w:val="24"/>
          <w:shd w:val="clear" w:color="auto" w:fill="FFFFFF"/>
        </w:rPr>
        <w:t xml:space="preserve"> </w:t>
      </w:r>
      <w:r w:rsidR="00F15D29" w:rsidRPr="00F15D29">
        <w:rPr>
          <w:rFonts w:cs="Times New Roman"/>
          <w:color w:val="222222"/>
          <w:szCs w:val="24"/>
          <w:shd w:val="clear" w:color="auto" w:fill="FFFFFF"/>
        </w:rPr>
        <w:t>and Demere, 2023</w:t>
      </w:r>
      <w:r w:rsidR="00F15D29">
        <w:rPr>
          <w:rFonts w:cs="Times New Roman"/>
          <w:color w:val="222222"/>
          <w:szCs w:val="24"/>
          <w:shd w:val="clear" w:color="auto" w:fill="FFFFFF"/>
        </w:rPr>
        <w:t xml:space="preserve">). </w:t>
      </w:r>
      <w:r w:rsidRPr="002B1D61">
        <w:rPr>
          <w:lang w:val="en-US"/>
        </w:rPr>
        <w:t xml:space="preserve">Rather, it provides a snapshot of the company's equity, liabilities, and assets as of a specific date. The statement of cash flows is </w:t>
      </w:r>
      <w:r w:rsidR="00B6619B" w:rsidRPr="00B6619B">
        <w:rPr>
          <w:lang w:val="en-US"/>
        </w:rPr>
        <w:t>an independent financial statement used mostly for cash movement analysis that shows cash inflows and outflows.</w:t>
      </w:r>
    </w:p>
    <w:p w14:paraId="60306DD0" w14:textId="01E853FC" w:rsidR="00565248" w:rsidRDefault="00000000" w:rsidP="00565248">
      <w:pPr>
        <w:rPr>
          <w:b/>
          <w:bCs/>
          <w:i/>
          <w:iCs/>
          <w:u w:val="single"/>
          <w:lang w:val="en-US"/>
        </w:rPr>
      </w:pPr>
      <w:r>
        <w:rPr>
          <w:b/>
          <w:bCs/>
          <w:i/>
          <w:iCs/>
          <w:u w:val="single"/>
          <w:lang w:val="en-US"/>
        </w:rPr>
        <w:t>For statement 2:</w:t>
      </w:r>
    </w:p>
    <w:p w14:paraId="280F8FDF" w14:textId="0889BB5B" w:rsidR="003D0025" w:rsidRPr="00A15B77" w:rsidRDefault="00B6619B" w:rsidP="00565248">
      <w:pPr>
        <w:rPr>
          <w:shd w:val="clear" w:color="auto" w:fill="FFFFFF"/>
        </w:rPr>
      </w:pPr>
      <w:r w:rsidRPr="00B6619B">
        <w:rPr>
          <w:shd w:val="clear" w:color="auto" w:fill="FFFFFF"/>
        </w:rPr>
        <w:t>Examples of assets having a useful life longer than a year are equipment and property. Our term for this is non-current assets. The name "non-current" refers not to their immobility but to their long use life, even though they are often fixed in situ (Krants, 2023). The kinds of assets that are not current that cannot be physically transported include patents and trademarks.</w:t>
      </w:r>
    </w:p>
    <w:p w14:paraId="7A616F90" w14:textId="1B449EDD" w:rsidR="00565248" w:rsidRDefault="00000000" w:rsidP="00565248">
      <w:pPr>
        <w:rPr>
          <w:b/>
          <w:bCs/>
          <w:i/>
          <w:iCs/>
          <w:u w:val="single"/>
          <w:lang w:val="en-US"/>
        </w:rPr>
      </w:pPr>
      <w:r>
        <w:rPr>
          <w:b/>
          <w:bCs/>
          <w:i/>
          <w:iCs/>
          <w:u w:val="single"/>
          <w:lang w:val="en-US"/>
        </w:rPr>
        <w:t>For statement 3:</w:t>
      </w:r>
    </w:p>
    <w:p w14:paraId="3A696591" w14:textId="3D2ED1BB" w:rsidR="008C31ED" w:rsidRPr="00AF5049" w:rsidRDefault="002B1D61" w:rsidP="00565248">
      <w:pPr>
        <w:rPr>
          <w:rFonts w:cs="Times New Roman"/>
          <w:color w:val="222222"/>
          <w:szCs w:val="24"/>
          <w:shd w:val="clear" w:color="auto" w:fill="FFFFFF"/>
        </w:rPr>
      </w:pPr>
      <w:r w:rsidRPr="002B1D61">
        <w:t>Managers must provide financial information to all shareholders, not only current stockholders. Current and potential shareholders rely on this information to make sound investment decisions. Transparency is vital for ensuring that all parties involved have access to relevant financial information and for maintaining confidence</w:t>
      </w:r>
      <w:r w:rsidR="00585EE6">
        <w:t xml:space="preserve"> </w:t>
      </w:r>
      <w:r w:rsidR="00585EE6">
        <w:rPr>
          <w:rFonts w:cs="Times New Roman"/>
          <w:color w:val="222222"/>
          <w:szCs w:val="24"/>
          <w:shd w:val="clear" w:color="auto" w:fill="FFFFFF"/>
        </w:rPr>
        <w:t>(</w:t>
      </w:r>
      <w:r w:rsidR="00585EE6" w:rsidRPr="00201F31">
        <w:rPr>
          <w:rFonts w:cs="Times New Roman"/>
          <w:color w:val="222222"/>
          <w:szCs w:val="24"/>
          <w:shd w:val="clear" w:color="auto" w:fill="FFFFFF"/>
        </w:rPr>
        <w:t xml:space="preserve">Lord, </w:t>
      </w:r>
      <w:r w:rsidR="00585EE6" w:rsidRPr="00F15D29">
        <w:rPr>
          <w:rFonts w:cs="Times New Roman"/>
          <w:color w:val="222222"/>
          <w:szCs w:val="24"/>
          <w:shd w:val="clear" w:color="auto" w:fill="FFFFFF"/>
        </w:rPr>
        <w:t>2023</w:t>
      </w:r>
      <w:r w:rsidR="00585EE6">
        <w:rPr>
          <w:rFonts w:cs="Times New Roman"/>
          <w:color w:val="222222"/>
          <w:szCs w:val="24"/>
          <w:shd w:val="clear" w:color="auto" w:fill="FFFFFF"/>
        </w:rPr>
        <w:t>).</w:t>
      </w:r>
    </w:p>
    <w:p w14:paraId="3EA53F9F" w14:textId="44915B32" w:rsidR="00565248" w:rsidRDefault="00000000" w:rsidP="00565248">
      <w:pPr>
        <w:rPr>
          <w:b/>
          <w:bCs/>
          <w:i/>
          <w:iCs/>
          <w:u w:val="single"/>
          <w:lang w:val="en-US"/>
        </w:rPr>
      </w:pPr>
      <w:r>
        <w:rPr>
          <w:b/>
          <w:bCs/>
          <w:i/>
          <w:iCs/>
          <w:u w:val="single"/>
          <w:lang w:val="en-US"/>
        </w:rPr>
        <w:t>For statement 4:</w:t>
      </w:r>
    </w:p>
    <w:p w14:paraId="6E6A1140" w14:textId="203A14AD" w:rsidR="00644727" w:rsidRPr="00F15D29" w:rsidRDefault="00F0123C" w:rsidP="00565248">
      <w:pPr>
        <w:rPr>
          <w:rFonts w:cs="Times New Roman"/>
          <w:color w:val="222222"/>
          <w:szCs w:val="24"/>
          <w:shd w:val="clear" w:color="auto" w:fill="FFFFFF"/>
        </w:rPr>
      </w:pPr>
      <w:r w:rsidRPr="00F0123C">
        <w:t>Both accruals and payments are necessary for accurate financial reporting. Leaving them off the statement of financial position would provide an incomplete picture of a company's financial status as they reflect future economic gains and obligations.</w:t>
      </w:r>
      <w:r w:rsidR="002B1D61" w:rsidRPr="002B1D61">
        <w:t xml:space="preserve"> </w:t>
      </w:r>
      <w:r w:rsidR="00F15D29">
        <w:rPr>
          <w:rFonts w:cs="Times New Roman"/>
          <w:color w:val="222222"/>
          <w:szCs w:val="24"/>
          <w:shd w:val="clear" w:color="auto" w:fill="FFFFFF"/>
        </w:rPr>
        <w:t>(</w:t>
      </w:r>
      <w:proofErr w:type="spellStart"/>
      <w:r w:rsidR="00F15D29" w:rsidRPr="00F15D29">
        <w:rPr>
          <w:rFonts w:cs="Times New Roman"/>
          <w:color w:val="222222"/>
          <w:szCs w:val="24"/>
          <w:shd w:val="clear" w:color="auto" w:fill="FFFFFF"/>
        </w:rPr>
        <w:t>Cussatt</w:t>
      </w:r>
      <w:proofErr w:type="spellEnd"/>
      <w:r w:rsidR="00F15D29">
        <w:rPr>
          <w:rFonts w:cs="Times New Roman"/>
          <w:color w:val="222222"/>
          <w:szCs w:val="24"/>
          <w:shd w:val="clear" w:color="auto" w:fill="FFFFFF"/>
        </w:rPr>
        <w:t xml:space="preserve"> </w:t>
      </w:r>
      <w:r w:rsidR="00F15D29" w:rsidRPr="00F15D29">
        <w:rPr>
          <w:rFonts w:cs="Times New Roman"/>
          <w:color w:val="222222"/>
          <w:szCs w:val="24"/>
          <w:shd w:val="clear" w:color="auto" w:fill="FFFFFF"/>
        </w:rPr>
        <w:t>and Demere, 2023</w:t>
      </w:r>
      <w:r w:rsidR="00F15D29">
        <w:rPr>
          <w:rFonts w:cs="Times New Roman"/>
          <w:color w:val="222222"/>
          <w:szCs w:val="24"/>
          <w:shd w:val="clear" w:color="auto" w:fill="FFFFFF"/>
        </w:rPr>
        <w:t>).</w:t>
      </w:r>
    </w:p>
    <w:p w14:paraId="01F8A13B" w14:textId="6266CFD6" w:rsidR="00565248" w:rsidRDefault="00000000" w:rsidP="00565248">
      <w:pPr>
        <w:rPr>
          <w:b/>
          <w:bCs/>
          <w:i/>
          <w:iCs/>
          <w:u w:val="single"/>
          <w:lang w:val="en-US"/>
        </w:rPr>
      </w:pPr>
      <w:r>
        <w:rPr>
          <w:b/>
          <w:bCs/>
          <w:i/>
          <w:iCs/>
          <w:u w:val="single"/>
          <w:lang w:val="en-US"/>
        </w:rPr>
        <w:lastRenderedPageBreak/>
        <w:t>For statement 5:</w:t>
      </w:r>
    </w:p>
    <w:p w14:paraId="35967DD4" w14:textId="245910B3" w:rsidR="00517A19" w:rsidRPr="00156B37" w:rsidRDefault="00F0123C" w:rsidP="00565248">
      <w:pPr>
        <w:rPr>
          <w:rFonts w:cs="Times New Roman"/>
          <w:color w:val="222222"/>
          <w:szCs w:val="24"/>
          <w:shd w:val="clear" w:color="auto" w:fill="FFFFFF"/>
        </w:rPr>
      </w:pPr>
      <w:r w:rsidRPr="00F0123C">
        <w:t>For financial statements to be reliable and accurate, regulations must be followed. One type of regulatory framework that promotes openness, comparability, and accountability in financial reporting is accounting standards. Financial data might be untrustworthy and unreliable in the absence of restrictions (Filzen et al., 2023).</w:t>
      </w:r>
    </w:p>
    <w:p w14:paraId="43F85CBA" w14:textId="53311C31" w:rsidR="00565248" w:rsidRPr="00565248" w:rsidRDefault="00000000" w:rsidP="00565248">
      <w:pPr>
        <w:rPr>
          <w:b/>
          <w:bCs/>
          <w:i/>
          <w:iCs/>
          <w:u w:val="single"/>
          <w:lang w:val="en-US"/>
        </w:rPr>
      </w:pPr>
      <w:r>
        <w:rPr>
          <w:b/>
          <w:bCs/>
          <w:i/>
          <w:iCs/>
          <w:u w:val="single"/>
          <w:lang w:val="en-US"/>
        </w:rPr>
        <w:t>For statement 6:</w:t>
      </w:r>
    </w:p>
    <w:p w14:paraId="15A292D9" w14:textId="40AEC6D9" w:rsidR="00156B37" w:rsidRPr="00201F31" w:rsidRDefault="00F0123C" w:rsidP="00156B37">
      <w:pPr>
        <w:rPr>
          <w:rFonts w:cs="Times New Roman"/>
          <w:color w:val="222222"/>
          <w:szCs w:val="24"/>
          <w:shd w:val="clear" w:color="auto" w:fill="FFFFFF"/>
        </w:rPr>
      </w:pPr>
      <w:r w:rsidRPr="00F0123C">
        <w:t>An essential component of accounting is maintaining the trial balance and ledger accounts in balance. This guarantees the accuracy and trustworthiness of financial statements. It is less likely that financial reporting mistakes will occur when there is a balanced trial balance, which indicates that debits and credits are equal. The entire financial picture given to stakeholders may be impacted by errors in the final financial statements brought about by a failure to balance the trial balance and accounts (C.K.C. and Webber, 2023).</w:t>
      </w:r>
    </w:p>
    <w:p w14:paraId="084E68B5" w14:textId="18E83F9D" w:rsidR="00565248" w:rsidRPr="00344074" w:rsidRDefault="00565248" w:rsidP="00565248"/>
    <w:p w14:paraId="3BECBDE1" w14:textId="0B3EBB03" w:rsidR="00471CC9" w:rsidRDefault="00000000">
      <w:pPr>
        <w:spacing w:line="259" w:lineRule="auto"/>
        <w:jc w:val="left"/>
        <w:rPr>
          <w:lang w:val="en-US" w:bidi="th-TH"/>
        </w:rPr>
      </w:pPr>
      <w:r>
        <w:rPr>
          <w:lang w:val="en-US" w:bidi="th-TH"/>
        </w:rPr>
        <w:br w:type="page"/>
      </w:r>
    </w:p>
    <w:p w14:paraId="119CC95A" w14:textId="3DCDAE8E" w:rsidR="007B73B1" w:rsidRPr="00E2475B" w:rsidRDefault="00000000" w:rsidP="00E2475B">
      <w:pPr>
        <w:pStyle w:val="Heading1"/>
      </w:pPr>
      <w:bookmarkStart w:id="2" w:name="_Toc112082921"/>
      <w:bookmarkStart w:id="3" w:name="_Toc152264392"/>
      <w:r>
        <w:lastRenderedPageBreak/>
        <w:t xml:space="preserve">Question 2: </w:t>
      </w:r>
      <w:bookmarkEnd w:id="2"/>
      <w:r w:rsidR="00C613FF" w:rsidRPr="00C613FF">
        <w:t>Creating and assessing the income statement</w:t>
      </w:r>
      <w:bookmarkEnd w:id="3"/>
    </w:p>
    <w:p w14:paraId="46E542F5" w14:textId="40D2B541" w:rsidR="007B73B1" w:rsidRDefault="00C613FF" w:rsidP="00C613FF">
      <w:pPr>
        <w:rPr>
          <w:i/>
          <w:iCs/>
        </w:rPr>
      </w:pPr>
      <w:r w:rsidRPr="00C613FF">
        <w:rPr>
          <w:i/>
          <w:iCs/>
        </w:rPr>
        <w:t>Wales plc's income statement for the fiscal year ending December 31, 2022</w:t>
      </w:r>
      <w:r w:rsidR="00EA0544">
        <w:rPr>
          <w:i/>
          <w:iCs/>
        </w:rPr>
        <w:t>,</w:t>
      </w:r>
      <w:r w:rsidRPr="00C613FF">
        <w:rPr>
          <w:i/>
          <w:iCs/>
        </w:rPr>
        <w:t xml:space="preserve"> is being prepared.</w:t>
      </w:r>
    </w:p>
    <w:tbl>
      <w:tblPr>
        <w:tblW w:w="6360" w:type="dxa"/>
        <w:jc w:val="center"/>
        <w:tblLook w:val="04A0" w:firstRow="1" w:lastRow="0" w:firstColumn="1" w:lastColumn="0" w:noHBand="0" w:noVBand="1"/>
      </w:tblPr>
      <w:tblGrid>
        <w:gridCol w:w="2760"/>
        <w:gridCol w:w="2300"/>
        <w:gridCol w:w="1300"/>
      </w:tblGrid>
      <w:tr w:rsidR="00F16806" w14:paraId="1AA48EF3" w14:textId="77777777" w:rsidTr="007D7EB2">
        <w:trPr>
          <w:trHeight w:val="300"/>
          <w:jc w:val="center"/>
        </w:trPr>
        <w:tc>
          <w:tcPr>
            <w:tcW w:w="2760" w:type="dxa"/>
            <w:tcBorders>
              <w:top w:val="single" w:sz="4" w:space="0" w:color="ED7D31"/>
              <w:left w:val="single" w:sz="4" w:space="0" w:color="ED7D31"/>
              <w:bottom w:val="nil"/>
              <w:right w:val="nil"/>
            </w:tcBorders>
            <w:shd w:val="clear" w:color="ED7D31" w:fill="ED7D31"/>
            <w:noWrap/>
            <w:vAlign w:val="bottom"/>
            <w:hideMark/>
          </w:tcPr>
          <w:p w14:paraId="255BD69C" w14:textId="77777777" w:rsidR="007D7EB2" w:rsidRPr="007D7EB2" w:rsidRDefault="00000000" w:rsidP="007D7EB2">
            <w:pPr>
              <w:spacing w:after="0" w:line="240" w:lineRule="auto"/>
              <w:jc w:val="left"/>
              <w:rPr>
                <w:rFonts w:ascii="Calibri" w:eastAsia="Times New Roman" w:hAnsi="Calibri" w:cs="Calibri"/>
                <w:b/>
                <w:bCs/>
                <w:color w:val="FFFFFF"/>
                <w:kern w:val="0"/>
                <w:sz w:val="22"/>
                <w:lang w:val="en-US"/>
                <w14:ligatures w14:val="none"/>
              </w:rPr>
            </w:pPr>
            <w:r w:rsidRPr="007D7EB2">
              <w:rPr>
                <w:rFonts w:ascii="Calibri" w:eastAsia="Times New Roman" w:hAnsi="Calibri" w:cs="Calibri"/>
                <w:b/>
                <w:bCs/>
                <w:color w:val="FFFFFF"/>
                <w:kern w:val="0"/>
                <w:sz w:val="22"/>
                <w:lang w:val="en-US"/>
                <w14:ligatures w14:val="none"/>
              </w:rPr>
              <w:t>Particulars</w:t>
            </w:r>
          </w:p>
        </w:tc>
        <w:tc>
          <w:tcPr>
            <w:tcW w:w="2300" w:type="dxa"/>
            <w:tcBorders>
              <w:top w:val="single" w:sz="4" w:space="0" w:color="ED7D31"/>
              <w:left w:val="nil"/>
              <w:bottom w:val="nil"/>
              <w:right w:val="nil"/>
            </w:tcBorders>
            <w:shd w:val="clear" w:color="ED7D31" w:fill="ED7D31"/>
            <w:noWrap/>
            <w:vAlign w:val="bottom"/>
            <w:hideMark/>
          </w:tcPr>
          <w:p w14:paraId="4F44F85C" w14:textId="77777777" w:rsidR="007D7EB2" w:rsidRPr="007D7EB2" w:rsidRDefault="00000000" w:rsidP="007D7EB2">
            <w:pPr>
              <w:spacing w:after="0" w:line="240" w:lineRule="auto"/>
              <w:jc w:val="left"/>
              <w:rPr>
                <w:rFonts w:ascii="Calibri" w:eastAsia="Times New Roman" w:hAnsi="Calibri" w:cs="Calibri"/>
                <w:b/>
                <w:bCs/>
                <w:color w:val="FFFFFF"/>
                <w:kern w:val="0"/>
                <w:sz w:val="22"/>
                <w:lang w:val="en-US"/>
                <w14:ligatures w14:val="none"/>
              </w:rPr>
            </w:pPr>
            <w:r w:rsidRPr="007D7EB2">
              <w:rPr>
                <w:rFonts w:ascii="Calibri" w:eastAsia="Times New Roman" w:hAnsi="Calibri" w:cs="Calibri"/>
                <w:b/>
                <w:bCs/>
                <w:color w:val="FFFFFF"/>
                <w:kern w:val="0"/>
                <w:sz w:val="22"/>
                <w:lang w:val="en-US"/>
                <w14:ligatures w14:val="none"/>
              </w:rPr>
              <w:t>Amount</w:t>
            </w:r>
          </w:p>
        </w:tc>
        <w:tc>
          <w:tcPr>
            <w:tcW w:w="1300" w:type="dxa"/>
            <w:tcBorders>
              <w:top w:val="single" w:sz="4" w:space="0" w:color="ED7D31"/>
              <w:left w:val="nil"/>
              <w:bottom w:val="nil"/>
              <w:right w:val="single" w:sz="4" w:space="0" w:color="ED7D31"/>
            </w:tcBorders>
            <w:shd w:val="clear" w:color="ED7D31" w:fill="ED7D31"/>
            <w:noWrap/>
            <w:vAlign w:val="bottom"/>
            <w:hideMark/>
          </w:tcPr>
          <w:p w14:paraId="23F8CB86" w14:textId="77777777" w:rsidR="007D7EB2" w:rsidRPr="007D7EB2" w:rsidRDefault="00000000" w:rsidP="007D7EB2">
            <w:pPr>
              <w:spacing w:after="0" w:line="240" w:lineRule="auto"/>
              <w:jc w:val="left"/>
              <w:rPr>
                <w:rFonts w:ascii="Calibri" w:eastAsia="Times New Roman" w:hAnsi="Calibri" w:cs="Calibri"/>
                <w:b/>
                <w:bCs/>
                <w:color w:val="FFFFFF"/>
                <w:kern w:val="0"/>
                <w:sz w:val="22"/>
                <w:lang w:val="en-US"/>
                <w14:ligatures w14:val="none"/>
              </w:rPr>
            </w:pPr>
            <w:r w:rsidRPr="007D7EB2">
              <w:rPr>
                <w:rFonts w:ascii="Calibri" w:eastAsia="Times New Roman" w:hAnsi="Calibri" w:cs="Calibri"/>
                <w:b/>
                <w:bCs/>
                <w:color w:val="FFFFFF"/>
                <w:kern w:val="0"/>
                <w:sz w:val="22"/>
                <w:lang w:val="en-US"/>
                <w14:ligatures w14:val="none"/>
              </w:rPr>
              <w:t xml:space="preserve">Amount </w:t>
            </w:r>
          </w:p>
        </w:tc>
      </w:tr>
      <w:tr w:rsidR="00F16806" w14:paraId="7D5F3CBA"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360CCDC1"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 xml:space="preserve">Sales </w:t>
            </w:r>
          </w:p>
        </w:tc>
        <w:tc>
          <w:tcPr>
            <w:tcW w:w="2300" w:type="dxa"/>
            <w:tcBorders>
              <w:top w:val="single" w:sz="4" w:space="0" w:color="ED7D31"/>
              <w:left w:val="nil"/>
              <w:bottom w:val="nil"/>
              <w:right w:val="nil"/>
            </w:tcBorders>
            <w:shd w:val="clear" w:color="auto" w:fill="auto"/>
            <w:noWrap/>
            <w:vAlign w:val="bottom"/>
            <w:hideMark/>
          </w:tcPr>
          <w:p w14:paraId="243E37E9"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01F3B479"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900000</w:t>
            </w:r>
          </w:p>
        </w:tc>
      </w:tr>
      <w:tr w:rsidR="00F16806" w14:paraId="68EA45E0"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49A9A34F"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COGS:</w:t>
            </w:r>
          </w:p>
        </w:tc>
        <w:tc>
          <w:tcPr>
            <w:tcW w:w="2300" w:type="dxa"/>
            <w:tcBorders>
              <w:top w:val="single" w:sz="4" w:space="0" w:color="ED7D31"/>
              <w:left w:val="nil"/>
              <w:bottom w:val="nil"/>
              <w:right w:val="nil"/>
            </w:tcBorders>
            <w:shd w:val="clear" w:color="auto" w:fill="auto"/>
            <w:noWrap/>
            <w:vAlign w:val="bottom"/>
            <w:hideMark/>
          </w:tcPr>
          <w:p w14:paraId="0BEAE24C"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4CF833DB" w14:textId="77777777" w:rsidR="007D7EB2" w:rsidRPr="007D7EB2" w:rsidRDefault="007D7EB2" w:rsidP="007D7EB2">
            <w:pPr>
              <w:spacing w:after="0" w:line="240" w:lineRule="auto"/>
              <w:jc w:val="left"/>
              <w:rPr>
                <w:rFonts w:eastAsia="Times New Roman" w:cs="Times New Roman"/>
                <w:color w:val="auto"/>
                <w:kern w:val="0"/>
                <w:sz w:val="20"/>
                <w:szCs w:val="20"/>
                <w:lang w:val="en-US"/>
                <w14:ligatures w14:val="none"/>
              </w:rPr>
            </w:pPr>
          </w:p>
        </w:tc>
      </w:tr>
      <w:tr w:rsidR="00F16806" w14:paraId="4CEC19C8"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7E87A319"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Opening inventory</w:t>
            </w:r>
          </w:p>
        </w:tc>
        <w:tc>
          <w:tcPr>
            <w:tcW w:w="2300" w:type="dxa"/>
            <w:tcBorders>
              <w:top w:val="single" w:sz="4" w:space="0" w:color="ED7D31"/>
              <w:left w:val="nil"/>
              <w:bottom w:val="nil"/>
              <w:right w:val="nil"/>
            </w:tcBorders>
            <w:shd w:val="clear" w:color="auto" w:fill="auto"/>
            <w:noWrap/>
            <w:vAlign w:val="bottom"/>
            <w:hideMark/>
          </w:tcPr>
          <w:p w14:paraId="3488F889"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05B35C64" w14:textId="77777777" w:rsidR="007D7EB2" w:rsidRPr="007D7EB2" w:rsidRDefault="007D7EB2" w:rsidP="007D7EB2">
            <w:pPr>
              <w:spacing w:after="0" w:line="240" w:lineRule="auto"/>
              <w:jc w:val="left"/>
              <w:rPr>
                <w:rFonts w:eastAsia="Times New Roman" w:cs="Times New Roman"/>
                <w:color w:val="auto"/>
                <w:kern w:val="0"/>
                <w:sz w:val="20"/>
                <w:szCs w:val="20"/>
                <w:lang w:val="en-US"/>
                <w14:ligatures w14:val="none"/>
              </w:rPr>
            </w:pPr>
          </w:p>
        </w:tc>
      </w:tr>
      <w:tr w:rsidR="00F16806" w14:paraId="6A102CEA"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18A5E301"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Add: Purchases</w:t>
            </w:r>
          </w:p>
        </w:tc>
        <w:tc>
          <w:tcPr>
            <w:tcW w:w="2300" w:type="dxa"/>
            <w:tcBorders>
              <w:top w:val="single" w:sz="4" w:space="0" w:color="ED7D31"/>
              <w:left w:val="nil"/>
              <w:bottom w:val="nil"/>
              <w:right w:val="nil"/>
            </w:tcBorders>
            <w:shd w:val="clear" w:color="auto" w:fill="auto"/>
            <w:noWrap/>
            <w:vAlign w:val="bottom"/>
            <w:hideMark/>
          </w:tcPr>
          <w:p w14:paraId="2F024C92"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06404127" w14:textId="77777777" w:rsidR="007D7EB2" w:rsidRPr="007D7EB2" w:rsidRDefault="007D7EB2" w:rsidP="007D7EB2">
            <w:pPr>
              <w:spacing w:after="0" w:line="240" w:lineRule="auto"/>
              <w:jc w:val="left"/>
              <w:rPr>
                <w:rFonts w:eastAsia="Times New Roman" w:cs="Times New Roman"/>
                <w:color w:val="auto"/>
                <w:kern w:val="0"/>
                <w:sz w:val="20"/>
                <w:szCs w:val="20"/>
                <w:lang w:val="en-US"/>
                <w14:ligatures w14:val="none"/>
              </w:rPr>
            </w:pPr>
          </w:p>
        </w:tc>
      </w:tr>
      <w:tr w:rsidR="00F16806" w14:paraId="10CFD471"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0997EC3F"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Less: closing inventory</w:t>
            </w:r>
          </w:p>
        </w:tc>
        <w:tc>
          <w:tcPr>
            <w:tcW w:w="2300" w:type="dxa"/>
            <w:tcBorders>
              <w:top w:val="single" w:sz="4" w:space="0" w:color="ED7D31"/>
              <w:left w:val="nil"/>
              <w:bottom w:val="nil"/>
              <w:right w:val="nil"/>
            </w:tcBorders>
            <w:shd w:val="clear" w:color="auto" w:fill="auto"/>
            <w:noWrap/>
            <w:vAlign w:val="bottom"/>
            <w:hideMark/>
          </w:tcPr>
          <w:p w14:paraId="244EDB32"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003BCA62" w14:textId="77777777" w:rsidR="007D7EB2" w:rsidRPr="007D7EB2" w:rsidRDefault="007D7EB2" w:rsidP="007D7EB2">
            <w:pPr>
              <w:spacing w:after="0" w:line="240" w:lineRule="auto"/>
              <w:jc w:val="left"/>
              <w:rPr>
                <w:rFonts w:eastAsia="Times New Roman" w:cs="Times New Roman"/>
                <w:color w:val="auto"/>
                <w:kern w:val="0"/>
                <w:sz w:val="20"/>
                <w:szCs w:val="20"/>
                <w:lang w:val="en-US"/>
                <w14:ligatures w14:val="none"/>
              </w:rPr>
            </w:pPr>
          </w:p>
        </w:tc>
      </w:tr>
      <w:tr w:rsidR="00F16806" w14:paraId="66C98739"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1015A76E"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Depreciation on inventory</w:t>
            </w:r>
          </w:p>
        </w:tc>
        <w:tc>
          <w:tcPr>
            <w:tcW w:w="2300" w:type="dxa"/>
            <w:tcBorders>
              <w:top w:val="single" w:sz="4" w:space="0" w:color="ED7D31"/>
              <w:left w:val="nil"/>
              <w:bottom w:val="nil"/>
              <w:right w:val="nil"/>
            </w:tcBorders>
            <w:shd w:val="clear" w:color="auto" w:fill="auto"/>
            <w:noWrap/>
            <w:vAlign w:val="bottom"/>
            <w:hideMark/>
          </w:tcPr>
          <w:p w14:paraId="29C4E788"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650000x10%</w:t>
            </w:r>
          </w:p>
        </w:tc>
        <w:tc>
          <w:tcPr>
            <w:tcW w:w="1300" w:type="dxa"/>
            <w:tcBorders>
              <w:top w:val="single" w:sz="4" w:space="0" w:color="ED7D31"/>
              <w:left w:val="nil"/>
              <w:bottom w:val="nil"/>
              <w:right w:val="single" w:sz="4" w:space="0" w:color="ED7D31"/>
            </w:tcBorders>
            <w:shd w:val="clear" w:color="auto" w:fill="auto"/>
            <w:noWrap/>
            <w:vAlign w:val="bottom"/>
            <w:hideMark/>
          </w:tcPr>
          <w:p w14:paraId="01F31DC4"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65000</w:t>
            </w:r>
          </w:p>
        </w:tc>
      </w:tr>
      <w:tr w:rsidR="00F16806" w14:paraId="723ABA73"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5C557731"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Gross profit</w:t>
            </w:r>
          </w:p>
        </w:tc>
        <w:tc>
          <w:tcPr>
            <w:tcW w:w="2300" w:type="dxa"/>
            <w:tcBorders>
              <w:top w:val="single" w:sz="4" w:space="0" w:color="ED7D31"/>
              <w:left w:val="nil"/>
              <w:bottom w:val="nil"/>
              <w:right w:val="nil"/>
            </w:tcBorders>
            <w:shd w:val="clear" w:color="auto" w:fill="auto"/>
            <w:noWrap/>
            <w:vAlign w:val="bottom"/>
            <w:hideMark/>
          </w:tcPr>
          <w:p w14:paraId="55CA6958"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513826F1"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835000</w:t>
            </w:r>
          </w:p>
        </w:tc>
      </w:tr>
      <w:tr w:rsidR="00F16806" w14:paraId="7E7FDD76"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520FB1E1"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Operating expenses</w:t>
            </w:r>
          </w:p>
        </w:tc>
        <w:tc>
          <w:tcPr>
            <w:tcW w:w="2300" w:type="dxa"/>
            <w:tcBorders>
              <w:top w:val="single" w:sz="4" w:space="0" w:color="ED7D31"/>
              <w:left w:val="nil"/>
              <w:bottom w:val="nil"/>
              <w:right w:val="nil"/>
            </w:tcBorders>
            <w:shd w:val="clear" w:color="auto" w:fill="auto"/>
            <w:noWrap/>
            <w:vAlign w:val="bottom"/>
            <w:hideMark/>
          </w:tcPr>
          <w:p w14:paraId="3F27F85A"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7B6F78F2" w14:textId="77777777" w:rsidR="007D7EB2" w:rsidRPr="007D7EB2" w:rsidRDefault="007D7EB2" w:rsidP="007D7EB2">
            <w:pPr>
              <w:spacing w:after="0" w:line="240" w:lineRule="auto"/>
              <w:jc w:val="left"/>
              <w:rPr>
                <w:rFonts w:eastAsia="Times New Roman" w:cs="Times New Roman"/>
                <w:color w:val="auto"/>
                <w:kern w:val="0"/>
                <w:sz w:val="20"/>
                <w:szCs w:val="20"/>
                <w:lang w:val="en-US"/>
                <w14:ligatures w14:val="none"/>
              </w:rPr>
            </w:pPr>
          </w:p>
        </w:tc>
      </w:tr>
      <w:tr w:rsidR="00F16806" w14:paraId="23E8F3ED"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0A5FFA52"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Administrative expenses</w:t>
            </w:r>
          </w:p>
        </w:tc>
        <w:tc>
          <w:tcPr>
            <w:tcW w:w="2300" w:type="dxa"/>
            <w:tcBorders>
              <w:top w:val="single" w:sz="4" w:space="0" w:color="ED7D31"/>
              <w:left w:val="nil"/>
              <w:bottom w:val="nil"/>
              <w:right w:val="nil"/>
            </w:tcBorders>
            <w:shd w:val="clear" w:color="auto" w:fill="auto"/>
            <w:noWrap/>
            <w:vAlign w:val="bottom"/>
            <w:hideMark/>
          </w:tcPr>
          <w:p w14:paraId="1F12D869"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170000</w:t>
            </w:r>
          </w:p>
        </w:tc>
        <w:tc>
          <w:tcPr>
            <w:tcW w:w="1300" w:type="dxa"/>
            <w:tcBorders>
              <w:top w:val="single" w:sz="4" w:space="0" w:color="ED7D31"/>
              <w:left w:val="nil"/>
              <w:bottom w:val="nil"/>
              <w:right w:val="single" w:sz="4" w:space="0" w:color="ED7D31"/>
            </w:tcBorders>
            <w:shd w:val="clear" w:color="auto" w:fill="auto"/>
            <w:noWrap/>
            <w:vAlign w:val="bottom"/>
            <w:hideMark/>
          </w:tcPr>
          <w:p w14:paraId="3104E599" w14:textId="77777777" w:rsidR="007D7EB2" w:rsidRPr="007D7EB2" w:rsidRDefault="007D7EB2" w:rsidP="007D7EB2">
            <w:pPr>
              <w:spacing w:after="0" w:line="240" w:lineRule="auto"/>
              <w:jc w:val="right"/>
              <w:rPr>
                <w:rFonts w:ascii="Calibri" w:eastAsia="Times New Roman" w:hAnsi="Calibri" w:cs="Calibri"/>
                <w:color w:val="000000"/>
                <w:kern w:val="0"/>
                <w:sz w:val="22"/>
                <w:lang w:val="en-US"/>
                <w14:ligatures w14:val="none"/>
              </w:rPr>
            </w:pPr>
          </w:p>
        </w:tc>
      </w:tr>
      <w:tr w:rsidR="00F16806" w14:paraId="034818BC"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3AE2A0AB"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Distribution costs</w:t>
            </w:r>
          </w:p>
        </w:tc>
        <w:tc>
          <w:tcPr>
            <w:tcW w:w="2300" w:type="dxa"/>
            <w:tcBorders>
              <w:top w:val="single" w:sz="4" w:space="0" w:color="ED7D31"/>
              <w:left w:val="nil"/>
              <w:bottom w:val="nil"/>
              <w:right w:val="nil"/>
            </w:tcBorders>
            <w:shd w:val="clear" w:color="auto" w:fill="auto"/>
            <w:noWrap/>
            <w:vAlign w:val="bottom"/>
            <w:hideMark/>
          </w:tcPr>
          <w:p w14:paraId="233A843C"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28000</w:t>
            </w:r>
          </w:p>
        </w:tc>
        <w:tc>
          <w:tcPr>
            <w:tcW w:w="1300" w:type="dxa"/>
            <w:tcBorders>
              <w:top w:val="single" w:sz="4" w:space="0" w:color="ED7D31"/>
              <w:left w:val="nil"/>
              <w:bottom w:val="nil"/>
              <w:right w:val="single" w:sz="4" w:space="0" w:color="ED7D31"/>
            </w:tcBorders>
            <w:shd w:val="clear" w:color="auto" w:fill="auto"/>
            <w:noWrap/>
            <w:vAlign w:val="bottom"/>
            <w:hideMark/>
          </w:tcPr>
          <w:p w14:paraId="16EFA98C" w14:textId="77777777" w:rsidR="007D7EB2" w:rsidRPr="007D7EB2" w:rsidRDefault="007D7EB2" w:rsidP="007D7EB2">
            <w:pPr>
              <w:spacing w:after="0" w:line="240" w:lineRule="auto"/>
              <w:jc w:val="right"/>
              <w:rPr>
                <w:rFonts w:ascii="Calibri" w:eastAsia="Times New Roman" w:hAnsi="Calibri" w:cs="Calibri"/>
                <w:color w:val="000000"/>
                <w:kern w:val="0"/>
                <w:sz w:val="22"/>
                <w:lang w:val="en-US"/>
                <w14:ligatures w14:val="none"/>
              </w:rPr>
            </w:pPr>
          </w:p>
        </w:tc>
      </w:tr>
      <w:tr w:rsidR="00F16806" w14:paraId="5462BCC6"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7FE99299" w14:textId="62964536"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Director's remuneration</w:t>
            </w:r>
          </w:p>
        </w:tc>
        <w:tc>
          <w:tcPr>
            <w:tcW w:w="2300" w:type="dxa"/>
            <w:tcBorders>
              <w:top w:val="single" w:sz="4" w:space="0" w:color="ED7D31"/>
              <w:left w:val="nil"/>
              <w:bottom w:val="nil"/>
              <w:right w:val="nil"/>
            </w:tcBorders>
            <w:shd w:val="clear" w:color="auto" w:fill="auto"/>
            <w:noWrap/>
            <w:vAlign w:val="bottom"/>
            <w:hideMark/>
          </w:tcPr>
          <w:p w14:paraId="3EAA0187"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5000</w:t>
            </w:r>
          </w:p>
        </w:tc>
        <w:tc>
          <w:tcPr>
            <w:tcW w:w="1300" w:type="dxa"/>
            <w:tcBorders>
              <w:top w:val="single" w:sz="4" w:space="0" w:color="ED7D31"/>
              <w:left w:val="nil"/>
              <w:bottom w:val="nil"/>
              <w:right w:val="single" w:sz="4" w:space="0" w:color="ED7D31"/>
            </w:tcBorders>
            <w:shd w:val="clear" w:color="auto" w:fill="auto"/>
            <w:noWrap/>
            <w:vAlign w:val="bottom"/>
            <w:hideMark/>
          </w:tcPr>
          <w:p w14:paraId="1B0971E2" w14:textId="77777777" w:rsidR="007D7EB2" w:rsidRPr="007D7EB2" w:rsidRDefault="007D7EB2" w:rsidP="007D7EB2">
            <w:pPr>
              <w:spacing w:after="0" w:line="240" w:lineRule="auto"/>
              <w:jc w:val="right"/>
              <w:rPr>
                <w:rFonts w:ascii="Calibri" w:eastAsia="Times New Roman" w:hAnsi="Calibri" w:cs="Calibri"/>
                <w:color w:val="000000"/>
                <w:kern w:val="0"/>
                <w:sz w:val="22"/>
                <w:lang w:val="en-US"/>
                <w14:ligatures w14:val="none"/>
              </w:rPr>
            </w:pPr>
          </w:p>
        </w:tc>
      </w:tr>
      <w:tr w:rsidR="00F16806" w14:paraId="1E585B3C"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6AF0D151"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Interest paid</w:t>
            </w:r>
          </w:p>
        </w:tc>
        <w:tc>
          <w:tcPr>
            <w:tcW w:w="2300" w:type="dxa"/>
            <w:tcBorders>
              <w:top w:val="single" w:sz="4" w:space="0" w:color="ED7D31"/>
              <w:left w:val="nil"/>
              <w:bottom w:val="nil"/>
              <w:right w:val="nil"/>
            </w:tcBorders>
            <w:shd w:val="clear" w:color="auto" w:fill="auto"/>
            <w:noWrap/>
            <w:vAlign w:val="bottom"/>
            <w:hideMark/>
          </w:tcPr>
          <w:p w14:paraId="339B0504"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2000</w:t>
            </w:r>
          </w:p>
        </w:tc>
        <w:tc>
          <w:tcPr>
            <w:tcW w:w="1300" w:type="dxa"/>
            <w:tcBorders>
              <w:top w:val="single" w:sz="4" w:space="0" w:color="ED7D31"/>
              <w:left w:val="nil"/>
              <w:bottom w:val="nil"/>
              <w:right w:val="single" w:sz="4" w:space="0" w:color="ED7D31"/>
            </w:tcBorders>
            <w:shd w:val="clear" w:color="auto" w:fill="auto"/>
            <w:noWrap/>
            <w:vAlign w:val="bottom"/>
            <w:hideMark/>
          </w:tcPr>
          <w:p w14:paraId="5D1C3634" w14:textId="77777777" w:rsidR="007D7EB2" w:rsidRPr="007D7EB2" w:rsidRDefault="007D7EB2" w:rsidP="007D7EB2">
            <w:pPr>
              <w:spacing w:after="0" w:line="240" w:lineRule="auto"/>
              <w:jc w:val="right"/>
              <w:rPr>
                <w:rFonts w:ascii="Calibri" w:eastAsia="Times New Roman" w:hAnsi="Calibri" w:cs="Calibri"/>
                <w:color w:val="000000"/>
                <w:kern w:val="0"/>
                <w:sz w:val="22"/>
                <w:lang w:val="en-US"/>
                <w14:ligatures w14:val="none"/>
              </w:rPr>
            </w:pPr>
          </w:p>
        </w:tc>
      </w:tr>
      <w:tr w:rsidR="00F16806" w14:paraId="1D8F2008"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3EB0C751"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Total operating expenses</w:t>
            </w:r>
          </w:p>
        </w:tc>
        <w:tc>
          <w:tcPr>
            <w:tcW w:w="2300" w:type="dxa"/>
            <w:tcBorders>
              <w:top w:val="single" w:sz="4" w:space="0" w:color="ED7D31"/>
              <w:left w:val="nil"/>
              <w:bottom w:val="nil"/>
              <w:right w:val="nil"/>
            </w:tcBorders>
            <w:shd w:val="clear" w:color="auto" w:fill="auto"/>
            <w:noWrap/>
            <w:vAlign w:val="bottom"/>
            <w:hideMark/>
          </w:tcPr>
          <w:p w14:paraId="1EDB42F2"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5CA4138E"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205000</w:t>
            </w:r>
          </w:p>
        </w:tc>
      </w:tr>
      <w:tr w:rsidR="00F16806" w14:paraId="72870BEB"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16CC8689"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Profit before tax</w:t>
            </w:r>
          </w:p>
        </w:tc>
        <w:tc>
          <w:tcPr>
            <w:tcW w:w="2300" w:type="dxa"/>
            <w:tcBorders>
              <w:top w:val="single" w:sz="4" w:space="0" w:color="ED7D31"/>
              <w:left w:val="nil"/>
              <w:bottom w:val="nil"/>
              <w:right w:val="nil"/>
            </w:tcBorders>
            <w:shd w:val="clear" w:color="auto" w:fill="auto"/>
            <w:noWrap/>
            <w:vAlign w:val="bottom"/>
            <w:hideMark/>
          </w:tcPr>
          <w:p w14:paraId="3F51EF04"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454B3D9A" w14:textId="77777777" w:rsidR="007D7EB2" w:rsidRPr="007D7EB2" w:rsidRDefault="007D7EB2" w:rsidP="007D7EB2">
            <w:pPr>
              <w:spacing w:after="0" w:line="240" w:lineRule="auto"/>
              <w:jc w:val="left"/>
              <w:rPr>
                <w:rFonts w:eastAsia="Times New Roman" w:cs="Times New Roman"/>
                <w:color w:val="auto"/>
                <w:kern w:val="0"/>
                <w:sz w:val="20"/>
                <w:szCs w:val="20"/>
                <w:lang w:val="en-US"/>
                <w14:ligatures w14:val="none"/>
              </w:rPr>
            </w:pPr>
          </w:p>
        </w:tc>
      </w:tr>
      <w:tr w:rsidR="00F16806" w14:paraId="3D95352F" w14:textId="77777777" w:rsidTr="007D7EB2">
        <w:trPr>
          <w:trHeight w:val="300"/>
          <w:jc w:val="center"/>
        </w:trPr>
        <w:tc>
          <w:tcPr>
            <w:tcW w:w="2760" w:type="dxa"/>
            <w:tcBorders>
              <w:top w:val="single" w:sz="4" w:space="0" w:color="ED7D31"/>
              <w:left w:val="single" w:sz="4" w:space="0" w:color="ED7D31"/>
              <w:bottom w:val="nil"/>
              <w:right w:val="nil"/>
            </w:tcBorders>
            <w:shd w:val="clear" w:color="auto" w:fill="auto"/>
            <w:noWrap/>
            <w:vAlign w:val="bottom"/>
            <w:hideMark/>
          </w:tcPr>
          <w:p w14:paraId="41E12172"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Tax estimated</w:t>
            </w:r>
          </w:p>
        </w:tc>
        <w:tc>
          <w:tcPr>
            <w:tcW w:w="2300" w:type="dxa"/>
            <w:tcBorders>
              <w:top w:val="single" w:sz="4" w:space="0" w:color="ED7D31"/>
              <w:left w:val="nil"/>
              <w:bottom w:val="nil"/>
              <w:right w:val="nil"/>
            </w:tcBorders>
            <w:shd w:val="clear" w:color="auto" w:fill="auto"/>
            <w:noWrap/>
            <w:vAlign w:val="bottom"/>
            <w:hideMark/>
          </w:tcPr>
          <w:p w14:paraId="74CCDB9E"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nil"/>
              <w:right w:val="single" w:sz="4" w:space="0" w:color="ED7D31"/>
            </w:tcBorders>
            <w:shd w:val="clear" w:color="auto" w:fill="auto"/>
            <w:noWrap/>
            <w:vAlign w:val="bottom"/>
            <w:hideMark/>
          </w:tcPr>
          <w:p w14:paraId="721227FE"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15000</w:t>
            </w:r>
          </w:p>
        </w:tc>
      </w:tr>
      <w:tr w:rsidR="00F16806" w14:paraId="64DD9894" w14:textId="77777777" w:rsidTr="007D7EB2">
        <w:trPr>
          <w:trHeight w:val="300"/>
          <w:jc w:val="center"/>
        </w:trPr>
        <w:tc>
          <w:tcPr>
            <w:tcW w:w="2760" w:type="dxa"/>
            <w:tcBorders>
              <w:top w:val="single" w:sz="4" w:space="0" w:color="ED7D31"/>
              <w:left w:val="single" w:sz="4" w:space="0" w:color="ED7D31"/>
              <w:bottom w:val="single" w:sz="4" w:space="0" w:color="ED7D31"/>
              <w:right w:val="nil"/>
            </w:tcBorders>
            <w:shd w:val="clear" w:color="auto" w:fill="auto"/>
            <w:noWrap/>
            <w:vAlign w:val="bottom"/>
            <w:hideMark/>
          </w:tcPr>
          <w:p w14:paraId="202613EF" w14:textId="77777777" w:rsidR="007D7EB2" w:rsidRPr="007D7EB2" w:rsidRDefault="00000000" w:rsidP="007D7EB2">
            <w:pPr>
              <w:spacing w:after="0" w:line="240" w:lineRule="auto"/>
              <w:jc w:val="lef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Net profit for the year</w:t>
            </w:r>
          </w:p>
        </w:tc>
        <w:tc>
          <w:tcPr>
            <w:tcW w:w="2300" w:type="dxa"/>
            <w:tcBorders>
              <w:top w:val="single" w:sz="4" w:space="0" w:color="ED7D31"/>
              <w:left w:val="nil"/>
              <w:bottom w:val="single" w:sz="4" w:space="0" w:color="ED7D31"/>
              <w:right w:val="nil"/>
            </w:tcBorders>
            <w:shd w:val="clear" w:color="auto" w:fill="auto"/>
            <w:noWrap/>
            <w:vAlign w:val="bottom"/>
            <w:hideMark/>
          </w:tcPr>
          <w:p w14:paraId="6FD772B7" w14:textId="77777777" w:rsidR="007D7EB2" w:rsidRPr="007D7EB2" w:rsidRDefault="007D7EB2" w:rsidP="007D7EB2">
            <w:pPr>
              <w:spacing w:after="0" w:line="240" w:lineRule="auto"/>
              <w:jc w:val="left"/>
              <w:rPr>
                <w:rFonts w:ascii="Calibri" w:eastAsia="Times New Roman" w:hAnsi="Calibri" w:cs="Calibri"/>
                <w:color w:val="000000"/>
                <w:kern w:val="0"/>
                <w:sz w:val="22"/>
                <w:lang w:val="en-US"/>
                <w14:ligatures w14:val="none"/>
              </w:rPr>
            </w:pPr>
          </w:p>
        </w:tc>
        <w:tc>
          <w:tcPr>
            <w:tcW w:w="1300" w:type="dxa"/>
            <w:tcBorders>
              <w:top w:val="single" w:sz="4" w:space="0" w:color="ED7D31"/>
              <w:left w:val="nil"/>
              <w:bottom w:val="single" w:sz="4" w:space="0" w:color="ED7D31"/>
              <w:right w:val="single" w:sz="4" w:space="0" w:color="ED7D31"/>
            </w:tcBorders>
            <w:shd w:val="clear" w:color="auto" w:fill="auto"/>
            <w:noWrap/>
            <w:vAlign w:val="bottom"/>
            <w:hideMark/>
          </w:tcPr>
          <w:p w14:paraId="3758CDD8" w14:textId="77777777" w:rsidR="007D7EB2" w:rsidRPr="007D7EB2" w:rsidRDefault="00000000" w:rsidP="007D7EB2">
            <w:pPr>
              <w:spacing w:after="0" w:line="240" w:lineRule="auto"/>
              <w:jc w:val="right"/>
              <w:rPr>
                <w:rFonts w:ascii="Calibri" w:eastAsia="Times New Roman" w:hAnsi="Calibri" w:cs="Calibri"/>
                <w:color w:val="000000"/>
                <w:kern w:val="0"/>
                <w:sz w:val="22"/>
                <w:lang w:val="en-US"/>
                <w14:ligatures w14:val="none"/>
              </w:rPr>
            </w:pPr>
            <w:r w:rsidRPr="007D7EB2">
              <w:rPr>
                <w:rFonts w:ascii="Calibri" w:eastAsia="Times New Roman" w:hAnsi="Calibri" w:cs="Calibri"/>
                <w:color w:val="000000"/>
                <w:kern w:val="0"/>
                <w:sz w:val="22"/>
                <w:lang w:val="en-US"/>
                <w14:ligatures w14:val="none"/>
              </w:rPr>
              <w:t>613000</w:t>
            </w:r>
          </w:p>
        </w:tc>
      </w:tr>
    </w:tbl>
    <w:p w14:paraId="29265432" w14:textId="77777777" w:rsidR="00E2475B" w:rsidRPr="00E2475B" w:rsidRDefault="00E2475B" w:rsidP="00E2475B">
      <w:pPr>
        <w:jc w:val="center"/>
      </w:pPr>
    </w:p>
    <w:p w14:paraId="009907DC" w14:textId="537035F6" w:rsidR="00C85AA7" w:rsidRDefault="00000000" w:rsidP="00C85AA7">
      <w:pPr>
        <w:rPr>
          <w:b/>
          <w:bCs/>
          <w:i/>
          <w:iCs/>
          <w:lang w:bidi="th-TH"/>
        </w:rPr>
      </w:pPr>
      <w:r>
        <w:rPr>
          <w:b/>
          <w:bCs/>
          <w:i/>
          <w:iCs/>
          <w:lang w:bidi="th-TH"/>
        </w:rPr>
        <w:t>Interpretation</w:t>
      </w:r>
    </w:p>
    <w:p w14:paraId="353CBF61" w14:textId="6056C4EA" w:rsidR="00C613FF" w:rsidRDefault="00C613FF" w:rsidP="00C85AA7">
      <w:pPr>
        <w:rPr>
          <w:lang w:bidi="th-TH"/>
        </w:rPr>
      </w:pPr>
      <w:r w:rsidRPr="00C613FF">
        <w:rPr>
          <w:lang w:bidi="th-TH"/>
        </w:rPr>
        <w:t>Wales plc's income statement for the fiscal year ending December 31, 2022</w:t>
      </w:r>
      <w:r w:rsidR="00EA0544">
        <w:rPr>
          <w:lang w:bidi="th-TH"/>
        </w:rPr>
        <w:t>,</w:t>
      </w:r>
      <w:r w:rsidRPr="00C613FF">
        <w:rPr>
          <w:lang w:bidi="th-TH"/>
        </w:rPr>
        <w:t xml:space="preserve"> demonstrates a great financial performance. Sales </w:t>
      </w:r>
      <w:r w:rsidR="00EA0544">
        <w:rPr>
          <w:lang w:bidi="th-TH"/>
        </w:rPr>
        <w:t>totalled</w:t>
      </w:r>
      <w:r w:rsidRPr="00C613FF">
        <w:rPr>
          <w:lang w:bidi="th-TH"/>
        </w:rPr>
        <w:t xml:space="preserve"> £900,000 over the </w:t>
      </w:r>
      <w:r w:rsidR="00EA0544">
        <w:rPr>
          <w:lang w:bidi="th-TH"/>
        </w:rPr>
        <w:t>period</w:t>
      </w:r>
      <w:r w:rsidRPr="00C613FF">
        <w:rPr>
          <w:lang w:bidi="th-TH"/>
        </w:rPr>
        <w:t>. Deducting the cost of goods sold (COGS), which includes 10% equipment depreciation, yielded a gross profit of £835,000. The operating costs came to £205,000. Interest payments, director's salaries, distribution charges, and administrative expenses were among them. This equated to a profit before tax of £630,000. With an annual tax liability of £15,000, the net profit is £613,000.</w:t>
      </w:r>
    </w:p>
    <w:p w14:paraId="3D5F15FD" w14:textId="6AB20F87" w:rsidR="00185191" w:rsidRPr="00156B37" w:rsidRDefault="00C613FF" w:rsidP="00723DC2">
      <w:pPr>
        <w:rPr>
          <w:rFonts w:cs="Times New Roman"/>
          <w:color w:val="222222"/>
          <w:szCs w:val="24"/>
          <w:shd w:val="clear" w:color="auto" w:fill="FFFFFF"/>
        </w:rPr>
      </w:pPr>
      <w:r w:rsidRPr="00C613FF">
        <w:rPr>
          <w:lang w:bidi="th-TH"/>
        </w:rPr>
        <w:t xml:space="preserve">This financial summary illustrates the company's ability to bring in money, keep spending under control, and turn a profit, indicating its soundness and stability at the end of the fiscal year. </w:t>
      </w:r>
      <w:r w:rsidRPr="00C613FF">
        <w:rPr>
          <w:lang w:bidi="th-TH"/>
        </w:rPr>
        <w:lastRenderedPageBreak/>
        <w:t>Incorporating predicted taxes and meticulously accounting for various expenses contributes to a thorough picture of the business's financial performance</w:t>
      </w:r>
      <w:r w:rsidR="00156B37">
        <w:rPr>
          <w:lang w:bidi="th-TH"/>
        </w:rPr>
        <w:t xml:space="preserve"> </w:t>
      </w:r>
      <w:r w:rsidR="00156B37">
        <w:rPr>
          <w:rFonts w:cs="Times New Roman"/>
          <w:color w:val="222222"/>
          <w:szCs w:val="24"/>
          <w:shd w:val="clear" w:color="auto" w:fill="FFFFFF"/>
        </w:rPr>
        <w:t>(</w:t>
      </w:r>
      <w:proofErr w:type="spellStart"/>
      <w:r w:rsidR="00156B37" w:rsidRPr="00201F31">
        <w:rPr>
          <w:rFonts w:cs="Times New Roman"/>
          <w:color w:val="222222"/>
          <w:szCs w:val="24"/>
          <w:shd w:val="clear" w:color="auto" w:fill="FFFFFF"/>
        </w:rPr>
        <w:t>Pretell</w:t>
      </w:r>
      <w:proofErr w:type="spellEnd"/>
      <w:r w:rsidR="00AF5049">
        <w:rPr>
          <w:rFonts w:cs="Times New Roman"/>
          <w:color w:val="222222"/>
          <w:szCs w:val="24"/>
          <w:shd w:val="clear" w:color="auto" w:fill="FFFFFF"/>
        </w:rPr>
        <w:t xml:space="preserve"> et al.</w:t>
      </w:r>
      <w:r w:rsidR="00156B37" w:rsidRPr="00201F31">
        <w:rPr>
          <w:rFonts w:cs="Times New Roman"/>
          <w:color w:val="222222"/>
          <w:szCs w:val="24"/>
          <w:shd w:val="clear" w:color="auto" w:fill="FFFFFF"/>
        </w:rPr>
        <w:t xml:space="preserve">, </w:t>
      </w:r>
      <w:r w:rsidR="00156B37" w:rsidRPr="00F15D29">
        <w:rPr>
          <w:rFonts w:cs="Times New Roman"/>
          <w:color w:val="222222"/>
          <w:szCs w:val="24"/>
          <w:shd w:val="clear" w:color="auto" w:fill="FFFFFF"/>
        </w:rPr>
        <w:t>2023</w:t>
      </w:r>
      <w:r w:rsidR="00156B37">
        <w:rPr>
          <w:rFonts w:cs="Times New Roman"/>
          <w:color w:val="222222"/>
          <w:szCs w:val="24"/>
          <w:shd w:val="clear" w:color="auto" w:fill="FFFFFF"/>
        </w:rPr>
        <w:t>).</w:t>
      </w:r>
      <w:r>
        <w:rPr>
          <w:lang w:bidi="th-TH"/>
        </w:rPr>
        <w:br w:type="page"/>
      </w:r>
    </w:p>
    <w:p w14:paraId="5BE1B9B6" w14:textId="611CB879" w:rsidR="000E5B11" w:rsidRDefault="00000000" w:rsidP="003F47C7">
      <w:pPr>
        <w:pStyle w:val="Heading1"/>
        <w:rPr>
          <w:lang w:val="en-US"/>
        </w:rPr>
      </w:pPr>
      <w:bookmarkStart w:id="4" w:name="_Toc152264393"/>
      <w:r>
        <w:lastRenderedPageBreak/>
        <w:t>Question 3</w:t>
      </w:r>
      <w:r w:rsidR="005D6700">
        <w:t xml:space="preserve">- </w:t>
      </w:r>
      <w:r w:rsidR="00C613FF" w:rsidRPr="00C613FF">
        <w:t>Financial ratio preparation and interpretation</w:t>
      </w:r>
      <w:bookmarkEnd w:id="4"/>
    </w:p>
    <w:p w14:paraId="1D4FA9F1" w14:textId="47540F36" w:rsidR="00B007F0" w:rsidRDefault="00C613FF" w:rsidP="00B007F0">
      <w:pPr>
        <w:pStyle w:val="Heading2"/>
        <w:rPr>
          <w:color w:val="0D0D0D" w:themeColor="text1" w:themeTint="F2"/>
          <w:szCs w:val="26"/>
          <w:lang w:val="en-US"/>
        </w:rPr>
      </w:pPr>
      <w:bookmarkStart w:id="5" w:name="_Toc152264394"/>
      <w:r w:rsidRPr="00C613FF">
        <w:rPr>
          <w:color w:val="0D0D0D" w:themeColor="text1" w:themeTint="F2"/>
          <w:szCs w:val="26"/>
          <w:lang w:val="en-US"/>
        </w:rPr>
        <w:t>Sweets plc financial ratios calculated for the years 2022 and 2021</w:t>
      </w:r>
      <w:bookmarkEnd w:id="5"/>
    </w:p>
    <w:tbl>
      <w:tblPr>
        <w:tblStyle w:val="ListTable7Colorful-Accent6"/>
        <w:tblW w:w="0" w:type="auto"/>
        <w:jc w:val="center"/>
        <w:shd w:val="clear" w:color="auto" w:fill="DEEAF6" w:themeFill="accent5" w:themeFillTint="33"/>
        <w:tblLook w:val="04A0" w:firstRow="1" w:lastRow="0" w:firstColumn="1" w:lastColumn="0" w:noHBand="0" w:noVBand="1"/>
      </w:tblPr>
      <w:tblGrid>
        <w:gridCol w:w="4109"/>
        <w:gridCol w:w="1056"/>
        <w:gridCol w:w="996"/>
      </w:tblGrid>
      <w:tr w:rsidR="00F16806" w14:paraId="27B2BE9A"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0" w:type="auto"/>
            <w:gridSpan w:val="3"/>
            <w:tcBorders>
              <w:top w:val="nil"/>
              <w:left w:val="nil"/>
            </w:tcBorders>
            <w:shd w:val="clear" w:color="auto" w:fill="DEEAF6" w:themeFill="accent5" w:themeFillTint="33"/>
            <w:hideMark/>
          </w:tcPr>
          <w:p w14:paraId="14374730" w14:textId="77777777" w:rsidR="00B007F0" w:rsidRDefault="00000000">
            <w:pPr>
              <w:jc w:val="center"/>
              <w:rPr>
                <w:rFonts w:eastAsia="Times New Roman" w:cs="Times New Roman"/>
              </w:rPr>
            </w:pPr>
            <w:r>
              <w:rPr>
                <w:rFonts w:eastAsia="Times New Roman" w:cs="Times New Roman"/>
                <w:color w:val="000000"/>
                <w:shd w:val="clear" w:color="auto" w:fill="DAEEF3"/>
              </w:rPr>
              <w:t>Calculation of Return on capital employed (ROCE)</w:t>
            </w:r>
          </w:p>
        </w:tc>
      </w:tr>
      <w:tr w:rsidR="00F16806" w14:paraId="6361F70F"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F46DC56" w14:textId="77777777" w:rsidR="00B007F0" w:rsidRDefault="00000000">
            <w:pPr>
              <w:jc w:val="center"/>
              <w:rPr>
                <w:rFonts w:eastAsia="Times New Roman" w:cs="Times New Roman"/>
              </w:rPr>
            </w:pPr>
            <w:r>
              <w:rPr>
                <w:rFonts w:eastAsia="Times New Roman" w:cs="Times New Roman"/>
                <w:color w:val="000000"/>
              </w:rPr>
              <w:t>Particulars </w:t>
            </w:r>
          </w:p>
        </w:tc>
        <w:tc>
          <w:tcPr>
            <w:tcW w:w="0" w:type="auto"/>
            <w:shd w:val="clear" w:color="auto" w:fill="DEEAF6" w:themeFill="accent5" w:themeFillTint="33"/>
            <w:hideMark/>
          </w:tcPr>
          <w:p w14:paraId="2C7F802C" w14:textId="2B0B963B"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2022 </w:t>
            </w:r>
          </w:p>
        </w:tc>
        <w:tc>
          <w:tcPr>
            <w:tcW w:w="0" w:type="auto"/>
            <w:shd w:val="clear" w:color="auto" w:fill="DEEAF6" w:themeFill="accent5" w:themeFillTint="33"/>
            <w:hideMark/>
          </w:tcPr>
          <w:p w14:paraId="3264E2EA" w14:textId="6BF8FA6A"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2021</w:t>
            </w:r>
          </w:p>
        </w:tc>
      </w:tr>
      <w:tr w:rsidR="00F16806" w14:paraId="4F52C6F6"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404FE24D" w14:textId="77777777" w:rsidR="00B007F0" w:rsidRDefault="00000000">
            <w:pPr>
              <w:jc w:val="center"/>
              <w:rPr>
                <w:rFonts w:eastAsia="Times New Roman" w:cs="Times New Roman"/>
              </w:rPr>
            </w:pPr>
            <w:r>
              <w:rPr>
                <w:rFonts w:eastAsia="Times New Roman" w:cs="Times New Roman"/>
                <w:color w:val="000000"/>
              </w:rPr>
              <w:t>Earnings before interest and tax (EBIT) </w:t>
            </w:r>
          </w:p>
        </w:tc>
        <w:tc>
          <w:tcPr>
            <w:tcW w:w="0" w:type="auto"/>
            <w:shd w:val="clear" w:color="auto" w:fill="DEEAF6" w:themeFill="accent5" w:themeFillTint="33"/>
            <w:hideMark/>
          </w:tcPr>
          <w:p w14:paraId="53A9745F"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color w:val="000000"/>
              </w:rPr>
              <w:t>805 </w:t>
            </w:r>
          </w:p>
        </w:tc>
        <w:tc>
          <w:tcPr>
            <w:tcW w:w="0" w:type="auto"/>
            <w:shd w:val="clear" w:color="auto" w:fill="DEEAF6" w:themeFill="accent5" w:themeFillTint="33"/>
            <w:hideMark/>
          </w:tcPr>
          <w:p w14:paraId="26E23688"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color w:val="000000"/>
              </w:rPr>
              <w:t>699</w:t>
            </w:r>
          </w:p>
        </w:tc>
      </w:tr>
      <w:tr w:rsidR="00F16806" w14:paraId="1672BE19"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35A7B71D" w14:textId="77777777" w:rsidR="00B007F0" w:rsidRDefault="00000000">
            <w:pPr>
              <w:jc w:val="center"/>
              <w:rPr>
                <w:rFonts w:eastAsia="Times New Roman" w:cs="Times New Roman"/>
              </w:rPr>
            </w:pPr>
            <w:r>
              <w:rPr>
                <w:rFonts w:eastAsia="Times New Roman" w:cs="Times New Roman"/>
                <w:color w:val="000000"/>
              </w:rPr>
              <w:t>Total Asset </w:t>
            </w:r>
          </w:p>
        </w:tc>
        <w:tc>
          <w:tcPr>
            <w:tcW w:w="0" w:type="auto"/>
            <w:shd w:val="clear" w:color="auto" w:fill="DEEAF6" w:themeFill="accent5" w:themeFillTint="33"/>
            <w:hideMark/>
          </w:tcPr>
          <w:p w14:paraId="7E28B503"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9,736 </w:t>
            </w:r>
          </w:p>
        </w:tc>
        <w:tc>
          <w:tcPr>
            <w:tcW w:w="0" w:type="auto"/>
            <w:shd w:val="clear" w:color="auto" w:fill="DEEAF6" w:themeFill="accent5" w:themeFillTint="33"/>
            <w:hideMark/>
          </w:tcPr>
          <w:p w14:paraId="7AB5405A"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10,087</w:t>
            </w:r>
          </w:p>
        </w:tc>
      </w:tr>
      <w:tr w:rsidR="00F16806" w14:paraId="2B1AD6A8"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4AF3933B" w14:textId="77777777" w:rsidR="00B007F0" w:rsidRDefault="00000000">
            <w:pPr>
              <w:jc w:val="center"/>
              <w:rPr>
                <w:rFonts w:eastAsia="Times New Roman" w:cs="Times New Roman"/>
              </w:rPr>
            </w:pPr>
            <w:r>
              <w:rPr>
                <w:rFonts w:eastAsia="Times New Roman" w:cs="Times New Roman"/>
                <w:color w:val="000000"/>
              </w:rPr>
              <w:t>Current liabilities </w:t>
            </w:r>
          </w:p>
        </w:tc>
        <w:tc>
          <w:tcPr>
            <w:tcW w:w="0" w:type="auto"/>
            <w:shd w:val="clear" w:color="auto" w:fill="DEEAF6" w:themeFill="accent5" w:themeFillTint="33"/>
            <w:hideMark/>
          </w:tcPr>
          <w:p w14:paraId="7D642994"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color w:val="000000"/>
              </w:rPr>
              <w:t>2,511 </w:t>
            </w:r>
          </w:p>
        </w:tc>
        <w:tc>
          <w:tcPr>
            <w:tcW w:w="0" w:type="auto"/>
            <w:shd w:val="clear" w:color="auto" w:fill="DEEAF6" w:themeFill="accent5" w:themeFillTint="33"/>
            <w:hideMark/>
          </w:tcPr>
          <w:p w14:paraId="069C093B"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color w:val="000000"/>
              </w:rPr>
              <w:t>3,046</w:t>
            </w:r>
          </w:p>
        </w:tc>
      </w:tr>
      <w:tr w:rsidR="00F16806" w14:paraId="390A8221"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3FA9A3AD" w14:textId="77777777" w:rsidR="00B007F0" w:rsidRDefault="00000000">
            <w:pPr>
              <w:jc w:val="center"/>
              <w:rPr>
                <w:rFonts w:eastAsia="Times New Roman" w:cs="Times New Roman"/>
              </w:rPr>
            </w:pPr>
            <w:r>
              <w:rPr>
                <w:rFonts w:eastAsia="Times New Roman" w:cs="Times New Roman"/>
                <w:color w:val="000000"/>
              </w:rPr>
              <w:t>Capital employed </w:t>
            </w:r>
          </w:p>
        </w:tc>
        <w:tc>
          <w:tcPr>
            <w:tcW w:w="0" w:type="auto"/>
            <w:shd w:val="clear" w:color="auto" w:fill="DEEAF6" w:themeFill="accent5" w:themeFillTint="33"/>
            <w:hideMark/>
          </w:tcPr>
          <w:p w14:paraId="69F909F9"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7,225 </w:t>
            </w:r>
          </w:p>
        </w:tc>
        <w:tc>
          <w:tcPr>
            <w:tcW w:w="0" w:type="auto"/>
            <w:shd w:val="clear" w:color="auto" w:fill="DEEAF6" w:themeFill="accent5" w:themeFillTint="33"/>
            <w:hideMark/>
          </w:tcPr>
          <w:p w14:paraId="12008567"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7,041</w:t>
            </w:r>
          </w:p>
        </w:tc>
      </w:tr>
      <w:tr w:rsidR="00F16806" w14:paraId="38FDE7C4"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632F114A" w14:textId="77777777" w:rsidR="00B007F0" w:rsidRDefault="00000000">
            <w:pPr>
              <w:jc w:val="center"/>
              <w:rPr>
                <w:rFonts w:eastAsia="Times New Roman" w:cs="Times New Roman"/>
              </w:rPr>
            </w:pPr>
            <w:r>
              <w:rPr>
                <w:rFonts w:eastAsia="Times New Roman" w:cs="Times New Roman"/>
                <w:color w:val="000000"/>
              </w:rPr>
              <w:t>ROCE= EBIT/ Capital employed </w:t>
            </w:r>
          </w:p>
        </w:tc>
        <w:tc>
          <w:tcPr>
            <w:tcW w:w="0" w:type="auto"/>
            <w:shd w:val="clear" w:color="auto" w:fill="DEEAF6" w:themeFill="accent5" w:themeFillTint="33"/>
            <w:hideMark/>
          </w:tcPr>
          <w:p w14:paraId="1FB733E7"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color w:val="000000"/>
              </w:rPr>
              <w:t>11.1419 </w:t>
            </w:r>
          </w:p>
        </w:tc>
        <w:tc>
          <w:tcPr>
            <w:tcW w:w="0" w:type="auto"/>
            <w:shd w:val="clear" w:color="auto" w:fill="DEEAF6" w:themeFill="accent5" w:themeFillTint="33"/>
            <w:hideMark/>
          </w:tcPr>
          <w:p w14:paraId="524EED99"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color w:val="000000"/>
              </w:rPr>
              <w:t>9.92757</w:t>
            </w:r>
          </w:p>
        </w:tc>
      </w:tr>
    </w:tbl>
    <w:p w14:paraId="7FB1143B" w14:textId="77777777" w:rsidR="00B007F0" w:rsidRDefault="00B007F0" w:rsidP="00B007F0">
      <w:pPr>
        <w:rPr>
          <w:rFonts w:eastAsia="Calibri" w:cs="Calibri"/>
          <w:b/>
          <w:bCs/>
          <w:lang w:eastAsia="en-GB"/>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4024"/>
        <w:gridCol w:w="1102"/>
        <w:gridCol w:w="696"/>
      </w:tblGrid>
      <w:tr w:rsidR="00F16806" w14:paraId="16B1B1A9"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0" w:type="auto"/>
            <w:gridSpan w:val="3"/>
            <w:tcBorders>
              <w:top w:val="nil"/>
              <w:left w:val="nil"/>
            </w:tcBorders>
            <w:shd w:val="clear" w:color="auto" w:fill="DEEAF6" w:themeFill="accent5" w:themeFillTint="33"/>
            <w:hideMark/>
          </w:tcPr>
          <w:p w14:paraId="476206F5" w14:textId="77777777" w:rsidR="00B007F0" w:rsidRPr="00B007F0" w:rsidRDefault="00000000">
            <w:pPr>
              <w:jc w:val="center"/>
              <w:rPr>
                <w:rFonts w:eastAsia="Times New Roman" w:cs="Times New Roman"/>
                <w:i w:val="0"/>
                <w:iCs w:val="0"/>
              </w:rPr>
            </w:pPr>
            <w:r w:rsidRPr="00B007F0">
              <w:rPr>
                <w:rFonts w:eastAsia="Times New Roman" w:cs="Times New Roman"/>
                <w:color w:val="000000"/>
                <w:shd w:val="clear" w:color="auto" w:fill="DAEEF3"/>
              </w:rPr>
              <w:t>Calculation of Return on equity (ROE)</w:t>
            </w:r>
          </w:p>
        </w:tc>
      </w:tr>
      <w:tr w:rsidR="00F16806" w14:paraId="23A5F41A"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39F94CE7" w14:textId="77777777" w:rsidR="00B007F0" w:rsidRDefault="00000000">
            <w:pPr>
              <w:jc w:val="center"/>
              <w:rPr>
                <w:rFonts w:eastAsia="Times New Roman" w:cs="Times New Roman"/>
              </w:rPr>
            </w:pPr>
            <w:r>
              <w:rPr>
                <w:rFonts w:eastAsia="Times New Roman" w:cs="Times New Roman"/>
                <w:color w:val="000000"/>
              </w:rPr>
              <w:t>Particulars </w:t>
            </w:r>
          </w:p>
        </w:tc>
        <w:tc>
          <w:tcPr>
            <w:tcW w:w="0" w:type="auto"/>
            <w:shd w:val="clear" w:color="auto" w:fill="DEEAF6" w:themeFill="accent5" w:themeFillTint="33"/>
            <w:hideMark/>
          </w:tcPr>
          <w:p w14:paraId="2C080FB6" w14:textId="5694B1AA"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2022 </w:t>
            </w:r>
          </w:p>
        </w:tc>
        <w:tc>
          <w:tcPr>
            <w:tcW w:w="0" w:type="auto"/>
            <w:shd w:val="clear" w:color="auto" w:fill="DEEAF6" w:themeFill="accent5" w:themeFillTint="33"/>
            <w:hideMark/>
          </w:tcPr>
          <w:p w14:paraId="4C4F9222" w14:textId="143007CA"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2021</w:t>
            </w:r>
          </w:p>
        </w:tc>
      </w:tr>
      <w:tr w:rsidR="00F16806" w14:paraId="6E140DD9"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30924371" w14:textId="77777777" w:rsidR="00B007F0" w:rsidRDefault="00000000">
            <w:pPr>
              <w:jc w:val="center"/>
              <w:rPr>
                <w:rFonts w:eastAsia="Times New Roman" w:cs="Times New Roman"/>
              </w:rPr>
            </w:pPr>
            <w:r>
              <w:rPr>
                <w:rFonts w:eastAsia="Times New Roman" w:cs="Times New Roman"/>
                <w:color w:val="000000"/>
              </w:rPr>
              <w:t>Net income </w:t>
            </w:r>
          </w:p>
        </w:tc>
        <w:tc>
          <w:tcPr>
            <w:tcW w:w="0" w:type="auto"/>
            <w:shd w:val="clear" w:color="auto" w:fill="DEEAF6" w:themeFill="accent5" w:themeFillTint="33"/>
            <w:hideMark/>
          </w:tcPr>
          <w:p w14:paraId="76321027"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431 </w:t>
            </w:r>
          </w:p>
        </w:tc>
        <w:tc>
          <w:tcPr>
            <w:tcW w:w="0" w:type="auto"/>
            <w:shd w:val="clear" w:color="auto" w:fill="DEEAF6" w:themeFill="accent5" w:themeFillTint="33"/>
            <w:hideMark/>
          </w:tcPr>
          <w:p w14:paraId="79A29AA8"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366</w:t>
            </w:r>
          </w:p>
        </w:tc>
      </w:tr>
      <w:tr w:rsidR="00F16806" w14:paraId="2CA27F2C"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1264308D" w14:textId="77777777" w:rsidR="00B007F0" w:rsidRDefault="00000000">
            <w:pPr>
              <w:jc w:val="center"/>
              <w:rPr>
                <w:rFonts w:eastAsia="Times New Roman" w:cs="Times New Roman"/>
              </w:rPr>
            </w:pPr>
            <w:r>
              <w:rPr>
                <w:rFonts w:eastAsia="Times New Roman" w:cs="Times New Roman"/>
                <w:color w:val="000000"/>
              </w:rPr>
              <w:t>Shareholders’ equity </w:t>
            </w:r>
          </w:p>
        </w:tc>
        <w:tc>
          <w:tcPr>
            <w:tcW w:w="0" w:type="auto"/>
            <w:shd w:val="clear" w:color="auto" w:fill="DEEAF6" w:themeFill="accent5" w:themeFillTint="33"/>
            <w:hideMark/>
          </w:tcPr>
          <w:p w14:paraId="28A7484C"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000000"/>
                <w:sz w:val="22"/>
              </w:rPr>
              <w:t>300 </w:t>
            </w:r>
          </w:p>
        </w:tc>
        <w:tc>
          <w:tcPr>
            <w:tcW w:w="0" w:type="auto"/>
            <w:shd w:val="clear" w:color="auto" w:fill="DEEAF6" w:themeFill="accent5" w:themeFillTint="33"/>
            <w:hideMark/>
          </w:tcPr>
          <w:p w14:paraId="348D527E"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000000"/>
                <w:sz w:val="22"/>
              </w:rPr>
              <w:t>300</w:t>
            </w:r>
          </w:p>
        </w:tc>
      </w:tr>
      <w:tr w:rsidR="00F16806" w14:paraId="74E01502"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70F574D4" w14:textId="77777777" w:rsidR="00B007F0" w:rsidRDefault="00000000">
            <w:pPr>
              <w:jc w:val="center"/>
              <w:rPr>
                <w:rFonts w:eastAsia="Times New Roman" w:cs="Times New Roman"/>
              </w:rPr>
            </w:pPr>
            <w:r>
              <w:rPr>
                <w:rFonts w:eastAsia="Times New Roman" w:cs="Times New Roman"/>
                <w:color w:val="000000"/>
              </w:rPr>
              <w:t xml:space="preserve">ROE= Net income/Shareholders Equity </w:t>
            </w:r>
          </w:p>
        </w:tc>
        <w:tc>
          <w:tcPr>
            <w:tcW w:w="0" w:type="auto"/>
            <w:shd w:val="clear" w:color="auto" w:fill="DEEAF6" w:themeFill="accent5" w:themeFillTint="33"/>
            <w:hideMark/>
          </w:tcPr>
          <w:p w14:paraId="138FCB8D"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1.436667 </w:t>
            </w:r>
          </w:p>
        </w:tc>
        <w:tc>
          <w:tcPr>
            <w:tcW w:w="0" w:type="auto"/>
            <w:shd w:val="clear" w:color="auto" w:fill="DEEAF6" w:themeFill="accent5" w:themeFillTint="33"/>
            <w:hideMark/>
          </w:tcPr>
          <w:p w14:paraId="0E808E4F"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1.22</w:t>
            </w:r>
          </w:p>
        </w:tc>
      </w:tr>
    </w:tbl>
    <w:p w14:paraId="5392E34A" w14:textId="77777777" w:rsidR="00B007F0" w:rsidRDefault="00B007F0" w:rsidP="00B007F0">
      <w:pPr>
        <w:rPr>
          <w:rFonts w:eastAsia="Calibri" w:cs="Calibri"/>
          <w:b/>
          <w:bCs/>
          <w:lang w:eastAsia="en-GB"/>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4804"/>
        <w:gridCol w:w="1132"/>
        <w:gridCol w:w="1053"/>
      </w:tblGrid>
      <w:tr w:rsidR="00F16806" w14:paraId="6D603623"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0" w:type="auto"/>
            <w:gridSpan w:val="3"/>
            <w:tcBorders>
              <w:top w:val="nil"/>
              <w:left w:val="nil"/>
            </w:tcBorders>
            <w:shd w:val="clear" w:color="auto" w:fill="DEEAF6" w:themeFill="accent5" w:themeFillTint="33"/>
            <w:hideMark/>
          </w:tcPr>
          <w:p w14:paraId="45266792" w14:textId="77777777" w:rsidR="00B007F0" w:rsidRPr="00B007F0" w:rsidRDefault="00000000">
            <w:pPr>
              <w:jc w:val="center"/>
              <w:rPr>
                <w:rFonts w:eastAsia="Times New Roman" w:cs="Times New Roman"/>
                <w:i w:val="0"/>
                <w:iCs w:val="0"/>
              </w:rPr>
            </w:pPr>
            <w:r w:rsidRPr="00B007F0">
              <w:rPr>
                <w:rFonts w:eastAsia="Times New Roman" w:cs="Times New Roman"/>
                <w:color w:val="auto"/>
                <w:shd w:val="clear" w:color="auto" w:fill="DAEEF3"/>
              </w:rPr>
              <w:t>Calculation of Earning per share</w:t>
            </w:r>
          </w:p>
        </w:tc>
      </w:tr>
      <w:tr w:rsidR="00F16806" w14:paraId="6C4DBB59"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1F09BE59" w14:textId="77777777" w:rsidR="00B007F0" w:rsidRDefault="00000000">
            <w:pPr>
              <w:jc w:val="center"/>
              <w:rPr>
                <w:rFonts w:eastAsia="Times New Roman" w:cs="Times New Roman"/>
              </w:rPr>
            </w:pPr>
            <w:r>
              <w:rPr>
                <w:rFonts w:eastAsia="Times New Roman" w:cs="Times New Roman"/>
                <w:color w:val="auto"/>
              </w:rPr>
              <w:t>Particulars </w:t>
            </w:r>
          </w:p>
        </w:tc>
        <w:tc>
          <w:tcPr>
            <w:tcW w:w="0" w:type="auto"/>
            <w:shd w:val="clear" w:color="auto" w:fill="DEEAF6" w:themeFill="accent5" w:themeFillTint="33"/>
            <w:hideMark/>
          </w:tcPr>
          <w:p w14:paraId="53D829E2" w14:textId="6465EA7A"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2022 </w:t>
            </w:r>
          </w:p>
        </w:tc>
        <w:tc>
          <w:tcPr>
            <w:tcW w:w="0" w:type="auto"/>
            <w:shd w:val="clear" w:color="auto" w:fill="DEEAF6" w:themeFill="accent5" w:themeFillTint="33"/>
            <w:hideMark/>
          </w:tcPr>
          <w:p w14:paraId="26CB9CDE" w14:textId="3FC44192"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2021</w:t>
            </w:r>
          </w:p>
        </w:tc>
      </w:tr>
      <w:tr w:rsidR="00F16806" w14:paraId="6387D915"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7D194934" w14:textId="77777777" w:rsidR="00B007F0" w:rsidRDefault="00000000">
            <w:pPr>
              <w:jc w:val="center"/>
              <w:rPr>
                <w:rFonts w:eastAsia="Times New Roman" w:cs="Times New Roman"/>
              </w:rPr>
            </w:pPr>
            <w:r>
              <w:rPr>
                <w:rFonts w:eastAsia="Times New Roman" w:cs="Times New Roman"/>
                <w:color w:val="auto"/>
              </w:rPr>
              <w:t>Net income </w:t>
            </w:r>
          </w:p>
        </w:tc>
        <w:tc>
          <w:tcPr>
            <w:tcW w:w="0" w:type="auto"/>
            <w:shd w:val="clear" w:color="auto" w:fill="DEEAF6" w:themeFill="accent5" w:themeFillTint="33"/>
            <w:hideMark/>
          </w:tcPr>
          <w:p w14:paraId="4E1A441B" w14:textId="77777777" w:rsidR="00B007F0" w:rsidRDefault="00000000">
            <w:pPr>
              <w:ind w:right="29"/>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431 </w:t>
            </w:r>
          </w:p>
        </w:tc>
        <w:tc>
          <w:tcPr>
            <w:tcW w:w="0" w:type="auto"/>
            <w:shd w:val="clear" w:color="auto" w:fill="DEEAF6" w:themeFill="accent5" w:themeFillTint="33"/>
            <w:hideMark/>
          </w:tcPr>
          <w:p w14:paraId="60B38F28" w14:textId="77777777" w:rsidR="00B007F0" w:rsidRDefault="00000000">
            <w:pPr>
              <w:ind w:right="39"/>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366</w:t>
            </w:r>
          </w:p>
        </w:tc>
      </w:tr>
      <w:tr w:rsidR="00F16806" w14:paraId="455E84C8"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6D9FD584" w14:textId="77777777" w:rsidR="00B007F0" w:rsidRDefault="00000000">
            <w:pPr>
              <w:jc w:val="center"/>
              <w:rPr>
                <w:rFonts w:eastAsia="Times New Roman" w:cs="Times New Roman"/>
              </w:rPr>
            </w:pPr>
            <w:r>
              <w:rPr>
                <w:rFonts w:eastAsia="Times New Roman" w:cs="Times New Roman"/>
                <w:color w:val="auto"/>
              </w:rPr>
              <w:t>Outstanding shares </w:t>
            </w:r>
          </w:p>
        </w:tc>
        <w:tc>
          <w:tcPr>
            <w:tcW w:w="0" w:type="auto"/>
            <w:shd w:val="clear" w:color="auto" w:fill="DEEAF6" w:themeFill="accent5" w:themeFillTint="33"/>
            <w:hideMark/>
          </w:tcPr>
          <w:p w14:paraId="27CF0F75" w14:textId="77777777" w:rsidR="00B007F0" w:rsidRDefault="00000000">
            <w:pPr>
              <w:ind w:right="29"/>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300 </w:t>
            </w:r>
          </w:p>
        </w:tc>
        <w:tc>
          <w:tcPr>
            <w:tcW w:w="0" w:type="auto"/>
            <w:shd w:val="clear" w:color="auto" w:fill="DEEAF6" w:themeFill="accent5" w:themeFillTint="33"/>
            <w:hideMark/>
          </w:tcPr>
          <w:p w14:paraId="4D90C190" w14:textId="77777777" w:rsidR="00B007F0" w:rsidRDefault="00000000">
            <w:pPr>
              <w:ind w:right="38"/>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300</w:t>
            </w:r>
          </w:p>
        </w:tc>
      </w:tr>
      <w:tr w:rsidR="00F16806" w14:paraId="3979182C"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5618D3D5" w14:textId="77777777" w:rsidR="00B007F0" w:rsidRDefault="00000000">
            <w:pPr>
              <w:jc w:val="center"/>
              <w:rPr>
                <w:rFonts w:eastAsia="Times New Roman" w:cs="Times New Roman"/>
              </w:rPr>
            </w:pPr>
            <w:r>
              <w:rPr>
                <w:rFonts w:eastAsia="Times New Roman" w:cs="Times New Roman"/>
                <w:color w:val="auto"/>
              </w:rPr>
              <w:t>Average outstanding shares </w:t>
            </w:r>
          </w:p>
        </w:tc>
        <w:tc>
          <w:tcPr>
            <w:tcW w:w="0" w:type="auto"/>
            <w:shd w:val="clear" w:color="auto" w:fill="DEEAF6" w:themeFill="accent5" w:themeFillTint="33"/>
            <w:hideMark/>
          </w:tcPr>
          <w:p w14:paraId="118370CB" w14:textId="77777777" w:rsidR="00B007F0" w:rsidRDefault="00000000">
            <w:pPr>
              <w:ind w:right="29"/>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300 </w:t>
            </w:r>
          </w:p>
        </w:tc>
        <w:tc>
          <w:tcPr>
            <w:tcW w:w="0" w:type="auto"/>
            <w:shd w:val="clear" w:color="auto" w:fill="DEEAF6" w:themeFill="accent5" w:themeFillTint="33"/>
            <w:hideMark/>
          </w:tcPr>
          <w:p w14:paraId="7A8ACA20" w14:textId="77777777" w:rsidR="00B007F0" w:rsidRDefault="00000000">
            <w:pPr>
              <w:ind w:right="38"/>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150</w:t>
            </w:r>
          </w:p>
        </w:tc>
      </w:tr>
      <w:tr w:rsidR="00F16806" w14:paraId="5D3E4348" w14:textId="77777777" w:rsidTr="00F16806">
        <w:trPr>
          <w:cnfStyle w:val="000000100000" w:firstRow="0" w:lastRow="0" w:firstColumn="0" w:lastColumn="0" w:oddVBand="0" w:evenVBand="0" w:oddHBand="1" w:evenHBand="0" w:firstRowFirstColumn="0" w:firstRowLastColumn="0" w:lastRowFirstColumn="0" w:lastRowLastColumn="0"/>
          <w:trHeight w:val="810"/>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75A13536" w14:textId="77777777" w:rsidR="00B007F0" w:rsidRDefault="00000000">
            <w:pPr>
              <w:jc w:val="center"/>
              <w:rPr>
                <w:rFonts w:eastAsia="Times New Roman" w:cs="Times New Roman"/>
              </w:rPr>
            </w:pPr>
            <w:r>
              <w:rPr>
                <w:rFonts w:eastAsia="Times New Roman" w:cs="Times New Roman"/>
                <w:color w:val="auto"/>
              </w:rPr>
              <w:t>EPS= Net income/ Average outstanding shares </w:t>
            </w:r>
          </w:p>
        </w:tc>
        <w:tc>
          <w:tcPr>
            <w:tcW w:w="0" w:type="auto"/>
            <w:shd w:val="clear" w:color="auto" w:fill="DEEAF6" w:themeFill="accent5" w:themeFillTint="33"/>
            <w:hideMark/>
          </w:tcPr>
          <w:p w14:paraId="448341AB" w14:textId="77777777" w:rsidR="00B007F0" w:rsidRDefault="00000000">
            <w:pPr>
              <w:ind w:right="30"/>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1.436667 </w:t>
            </w:r>
          </w:p>
        </w:tc>
        <w:tc>
          <w:tcPr>
            <w:tcW w:w="0" w:type="auto"/>
            <w:shd w:val="clear" w:color="auto" w:fill="DEEAF6" w:themeFill="accent5" w:themeFillTint="33"/>
            <w:hideMark/>
          </w:tcPr>
          <w:p w14:paraId="7A7B0A12" w14:textId="77777777" w:rsidR="00B007F0" w:rsidRDefault="00000000">
            <w:pPr>
              <w:ind w:right="36"/>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2.44</w:t>
            </w:r>
          </w:p>
        </w:tc>
      </w:tr>
      <w:tr w:rsidR="00F16806" w14:paraId="2206BB46"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gridSpan w:val="3"/>
            <w:tcBorders>
              <w:top w:val="nil"/>
              <w:left w:val="nil"/>
              <w:bottom w:val="nil"/>
            </w:tcBorders>
            <w:shd w:val="clear" w:color="auto" w:fill="DEEAF6" w:themeFill="accent5" w:themeFillTint="33"/>
            <w:hideMark/>
          </w:tcPr>
          <w:p w14:paraId="38A80CFB" w14:textId="77777777" w:rsidR="00B007F0" w:rsidRDefault="00000000">
            <w:pPr>
              <w:jc w:val="center"/>
              <w:rPr>
                <w:rFonts w:cs="Calibri"/>
              </w:rPr>
            </w:pPr>
            <w:r>
              <w:rPr>
                <w:color w:val="auto"/>
                <w:shd w:val="clear" w:color="auto" w:fill="DAEEF3"/>
              </w:rPr>
              <w:lastRenderedPageBreak/>
              <w:t>Calculation of Net profit margin</w:t>
            </w:r>
          </w:p>
        </w:tc>
      </w:tr>
      <w:tr w:rsidR="00F16806" w14:paraId="6563509F"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774B27D8" w14:textId="77777777" w:rsidR="00B007F0" w:rsidRDefault="00000000">
            <w:pPr>
              <w:jc w:val="center"/>
              <w:rPr>
                <w:rFonts w:eastAsia="Times New Roman" w:cs="Times New Roman"/>
              </w:rPr>
            </w:pPr>
            <w:r>
              <w:rPr>
                <w:rFonts w:eastAsia="Times New Roman" w:cs="Times New Roman"/>
                <w:color w:val="auto"/>
              </w:rPr>
              <w:t>Particulars </w:t>
            </w:r>
          </w:p>
        </w:tc>
        <w:tc>
          <w:tcPr>
            <w:tcW w:w="0" w:type="auto"/>
            <w:shd w:val="clear" w:color="auto" w:fill="DEEAF6" w:themeFill="accent5" w:themeFillTint="33"/>
            <w:hideMark/>
          </w:tcPr>
          <w:p w14:paraId="19448B3F" w14:textId="121D48AE"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2022 </w:t>
            </w:r>
          </w:p>
        </w:tc>
        <w:tc>
          <w:tcPr>
            <w:tcW w:w="0" w:type="auto"/>
            <w:shd w:val="clear" w:color="auto" w:fill="DEEAF6" w:themeFill="accent5" w:themeFillTint="33"/>
            <w:hideMark/>
          </w:tcPr>
          <w:p w14:paraId="759EBA70" w14:textId="4BD7644E"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2021</w:t>
            </w:r>
          </w:p>
        </w:tc>
      </w:tr>
      <w:tr w:rsidR="00F16806" w14:paraId="09089DB2"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2E18E05E" w14:textId="77777777" w:rsidR="00B007F0" w:rsidRDefault="00000000">
            <w:pPr>
              <w:jc w:val="center"/>
              <w:rPr>
                <w:rFonts w:eastAsia="Times New Roman" w:cs="Times New Roman"/>
              </w:rPr>
            </w:pPr>
            <w:r>
              <w:rPr>
                <w:rFonts w:eastAsia="Times New Roman" w:cs="Times New Roman"/>
                <w:color w:val="auto"/>
              </w:rPr>
              <w:t>Net profit </w:t>
            </w:r>
          </w:p>
        </w:tc>
        <w:tc>
          <w:tcPr>
            <w:tcW w:w="0" w:type="auto"/>
            <w:shd w:val="clear" w:color="auto" w:fill="DEEAF6" w:themeFill="accent5" w:themeFillTint="33"/>
            <w:hideMark/>
          </w:tcPr>
          <w:p w14:paraId="0B64529D"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431 </w:t>
            </w:r>
          </w:p>
        </w:tc>
        <w:tc>
          <w:tcPr>
            <w:tcW w:w="0" w:type="auto"/>
            <w:shd w:val="clear" w:color="auto" w:fill="DEEAF6" w:themeFill="accent5" w:themeFillTint="33"/>
            <w:hideMark/>
          </w:tcPr>
          <w:p w14:paraId="22C20A0F"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366</w:t>
            </w:r>
          </w:p>
        </w:tc>
      </w:tr>
      <w:tr w:rsidR="00F16806" w14:paraId="47E3AD5C"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2A966AA4" w14:textId="77777777" w:rsidR="00B007F0" w:rsidRDefault="00000000">
            <w:pPr>
              <w:jc w:val="center"/>
              <w:rPr>
                <w:rFonts w:eastAsia="Times New Roman" w:cs="Times New Roman"/>
              </w:rPr>
            </w:pPr>
            <w:r>
              <w:rPr>
                <w:rFonts w:eastAsia="Times New Roman" w:cs="Times New Roman"/>
                <w:color w:val="auto"/>
              </w:rPr>
              <w:t>Total revenue </w:t>
            </w:r>
          </w:p>
        </w:tc>
        <w:tc>
          <w:tcPr>
            <w:tcW w:w="0" w:type="auto"/>
            <w:shd w:val="clear" w:color="auto" w:fill="DEEAF6" w:themeFill="accent5" w:themeFillTint="33"/>
            <w:hideMark/>
          </w:tcPr>
          <w:p w14:paraId="6785D929"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6738 </w:t>
            </w:r>
          </w:p>
        </w:tc>
        <w:tc>
          <w:tcPr>
            <w:tcW w:w="0" w:type="auto"/>
            <w:shd w:val="clear" w:color="auto" w:fill="DEEAF6" w:themeFill="accent5" w:themeFillTint="33"/>
            <w:hideMark/>
          </w:tcPr>
          <w:p w14:paraId="14E8F3F5"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6441</w:t>
            </w:r>
          </w:p>
        </w:tc>
      </w:tr>
      <w:tr w:rsidR="00F16806" w14:paraId="75F26BD2"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47E7479" w14:textId="77777777" w:rsidR="00B007F0" w:rsidRDefault="00000000">
            <w:pPr>
              <w:jc w:val="center"/>
              <w:rPr>
                <w:rFonts w:eastAsia="Times New Roman" w:cs="Times New Roman"/>
              </w:rPr>
            </w:pPr>
            <w:r>
              <w:rPr>
                <w:rFonts w:eastAsia="Times New Roman" w:cs="Times New Roman"/>
                <w:color w:val="auto"/>
              </w:rPr>
              <w:t>Net profit margin= (net profit /revenue) x 100 </w:t>
            </w:r>
          </w:p>
        </w:tc>
        <w:tc>
          <w:tcPr>
            <w:tcW w:w="0" w:type="auto"/>
            <w:shd w:val="clear" w:color="auto" w:fill="DEEAF6" w:themeFill="accent5" w:themeFillTint="33"/>
            <w:hideMark/>
          </w:tcPr>
          <w:p w14:paraId="0246F577"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6.396557 </w:t>
            </w:r>
          </w:p>
        </w:tc>
        <w:tc>
          <w:tcPr>
            <w:tcW w:w="0" w:type="auto"/>
            <w:shd w:val="clear" w:color="auto" w:fill="DEEAF6" w:themeFill="accent5" w:themeFillTint="33"/>
            <w:hideMark/>
          </w:tcPr>
          <w:p w14:paraId="77438FD9"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5.682347</w:t>
            </w:r>
          </w:p>
        </w:tc>
      </w:tr>
    </w:tbl>
    <w:p w14:paraId="701F4F19" w14:textId="77777777" w:rsidR="00B007F0" w:rsidRDefault="00B007F0" w:rsidP="00B007F0">
      <w:pPr>
        <w:spacing w:after="240" w:line="240" w:lineRule="auto"/>
        <w:jc w:val="left"/>
        <w:rPr>
          <w:rFonts w:eastAsia="Times New Roman" w:cs="Times New Roman"/>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4584"/>
        <w:gridCol w:w="1132"/>
        <w:gridCol w:w="1095"/>
      </w:tblGrid>
      <w:tr w:rsidR="00F16806" w14:paraId="003ED100"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0" w:type="auto"/>
            <w:gridSpan w:val="3"/>
            <w:tcBorders>
              <w:top w:val="nil"/>
              <w:left w:val="nil"/>
            </w:tcBorders>
            <w:shd w:val="clear" w:color="auto" w:fill="DEEAF6" w:themeFill="accent5" w:themeFillTint="33"/>
            <w:hideMark/>
          </w:tcPr>
          <w:p w14:paraId="7C2A5D00" w14:textId="77777777" w:rsidR="00B007F0" w:rsidRDefault="00000000">
            <w:pPr>
              <w:jc w:val="center"/>
              <w:rPr>
                <w:rFonts w:eastAsia="Times New Roman" w:cs="Times New Roman"/>
              </w:rPr>
            </w:pPr>
            <w:r>
              <w:rPr>
                <w:rFonts w:eastAsia="Times New Roman" w:cs="Times New Roman"/>
                <w:color w:val="auto"/>
                <w:shd w:val="clear" w:color="auto" w:fill="DAEEF3"/>
              </w:rPr>
              <w:t>Calculation of Asset turnover</w:t>
            </w:r>
          </w:p>
        </w:tc>
      </w:tr>
      <w:tr w:rsidR="00F16806" w14:paraId="6DD5A9F4"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4E49431" w14:textId="77777777" w:rsidR="00B007F0" w:rsidRDefault="00000000">
            <w:pPr>
              <w:jc w:val="center"/>
              <w:rPr>
                <w:rFonts w:eastAsia="Times New Roman" w:cs="Times New Roman"/>
              </w:rPr>
            </w:pPr>
            <w:r>
              <w:rPr>
                <w:rFonts w:eastAsia="Times New Roman" w:cs="Times New Roman"/>
                <w:color w:val="000000"/>
              </w:rPr>
              <w:t>Particulars </w:t>
            </w:r>
          </w:p>
        </w:tc>
        <w:tc>
          <w:tcPr>
            <w:tcW w:w="0" w:type="auto"/>
            <w:shd w:val="clear" w:color="auto" w:fill="DEEAF6" w:themeFill="accent5" w:themeFillTint="33"/>
            <w:hideMark/>
          </w:tcPr>
          <w:p w14:paraId="5015CF34" w14:textId="4279EC65"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2022 </w:t>
            </w:r>
          </w:p>
        </w:tc>
        <w:tc>
          <w:tcPr>
            <w:tcW w:w="0" w:type="auto"/>
            <w:shd w:val="clear" w:color="auto" w:fill="DEEAF6" w:themeFill="accent5" w:themeFillTint="33"/>
            <w:hideMark/>
          </w:tcPr>
          <w:p w14:paraId="6FBAD6F7" w14:textId="62348766"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2021</w:t>
            </w:r>
          </w:p>
        </w:tc>
      </w:tr>
      <w:tr w:rsidR="00F16806" w14:paraId="12C44FD6"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38E5E8F5" w14:textId="77777777" w:rsidR="00B007F0" w:rsidRDefault="00000000">
            <w:pPr>
              <w:jc w:val="center"/>
              <w:rPr>
                <w:rFonts w:eastAsia="Times New Roman" w:cs="Times New Roman"/>
              </w:rPr>
            </w:pPr>
            <w:r>
              <w:rPr>
                <w:rFonts w:eastAsia="Times New Roman" w:cs="Times New Roman"/>
                <w:color w:val="000000"/>
              </w:rPr>
              <w:t>Total revenue </w:t>
            </w:r>
          </w:p>
        </w:tc>
        <w:tc>
          <w:tcPr>
            <w:tcW w:w="0" w:type="auto"/>
            <w:shd w:val="clear" w:color="auto" w:fill="DEEAF6" w:themeFill="accent5" w:themeFillTint="33"/>
            <w:hideMark/>
          </w:tcPr>
          <w:p w14:paraId="6726C775"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6738 </w:t>
            </w:r>
          </w:p>
        </w:tc>
        <w:tc>
          <w:tcPr>
            <w:tcW w:w="0" w:type="auto"/>
            <w:shd w:val="clear" w:color="auto" w:fill="DEEAF6" w:themeFill="accent5" w:themeFillTint="33"/>
            <w:hideMark/>
          </w:tcPr>
          <w:p w14:paraId="55BEC625"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6441</w:t>
            </w:r>
          </w:p>
        </w:tc>
      </w:tr>
      <w:tr w:rsidR="00F16806" w14:paraId="0C379182"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103788C8" w14:textId="77777777" w:rsidR="00B007F0" w:rsidRDefault="00000000">
            <w:pPr>
              <w:jc w:val="center"/>
              <w:rPr>
                <w:rFonts w:eastAsia="Times New Roman" w:cs="Times New Roman"/>
              </w:rPr>
            </w:pPr>
            <w:r>
              <w:rPr>
                <w:rFonts w:eastAsia="Times New Roman" w:cs="Times New Roman"/>
                <w:color w:val="000000"/>
              </w:rPr>
              <w:t>Total Asset </w:t>
            </w:r>
          </w:p>
        </w:tc>
        <w:tc>
          <w:tcPr>
            <w:tcW w:w="0" w:type="auto"/>
            <w:shd w:val="clear" w:color="auto" w:fill="DEEAF6" w:themeFill="accent5" w:themeFillTint="33"/>
            <w:hideMark/>
          </w:tcPr>
          <w:p w14:paraId="3D87116F"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9,736 </w:t>
            </w:r>
          </w:p>
        </w:tc>
        <w:tc>
          <w:tcPr>
            <w:tcW w:w="0" w:type="auto"/>
            <w:shd w:val="clear" w:color="auto" w:fill="DEEAF6" w:themeFill="accent5" w:themeFillTint="33"/>
            <w:hideMark/>
          </w:tcPr>
          <w:p w14:paraId="01B4B2AF"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000000"/>
              </w:rPr>
              <w:t>10,087</w:t>
            </w:r>
          </w:p>
        </w:tc>
      </w:tr>
      <w:tr w:rsidR="00F16806" w14:paraId="5DC5B540"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4AD5E8F7" w14:textId="77777777" w:rsidR="00B007F0" w:rsidRDefault="00000000">
            <w:pPr>
              <w:jc w:val="center"/>
              <w:rPr>
                <w:rFonts w:eastAsia="Times New Roman" w:cs="Times New Roman"/>
              </w:rPr>
            </w:pPr>
            <w:r>
              <w:rPr>
                <w:rFonts w:eastAsia="Times New Roman" w:cs="Times New Roman"/>
                <w:color w:val="000000"/>
              </w:rPr>
              <w:t>Average total asset </w:t>
            </w:r>
          </w:p>
        </w:tc>
        <w:tc>
          <w:tcPr>
            <w:tcW w:w="0" w:type="auto"/>
            <w:shd w:val="clear" w:color="auto" w:fill="DEEAF6" w:themeFill="accent5" w:themeFillTint="33"/>
            <w:hideMark/>
          </w:tcPr>
          <w:p w14:paraId="0B573A2B" w14:textId="77777777" w:rsidR="00B007F0" w:rsidRDefault="00000000">
            <w:pPr>
              <w:ind w:right="30"/>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9911.5 </w:t>
            </w:r>
          </w:p>
        </w:tc>
        <w:tc>
          <w:tcPr>
            <w:tcW w:w="0" w:type="auto"/>
            <w:shd w:val="clear" w:color="auto" w:fill="DEEAF6" w:themeFill="accent5" w:themeFillTint="33"/>
            <w:hideMark/>
          </w:tcPr>
          <w:p w14:paraId="2C5F4423" w14:textId="77777777" w:rsidR="00B007F0" w:rsidRDefault="00000000">
            <w:pPr>
              <w:ind w:right="43"/>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color w:val="000000"/>
                <w:sz w:val="22"/>
              </w:rPr>
              <w:t>5043.5</w:t>
            </w:r>
          </w:p>
        </w:tc>
      </w:tr>
      <w:tr w:rsidR="00F16806" w14:paraId="5F77CCDE"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4C73D7B" w14:textId="77777777" w:rsidR="00B007F0" w:rsidRDefault="00000000">
            <w:pPr>
              <w:jc w:val="center"/>
              <w:rPr>
                <w:rFonts w:eastAsia="Times New Roman" w:cs="Times New Roman"/>
              </w:rPr>
            </w:pPr>
            <w:r>
              <w:rPr>
                <w:rFonts w:eastAsia="Times New Roman" w:cs="Times New Roman"/>
                <w:color w:val="000000"/>
              </w:rPr>
              <w:t>Asset turnover= Revenue/average total asset </w:t>
            </w:r>
          </w:p>
        </w:tc>
        <w:tc>
          <w:tcPr>
            <w:tcW w:w="0" w:type="auto"/>
            <w:shd w:val="clear" w:color="auto" w:fill="DEEAF6" w:themeFill="accent5" w:themeFillTint="33"/>
            <w:hideMark/>
          </w:tcPr>
          <w:p w14:paraId="6A8E5A5E" w14:textId="77777777" w:rsidR="00B007F0" w:rsidRDefault="00000000">
            <w:pPr>
              <w:ind w:right="30"/>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000000"/>
                <w:sz w:val="22"/>
              </w:rPr>
              <w:t>0.679816 </w:t>
            </w:r>
          </w:p>
        </w:tc>
        <w:tc>
          <w:tcPr>
            <w:tcW w:w="0" w:type="auto"/>
            <w:shd w:val="clear" w:color="auto" w:fill="DEEAF6" w:themeFill="accent5" w:themeFillTint="33"/>
            <w:hideMark/>
          </w:tcPr>
          <w:p w14:paraId="722DBB4F" w14:textId="77777777" w:rsidR="00B007F0" w:rsidRDefault="00000000">
            <w:pPr>
              <w:ind w:right="42"/>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000000"/>
                <w:sz w:val="22"/>
              </w:rPr>
              <w:t>1.277089</w:t>
            </w:r>
          </w:p>
        </w:tc>
      </w:tr>
    </w:tbl>
    <w:p w14:paraId="11FB5491" w14:textId="77777777" w:rsidR="00B007F0" w:rsidRDefault="00B007F0" w:rsidP="00B007F0">
      <w:pPr>
        <w:spacing w:after="240" w:line="240" w:lineRule="auto"/>
        <w:jc w:val="left"/>
        <w:rPr>
          <w:rFonts w:eastAsia="Times New Roman" w:cs="Times New Roman"/>
        </w:rPr>
      </w:pPr>
    </w:p>
    <w:p w14:paraId="71E7F213" w14:textId="77777777" w:rsidR="00B007F0" w:rsidRDefault="00B007F0" w:rsidP="00B007F0">
      <w:pPr>
        <w:spacing w:line="240" w:lineRule="auto"/>
        <w:ind w:right="2892"/>
        <w:jc w:val="right"/>
        <w:rPr>
          <w:rFonts w:eastAsia="Times New Roman" w:cs="Times New Roman"/>
        </w:rPr>
      </w:pPr>
    </w:p>
    <w:tbl>
      <w:tblPr>
        <w:tblStyle w:val="ListTable7Colorful-Accent6"/>
        <w:tblW w:w="0" w:type="auto"/>
        <w:jc w:val="center"/>
        <w:shd w:val="clear" w:color="auto" w:fill="DEEAF6" w:themeFill="accent5" w:themeFillTint="33"/>
        <w:tblLayout w:type="fixed"/>
        <w:tblLook w:val="04A0" w:firstRow="1" w:lastRow="0" w:firstColumn="1" w:lastColumn="0" w:noHBand="0" w:noVBand="1"/>
      </w:tblPr>
      <w:tblGrid>
        <w:gridCol w:w="6176"/>
        <w:gridCol w:w="1109"/>
        <w:gridCol w:w="1530"/>
      </w:tblGrid>
      <w:tr w:rsidR="00F16806" w14:paraId="028B0EAF"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8815" w:type="dxa"/>
            <w:gridSpan w:val="3"/>
            <w:tcBorders>
              <w:top w:val="nil"/>
              <w:left w:val="nil"/>
            </w:tcBorders>
            <w:shd w:val="clear" w:color="auto" w:fill="DEEAF6" w:themeFill="accent5" w:themeFillTint="33"/>
            <w:hideMark/>
          </w:tcPr>
          <w:p w14:paraId="6A3EB3F8" w14:textId="77777777" w:rsidR="00B007F0" w:rsidRDefault="00000000">
            <w:pPr>
              <w:jc w:val="center"/>
              <w:rPr>
                <w:rFonts w:cs="Calibri"/>
              </w:rPr>
            </w:pPr>
            <w:r>
              <w:rPr>
                <w:color w:val="auto"/>
              </w:rPr>
              <w:t xml:space="preserve">Calculation of </w:t>
            </w:r>
            <w:r>
              <w:rPr>
                <w:color w:val="auto"/>
                <w:shd w:val="clear" w:color="auto" w:fill="DAEEF3"/>
              </w:rPr>
              <w:t>Stock holding days</w:t>
            </w:r>
          </w:p>
        </w:tc>
      </w:tr>
      <w:tr w:rsidR="00F16806" w14:paraId="317AED91"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6176" w:type="dxa"/>
            <w:tcBorders>
              <w:top w:val="nil"/>
              <w:left w:val="nil"/>
              <w:bottom w:val="nil"/>
            </w:tcBorders>
            <w:shd w:val="clear" w:color="auto" w:fill="DEEAF6" w:themeFill="accent5" w:themeFillTint="33"/>
            <w:hideMark/>
          </w:tcPr>
          <w:p w14:paraId="2BBEFE08" w14:textId="77777777" w:rsidR="00B007F0" w:rsidRDefault="00000000">
            <w:pPr>
              <w:jc w:val="center"/>
              <w:rPr>
                <w:rFonts w:eastAsia="Times New Roman" w:cs="Times New Roman"/>
              </w:rPr>
            </w:pPr>
            <w:r>
              <w:rPr>
                <w:rFonts w:eastAsia="Times New Roman" w:cs="Times New Roman"/>
                <w:color w:val="auto"/>
              </w:rPr>
              <w:t>Particulars </w:t>
            </w:r>
          </w:p>
        </w:tc>
        <w:tc>
          <w:tcPr>
            <w:tcW w:w="1109" w:type="dxa"/>
            <w:shd w:val="clear" w:color="auto" w:fill="DEEAF6" w:themeFill="accent5" w:themeFillTint="33"/>
            <w:hideMark/>
          </w:tcPr>
          <w:p w14:paraId="5924440F" w14:textId="405079DA"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w:t>
            </w:r>
          </w:p>
        </w:tc>
        <w:tc>
          <w:tcPr>
            <w:tcW w:w="1530" w:type="dxa"/>
            <w:shd w:val="clear" w:color="auto" w:fill="DEEAF6" w:themeFill="accent5" w:themeFillTint="33"/>
            <w:hideMark/>
          </w:tcPr>
          <w:p w14:paraId="5F53EB68" w14:textId="6A556E66" w:rsidR="00B007F0" w:rsidRDefault="00000000">
            <w:pPr>
              <w:jc w:val="center"/>
              <w:cnfStyle w:val="000000100000" w:firstRow="0" w:lastRow="0" w:firstColumn="0" w:lastColumn="0" w:oddVBand="0" w:evenVBand="0" w:oddHBand="1" w:evenHBand="0" w:firstRowFirstColumn="0" w:firstRowLastColumn="0" w:lastRowFirstColumn="0" w:lastRowLastColumn="0"/>
              <w:rPr>
                <w:rFonts w:cs="Calibri"/>
                <w:lang w:eastAsia="en-GB"/>
              </w:rPr>
            </w:pPr>
            <w:r>
              <w:rPr>
                <w:color w:val="auto"/>
              </w:rPr>
              <w:t>2021</w:t>
            </w:r>
          </w:p>
        </w:tc>
      </w:tr>
      <w:tr w:rsidR="00F16806" w14:paraId="2B946AE7"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6176" w:type="dxa"/>
            <w:tcBorders>
              <w:top w:val="nil"/>
              <w:left w:val="nil"/>
              <w:bottom w:val="nil"/>
            </w:tcBorders>
            <w:shd w:val="clear" w:color="auto" w:fill="DEEAF6" w:themeFill="accent5" w:themeFillTint="33"/>
            <w:hideMark/>
          </w:tcPr>
          <w:p w14:paraId="53F8A605" w14:textId="77777777" w:rsidR="00B007F0" w:rsidRDefault="00000000">
            <w:pPr>
              <w:jc w:val="center"/>
              <w:rPr>
                <w:rFonts w:eastAsia="Times New Roman" w:cs="Times New Roman"/>
              </w:rPr>
            </w:pPr>
            <w:r>
              <w:rPr>
                <w:rFonts w:eastAsia="Times New Roman" w:cs="Times New Roman"/>
                <w:color w:val="auto"/>
              </w:rPr>
              <w:t>Closing stock </w:t>
            </w:r>
          </w:p>
        </w:tc>
        <w:tc>
          <w:tcPr>
            <w:tcW w:w="1109" w:type="dxa"/>
            <w:shd w:val="clear" w:color="auto" w:fill="DEEAF6" w:themeFill="accent5" w:themeFillTint="33"/>
            <w:hideMark/>
          </w:tcPr>
          <w:p w14:paraId="0505FF90"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708</w:t>
            </w:r>
          </w:p>
        </w:tc>
        <w:tc>
          <w:tcPr>
            <w:tcW w:w="1530" w:type="dxa"/>
            <w:shd w:val="clear" w:color="auto" w:fill="DEEAF6" w:themeFill="accent5" w:themeFillTint="33"/>
            <w:hideMark/>
          </w:tcPr>
          <w:p w14:paraId="5229E073"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t>659</w:t>
            </w:r>
          </w:p>
        </w:tc>
      </w:tr>
      <w:tr w:rsidR="00F16806" w14:paraId="0EC858AB"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6176" w:type="dxa"/>
            <w:tcBorders>
              <w:top w:val="nil"/>
              <w:left w:val="nil"/>
              <w:bottom w:val="nil"/>
            </w:tcBorders>
            <w:shd w:val="clear" w:color="auto" w:fill="DEEAF6" w:themeFill="accent5" w:themeFillTint="33"/>
            <w:hideMark/>
          </w:tcPr>
          <w:p w14:paraId="77D5F290" w14:textId="77777777" w:rsidR="00B007F0" w:rsidRDefault="00000000">
            <w:pPr>
              <w:jc w:val="center"/>
              <w:rPr>
                <w:rFonts w:eastAsia="Times New Roman" w:cs="Times New Roman"/>
              </w:rPr>
            </w:pPr>
            <w:r>
              <w:rPr>
                <w:rFonts w:eastAsia="Times New Roman" w:cs="Times New Roman"/>
                <w:color w:val="auto"/>
              </w:rPr>
              <w:t>Cost of goods sold </w:t>
            </w:r>
          </w:p>
        </w:tc>
        <w:tc>
          <w:tcPr>
            <w:tcW w:w="1109" w:type="dxa"/>
            <w:shd w:val="clear" w:color="auto" w:fill="DEEAF6" w:themeFill="accent5" w:themeFillTint="33"/>
            <w:hideMark/>
          </w:tcPr>
          <w:p w14:paraId="65C76590"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3235</w:t>
            </w:r>
          </w:p>
        </w:tc>
        <w:tc>
          <w:tcPr>
            <w:tcW w:w="1530" w:type="dxa"/>
            <w:shd w:val="clear" w:color="auto" w:fill="DEEAF6" w:themeFill="accent5" w:themeFillTint="33"/>
            <w:hideMark/>
          </w:tcPr>
          <w:p w14:paraId="2D902AD7"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color w:val="auto"/>
              </w:rPr>
              <w:t>3096</w:t>
            </w:r>
          </w:p>
        </w:tc>
      </w:tr>
      <w:tr w:rsidR="00F16806" w14:paraId="147C3585"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6176" w:type="dxa"/>
            <w:tcBorders>
              <w:top w:val="nil"/>
              <w:left w:val="nil"/>
              <w:bottom w:val="nil"/>
            </w:tcBorders>
            <w:shd w:val="clear" w:color="auto" w:fill="DEEAF6" w:themeFill="accent5" w:themeFillTint="33"/>
            <w:hideMark/>
          </w:tcPr>
          <w:p w14:paraId="36FE5470" w14:textId="77777777" w:rsidR="00B007F0" w:rsidRDefault="00000000">
            <w:pPr>
              <w:jc w:val="center"/>
              <w:rPr>
                <w:rFonts w:eastAsia="Times New Roman" w:cs="Times New Roman"/>
              </w:rPr>
            </w:pPr>
            <w:r>
              <w:rPr>
                <w:rFonts w:eastAsia="Times New Roman" w:cs="Times New Roman"/>
                <w:color w:val="auto"/>
              </w:rPr>
              <w:t xml:space="preserve">Stock holding days (Closing stock/cost of goods sold) x 365 </w:t>
            </w:r>
          </w:p>
        </w:tc>
        <w:tc>
          <w:tcPr>
            <w:tcW w:w="1109" w:type="dxa"/>
            <w:shd w:val="clear" w:color="auto" w:fill="DEEAF6" w:themeFill="accent5" w:themeFillTint="33"/>
            <w:hideMark/>
          </w:tcPr>
          <w:p w14:paraId="55FA2EFE"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79.8825</w:t>
            </w:r>
          </w:p>
        </w:tc>
        <w:tc>
          <w:tcPr>
            <w:tcW w:w="1530" w:type="dxa"/>
            <w:shd w:val="clear" w:color="auto" w:fill="DEEAF6" w:themeFill="accent5" w:themeFillTint="33"/>
            <w:hideMark/>
          </w:tcPr>
          <w:p w14:paraId="79E9AC19" w14:textId="77777777" w:rsidR="00B007F0" w:rsidRDefault="00000000">
            <w:pPr>
              <w:pStyle w:val="NormalWeb"/>
              <w:spacing w:line="480" w:lineRule="auto"/>
              <w:jc w:val="center"/>
              <w:cnfStyle w:val="000000000000" w:firstRow="0" w:lastRow="0" w:firstColumn="0" w:lastColumn="0" w:oddVBand="0" w:evenVBand="0" w:oddHBand="0" w:evenHBand="0" w:firstRowFirstColumn="0" w:firstRowLastColumn="0" w:lastRowFirstColumn="0" w:lastRowLastColumn="0"/>
            </w:pPr>
            <w:r>
              <w:t>77.69218346</w:t>
            </w:r>
          </w:p>
        </w:tc>
      </w:tr>
    </w:tbl>
    <w:p w14:paraId="7C1DDB4C" w14:textId="77777777" w:rsidR="00B007F0" w:rsidRDefault="00B007F0" w:rsidP="00B007F0">
      <w:pPr>
        <w:rPr>
          <w:rFonts w:cs="Calibri"/>
          <w:b/>
          <w:bCs/>
          <w:lang w:eastAsia="en-GB"/>
        </w:rPr>
      </w:pPr>
    </w:p>
    <w:p w14:paraId="2072E45A" w14:textId="77777777" w:rsidR="00B007F0" w:rsidRDefault="00B007F0" w:rsidP="00B007F0">
      <w:pPr>
        <w:spacing w:line="240" w:lineRule="auto"/>
        <w:ind w:right="1903"/>
        <w:jc w:val="right"/>
        <w:rPr>
          <w:rFonts w:eastAsia="Times New Roman" w:cs="Times New Roman"/>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7032"/>
        <w:gridCol w:w="941"/>
        <w:gridCol w:w="1387"/>
      </w:tblGrid>
      <w:tr w:rsidR="00F16806" w14:paraId="4378AD08" w14:textId="77777777" w:rsidTr="00F16806">
        <w:trPr>
          <w:cnfStyle w:val="100000000000" w:firstRow="1" w:lastRow="0" w:firstColumn="0" w:lastColumn="0" w:oddVBand="0" w:evenVBand="0" w:oddHBand="0" w:evenHBand="0" w:firstRowFirstColumn="0" w:firstRowLastColumn="0" w:lastRowFirstColumn="0" w:lastRowLastColumn="0"/>
          <w:trHeight w:val="555"/>
          <w:jc w:val="center"/>
        </w:trPr>
        <w:tc>
          <w:tcPr>
            <w:cnfStyle w:val="001000000100" w:firstRow="0" w:lastRow="0" w:firstColumn="1" w:lastColumn="0" w:oddVBand="0" w:evenVBand="0" w:oddHBand="0" w:evenHBand="0" w:firstRowFirstColumn="1" w:firstRowLastColumn="0" w:lastRowFirstColumn="0" w:lastRowLastColumn="0"/>
            <w:tcW w:w="0" w:type="auto"/>
            <w:gridSpan w:val="3"/>
            <w:tcBorders>
              <w:top w:val="nil"/>
              <w:left w:val="nil"/>
            </w:tcBorders>
            <w:shd w:val="clear" w:color="auto" w:fill="DEEAF6" w:themeFill="accent5" w:themeFillTint="33"/>
            <w:hideMark/>
          </w:tcPr>
          <w:p w14:paraId="72AF2057" w14:textId="77777777" w:rsidR="00B007F0" w:rsidRDefault="00000000">
            <w:pPr>
              <w:jc w:val="center"/>
              <w:rPr>
                <w:rFonts w:cs="Calibri"/>
              </w:rPr>
            </w:pPr>
            <w:r>
              <w:rPr>
                <w:color w:val="auto"/>
                <w:shd w:val="clear" w:color="auto" w:fill="DAEEF3"/>
              </w:rPr>
              <w:t>Calculation of debtors' collection period</w:t>
            </w:r>
          </w:p>
        </w:tc>
      </w:tr>
      <w:tr w:rsidR="00F16806" w14:paraId="6F2606F7"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792D677" w14:textId="77777777" w:rsidR="00B007F0" w:rsidRDefault="00000000">
            <w:pPr>
              <w:jc w:val="center"/>
              <w:rPr>
                <w:rFonts w:eastAsia="Times New Roman" w:cs="Times New Roman"/>
              </w:rPr>
            </w:pPr>
            <w:r>
              <w:rPr>
                <w:rFonts w:eastAsia="Times New Roman" w:cs="Times New Roman"/>
                <w:color w:val="auto"/>
              </w:rPr>
              <w:t>Particulars </w:t>
            </w:r>
          </w:p>
        </w:tc>
        <w:tc>
          <w:tcPr>
            <w:tcW w:w="0" w:type="auto"/>
            <w:shd w:val="clear" w:color="auto" w:fill="DEEAF6" w:themeFill="accent5" w:themeFillTint="33"/>
            <w:hideMark/>
          </w:tcPr>
          <w:p w14:paraId="273A3C71" w14:textId="458E5A6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w:t>
            </w:r>
          </w:p>
        </w:tc>
        <w:tc>
          <w:tcPr>
            <w:tcW w:w="0" w:type="auto"/>
            <w:shd w:val="clear" w:color="auto" w:fill="DEEAF6" w:themeFill="accent5" w:themeFillTint="33"/>
            <w:hideMark/>
          </w:tcPr>
          <w:p w14:paraId="002D9126" w14:textId="028F42F9"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2021</w:t>
            </w:r>
          </w:p>
        </w:tc>
      </w:tr>
      <w:tr w:rsidR="00F16806" w14:paraId="16FAFFA9"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20E6195C" w14:textId="77777777" w:rsidR="00B007F0" w:rsidRDefault="00000000">
            <w:pPr>
              <w:jc w:val="center"/>
              <w:rPr>
                <w:rFonts w:eastAsia="Times New Roman" w:cs="Times New Roman"/>
              </w:rPr>
            </w:pPr>
            <w:r>
              <w:rPr>
                <w:rFonts w:eastAsia="Times New Roman" w:cs="Times New Roman"/>
                <w:color w:val="auto"/>
              </w:rPr>
              <w:lastRenderedPageBreak/>
              <w:t xml:space="preserve">The amount owed by Debtors </w:t>
            </w:r>
          </w:p>
        </w:tc>
        <w:tc>
          <w:tcPr>
            <w:tcW w:w="0" w:type="auto"/>
            <w:shd w:val="clear" w:color="auto" w:fill="DEEAF6" w:themeFill="accent5" w:themeFillTint="33"/>
            <w:hideMark/>
          </w:tcPr>
          <w:p w14:paraId="3667A861"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1,249</w:t>
            </w:r>
          </w:p>
        </w:tc>
        <w:tc>
          <w:tcPr>
            <w:tcW w:w="0" w:type="auto"/>
            <w:shd w:val="clear" w:color="auto" w:fill="DEEAF6" w:themeFill="accent5" w:themeFillTint="33"/>
            <w:hideMark/>
          </w:tcPr>
          <w:p w14:paraId="41B34F6E"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rPr>
            </w:pPr>
            <w:r>
              <w:rPr>
                <w:rFonts w:ascii="Calibri" w:eastAsia="Times New Roman" w:hAnsi="Calibri"/>
                <w:sz w:val="22"/>
              </w:rPr>
              <w:t>1287</w:t>
            </w:r>
          </w:p>
        </w:tc>
      </w:tr>
      <w:tr w:rsidR="00F16806" w14:paraId="734A560A"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362EC1EC" w14:textId="77777777" w:rsidR="00B007F0" w:rsidRDefault="00000000">
            <w:pPr>
              <w:jc w:val="center"/>
              <w:rPr>
                <w:rFonts w:eastAsia="Times New Roman" w:cs="Times New Roman"/>
                <w:szCs w:val="24"/>
              </w:rPr>
            </w:pPr>
            <w:r>
              <w:rPr>
                <w:rFonts w:eastAsia="Times New Roman" w:cs="Times New Roman"/>
                <w:color w:val="auto"/>
              </w:rPr>
              <w:t>credit sales </w:t>
            </w:r>
          </w:p>
        </w:tc>
        <w:tc>
          <w:tcPr>
            <w:tcW w:w="0" w:type="auto"/>
            <w:shd w:val="clear" w:color="auto" w:fill="DEEAF6" w:themeFill="accent5" w:themeFillTint="33"/>
            <w:hideMark/>
          </w:tcPr>
          <w:p w14:paraId="3AD2582C"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6,738</w:t>
            </w:r>
          </w:p>
        </w:tc>
        <w:tc>
          <w:tcPr>
            <w:tcW w:w="0" w:type="auto"/>
            <w:shd w:val="clear" w:color="auto" w:fill="DEEAF6" w:themeFill="accent5" w:themeFillTint="33"/>
            <w:hideMark/>
          </w:tcPr>
          <w:p w14:paraId="328D56DE"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2"/>
              </w:rPr>
            </w:pPr>
            <w:r>
              <w:rPr>
                <w:rFonts w:ascii="Calibri" w:eastAsia="Times New Roman" w:hAnsi="Calibri"/>
                <w:color w:val="auto"/>
                <w:sz w:val="22"/>
              </w:rPr>
              <w:t>6441</w:t>
            </w:r>
          </w:p>
        </w:tc>
      </w:tr>
      <w:tr w:rsidR="00F16806" w14:paraId="7757C203"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5D3C435" w14:textId="77777777" w:rsidR="00B007F0" w:rsidRDefault="00000000">
            <w:pPr>
              <w:jc w:val="center"/>
              <w:rPr>
                <w:rFonts w:eastAsia="Times New Roman" w:cs="Times New Roman"/>
                <w:szCs w:val="24"/>
              </w:rPr>
            </w:pPr>
            <w:r>
              <w:rPr>
                <w:rFonts w:eastAsia="Times New Roman" w:cs="Times New Roman"/>
                <w:color w:val="auto"/>
              </w:rPr>
              <w:t xml:space="preserve">Debtors collection period (Amount owed by debtor/annual credit sales) x 365 </w:t>
            </w:r>
          </w:p>
        </w:tc>
        <w:tc>
          <w:tcPr>
            <w:tcW w:w="0" w:type="auto"/>
            <w:shd w:val="clear" w:color="auto" w:fill="DEEAF6" w:themeFill="accent5" w:themeFillTint="33"/>
            <w:hideMark/>
          </w:tcPr>
          <w:p w14:paraId="281AE16C"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67.6588</w:t>
            </w:r>
          </w:p>
        </w:tc>
        <w:tc>
          <w:tcPr>
            <w:tcW w:w="0" w:type="auto"/>
            <w:shd w:val="clear" w:color="auto" w:fill="DEEAF6" w:themeFill="accent5" w:themeFillTint="33"/>
            <w:hideMark/>
          </w:tcPr>
          <w:p w14:paraId="2A46C09B"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rPr>
            </w:pPr>
            <w:r>
              <w:rPr>
                <w:rFonts w:ascii="Calibri" w:hAnsi="Calibri"/>
                <w:sz w:val="22"/>
              </w:rPr>
              <w:t>72.93199814</w:t>
            </w:r>
          </w:p>
        </w:tc>
      </w:tr>
    </w:tbl>
    <w:p w14:paraId="7CBAE6C5" w14:textId="77777777" w:rsidR="00B007F0" w:rsidRDefault="00B007F0" w:rsidP="00B007F0">
      <w:pPr>
        <w:rPr>
          <w:rFonts w:eastAsia="Calibri" w:cs="Calibri"/>
          <w:b/>
          <w:bCs/>
          <w:szCs w:val="24"/>
          <w:lang w:eastAsia="en-GB"/>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4198"/>
        <w:gridCol w:w="941"/>
        <w:gridCol w:w="1387"/>
      </w:tblGrid>
      <w:tr w:rsidR="00F16806" w14:paraId="4DD03F59"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6502" w:type="dxa"/>
            <w:gridSpan w:val="3"/>
            <w:tcBorders>
              <w:top w:val="nil"/>
              <w:left w:val="nil"/>
            </w:tcBorders>
            <w:shd w:val="clear" w:color="auto" w:fill="DEEAF6" w:themeFill="accent5" w:themeFillTint="33"/>
            <w:hideMark/>
          </w:tcPr>
          <w:p w14:paraId="2934132C" w14:textId="77777777" w:rsidR="00B007F0" w:rsidRDefault="00000000">
            <w:pPr>
              <w:jc w:val="center"/>
              <w:rPr>
                <w:rFonts w:eastAsia="Times New Roman" w:cs="Times New Roman"/>
              </w:rPr>
            </w:pPr>
            <w:r>
              <w:rPr>
                <w:color w:val="auto"/>
                <w:shd w:val="clear" w:color="auto" w:fill="DAEEF3"/>
              </w:rPr>
              <w:t>Calculation of the current ratio</w:t>
            </w:r>
          </w:p>
        </w:tc>
      </w:tr>
      <w:tr w:rsidR="00F16806" w14:paraId="33124828"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491B144B" w14:textId="77777777" w:rsidR="00B007F0" w:rsidRDefault="00000000">
            <w:pPr>
              <w:jc w:val="center"/>
              <w:rPr>
                <w:rFonts w:eastAsia="Times New Roman" w:cs="Times New Roman"/>
              </w:rPr>
            </w:pPr>
            <w:r>
              <w:rPr>
                <w:rFonts w:eastAsia="Times New Roman" w:cs="Times New Roman"/>
                <w:color w:val="auto"/>
              </w:rPr>
              <w:t>Particulars </w:t>
            </w:r>
          </w:p>
        </w:tc>
        <w:tc>
          <w:tcPr>
            <w:tcW w:w="0" w:type="auto"/>
            <w:shd w:val="clear" w:color="auto" w:fill="DEEAF6" w:themeFill="accent5" w:themeFillTint="33"/>
            <w:hideMark/>
          </w:tcPr>
          <w:p w14:paraId="2EE66EB8" w14:textId="3BB30CD0"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w:t>
            </w:r>
          </w:p>
        </w:tc>
        <w:tc>
          <w:tcPr>
            <w:tcW w:w="1201" w:type="dxa"/>
            <w:shd w:val="clear" w:color="auto" w:fill="DEEAF6" w:themeFill="accent5" w:themeFillTint="33"/>
          </w:tcPr>
          <w:p w14:paraId="59324AC8" w14:textId="073FB2F9" w:rsidR="00B007F0" w:rsidRDefault="00000000">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pPr>
            <w:r>
              <w:t>2021</w:t>
            </w:r>
          </w:p>
          <w:p w14:paraId="796BAE7F" w14:textId="77777777" w:rsidR="00B007F0" w:rsidRDefault="00B007F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p>
        </w:tc>
      </w:tr>
      <w:tr w:rsidR="00F16806" w14:paraId="32950A78"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5F66F07C" w14:textId="77777777" w:rsidR="00B007F0" w:rsidRDefault="00000000">
            <w:pPr>
              <w:jc w:val="center"/>
              <w:rPr>
                <w:rFonts w:eastAsia="Times New Roman" w:cs="Times New Roman"/>
              </w:rPr>
            </w:pPr>
            <w:r>
              <w:rPr>
                <w:rFonts w:ascii="Calibri" w:eastAsia="Times New Roman" w:hAnsi="Calibri"/>
                <w:color w:val="auto"/>
                <w:sz w:val="22"/>
              </w:rPr>
              <w:t>Current asset </w:t>
            </w:r>
          </w:p>
        </w:tc>
        <w:tc>
          <w:tcPr>
            <w:tcW w:w="0" w:type="auto"/>
            <w:shd w:val="clear" w:color="auto" w:fill="DEEAF6" w:themeFill="accent5" w:themeFillTint="33"/>
            <w:hideMark/>
          </w:tcPr>
          <w:p w14:paraId="0B24A99B"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9,736</w:t>
            </w:r>
          </w:p>
        </w:tc>
        <w:tc>
          <w:tcPr>
            <w:tcW w:w="1201" w:type="dxa"/>
            <w:shd w:val="clear" w:color="auto" w:fill="DEEAF6" w:themeFill="accent5" w:themeFillTint="33"/>
            <w:hideMark/>
          </w:tcPr>
          <w:p w14:paraId="188B49A5"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rPr>
            </w:pPr>
            <w:r>
              <w:rPr>
                <w:rFonts w:ascii="Calibri" w:hAnsi="Calibri"/>
                <w:sz w:val="22"/>
              </w:rPr>
              <w:t>10,087</w:t>
            </w:r>
          </w:p>
        </w:tc>
      </w:tr>
      <w:tr w:rsidR="00F16806" w14:paraId="4B3ADB08"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1ABF7B08" w14:textId="77777777" w:rsidR="00B007F0" w:rsidRDefault="00000000">
            <w:pPr>
              <w:jc w:val="center"/>
              <w:rPr>
                <w:rFonts w:eastAsia="Times New Roman" w:cs="Times New Roman"/>
                <w:szCs w:val="24"/>
              </w:rPr>
            </w:pPr>
            <w:r>
              <w:rPr>
                <w:rFonts w:ascii="Calibri" w:eastAsia="Times New Roman" w:hAnsi="Calibri"/>
                <w:color w:val="auto"/>
                <w:sz w:val="22"/>
              </w:rPr>
              <w:t>Current liabilities </w:t>
            </w:r>
          </w:p>
        </w:tc>
        <w:tc>
          <w:tcPr>
            <w:tcW w:w="0" w:type="auto"/>
            <w:shd w:val="clear" w:color="auto" w:fill="DEEAF6" w:themeFill="accent5" w:themeFillTint="33"/>
            <w:hideMark/>
          </w:tcPr>
          <w:p w14:paraId="3EDFA8CA"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2,511</w:t>
            </w:r>
          </w:p>
        </w:tc>
        <w:tc>
          <w:tcPr>
            <w:tcW w:w="1201" w:type="dxa"/>
            <w:shd w:val="clear" w:color="auto" w:fill="DEEAF6" w:themeFill="accent5" w:themeFillTint="33"/>
          </w:tcPr>
          <w:p w14:paraId="255B20C8" w14:textId="77777777" w:rsidR="00B007F0" w:rsidRDefault="00000000">
            <w:pPr>
              <w:pStyle w:val="NormalWeb"/>
              <w:spacing w:line="480" w:lineRule="auto"/>
              <w:jc w:val="center"/>
              <w:cnfStyle w:val="000000100000" w:firstRow="0" w:lastRow="0" w:firstColumn="0" w:lastColumn="0" w:oddVBand="0" w:evenVBand="0" w:oddHBand="1" w:evenHBand="0" w:firstRowFirstColumn="0" w:firstRowLastColumn="0" w:lastRowFirstColumn="0" w:lastRowLastColumn="0"/>
            </w:pPr>
            <w:r>
              <w:rPr>
                <w:rFonts w:ascii="Calibri" w:hAnsi="Calibri" w:cs="Calibri"/>
                <w:sz w:val="22"/>
                <w:szCs w:val="22"/>
              </w:rPr>
              <w:t>3,046</w:t>
            </w:r>
          </w:p>
          <w:p w14:paraId="34055280" w14:textId="77777777" w:rsidR="00B007F0" w:rsidRDefault="00B007F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sz w:val="22"/>
              </w:rPr>
            </w:pPr>
          </w:p>
        </w:tc>
      </w:tr>
      <w:tr w:rsidR="00F16806" w14:paraId="553C9F87"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2BF19647" w14:textId="77777777" w:rsidR="00B007F0" w:rsidRDefault="00000000">
            <w:pPr>
              <w:rPr>
                <w:rFonts w:eastAsia="Times New Roman" w:cs="Times New Roman"/>
                <w:szCs w:val="24"/>
              </w:rPr>
            </w:pPr>
            <w:r>
              <w:rPr>
                <w:rFonts w:ascii="Calibri" w:eastAsia="Times New Roman" w:hAnsi="Calibri"/>
                <w:color w:val="auto"/>
                <w:sz w:val="22"/>
              </w:rPr>
              <w:t xml:space="preserve">Current ratio current asset/ current liabilities </w:t>
            </w:r>
          </w:p>
        </w:tc>
        <w:tc>
          <w:tcPr>
            <w:tcW w:w="0" w:type="auto"/>
            <w:shd w:val="clear" w:color="auto" w:fill="DEEAF6" w:themeFill="accent5" w:themeFillTint="33"/>
            <w:hideMark/>
          </w:tcPr>
          <w:p w14:paraId="6E1EE97F"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3.87734</w:t>
            </w:r>
          </w:p>
        </w:tc>
        <w:tc>
          <w:tcPr>
            <w:tcW w:w="1201" w:type="dxa"/>
            <w:shd w:val="clear" w:color="auto" w:fill="DEEAF6" w:themeFill="accent5" w:themeFillTint="33"/>
            <w:hideMark/>
          </w:tcPr>
          <w:p w14:paraId="32F0A6D2"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rPr>
            </w:pPr>
            <w:r>
              <w:rPr>
                <w:rFonts w:ascii="Calibri" w:hAnsi="Calibri"/>
                <w:sz w:val="22"/>
              </w:rPr>
              <w:t>3.311556139</w:t>
            </w:r>
          </w:p>
        </w:tc>
      </w:tr>
    </w:tbl>
    <w:p w14:paraId="11C0E4B3" w14:textId="77777777" w:rsidR="00B007F0" w:rsidRDefault="00B007F0" w:rsidP="00B007F0">
      <w:pPr>
        <w:rPr>
          <w:rFonts w:eastAsia="Calibri" w:cs="Calibri"/>
          <w:b/>
          <w:bCs/>
          <w:szCs w:val="24"/>
          <w:lang w:eastAsia="en-GB"/>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5583"/>
        <w:gridCol w:w="1038"/>
        <w:gridCol w:w="1518"/>
      </w:tblGrid>
      <w:tr w:rsidR="00F16806" w14:paraId="4A46A29F"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0" w:type="auto"/>
            <w:gridSpan w:val="3"/>
            <w:tcBorders>
              <w:top w:val="nil"/>
              <w:left w:val="nil"/>
            </w:tcBorders>
            <w:shd w:val="clear" w:color="auto" w:fill="DEEAF6" w:themeFill="accent5" w:themeFillTint="33"/>
            <w:hideMark/>
          </w:tcPr>
          <w:p w14:paraId="301254A9" w14:textId="77777777" w:rsidR="00B007F0" w:rsidRPr="00B007F0" w:rsidRDefault="00000000">
            <w:pPr>
              <w:jc w:val="center"/>
              <w:rPr>
                <w:rFonts w:eastAsia="Times New Roman" w:cs="Times New Roman"/>
                <w:i w:val="0"/>
                <w:iCs w:val="0"/>
              </w:rPr>
            </w:pPr>
            <w:r w:rsidRPr="00B007F0">
              <w:rPr>
                <w:color w:val="auto"/>
                <w:shd w:val="clear" w:color="auto" w:fill="DAEEF3"/>
              </w:rPr>
              <w:t>Calculation of gearing ratio</w:t>
            </w:r>
          </w:p>
        </w:tc>
      </w:tr>
      <w:tr w:rsidR="00F16806" w14:paraId="0E5617BB"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12D995B1" w14:textId="77777777" w:rsidR="00B007F0" w:rsidRDefault="00000000">
            <w:pPr>
              <w:jc w:val="center"/>
              <w:rPr>
                <w:rFonts w:cs="Calibri"/>
              </w:rPr>
            </w:pPr>
            <w:r>
              <w:rPr>
                <w:color w:val="auto"/>
              </w:rPr>
              <w:t>Particulars</w:t>
            </w:r>
          </w:p>
        </w:tc>
        <w:tc>
          <w:tcPr>
            <w:tcW w:w="0" w:type="auto"/>
            <w:shd w:val="clear" w:color="auto" w:fill="DEEAF6" w:themeFill="accent5" w:themeFillTint="33"/>
            <w:hideMark/>
          </w:tcPr>
          <w:p w14:paraId="4050584E" w14:textId="6CCA8C0C"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w:t>
            </w:r>
          </w:p>
        </w:tc>
        <w:tc>
          <w:tcPr>
            <w:tcW w:w="0" w:type="auto"/>
            <w:shd w:val="clear" w:color="auto" w:fill="DEEAF6" w:themeFill="accent5" w:themeFillTint="33"/>
            <w:hideMark/>
          </w:tcPr>
          <w:p w14:paraId="65587A3B" w14:textId="08AD3F65"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2021</w:t>
            </w:r>
          </w:p>
        </w:tc>
      </w:tr>
      <w:tr w:rsidR="00F16806" w14:paraId="1D23D096"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17D922CC" w14:textId="77777777" w:rsidR="00B007F0" w:rsidRDefault="00000000">
            <w:pPr>
              <w:jc w:val="center"/>
              <w:rPr>
                <w:rFonts w:cs="Calibri"/>
              </w:rPr>
            </w:pPr>
            <w:r>
              <w:rPr>
                <w:color w:val="auto"/>
              </w:rPr>
              <w:t>Loans and borrowings</w:t>
            </w:r>
          </w:p>
        </w:tc>
        <w:tc>
          <w:tcPr>
            <w:tcW w:w="0" w:type="auto"/>
            <w:shd w:val="clear" w:color="auto" w:fill="DEEAF6" w:themeFill="accent5" w:themeFillTint="33"/>
            <w:hideMark/>
          </w:tcPr>
          <w:p w14:paraId="0018B8FD" w14:textId="77777777" w:rsidR="00B007F0" w:rsidRDefault="00000000">
            <w:pPr>
              <w:ind w:right="41"/>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4137</w:t>
            </w:r>
          </w:p>
        </w:tc>
        <w:tc>
          <w:tcPr>
            <w:tcW w:w="0" w:type="auto"/>
            <w:shd w:val="clear" w:color="auto" w:fill="DEEAF6" w:themeFill="accent5" w:themeFillTint="33"/>
            <w:hideMark/>
          </w:tcPr>
          <w:p w14:paraId="4F7D8352" w14:textId="77777777" w:rsidR="00B007F0" w:rsidRDefault="00000000">
            <w:pPr>
              <w:ind w:right="41"/>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4129</w:t>
            </w:r>
          </w:p>
        </w:tc>
      </w:tr>
      <w:tr w:rsidR="00F16806" w14:paraId="758E0E29"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205CBE9" w14:textId="77777777" w:rsidR="00B007F0" w:rsidRDefault="00000000">
            <w:pPr>
              <w:jc w:val="center"/>
              <w:rPr>
                <w:rFonts w:cs="Calibri"/>
              </w:rPr>
            </w:pPr>
            <w:r>
              <w:rPr>
                <w:color w:val="auto"/>
              </w:rPr>
              <w:t>Shareholder equity</w:t>
            </w:r>
          </w:p>
        </w:tc>
        <w:tc>
          <w:tcPr>
            <w:tcW w:w="0" w:type="auto"/>
            <w:shd w:val="clear" w:color="auto" w:fill="DEEAF6" w:themeFill="accent5" w:themeFillTint="33"/>
            <w:hideMark/>
          </w:tcPr>
          <w:p w14:paraId="336C4CB6" w14:textId="77777777" w:rsidR="00B007F0" w:rsidRDefault="00000000">
            <w:pPr>
              <w:ind w:right="44"/>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3,088</w:t>
            </w:r>
          </w:p>
        </w:tc>
        <w:tc>
          <w:tcPr>
            <w:tcW w:w="0" w:type="auto"/>
            <w:shd w:val="clear" w:color="auto" w:fill="DEEAF6" w:themeFill="accent5" w:themeFillTint="33"/>
            <w:hideMark/>
          </w:tcPr>
          <w:p w14:paraId="5CC7BC42" w14:textId="77777777" w:rsidR="00B007F0" w:rsidRDefault="00000000">
            <w:pPr>
              <w:ind w:right="44"/>
              <w:jc w:val="right"/>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2912</w:t>
            </w:r>
          </w:p>
        </w:tc>
      </w:tr>
      <w:tr w:rsidR="00F16806" w14:paraId="7A4E34BA"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65C22118" w14:textId="77777777" w:rsidR="00B007F0" w:rsidRDefault="00000000">
            <w:pPr>
              <w:jc w:val="center"/>
              <w:rPr>
                <w:rFonts w:cs="Calibri"/>
              </w:rPr>
            </w:pPr>
            <w:r>
              <w:rPr>
                <w:color w:val="auto"/>
              </w:rPr>
              <w:t>Gearing ratio loans and borrowings/shareholder equity</w:t>
            </w:r>
          </w:p>
        </w:tc>
        <w:tc>
          <w:tcPr>
            <w:tcW w:w="0" w:type="auto"/>
            <w:shd w:val="clear" w:color="auto" w:fill="DEEAF6" w:themeFill="accent5" w:themeFillTint="33"/>
            <w:hideMark/>
          </w:tcPr>
          <w:p w14:paraId="637C8CA1" w14:textId="77777777" w:rsidR="00B007F0" w:rsidRDefault="00000000">
            <w:pPr>
              <w:ind w:right="41"/>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1.42067</w:t>
            </w:r>
          </w:p>
        </w:tc>
        <w:tc>
          <w:tcPr>
            <w:tcW w:w="0" w:type="auto"/>
            <w:shd w:val="clear" w:color="auto" w:fill="DEEAF6" w:themeFill="accent5" w:themeFillTint="33"/>
            <w:hideMark/>
          </w:tcPr>
          <w:p w14:paraId="3C2BE071" w14:textId="77777777" w:rsidR="00B007F0" w:rsidRDefault="00000000">
            <w:pPr>
              <w:ind w:right="41"/>
              <w:jc w:val="right"/>
              <w:cnfStyle w:val="000000000000" w:firstRow="0" w:lastRow="0" w:firstColumn="0" w:lastColumn="0" w:oddVBand="0" w:evenVBand="0" w:oddHBand="0" w:evenHBand="0" w:firstRowFirstColumn="0" w:firstRowLastColumn="0" w:lastRowFirstColumn="0" w:lastRowLastColumn="0"/>
              <w:rPr>
                <w:rFonts w:eastAsia="Times New Roman" w:cs="Times New Roman"/>
              </w:rPr>
            </w:pPr>
            <w:r>
              <w:t>1.417925824</w:t>
            </w:r>
          </w:p>
        </w:tc>
      </w:tr>
    </w:tbl>
    <w:p w14:paraId="2549B012" w14:textId="77777777" w:rsidR="00B007F0" w:rsidRDefault="00B007F0" w:rsidP="00B007F0">
      <w:pPr>
        <w:rPr>
          <w:rFonts w:eastAsia="Calibri" w:cs="Calibri"/>
          <w:b/>
          <w:bCs/>
          <w:lang w:eastAsia="en-GB"/>
        </w:rPr>
      </w:pPr>
    </w:p>
    <w:tbl>
      <w:tblPr>
        <w:tblStyle w:val="ListTable7Colorful-Accent6"/>
        <w:tblW w:w="0" w:type="auto"/>
        <w:jc w:val="center"/>
        <w:shd w:val="clear" w:color="auto" w:fill="DEEAF6" w:themeFill="accent5" w:themeFillTint="33"/>
        <w:tblLook w:val="04A0" w:firstRow="1" w:lastRow="0" w:firstColumn="1" w:lastColumn="0" w:noHBand="0" w:noVBand="1"/>
      </w:tblPr>
      <w:tblGrid>
        <w:gridCol w:w="3931"/>
        <w:gridCol w:w="1057"/>
        <w:gridCol w:w="1392"/>
      </w:tblGrid>
      <w:tr w:rsidR="00F16806" w14:paraId="36ABA817" w14:textId="77777777" w:rsidTr="00F16806">
        <w:trPr>
          <w:cnfStyle w:val="100000000000" w:firstRow="1" w:lastRow="0" w:firstColumn="0" w:lastColumn="0" w:oddVBand="0" w:evenVBand="0" w:oddHBand="0" w:evenHBand="0" w:firstRowFirstColumn="0" w:firstRowLastColumn="0" w:lastRowFirstColumn="0" w:lastRowLastColumn="0"/>
          <w:trHeight w:val="305"/>
          <w:jc w:val="center"/>
        </w:trPr>
        <w:tc>
          <w:tcPr>
            <w:cnfStyle w:val="001000000100" w:firstRow="0" w:lastRow="0" w:firstColumn="1" w:lastColumn="0" w:oddVBand="0" w:evenVBand="0" w:oddHBand="0" w:evenHBand="0" w:firstRowFirstColumn="1" w:firstRowLastColumn="0" w:lastRowFirstColumn="0" w:lastRowLastColumn="0"/>
            <w:tcW w:w="6380" w:type="dxa"/>
            <w:gridSpan w:val="3"/>
            <w:tcBorders>
              <w:top w:val="nil"/>
              <w:left w:val="nil"/>
            </w:tcBorders>
            <w:shd w:val="clear" w:color="auto" w:fill="DEEAF6" w:themeFill="accent5" w:themeFillTint="33"/>
            <w:hideMark/>
          </w:tcPr>
          <w:p w14:paraId="16F4569E" w14:textId="77777777" w:rsidR="00B007F0" w:rsidRPr="00B007F0" w:rsidRDefault="00000000">
            <w:pPr>
              <w:jc w:val="center"/>
              <w:rPr>
                <w:rFonts w:eastAsia="Times New Roman" w:cs="Times New Roman"/>
                <w:i w:val="0"/>
                <w:iCs w:val="0"/>
              </w:rPr>
            </w:pPr>
            <w:r w:rsidRPr="00B007F0">
              <w:rPr>
                <w:color w:val="auto"/>
                <w:shd w:val="clear" w:color="auto" w:fill="DAEEF3"/>
              </w:rPr>
              <w:t>Calculation of interest cover</w:t>
            </w:r>
          </w:p>
        </w:tc>
      </w:tr>
      <w:tr w:rsidR="00F16806" w14:paraId="4AA49DF5"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725C5923" w14:textId="77777777" w:rsidR="00B007F0" w:rsidRDefault="00000000">
            <w:pPr>
              <w:jc w:val="center"/>
              <w:rPr>
                <w:rFonts w:eastAsia="Times New Roman" w:cs="Times New Roman"/>
              </w:rPr>
            </w:pPr>
            <w:r>
              <w:rPr>
                <w:rFonts w:eastAsia="Times New Roman" w:cs="Times New Roman"/>
                <w:color w:val="auto"/>
              </w:rPr>
              <w:t>Particulars </w:t>
            </w:r>
          </w:p>
        </w:tc>
        <w:tc>
          <w:tcPr>
            <w:tcW w:w="0" w:type="auto"/>
            <w:shd w:val="clear" w:color="auto" w:fill="DEEAF6" w:themeFill="accent5" w:themeFillTint="33"/>
            <w:hideMark/>
          </w:tcPr>
          <w:p w14:paraId="5BD48B4D" w14:textId="4BFC7522"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2022</w:t>
            </w:r>
          </w:p>
        </w:tc>
        <w:tc>
          <w:tcPr>
            <w:tcW w:w="1329" w:type="dxa"/>
            <w:shd w:val="clear" w:color="auto" w:fill="DEEAF6" w:themeFill="accent5" w:themeFillTint="33"/>
            <w:hideMark/>
          </w:tcPr>
          <w:p w14:paraId="03F0DEEB" w14:textId="70CD741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eastAsia="Times New Roman" w:cs="Times New Roman"/>
                <w:color w:val="auto"/>
              </w:rPr>
              <w:t>2021</w:t>
            </w:r>
          </w:p>
        </w:tc>
      </w:tr>
      <w:tr w:rsidR="00F16806" w14:paraId="2E89186F"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284CAFE0" w14:textId="77777777" w:rsidR="00B007F0" w:rsidRDefault="00000000">
            <w:pPr>
              <w:jc w:val="center"/>
              <w:rPr>
                <w:rFonts w:eastAsia="Times New Roman" w:cs="Times New Roman"/>
              </w:rPr>
            </w:pPr>
            <w:r>
              <w:rPr>
                <w:rFonts w:eastAsia="Times New Roman" w:cs="Times New Roman"/>
                <w:color w:val="auto"/>
              </w:rPr>
              <w:lastRenderedPageBreak/>
              <w:t>Earnings before interest and taxes </w:t>
            </w:r>
          </w:p>
        </w:tc>
        <w:tc>
          <w:tcPr>
            <w:tcW w:w="0" w:type="auto"/>
            <w:shd w:val="clear" w:color="auto" w:fill="DEEAF6" w:themeFill="accent5" w:themeFillTint="33"/>
            <w:hideMark/>
          </w:tcPr>
          <w:p w14:paraId="2103DF1F"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805</w:t>
            </w:r>
          </w:p>
        </w:tc>
        <w:tc>
          <w:tcPr>
            <w:tcW w:w="1329" w:type="dxa"/>
            <w:shd w:val="clear" w:color="auto" w:fill="DEEAF6" w:themeFill="accent5" w:themeFillTint="33"/>
            <w:hideMark/>
          </w:tcPr>
          <w:p w14:paraId="2C936B53"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eastAsia="Times New Roman" w:cs="Times New Roman"/>
              </w:rPr>
              <w:t>699</w:t>
            </w:r>
          </w:p>
        </w:tc>
      </w:tr>
      <w:tr w:rsidR="00F16806" w14:paraId="03B30B99" w14:textId="77777777" w:rsidTr="00F16806">
        <w:trPr>
          <w:cnfStyle w:val="000000100000" w:firstRow="0" w:lastRow="0" w:firstColumn="0" w:lastColumn="0" w:oddVBand="0" w:evenVBand="0" w:oddHBand="1" w:evenHBand="0" w:firstRowFirstColumn="0" w:firstRowLastColumn="0" w:lastRowFirstColumn="0" w:lastRowLastColumn="0"/>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5C7B2686" w14:textId="77777777" w:rsidR="00B007F0" w:rsidRDefault="00000000">
            <w:pPr>
              <w:jc w:val="center"/>
              <w:rPr>
                <w:rFonts w:eastAsia="Times New Roman" w:cs="Times New Roman"/>
              </w:rPr>
            </w:pPr>
            <w:r>
              <w:rPr>
                <w:rFonts w:eastAsia="Times New Roman" w:cs="Times New Roman"/>
                <w:color w:val="auto"/>
              </w:rPr>
              <w:t>Interest expenses </w:t>
            </w:r>
          </w:p>
        </w:tc>
        <w:tc>
          <w:tcPr>
            <w:tcW w:w="0" w:type="auto"/>
            <w:shd w:val="clear" w:color="auto" w:fill="DEEAF6" w:themeFill="accent5" w:themeFillTint="33"/>
            <w:hideMark/>
          </w:tcPr>
          <w:p w14:paraId="7B81D877"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eastAsia="Times New Roman" w:cs="Times New Roman"/>
              </w:rPr>
            </w:pPr>
            <w:r>
              <w:rPr>
                <w:rFonts w:ascii="Calibri" w:eastAsia="Times New Roman" w:hAnsi="Calibri"/>
                <w:color w:val="auto"/>
                <w:sz w:val="22"/>
              </w:rPr>
              <w:t>226</w:t>
            </w:r>
          </w:p>
        </w:tc>
        <w:tc>
          <w:tcPr>
            <w:tcW w:w="1329" w:type="dxa"/>
            <w:shd w:val="clear" w:color="auto" w:fill="DEEAF6" w:themeFill="accent5" w:themeFillTint="33"/>
            <w:hideMark/>
          </w:tcPr>
          <w:p w14:paraId="3F5A3BC0" w14:textId="77777777" w:rsidR="00B007F0" w:rsidRDefault="00000000">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sz w:val="22"/>
              </w:rPr>
            </w:pPr>
            <w:r>
              <w:rPr>
                <w:rFonts w:ascii="Calibri" w:eastAsia="Times New Roman" w:hAnsi="Calibri"/>
                <w:color w:val="auto"/>
                <w:sz w:val="22"/>
              </w:rPr>
              <w:t>181</w:t>
            </w:r>
          </w:p>
        </w:tc>
      </w:tr>
      <w:tr w:rsidR="00F16806" w14:paraId="6DA05236" w14:textId="77777777" w:rsidTr="00F16806">
        <w:trPr>
          <w:trHeight w:val="305"/>
          <w:jc w:val="center"/>
        </w:trPr>
        <w:tc>
          <w:tcPr>
            <w:cnfStyle w:val="001000000000" w:firstRow="0" w:lastRow="0" w:firstColumn="1" w:lastColumn="0" w:oddVBand="0" w:evenVBand="0" w:oddHBand="0" w:evenHBand="0" w:firstRowFirstColumn="0" w:firstRowLastColumn="0" w:lastRowFirstColumn="0" w:lastRowLastColumn="0"/>
            <w:tcW w:w="0" w:type="auto"/>
            <w:tcBorders>
              <w:top w:val="nil"/>
              <w:left w:val="nil"/>
              <w:bottom w:val="nil"/>
            </w:tcBorders>
            <w:shd w:val="clear" w:color="auto" w:fill="DEEAF6" w:themeFill="accent5" w:themeFillTint="33"/>
            <w:hideMark/>
          </w:tcPr>
          <w:p w14:paraId="06D08DB4" w14:textId="77777777" w:rsidR="00B007F0" w:rsidRDefault="00000000">
            <w:pPr>
              <w:jc w:val="center"/>
              <w:rPr>
                <w:rFonts w:eastAsia="Times New Roman" w:cs="Times New Roman"/>
                <w:szCs w:val="24"/>
              </w:rPr>
            </w:pPr>
            <w:r>
              <w:rPr>
                <w:rFonts w:eastAsia="Times New Roman" w:cs="Times New Roman"/>
                <w:color w:val="auto"/>
              </w:rPr>
              <w:t xml:space="preserve">Interest covers EBIT/Interest expenses </w:t>
            </w:r>
          </w:p>
        </w:tc>
        <w:tc>
          <w:tcPr>
            <w:tcW w:w="0" w:type="auto"/>
            <w:shd w:val="clear" w:color="auto" w:fill="DEEAF6" w:themeFill="accent5" w:themeFillTint="33"/>
            <w:hideMark/>
          </w:tcPr>
          <w:p w14:paraId="09D8F0CF"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eastAsia="Times New Roman" w:cs="Times New Roman"/>
              </w:rPr>
            </w:pPr>
            <w:r>
              <w:rPr>
                <w:rFonts w:ascii="Calibri" w:eastAsia="Times New Roman" w:hAnsi="Calibri"/>
                <w:sz w:val="22"/>
              </w:rPr>
              <w:t>3.561947</w:t>
            </w:r>
          </w:p>
        </w:tc>
        <w:tc>
          <w:tcPr>
            <w:tcW w:w="1329" w:type="dxa"/>
            <w:shd w:val="clear" w:color="auto" w:fill="DEEAF6" w:themeFill="accent5" w:themeFillTint="33"/>
            <w:hideMark/>
          </w:tcPr>
          <w:p w14:paraId="629AF470" w14:textId="77777777" w:rsidR="00B007F0" w:rsidRDefault="00000000">
            <w:pPr>
              <w:jc w:val="cente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sz w:val="22"/>
              </w:rPr>
            </w:pPr>
            <w:r>
              <w:rPr>
                <w:rFonts w:ascii="Calibri" w:hAnsi="Calibri"/>
                <w:sz w:val="22"/>
              </w:rPr>
              <w:t>3.861878453</w:t>
            </w:r>
          </w:p>
        </w:tc>
      </w:tr>
    </w:tbl>
    <w:p w14:paraId="6E0AE2A7" w14:textId="77777777" w:rsidR="003F47C7" w:rsidRPr="003F47C7" w:rsidRDefault="003F47C7" w:rsidP="003F47C7">
      <w:pPr>
        <w:rPr>
          <w:lang w:val="en-US" w:bidi="th-TH"/>
        </w:rPr>
      </w:pPr>
    </w:p>
    <w:p w14:paraId="7A133D1E" w14:textId="4D77AFE4" w:rsidR="00B007F0" w:rsidRPr="00C613FF" w:rsidRDefault="00C613FF" w:rsidP="00B007F0">
      <w:pPr>
        <w:rPr>
          <w:b/>
          <w:bCs/>
          <w:sz w:val="28"/>
          <w:szCs w:val="28"/>
          <w:lang w:val="en-US" w:bidi="th-TH"/>
        </w:rPr>
      </w:pPr>
      <w:r w:rsidRPr="00C613FF">
        <w:rPr>
          <w:b/>
          <w:bCs/>
          <w:sz w:val="28"/>
          <w:szCs w:val="28"/>
          <w:lang w:val="en-US" w:bidi="th-TH"/>
        </w:rPr>
        <w:t>Financial ratio interpretation for the specific business entity Sweets Plc for the years 2022 and 2021Return on capital employed</w:t>
      </w:r>
    </w:p>
    <w:p w14:paraId="345E26AF" w14:textId="79EFAE87" w:rsidR="005E0CC7" w:rsidRPr="00C613FF" w:rsidRDefault="00000000" w:rsidP="00B007F0">
      <w:pPr>
        <w:rPr>
          <w:b/>
          <w:bCs/>
          <w:i/>
          <w:iCs/>
          <w:sz w:val="28"/>
          <w:szCs w:val="28"/>
        </w:rPr>
      </w:pPr>
      <w:r w:rsidRPr="00C613FF">
        <w:rPr>
          <w:b/>
          <w:bCs/>
          <w:i/>
          <w:iCs/>
          <w:sz w:val="28"/>
          <w:szCs w:val="28"/>
        </w:rPr>
        <w:t>“</w:t>
      </w:r>
      <w:r w:rsidR="00C613FF" w:rsidRPr="00C613FF">
        <w:rPr>
          <w:b/>
          <w:bCs/>
          <w:i/>
          <w:iCs/>
          <w:sz w:val="28"/>
          <w:szCs w:val="28"/>
        </w:rPr>
        <w:t>Earnings Before Interest and Tax (EBIT) / Capital Employed = Return on Capital Employed"</w:t>
      </w:r>
    </w:p>
    <w:p w14:paraId="77E9C69B" w14:textId="7558BB82" w:rsidR="00C613FF" w:rsidRPr="00156B37" w:rsidRDefault="009E092B" w:rsidP="005E0CC7">
      <w:pPr>
        <w:rPr>
          <w:rFonts w:cs="Times New Roman"/>
          <w:color w:val="222222"/>
          <w:szCs w:val="24"/>
          <w:shd w:val="clear" w:color="auto" w:fill="FFFFFF"/>
        </w:rPr>
      </w:pPr>
      <w:r w:rsidRPr="009E092B">
        <w:t>Return on Capital Employed (ROCE) analysis is crucial for determining a company's capital efficiency and profitability while offering a full picture of its financial performance. This metric analy</w:t>
      </w:r>
      <w:r w:rsidR="00EA0544">
        <w:t>s</w:t>
      </w:r>
      <w:r w:rsidRPr="009E092B">
        <w:t>es how successfully a company earns profit from capital invested, indicating how efficient its operations are. Investors largely rely on this study to guide their decisions about business investments since it provides a transparent assessment of the company's ability to earn a profit. Furthermore, ROCE research facilitates the comparison of major investment projects, such as those in the aviation or railway industries, and assists investors in identifying viable company prospects.</w:t>
      </w:r>
      <w:r>
        <w:t xml:space="preserve"> </w:t>
      </w:r>
      <w:r w:rsidRPr="009E092B">
        <w:t xml:space="preserve">Sweets plc's observed increase in ROCE from 9.92757 to 11.1419 in 2022 reflects an improvement in the company's ability to create profit from the capital used in its operations. This encouraging pattern highlights </w:t>
      </w:r>
      <w:proofErr w:type="gramStart"/>
      <w:r w:rsidRPr="009E092B">
        <w:t>Sweets</w:t>
      </w:r>
      <w:proofErr w:type="gramEnd"/>
      <w:r w:rsidRPr="009E092B">
        <w:t xml:space="preserve"> plc's enhanced ability to produce a profit notwithstanding the capital used. The ROCE calculation is critical in determining the company's intrinsic potential to generate profit after taking into consideration the capital required to maintain and enhance this level of profitability. Because of its enhanced capacity to create returns on invested capital, ROCE </w:t>
      </w:r>
      <w:r w:rsidRPr="009E092B">
        <w:lastRenderedPageBreak/>
        <w:t xml:space="preserve">serves as a barometer of </w:t>
      </w:r>
      <w:proofErr w:type="gramStart"/>
      <w:r w:rsidRPr="009E092B">
        <w:t>Sweets</w:t>
      </w:r>
      <w:proofErr w:type="gramEnd"/>
      <w:r w:rsidRPr="009E092B">
        <w:t xml:space="preserve"> plc's financial health as well as a call to action for potential investors seeking successful enterprises</w:t>
      </w:r>
      <w:r w:rsidR="00156B37">
        <w:t xml:space="preserve"> </w:t>
      </w:r>
      <w:r w:rsidR="00AF5049">
        <w:t>(</w:t>
      </w:r>
      <w:proofErr w:type="spellStart"/>
      <w:r w:rsidR="00156B37" w:rsidRPr="00201F31">
        <w:rPr>
          <w:rFonts w:cs="Times New Roman"/>
          <w:color w:val="222222"/>
          <w:szCs w:val="24"/>
          <w:shd w:val="clear" w:color="auto" w:fill="FFFFFF"/>
        </w:rPr>
        <w:t>Gyamera</w:t>
      </w:r>
      <w:proofErr w:type="spellEnd"/>
      <w:r w:rsidR="00AF5049">
        <w:rPr>
          <w:rFonts w:cs="Times New Roman"/>
          <w:color w:val="222222"/>
          <w:szCs w:val="24"/>
          <w:shd w:val="clear" w:color="auto" w:fill="FFFFFF"/>
        </w:rPr>
        <w:t xml:space="preserve"> </w:t>
      </w:r>
      <w:r w:rsidR="00AF5049" w:rsidRPr="00AF5049">
        <w:rPr>
          <w:rFonts w:cs="Times New Roman"/>
          <w:i/>
          <w:iCs/>
          <w:color w:val="222222"/>
          <w:szCs w:val="24"/>
          <w:shd w:val="clear" w:color="auto" w:fill="FFFFFF"/>
        </w:rPr>
        <w:t>et al.,</w:t>
      </w:r>
      <w:r w:rsidR="00156B37" w:rsidRPr="00201F31">
        <w:rPr>
          <w:rFonts w:cs="Times New Roman"/>
          <w:color w:val="222222"/>
          <w:szCs w:val="24"/>
          <w:shd w:val="clear" w:color="auto" w:fill="FFFFFF"/>
        </w:rPr>
        <w:t xml:space="preserve"> </w:t>
      </w:r>
      <w:r w:rsidR="00156B37">
        <w:rPr>
          <w:rFonts w:cs="Times New Roman"/>
          <w:color w:val="222222"/>
          <w:szCs w:val="24"/>
          <w:shd w:val="clear" w:color="auto" w:fill="FFFFFF"/>
        </w:rPr>
        <w:t>2</w:t>
      </w:r>
      <w:r w:rsidR="00156B37" w:rsidRPr="00F15D29">
        <w:rPr>
          <w:rFonts w:cs="Times New Roman"/>
          <w:color w:val="222222"/>
          <w:szCs w:val="24"/>
          <w:shd w:val="clear" w:color="auto" w:fill="FFFFFF"/>
        </w:rPr>
        <w:t>023</w:t>
      </w:r>
      <w:r w:rsidR="00156B37">
        <w:rPr>
          <w:rFonts w:cs="Times New Roman"/>
          <w:color w:val="222222"/>
          <w:szCs w:val="24"/>
          <w:shd w:val="clear" w:color="auto" w:fill="FFFFFF"/>
        </w:rPr>
        <w:t>).</w:t>
      </w:r>
    </w:p>
    <w:p w14:paraId="098617BE" w14:textId="77777777" w:rsidR="00195AB4" w:rsidRPr="00195AB4" w:rsidRDefault="00000000" w:rsidP="00195AB4">
      <w:pPr>
        <w:rPr>
          <w:rFonts w:cs="Times New Roman"/>
          <w:b/>
          <w:bCs/>
          <w:i/>
          <w:iCs/>
        </w:rPr>
      </w:pPr>
      <w:r w:rsidRPr="00195AB4">
        <w:rPr>
          <w:b/>
          <w:bCs/>
          <w:i/>
          <w:iCs/>
        </w:rPr>
        <w:t>Return on equity (ROE)</w:t>
      </w:r>
    </w:p>
    <w:p w14:paraId="0309643F" w14:textId="4C6F108E" w:rsidR="00586972" w:rsidRDefault="00000000" w:rsidP="005E0CC7">
      <w:pPr>
        <w:rPr>
          <w:b/>
          <w:bCs/>
        </w:rPr>
      </w:pPr>
      <w:r w:rsidRPr="00195AB4">
        <w:rPr>
          <w:rFonts w:cs="Times New Roman"/>
          <w:i/>
          <w:iCs/>
        </w:rPr>
        <w:t>Formula</w:t>
      </w:r>
      <w:r>
        <w:rPr>
          <w:rFonts w:cs="Times New Roman"/>
          <w:b/>
          <w:bCs/>
          <w:i/>
          <w:iCs/>
        </w:rPr>
        <w:t>- “</w:t>
      </w:r>
      <w:r w:rsidRPr="008F6E49">
        <w:rPr>
          <w:b/>
          <w:bCs/>
        </w:rPr>
        <w:t>Return on equity = Annually net income / Shareholders equity</w:t>
      </w:r>
      <w:r>
        <w:rPr>
          <w:b/>
          <w:bCs/>
        </w:rPr>
        <w:t>”</w:t>
      </w:r>
    </w:p>
    <w:p w14:paraId="725C7C90" w14:textId="4C0AA687" w:rsidR="009E092B" w:rsidRPr="00156B37" w:rsidRDefault="009E092B" w:rsidP="000D7269">
      <w:pPr>
        <w:rPr>
          <w:rFonts w:cs="Times New Roman"/>
          <w:color w:val="222222"/>
          <w:szCs w:val="24"/>
          <w:shd w:val="clear" w:color="auto" w:fill="FFFFFF"/>
        </w:rPr>
      </w:pPr>
      <w:r w:rsidRPr="009E092B">
        <w:t>Return on Equity (ROE) is an important metric that is calculated by dividing net profit by shareholder equity. It demonstrates how well a corporation uses shareholder cash to achieve its business objectives. This evaluation demonstrates how well the organi</w:t>
      </w:r>
      <w:r w:rsidR="00EA0544">
        <w:t>s</w:t>
      </w:r>
      <w:r w:rsidRPr="009E092B">
        <w:t>ation allocates equity for routine business operations. ROE calculations are more than just a financial metric; they play a significant role in determining investor attitudes and future investment intentions. They act as a barometer of the company's financial health by providing a short overview of earnings attributable to equity owners for a given accounting period. Sweets plc's ROE increased from 1.22 to 1.436667 in 2022, indicating that the company is doing a better job of utili</w:t>
      </w:r>
      <w:r w:rsidR="00EA0544">
        <w:t>s</w:t>
      </w:r>
      <w:r w:rsidRPr="009E092B">
        <w:t>ing shareholder equity.</w:t>
      </w:r>
      <w:r w:rsidR="00EA0544">
        <w:t xml:space="preserve"> T</w:t>
      </w:r>
      <w:r w:rsidRPr="009E092B">
        <w:t xml:space="preserve">his not only demonstrates greater success in using equity for corporate operations but also implies a consistent financial performance that can deliver considerable returns to shareholders. Sweets plc is an appealing option for investors seeking consistent and profitable returns on their stock investments because </w:t>
      </w:r>
      <w:r w:rsidR="00AF5049">
        <w:t>of</w:t>
      </w:r>
      <w:r w:rsidRPr="009E092B">
        <w:t xml:space="preserve"> its high ROE, which reflects the company's commitment to making the best use of shareholder funds</w:t>
      </w:r>
      <w:r w:rsidR="00156B37">
        <w:t xml:space="preserve"> </w:t>
      </w:r>
      <w:r w:rsidR="00156B37">
        <w:rPr>
          <w:rFonts w:cs="Times New Roman"/>
          <w:color w:val="222222"/>
          <w:szCs w:val="24"/>
          <w:shd w:val="clear" w:color="auto" w:fill="FFFFFF"/>
        </w:rPr>
        <w:t>(</w:t>
      </w:r>
      <w:r w:rsidR="00156B37" w:rsidRPr="00201F31">
        <w:rPr>
          <w:rFonts w:cs="Times New Roman"/>
          <w:color w:val="222222"/>
          <w:szCs w:val="24"/>
          <w:shd w:val="clear" w:color="auto" w:fill="FFFFFF"/>
        </w:rPr>
        <w:t>West and Buckby,</w:t>
      </w:r>
      <w:r w:rsidR="00156B37">
        <w:rPr>
          <w:rFonts w:cs="Times New Roman"/>
          <w:color w:val="222222"/>
          <w:szCs w:val="24"/>
          <w:shd w:val="clear" w:color="auto" w:fill="FFFFFF"/>
        </w:rPr>
        <w:t xml:space="preserve"> 2</w:t>
      </w:r>
      <w:r w:rsidR="00156B37" w:rsidRPr="00F15D29">
        <w:rPr>
          <w:rFonts w:cs="Times New Roman"/>
          <w:color w:val="222222"/>
          <w:szCs w:val="24"/>
          <w:shd w:val="clear" w:color="auto" w:fill="FFFFFF"/>
        </w:rPr>
        <w:t>023</w:t>
      </w:r>
      <w:r w:rsidR="00156B37">
        <w:rPr>
          <w:rFonts w:cs="Times New Roman"/>
          <w:color w:val="222222"/>
          <w:szCs w:val="24"/>
          <w:shd w:val="clear" w:color="auto" w:fill="FFFFFF"/>
        </w:rPr>
        <w:t>).</w:t>
      </w:r>
    </w:p>
    <w:p w14:paraId="159833AC" w14:textId="1F8CA9D8" w:rsidR="000D7269" w:rsidRPr="0023536D" w:rsidRDefault="00000000" w:rsidP="000D7269">
      <w:pPr>
        <w:rPr>
          <w:b/>
          <w:bCs/>
          <w:i/>
          <w:iCs/>
        </w:rPr>
      </w:pPr>
      <w:r w:rsidRPr="0023536D">
        <w:rPr>
          <w:b/>
          <w:bCs/>
          <w:i/>
          <w:iCs/>
        </w:rPr>
        <w:t>Earnings per share (EPS)</w:t>
      </w:r>
    </w:p>
    <w:p w14:paraId="0B030B74" w14:textId="775A0FB2" w:rsidR="000D7269" w:rsidRPr="000D7269" w:rsidRDefault="00000000" w:rsidP="000D7269">
      <w:r w:rsidRPr="000D7269">
        <w:rPr>
          <w:rFonts w:cs="Times New Roman"/>
          <w:i/>
          <w:iCs/>
        </w:rPr>
        <w:t>Formula</w:t>
      </w:r>
      <w:r>
        <w:rPr>
          <w:rFonts w:cs="Times New Roman"/>
          <w:i/>
          <w:iCs/>
        </w:rPr>
        <w:t>-</w:t>
      </w:r>
      <w:r>
        <w:t xml:space="preserve"> “</w:t>
      </w:r>
      <w:r w:rsidRPr="008F6E49">
        <w:rPr>
          <w:b/>
          <w:bCs/>
        </w:rPr>
        <w:t>Earning per share = Net income of the company – Dividend to preferred shareholders / Average outstanding shares of the company</w:t>
      </w:r>
      <w:r>
        <w:rPr>
          <w:b/>
          <w:bCs/>
        </w:rPr>
        <w:t>”</w:t>
      </w:r>
    </w:p>
    <w:p w14:paraId="0F77699C" w14:textId="1A74F2D2" w:rsidR="009E092B" w:rsidRPr="009E092B" w:rsidRDefault="009E092B" w:rsidP="0023536D">
      <w:r w:rsidRPr="009E092B">
        <w:t xml:space="preserve">Earnings per share (EPS) is an essential statistic since it calculates how much a company's outstanding earnings per share were worth during a certain accounting period. This metric is </w:t>
      </w:r>
      <w:r w:rsidRPr="009E092B">
        <w:lastRenderedPageBreak/>
        <w:t>important in determining the stock price since it allows investors to evaluate the company's performance and choose properly among their investment options. EPS tracking also provides historical performance data for the company. An increased EPS indicates the likelihood of larger dividend payments, indicating solid financial status and profitability. Sweets plc's EPS fell from 2.44 to 1.436667 in 2022, indicating a challenge in expanding profits. This drop emphasi</w:t>
      </w:r>
      <w:r w:rsidR="00EA0544">
        <w:t>s</w:t>
      </w:r>
      <w:r w:rsidRPr="009E092B">
        <w:t xml:space="preserve">es the importance of Sweet Plc using innovative strategies </w:t>
      </w:r>
      <w:r w:rsidR="00AF5049">
        <w:t>to</w:t>
      </w:r>
      <w:r w:rsidRPr="009E092B">
        <w:t xml:space="preserve"> outperform competitors in the business.</w:t>
      </w:r>
      <w:r>
        <w:t xml:space="preserve"> </w:t>
      </w:r>
      <w:r w:rsidRPr="009E092B">
        <w:t>The EPS calculation provides an observable indicator of the company's efficiency and profitability. Although the drop in EPS emphasi</w:t>
      </w:r>
      <w:r w:rsidR="00EA0544">
        <w:t>s</w:t>
      </w:r>
      <w:r w:rsidRPr="009E092B">
        <w:t>es the need for strategic changes, it also emphasi</w:t>
      </w:r>
      <w:r w:rsidR="00EA0544">
        <w:t>s</w:t>
      </w:r>
      <w:r w:rsidRPr="009E092B">
        <w:t xml:space="preserve">es how much innovation is required in the competitive climate to enhance profitability. Investors can gain valuable insights into the dynamics of the company's performance and identify areas where </w:t>
      </w:r>
      <w:proofErr w:type="gramStart"/>
      <w:r w:rsidRPr="009E092B">
        <w:t>Sweet</w:t>
      </w:r>
      <w:proofErr w:type="gramEnd"/>
      <w:r w:rsidRPr="009E092B">
        <w:t xml:space="preserve"> plc needs to focus its efforts </w:t>
      </w:r>
      <w:r w:rsidR="00AF5049">
        <w:t>to</w:t>
      </w:r>
      <w:r w:rsidRPr="009E092B">
        <w:t xml:space="preserve"> improve its market position by utili</w:t>
      </w:r>
      <w:r w:rsidR="00EA0544">
        <w:t>s</w:t>
      </w:r>
      <w:r w:rsidRPr="009E092B">
        <w:t xml:space="preserve">ing EPS patterns as a reference </w:t>
      </w:r>
      <w:r w:rsidR="006929BE">
        <w:t>(</w:t>
      </w:r>
      <w:r w:rsidR="006929BE" w:rsidRPr="00201F31">
        <w:rPr>
          <w:rFonts w:cs="Times New Roman"/>
          <w:color w:val="222222"/>
          <w:szCs w:val="24"/>
          <w:shd w:val="clear" w:color="auto" w:fill="FFFFFF"/>
        </w:rPr>
        <w:t>Marcus</w:t>
      </w:r>
      <w:r w:rsidR="00AF5049">
        <w:rPr>
          <w:rFonts w:cs="Times New Roman"/>
          <w:color w:val="222222"/>
          <w:szCs w:val="24"/>
          <w:shd w:val="clear" w:color="auto" w:fill="FFFFFF"/>
        </w:rPr>
        <w:t xml:space="preserve"> </w:t>
      </w:r>
      <w:r w:rsidR="00AF5049" w:rsidRPr="00AF5049">
        <w:rPr>
          <w:rFonts w:cs="Times New Roman"/>
          <w:i/>
          <w:iCs/>
          <w:color w:val="222222"/>
          <w:szCs w:val="24"/>
          <w:shd w:val="clear" w:color="auto" w:fill="FFFFFF"/>
        </w:rPr>
        <w:t>et al.,</w:t>
      </w:r>
      <w:r w:rsidR="00AF5049">
        <w:rPr>
          <w:rFonts w:cs="Times New Roman"/>
          <w:color w:val="222222"/>
          <w:szCs w:val="24"/>
          <w:shd w:val="clear" w:color="auto" w:fill="FFFFFF"/>
        </w:rPr>
        <w:t xml:space="preserve"> </w:t>
      </w:r>
      <w:r w:rsidR="006929BE" w:rsidRPr="00F15D29">
        <w:rPr>
          <w:rFonts w:cs="Times New Roman"/>
          <w:color w:val="222222"/>
          <w:szCs w:val="24"/>
          <w:shd w:val="clear" w:color="auto" w:fill="FFFFFF"/>
        </w:rPr>
        <w:t>2023</w:t>
      </w:r>
      <w:r w:rsidR="006929BE">
        <w:rPr>
          <w:rFonts w:cs="Times New Roman"/>
          <w:color w:val="222222"/>
          <w:szCs w:val="24"/>
          <w:shd w:val="clear" w:color="auto" w:fill="FFFFFF"/>
        </w:rPr>
        <w:t>).</w:t>
      </w:r>
    </w:p>
    <w:p w14:paraId="01482064" w14:textId="7650A92F" w:rsidR="0023536D" w:rsidRPr="0023536D" w:rsidRDefault="00000000" w:rsidP="0023536D">
      <w:pPr>
        <w:rPr>
          <w:b/>
          <w:bCs/>
          <w:i/>
          <w:iCs/>
        </w:rPr>
      </w:pPr>
      <w:r w:rsidRPr="0023536D">
        <w:rPr>
          <w:b/>
          <w:bCs/>
          <w:i/>
          <w:iCs/>
        </w:rPr>
        <w:t>Net profit margin</w:t>
      </w:r>
    </w:p>
    <w:p w14:paraId="723B6C6D" w14:textId="6E8E07EA" w:rsidR="00C57398" w:rsidRDefault="00000000" w:rsidP="009D026E">
      <w:pPr>
        <w:rPr>
          <w:b/>
          <w:bCs/>
        </w:rPr>
      </w:pPr>
      <w:r w:rsidRPr="0023536D">
        <w:rPr>
          <w:rFonts w:cs="Times New Roman"/>
          <w:i/>
          <w:iCs/>
        </w:rPr>
        <w:t>Formula</w:t>
      </w:r>
      <w:r>
        <w:rPr>
          <w:rFonts w:cs="Times New Roman"/>
          <w:i/>
          <w:iCs/>
        </w:rPr>
        <w:t>-</w:t>
      </w:r>
      <w:r>
        <w:t xml:space="preserve"> “</w:t>
      </w:r>
      <w:r w:rsidRPr="008F6E49">
        <w:rPr>
          <w:b/>
          <w:bCs/>
        </w:rPr>
        <w:t>Net profit margin = Revenue – Cost / Revenue</w:t>
      </w:r>
      <w:r>
        <w:rPr>
          <w:b/>
          <w:bCs/>
        </w:rPr>
        <w:t>”</w:t>
      </w:r>
    </w:p>
    <w:p w14:paraId="5FE4CBF7" w14:textId="19FE1AD1" w:rsidR="009E092B" w:rsidRDefault="009E092B" w:rsidP="009D026E">
      <w:r w:rsidRPr="009E092B">
        <w:t xml:space="preserve">The net profit margin is an important indicator of a company's profitability and financial health during a certain </w:t>
      </w:r>
      <w:r w:rsidR="00AF5049">
        <w:t>period</w:t>
      </w:r>
      <w:r w:rsidRPr="009E092B">
        <w:t xml:space="preserve">. It provides a comprehensive view of a company's cost-effectiveness by collecting all earnings after deducting indirect costs and tax obligations. Furthermore, this metric makes it easier to compare performance over different </w:t>
      </w:r>
      <w:r w:rsidR="00AF5049">
        <w:t>periods</w:t>
      </w:r>
      <w:r w:rsidRPr="009E092B">
        <w:t>, which aids in assessing the status of the organi</w:t>
      </w:r>
      <w:r w:rsidR="00EA0544">
        <w:t>s</w:t>
      </w:r>
      <w:r w:rsidRPr="009E092B">
        <w:t xml:space="preserve">ation. Sweets plc's net profit margin increased from 5.682347 to 6.396557 in 2022, showing an increase in profitability. The aforementioned calculation displays the net profit per unit, indicating that </w:t>
      </w:r>
      <w:proofErr w:type="gramStart"/>
      <w:r w:rsidRPr="009E092B">
        <w:t>Sweets</w:t>
      </w:r>
      <w:proofErr w:type="gramEnd"/>
      <w:r w:rsidRPr="009E092B">
        <w:t xml:space="preserve"> plc has increased its profitability through effective cost control and reduction techniques. </w:t>
      </w:r>
    </w:p>
    <w:p w14:paraId="7D5E30C7" w14:textId="456E025F" w:rsidR="0023536D" w:rsidRDefault="009E092B" w:rsidP="009D026E">
      <w:r w:rsidRPr="009E092B">
        <w:lastRenderedPageBreak/>
        <w:t>The growing net profit margin demonstrates how well the company has managed costs and how adept it is at improving financial performance</w:t>
      </w:r>
      <w:r w:rsidR="00461BE2">
        <w:t xml:space="preserve"> (</w:t>
      </w:r>
      <w:r w:rsidR="00461BE2" w:rsidRPr="00201F31">
        <w:rPr>
          <w:rFonts w:cs="Times New Roman"/>
          <w:color w:val="222222"/>
          <w:szCs w:val="24"/>
          <w:shd w:val="clear" w:color="auto" w:fill="FFFFFF"/>
        </w:rPr>
        <w:t>Deegan</w:t>
      </w:r>
      <w:r w:rsidR="00AF5049">
        <w:rPr>
          <w:rFonts w:cs="Times New Roman"/>
          <w:color w:val="222222"/>
          <w:szCs w:val="24"/>
          <w:shd w:val="clear" w:color="auto" w:fill="FFFFFF"/>
        </w:rPr>
        <w:t xml:space="preserve"> </w:t>
      </w:r>
      <w:r w:rsidR="00AF5049" w:rsidRPr="00AF5049">
        <w:rPr>
          <w:rFonts w:cs="Times New Roman"/>
          <w:i/>
          <w:iCs/>
          <w:color w:val="222222"/>
          <w:szCs w:val="24"/>
          <w:shd w:val="clear" w:color="auto" w:fill="FFFFFF"/>
        </w:rPr>
        <w:t>et al.</w:t>
      </w:r>
      <w:r w:rsidR="00461BE2" w:rsidRPr="00AF5049">
        <w:rPr>
          <w:rFonts w:cs="Times New Roman"/>
          <w:i/>
          <w:iCs/>
          <w:color w:val="222222"/>
          <w:szCs w:val="24"/>
          <w:shd w:val="clear" w:color="auto" w:fill="FFFFFF"/>
        </w:rPr>
        <w:t>,</w:t>
      </w:r>
      <w:r w:rsidR="00461BE2">
        <w:rPr>
          <w:rFonts w:cs="Times New Roman"/>
          <w:color w:val="222222"/>
          <w:szCs w:val="24"/>
          <w:shd w:val="clear" w:color="auto" w:fill="FFFFFF"/>
        </w:rPr>
        <w:t xml:space="preserve"> </w:t>
      </w:r>
      <w:r w:rsidR="00461BE2" w:rsidRPr="00F15D29">
        <w:rPr>
          <w:rFonts w:cs="Times New Roman"/>
          <w:color w:val="222222"/>
          <w:szCs w:val="24"/>
          <w:shd w:val="clear" w:color="auto" w:fill="FFFFFF"/>
        </w:rPr>
        <w:t>2023</w:t>
      </w:r>
      <w:r w:rsidR="00461BE2">
        <w:rPr>
          <w:rFonts w:cs="Times New Roman"/>
          <w:color w:val="222222"/>
          <w:szCs w:val="24"/>
          <w:shd w:val="clear" w:color="auto" w:fill="FFFFFF"/>
        </w:rPr>
        <w:t>)</w:t>
      </w:r>
      <w:r w:rsidR="00301E5D">
        <w:rPr>
          <w:rFonts w:cs="Times New Roman"/>
          <w:color w:val="222222"/>
          <w:szCs w:val="24"/>
          <w:shd w:val="clear" w:color="auto" w:fill="FFFFFF"/>
        </w:rPr>
        <w:t>.</w:t>
      </w:r>
    </w:p>
    <w:p w14:paraId="39B78FF3" w14:textId="77777777" w:rsidR="00F47751" w:rsidRPr="00F47751" w:rsidRDefault="00000000" w:rsidP="00F47751">
      <w:pPr>
        <w:rPr>
          <w:b/>
          <w:bCs/>
          <w:i/>
          <w:iCs/>
        </w:rPr>
      </w:pPr>
      <w:r w:rsidRPr="00F47751">
        <w:rPr>
          <w:b/>
          <w:bCs/>
          <w:i/>
          <w:iCs/>
        </w:rPr>
        <w:t>Asset turnover ratio</w:t>
      </w:r>
    </w:p>
    <w:p w14:paraId="6A836345" w14:textId="3A3C4632" w:rsidR="00A564B3" w:rsidRDefault="00000000" w:rsidP="009D026E">
      <w:pPr>
        <w:rPr>
          <w:b/>
          <w:bCs/>
        </w:rPr>
      </w:pPr>
      <w:r w:rsidRPr="00F47751">
        <w:rPr>
          <w:rFonts w:cs="Times New Roman"/>
          <w:i/>
          <w:iCs/>
        </w:rPr>
        <w:t>Formula</w:t>
      </w:r>
      <w:r>
        <w:rPr>
          <w:rFonts w:cs="Times New Roman"/>
          <w:b/>
          <w:bCs/>
        </w:rPr>
        <w:t>- “</w:t>
      </w:r>
      <w:r w:rsidRPr="008F6E49">
        <w:rPr>
          <w:b/>
          <w:bCs/>
        </w:rPr>
        <w:t>Assets turnover ratio = Net sales / Average total assets</w:t>
      </w:r>
      <w:r>
        <w:rPr>
          <w:b/>
          <w:bCs/>
        </w:rPr>
        <w:t>”</w:t>
      </w:r>
    </w:p>
    <w:p w14:paraId="6AA9F8B6" w14:textId="1FD04A7B" w:rsidR="00F47751" w:rsidRDefault="009E092B" w:rsidP="009D026E">
      <w:r w:rsidRPr="009E092B">
        <w:t>The assets turnover ratio analysis is a critical technique for determining how successfully a company uses its assets to increase sales and profitability. This metric evaluates a company's capacity to employ both current and fixed assets to increase total profit in a given accounting period. Increased returns reflect efficient asset utilisation, as evidenced by a higher percentage in the asset turnover ratio. This ratio provides insight into operational efficiency while also supporting senior management in making asset acquisition or sale decisions.</w:t>
      </w:r>
      <w:r>
        <w:t xml:space="preserve">  </w:t>
      </w:r>
      <w:r w:rsidRPr="009E092B">
        <w:t>Sweets plc's asset turnover ratio declined from 1.277089 to 0.679816 in 2022, showing a falling capacity to increase sales and raise income through asset utilisation. This reduction emphasi</w:t>
      </w:r>
      <w:r w:rsidR="00EA0544">
        <w:t>s</w:t>
      </w:r>
      <w:r w:rsidRPr="009E092B">
        <w:t xml:space="preserve">es the company's need to increase daily operating efficiency </w:t>
      </w:r>
      <w:r w:rsidR="00AF5049">
        <w:t>to</w:t>
      </w:r>
      <w:r w:rsidRPr="009E092B">
        <w:t xml:space="preserve"> maximi</w:t>
      </w:r>
      <w:r w:rsidR="00EA0544">
        <w:t>s</w:t>
      </w:r>
      <w:r w:rsidRPr="009E092B">
        <w:t>e asset utili</w:t>
      </w:r>
      <w:r w:rsidR="00EA0544">
        <w:t>s</w:t>
      </w:r>
      <w:r w:rsidRPr="009E092B">
        <w:t xml:space="preserve">ation. It argues for carefully repurposing </w:t>
      </w:r>
      <w:proofErr w:type="gramStart"/>
      <w:r w:rsidR="00355F3C">
        <w:t>Sweets</w:t>
      </w:r>
      <w:proofErr w:type="gramEnd"/>
      <w:r w:rsidRPr="009E092B">
        <w:t xml:space="preserve"> plc's assets </w:t>
      </w:r>
      <w:r w:rsidR="00AF5049">
        <w:t>to</w:t>
      </w:r>
      <w:r w:rsidRPr="009E092B">
        <w:t xml:space="preserve"> boost and recapture the company's potential to produce sales</w:t>
      </w:r>
      <w:r w:rsidR="00301E5D">
        <w:t xml:space="preserve"> (</w:t>
      </w:r>
      <w:r w:rsidR="00301E5D" w:rsidRPr="00201F31">
        <w:rPr>
          <w:rFonts w:cs="Times New Roman"/>
          <w:color w:val="222222"/>
          <w:szCs w:val="24"/>
          <w:shd w:val="clear" w:color="auto" w:fill="FFFFFF"/>
        </w:rPr>
        <w:t>Baker</w:t>
      </w:r>
      <w:r w:rsidR="00AF5049">
        <w:rPr>
          <w:rFonts w:cs="Times New Roman"/>
          <w:color w:val="222222"/>
          <w:szCs w:val="24"/>
          <w:shd w:val="clear" w:color="auto" w:fill="FFFFFF"/>
        </w:rPr>
        <w:t xml:space="preserve"> </w:t>
      </w:r>
      <w:r w:rsidR="00AF5049" w:rsidRPr="00AF5049">
        <w:rPr>
          <w:rFonts w:cs="Times New Roman"/>
          <w:i/>
          <w:iCs/>
          <w:color w:val="222222"/>
          <w:szCs w:val="24"/>
          <w:shd w:val="clear" w:color="auto" w:fill="FFFFFF"/>
        </w:rPr>
        <w:t>et al.</w:t>
      </w:r>
      <w:r w:rsidR="00301E5D" w:rsidRPr="00AF5049">
        <w:rPr>
          <w:rFonts w:cs="Times New Roman"/>
          <w:i/>
          <w:iCs/>
          <w:color w:val="222222"/>
          <w:szCs w:val="24"/>
          <w:shd w:val="clear" w:color="auto" w:fill="FFFFFF"/>
        </w:rPr>
        <w:t>,</w:t>
      </w:r>
      <w:r w:rsidR="00301E5D" w:rsidRPr="00201F31">
        <w:rPr>
          <w:rFonts w:cs="Times New Roman"/>
          <w:color w:val="222222"/>
          <w:szCs w:val="24"/>
          <w:shd w:val="clear" w:color="auto" w:fill="FFFFFF"/>
        </w:rPr>
        <w:t xml:space="preserve"> </w:t>
      </w:r>
      <w:r w:rsidR="00301E5D" w:rsidRPr="00F15D29">
        <w:rPr>
          <w:rFonts w:cs="Times New Roman"/>
          <w:color w:val="222222"/>
          <w:szCs w:val="24"/>
          <w:shd w:val="clear" w:color="auto" w:fill="FFFFFF"/>
        </w:rPr>
        <w:t>2023</w:t>
      </w:r>
      <w:r w:rsidR="00301E5D">
        <w:rPr>
          <w:rFonts w:cs="Times New Roman"/>
          <w:color w:val="222222"/>
          <w:szCs w:val="24"/>
          <w:shd w:val="clear" w:color="auto" w:fill="FFFFFF"/>
        </w:rPr>
        <w:t>).</w:t>
      </w:r>
    </w:p>
    <w:p w14:paraId="29662802" w14:textId="77777777" w:rsidR="00AD3B2F" w:rsidRPr="00AD3B2F" w:rsidRDefault="00000000" w:rsidP="00AD3B2F">
      <w:pPr>
        <w:rPr>
          <w:b/>
          <w:bCs/>
          <w:i/>
          <w:iCs/>
        </w:rPr>
      </w:pPr>
      <w:r w:rsidRPr="00AD3B2F">
        <w:rPr>
          <w:b/>
          <w:bCs/>
          <w:i/>
          <w:iCs/>
        </w:rPr>
        <w:t>Stock holding days</w:t>
      </w:r>
    </w:p>
    <w:p w14:paraId="4F198D72" w14:textId="26A496DA" w:rsidR="00AD3B2F" w:rsidRDefault="00000000" w:rsidP="00AD3B2F">
      <w:pPr>
        <w:rPr>
          <w:b/>
          <w:bCs/>
        </w:rPr>
      </w:pPr>
      <w:r w:rsidRPr="00AD3B2F">
        <w:rPr>
          <w:rFonts w:cs="Times New Roman"/>
          <w:i/>
          <w:iCs/>
        </w:rPr>
        <w:t>Formula</w:t>
      </w:r>
      <w:r>
        <w:rPr>
          <w:rFonts w:cs="Times New Roman"/>
          <w:b/>
          <w:bCs/>
        </w:rPr>
        <w:t>- “</w:t>
      </w:r>
      <w:r w:rsidRPr="008F6E49">
        <w:rPr>
          <w:b/>
          <w:bCs/>
        </w:rPr>
        <w:t>Stock holding days = Closing stock / Cost of goods sold x 365</w:t>
      </w:r>
      <w:r>
        <w:rPr>
          <w:b/>
          <w:bCs/>
        </w:rPr>
        <w:t>”</w:t>
      </w:r>
    </w:p>
    <w:p w14:paraId="3C1C71F2" w14:textId="2FBBD92F" w:rsidR="008101E7" w:rsidRDefault="008101E7" w:rsidP="00AD3B2F">
      <w:r w:rsidRPr="008101E7">
        <w:t xml:space="preserve">The study of stock holding days is a valuable statistic that assesses how long it takes a firm to convert its stock into sales. This evaluation considers the company's stock turnover speed as well as its overall performance. Increased stock holding days indicate that product sales are challenging and that more aggressive sales efforts are required. Longer </w:t>
      </w:r>
      <w:r w:rsidR="00AF5049">
        <w:t>stock-holding</w:t>
      </w:r>
      <w:r w:rsidRPr="008101E7">
        <w:t xml:space="preserve"> days might provide advantages such as tax deductions and lower overhead costs, but corporations normally seek to keep this time as short as possible </w:t>
      </w:r>
      <w:r w:rsidR="00AF5049">
        <w:t>to</w:t>
      </w:r>
      <w:r w:rsidRPr="008101E7">
        <w:t xml:space="preserve"> maximi</w:t>
      </w:r>
      <w:r w:rsidR="00EA0544">
        <w:t>s</w:t>
      </w:r>
      <w:r w:rsidRPr="008101E7">
        <w:t>e earnings during an accounting period.</w:t>
      </w:r>
      <w:r>
        <w:t xml:space="preserve"> </w:t>
      </w:r>
      <w:r w:rsidRPr="008101E7">
        <w:t xml:space="preserve">Sweet's plc's </w:t>
      </w:r>
      <w:r w:rsidRPr="008101E7">
        <w:lastRenderedPageBreak/>
        <w:t>stock holding days increased from 77.69218346 to 79.8825 in 2022, indicating that the company may be having difficulty turning inventories into sales rapidly. This could be because of changes in market dynamics that affect demand for</w:t>
      </w:r>
      <w:r w:rsidR="00AF5049">
        <w:t xml:space="preserve"> its</w:t>
      </w:r>
      <w:r w:rsidRPr="008101E7">
        <w:t xml:space="preserve"> products. This emphasi</w:t>
      </w:r>
      <w:r w:rsidR="00EA0544">
        <w:t>s</w:t>
      </w:r>
      <w:r w:rsidRPr="008101E7">
        <w:t>es the importance of the organi</w:t>
      </w:r>
      <w:r w:rsidR="00EA0544">
        <w:t>s</w:t>
      </w:r>
      <w:r w:rsidRPr="008101E7">
        <w:t xml:space="preserve">ation's ability to modify and respond effectively to changing market conditions </w:t>
      </w:r>
      <w:r w:rsidR="00AF5049">
        <w:t>to</w:t>
      </w:r>
      <w:r w:rsidRPr="008101E7">
        <w:t xml:space="preserve"> maximi</w:t>
      </w:r>
      <w:r w:rsidR="00EA0544">
        <w:t>s</w:t>
      </w:r>
      <w:r w:rsidRPr="008101E7">
        <w:t>e stock rotation and financial rewards</w:t>
      </w:r>
      <w:r w:rsidR="00C829EA">
        <w:t xml:space="preserve"> (</w:t>
      </w:r>
      <w:r w:rsidR="00C829EA" w:rsidRPr="00F20FF3">
        <w:rPr>
          <w:rFonts w:cs="Times New Roman"/>
          <w:color w:val="222222"/>
          <w:szCs w:val="24"/>
          <w:shd w:val="clear" w:color="auto" w:fill="FFFFFF"/>
        </w:rPr>
        <w:t xml:space="preserve">Edwards, </w:t>
      </w:r>
      <w:r w:rsidR="00C829EA" w:rsidRPr="00F15D29">
        <w:rPr>
          <w:rFonts w:cs="Times New Roman"/>
          <w:color w:val="222222"/>
          <w:szCs w:val="24"/>
          <w:shd w:val="clear" w:color="auto" w:fill="FFFFFF"/>
        </w:rPr>
        <w:t>2023</w:t>
      </w:r>
      <w:r w:rsidR="00C829EA">
        <w:rPr>
          <w:rFonts w:cs="Times New Roman"/>
          <w:color w:val="222222"/>
          <w:szCs w:val="24"/>
          <w:shd w:val="clear" w:color="auto" w:fill="FFFFFF"/>
        </w:rPr>
        <w:t>).</w:t>
      </w:r>
    </w:p>
    <w:p w14:paraId="16D0273B" w14:textId="461B9921" w:rsidR="00184458" w:rsidRPr="00184458" w:rsidRDefault="000B10A8" w:rsidP="00184458">
      <w:pPr>
        <w:rPr>
          <w:b/>
          <w:bCs/>
          <w:i/>
          <w:iCs/>
        </w:rPr>
      </w:pPr>
      <w:r w:rsidRPr="00184458">
        <w:rPr>
          <w:b/>
          <w:bCs/>
          <w:i/>
          <w:iCs/>
        </w:rPr>
        <w:t>Debtors’ collection period</w:t>
      </w:r>
    </w:p>
    <w:p w14:paraId="08D4A81E" w14:textId="5CEB9590" w:rsidR="00127A2F" w:rsidRDefault="00000000" w:rsidP="00AD3B2F">
      <w:pPr>
        <w:rPr>
          <w:b/>
          <w:bCs/>
        </w:rPr>
      </w:pPr>
      <w:r w:rsidRPr="00184458">
        <w:rPr>
          <w:rFonts w:cs="Times New Roman"/>
          <w:i/>
          <w:iCs/>
        </w:rPr>
        <w:t>Formula</w:t>
      </w:r>
      <w:r>
        <w:rPr>
          <w:rFonts w:cs="Times New Roman"/>
          <w:i/>
          <w:iCs/>
        </w:rPr>
        <w:t>-</w:t>
      </w:r>
      <w:r>
        <w:t xml:space="preserve"> “</w:t>
      </w:r>
      <w:r w:rsidRPr="008F6E49">
        <w:rPr>
          <w:b/>
          <w:bCs/>
        </w:rPr>
        <w:t>Debtors collection period = Sundry debtors / sales turnover x 365</w:t>
      </w:r>
      <w:r>
        <w:rPr>
          <w:b/>
          <w:bCs/>
        </w:rPr>
        <w:t>”</w:t>
      </w:r>
    </w:p>
    <w:p w14:paraId="24DB038D" w14:textId="4948159C" w:rsidR="00184458" w:rsidRDefault="008101E7" w:rsidP="00AD3B2F">
      <w:r w:rsidRPr="008101E7">
        <w:t xml:space="preserve">The analysis of the debtor's collection period reflects the amount of time required by the firm to collect all of the monies owed from its numerous borrowers. It aided the company in comparing the actual collection duration to the credit term granted. According to this assessment, the company has adequate cash on hand to pay its current expenses. The length reflects the importance the company places on its </w:t>
      </w:r>
      <w:r w:rsidR="00AF5049">
        <w:t>accounts</w:t>
      </w:r>
      <w:r w:rsidRPr="008101E7">
        <w:t xml:space="preserve"> receivable management operations. Sweets plc was able to reduce the collection period from 72.93199814 to 67.6588 by 2022. This suggests that </w:t>
      </w:r>
      <w:proofErr w:type="gramStart"/>
      <w:r w:rsidRPr="008101E7">
        <w:t>Sweets</w:t>
      </w:r>
      <w:proofErr w:type="gramEnd"/>
      <w:r w:rsidRPr="008101E7">
        <w:t xml:space="preserve"> plc developed specific procedures and standards to reduce the time it </w:t>
      </w:r>
      <w:r w:rsidR="00AF5049">
        <w:t xml:space="preserve">is </w:t>
      </w:r>
      <w:r w:rsidRPr="008101E7">
        <w:t>required to collect debts from its customers</w:t>
      </w:r>
      <w:r w:rsidR="00B07D36">
        <w:t xml:space="preserve"> (</w:t>
      </w:r>
      <w:r w:rsidR="00B07D36" w:rsidRPr="00F20FF3">
        <w:rPr>
          <w:rFonts w:cs="Times New Roman"/>
          <w:color w:val="222222"/>
          <w:szCs w:val="24"/>
          <w:shd w:val="clear" w:color="auto" w:fill="FFFFFF"/>
        </w:rPr>
        <w:t>McClure</w:t>
      </w:r>
      <w:r w:rsidR="00A056A4">
        <w:rPr>
          <w:rFonts w:cs="Times New Roman"/>
          <w:color w:val="222222"/>
          <w:szCs w:val="24"/>
          <w:shd w:val="clear" w:color="auto" w:fill="FFFFFF"/>
        </w:rPr>
        <w:t xml:space="preserve"> </w:t>
      </w:r>
      <w:r w:rsidR="00A056A4" w:rsidRPr="00A056A4">
        <w:rPr>
          <w:rFonts w:cs="Times New Roman"/>
          <w:i/>
          <w:iCs/>
          <w:color w:val="222222"/>
          <w:szCs w:val="24"/>
          <w:shd w:val="clear" w:color="auto" w:fill="FFFFFF"/>
        </w:rPr>
        <w:t>et al.</w:t>
      </w:r>
      <w:r w:rsidR="00B07D36" w:rsidRPr="00A056A4">
        <w:rPr>
          <w:rFonts w:cs="Times New Roman"/>
          <w:i/>
          <w:iCs/>
          <w:color w:val="222222"/>
          <w:szCs w:val="24"/>
          <w:shd w:val="clear" w:color="auto" w:fill="FFFFFF"/>
        </w:rPr>
        <w:t>,</w:t>
      </w:r>
      <w:r w:rsidR="00B07D36" w:rsidRPr="00F20FF3">
        <w:rPr>
          <w:rFonts w:cs="Times New Roman"/>
          <w:color w:val="222222"/>
          <w:szCs w:val="24"/>
          <w:shd w:val="clear" w:color="auto" w:fill="FFFFFF"/>
        </w:rPr>
        <w:t xml:space="preserve"> </w:t>
      </w:r>
      <w:r w:rsidR="00B07D36" w:rsidRPr="00F15D29">
        <w:rPr>
          <w:rFonts w:cs="Times New Roman"/>
          <w:color w:val="222222"/>
          <w:szCs w:val="24"/>
          <w:shd w:val="clear" w:color="auto" w:fill="FFFFFF"/>
        </w:rPr>
        <w:t>2023</w:t>
      </w:r>
      <w:r w:rsidR="00B07D36">
        <w:rPr>
          <w:rFonts w:cs="Times New Roman"/>
          <w:color w:val="222222"/>
          <w:szCs w:val="24"/>
          <w:shd w:val="clear" w:color="auto" w:fill="FFFFFF"/>
        </w:rPr>
        <w:t>).</w:t>
      </w:r>
    </w:p>
    <w:p w14:paraId="1A7B2036" w14:textId="77777777" w:rsidR="006C185C" w:rsidRPr="006C185C" w:rsidRDefault="00000000" w:rsidP="006C185C">
      <w:pPr>
        <w:rPr>
          <w:b/>
          <w:bCs/>
          <w:i/>
          <w:iCs/>
        </w:rPr>
      </w:pPr>
      <w:r w:rsidRPr="006C185C">
        <w:rPr>
          <w:b/>
          <w:bCs/>
          <w:i/>
          <w:iCs/>
        </w:rPr>
        <w:t>Current ratio</w:t>
      </w:r>
    </w:p>
    <w:p w14:paraId="3F2DD8A6" w14:textId="44A80283" w:rsidR="00A356E2" w:rsidRDefault="00000000" w:rsidP="00AD3B2F">
      <w:pPr>
        <w:rPr>
          <w:b/>
          <w:bCs/>
        </w:rPr>
      </w:pPr>
      <w:r>
        <w:rPr>
          <w:rFonts w:cs="Times New Roman"/>
          <w:b/>
          <w:bCs/>
        </w:rPr>
        <w:t xml:space="preserve"> “</w:t>
      </w:r>
      <w:r w:rsidRPr="008F6E49">
        <w:rPr>
          <w:b/>
          <w:bCs/>
        </w:rPr>
        <w:t>Current ratio = Current assets / Current liabilities</w:t>
      </w:r>
      <w:r>
        <w:rPr>
          <w:b/>
          <w:bCs/>
        </w:rPr>
        <w:t>”</w:t>
      </w:r>
    </w:p>
    <w:p w14:paraId="7F8C3D43" w14:textId="7DF4CD0D" w:rsidR="005B638E" w:rsidRPr="0081235A" w:rsidRDefault="008101E7" w:rsidP="005B638E">
      <w:pPr>
        <w:rPr>
          <w:rFonts w:cs="Times New Roman"/>
          <w:szCs w:val="24"/>
        </w:rPr>
      </w:pPr>
      <w:r w:rsidRPr="008101E7">
        <w:t xml:space="preserve">The current ratio calculation demonstrates how successfully a company </w:t>
      </w:r>
      <w:r w:rsidR="00AC5A61">
        <w:t>would</w:t>
      </w:r>
      <w:r w:rsidRPr="008101E7">
        <w:t xml:space="preserve"> its short-term loan</w:t>
      </w:r>
      <w:r w:rsidR="00AC5A61">
        <w:t>s</w:t>
      </w:r>
      <w:r w:rsidRPr="008101E7">
        <w:t xml:space="preserve">. The examination cannot display a company's overall solvency picture; it can only show the company's short-term liquidity. </w:t>
      </w:r>
      <w:r w:rsidR="00AC5A61">
        <w:t>Its</w:t>
      </w:r>
      <w:r w:rsidRPr="008101E7">
        <w:t xml:space="preserve"> sustained financial success increased the company's current ratio from 3.311556139 to 3.87734. This will also indicate how well </w:t>
      </w:r>
      <w:proofErr w:type="gramStart"/>
      <w:r w:rsidR="00C23827">
        <w:t>Sweets</w:t>
      </w:r>
      <w:proofErr w:type="gramEnd"/>
      <w:r w:rsidRPr="008101E7">
        <w:t xml:space="preserve"> plc </w:t>
      </w:r>
      <w:r w:rsidR="00AF5049">
        <w:t>can</w:t>
      </w:r>
      <w:r w:rsidRPr="008101E7">
        <w:t xml:space="preserve"> convert its </w:t>
      </w:r>
      <w:r w:rsidRPr="008101E7">
        <w:lastRenderedPageBreak/>
        <w:t>assets into cash and cash equiv</w:t>
      </w:r>
      <w:r w:rsidRPr="0081235A">
        <w:rPr>
          <w:rFonts w:cs="Times New Roman"/>
          <w:szCs w:val="24"/>
        </w:rPr>
        <w:t>alent items throughout the accounting term. It demonstrates</w:t>
      </w:r>
      <w:r w:rsidR="00A056A4" w:rsidRPr="0081235A">
        <w:rPr>
          <w:rFonts w:cs="Times New Roman"/>
          <w:szCs w:val="24"/>
        </w:rPr>
        <w:t xml:space="preserve"> </w:t>
      </w:r>
      <w:r w:rsidR="00355F3C" w:rsidRPr="0081235A">
        <w:rPr>
          <w:rFonts w:cs="Times New Roman"/>
          <w:szCs w:val="24"/>
        </w:rPr>
        <w:t xml:space="preserve">the </w:t>
      </w:r>
      <w:r w:rsidRPr="0081235A">
        <w:rPr>
          <w:rFonts w:cs="Times New Roman"/>
          <w:szCs w:val="24"/>
        </w:rPr>
        <w:t xml:space="preserve">ability to manage working capital </w:t>
      </w:r>
      <w:r w:rsidR="00630588" w:rsidRPr="0081235A">
        <w:rPr>
          <w:rFonts w:cs="Times New Roman"/>
          <w:szCs w:val="24"/>
        </w:rPr>
        <w:t>(</w:t>
      </w:r>
      <w:proofErr w:type="spellStart"/>
      <w:r w:rsidR="00630588" w:rsidRPr="0081235A">
        <w:rPr>
          <w:rFonts w:cs="Times New Roman"/>
          <w:color w:val="222222"/>
          <w:szCs w:val="24"/>
          <w:shd w:val="clear" w:color="auto" w:fill="FFFFFF"/>
        </w:rPr>
        <w:t>Rogošić</w:t>
      </w:r>
      <w:proofErr w:type="spellEnd"/>
      <w:r w:rsidR="00630588" w:rsidRPr="0081235A">
        <w:rPr>
          <w:rFonts w:cs="Times New Roman"/>
          <w:color w:val="222222"/>
          <w:szCs w:val="24"/>
          <w:shd w:val="clear" w:color="auto" w:fill="FFFFFF"/>
        </w:rPr>
        <w:t>, and Perica, 2023).</w:t>
      </w:r>
    </w:p>
    <w:p w14:paraId="3E915894" w14:textId="77777777" w:rsidR="00135D2D" w:rsidRPr="0081235A" w:rsidRDefault="00000000" w:rsidP="00135D2D">
      <w:pPr>
        <w:rPr>
          <w:rFonts w:cs="Times New Roman"/>
          <w:b/>
          <w:bCs/>
          <w:i/>
          <w:iCs/>
          <w:szCs w:val="24"/>
        </w:rPr>
      </w:pPr>
      <w:r w:rsidRPr="0081235A">
        <w:rPr>
          <w:rFonts w:cs="Times New Roman"/>
          <w:b/>
          <w:bCs/>
          <w:i/>
          <w:iCs/>
          <w:szCs w:val="24"/>
        </w:rPr>
        <w:t>Gearing ratio</w:t>
      </w:r>
    </w:p>
    <w:p w14:paraId="70DD9074" w14:textId="433F1EDC" w:rsidR="00364202" w:rsidRPr="0081235A" w:rsidRDefault="00000000" w:rsidP="005B638E">
      <w:pPr>
        <w:rPr>
          <w:rFonts w:cs="Times New Roman"/>
          <w:b/>
          <w:bCs/>
          <w:szCs w:val="24"/>
        </w:rPr>
      </w:pPr>
      <w:r w:rsidRPr="0081235A">
        <w:rPr>
          <w:rFonts w:cs="Times New Roman"/>
          <w:b/>
          <w:bCs/>
          <w:szCs w:val="24"/>
        </w:rPr>
        <w:t>“Gearing ratio = Long-term debt + Short-term debt + Bank overdraft / Share holder equity”</w:t>
      </w:r>
    </w:p>
    <w:p w14:paraId="42F20BED" w14:textId="2E0577C8" w:rsidR="008101E7" w:rsidRPr="0081235A" w:rsidRDefault="008101E7" w:rsidP="0087259D">
      <w:pPr>
        <w:rPr>
          <w:rFonts w:cs="Times New Roman"/>
          <w:szCs w:val="24"/>
        </w:rPr>
      </w:pPr>
      <w:r w:rsidRPr="0081235A">
        <w:rPr>
          <w:rFonts w:cs="Times New Roman"/>
          <w:color w:val="161719"/>
          <w:szCs w:val="24"/>
          <w:shd w:val="clear" w:color="auto" w:fill="FFFFFF"/>
        </w:rPr>
        <w:t xml:space="preserve">The gearing ratio is a financial metric that compares a company's debt </w:t>
      </w:r>
      <w:r w:rsidR="0081235A" w:rsidRPr="0081235A">
        <w:rPr>
          <w:rFonts w:cs="Times New Roman"/>
          <w:color w:val="161719"/>
          <w:szCs w:val="24"/>
          <w:shd w:val="clear" w:color="auto" w:fill="FFFFFF"/>
        </w:rPr>
        <w:t>to the stock that owners possess.</w:t>
      </w:r>
      <w:r w:rsidRPr="0081235A">
        <w:rPr>
          <w:rFonts w:cs="Times New Roman"/>
          <w:color w:val="161719"/>
          <w:szCs w:val="24"/>
          <w:shd w:val="clear" w:color="auto" w:fill="FFFFFF"/>
        </w:rPr>
        <w:t xml:space="preserve"> It reflects the company's </w:t>
      </w:r>
      <w:r w:rsidR="0081235A" w:rsidRPr="0081235A">
        <w:rPr>
          <w:rFonts w:cs="Times New Roman"/>
          <w:color w:val="161719"/>
          <w:szCs w:val="24"/>
          <w:shd w:val="clear" w:color="auto" w:fill="FFFFFF"/>
        </w:rPr>
        <w:t>payment capacity and degree of leverage</w:t>
      </w:r>
      <w:r w:rsidRPr="0081235A">
        <w:rPr>
          <w:rFonts w:cs="Times New Roman"/>
          <w:color w:val="161719"/>
          <w:szCs w:val="24"/>
          <w:shd w:val="clear" w:color="auto" w:fill="FFFFFF"/>
        </w:rPr>
        <w:t>. It also indicates the proportion of operations f</w:t>
      </w:r>
      <w:r w:rsidR="0081235A">
        <w:rPr>
          <w:rFonts w:cs="Times New Roman"/>
          <w:color w:val="161719"/>
          <w:szCs w:val="24"/>
          <w:shd w:val="clear" w:color="auto" w:fill="FFFFFF"/>
        </w:rPr>
        <w:t>inanced</w:t>
      </w:r>
      <w:r w:rsidRPr="0081235A">
        <w:rPr>
          <w:rFonts w:cs="Times New Roman"/>
          <w:color w:val="161719"/>
          <w:szCs w:val="24"/>
          <w:shd w:val="clear" w:color="auto" w:fill="FFFFFF"/>
        </w:rPr>
        <w:t xml:space="preserve"> by </w:t>
      </w:r>
      <w:r w:rsidR="0081235A">
        <w:rPr>
          <w:rFonts w:cs="Times New Roman"/>
          <w:color w:val="161719"/>
          <w:szCs w:val="24"/>
          <w:shd w:val="clear" w:color="auto" w:fill="FFFFFF"/>
        </w:rPr>
        <w:t>loans</w:t>
      </w:r>
      <w:r w:rsidRPr="0081235A">
        <w:rPr>
          <w:rFonts w:cs="Times New Roman"/>
          <w:color w:val="161719"/>
          <w:szCs w:val="24"/>
          <w:shd w:val="clear" w:color="auto" w:fill="FFFFFF"/>
        </w:rPr>
        <w:t xml:space="preserve"> and those </w:t>
      </w:r>
      <w:r w:rsidR="0081235A">
        <w:rPr>
          <w:rFonts w:cs="Times New Roman"/>
          <w:color w:val="161719"/>
          <w:szCs w:val="24"/>
          <w:shd w:val="clear" w:color="auto" w:fill="FFFFFF"/>
        </w:rPr>
        <w:t>supplied with equity</w:t>
      </w:r>
      <w:r w:rsidRPr="0081235A">
        <w:rPr>
          <w:rFonts w:cs="Times New Roman"/>
          <w:color w:val="161719"/>
          <w:szCs w:val="24"/>
          <w:shd w:val="clear" w:color="auto" w:fill="FFFFFF"/>
        </w:rPr>
        <w:t xml:space="preserve">. Excessive debt can lead to financial problems for the company, indicating the level of financial risk it faces. </w:t>
      </w:r>
      <w:r w:rsidRPr="0081235A">
        <w:rPr>
          <w:rFonts w:cs="Times New Roman"/>
          <w:szCs w:val="24"/>
        </w:rPr>
        <w:t xml:space="preserve">Sweets plc's activities seem to have gained more equity, as shown by the increase in its gearing ratio. Moreover, the company </w:t>
      </w:r>
      <w:r w:rsidR="0081235A" w:rsidRPr="0081235A">
        <w:rPr>
          <w:rFonts w:cs="Times New Roman"/>
          <w:szCs w:val="24"/>
        </w:rPr>
        <w:t>advantage of utili</w:t>
      </w:r>
      <w:r w:rsidR="00C23827">
        <w:rPr>
          <w:rFonts w:cs="Times New Roman"/>
          <w:szCs w:val="24"/>
        </w:rPr>
        <w:t>s</w:t>
      </w:r>
      <w:r w:rsidR="0081235A" w:rsidRPr="0081235A">
        <w:rPr>
          <w:rFonts w:cs="Times New Roman"/>
          <w:szCs w:val="24"/>
        </w:rPr>
        <w:t>ing its</w:t>
      </w:r>
      <w:r w:rsidRPr="0081235A">
        <w:rPr>
          <w:rFonts w:cs="Times New Roman"/>
          <w:szCs w:val="24"/>
        </w:rPr>
        <w:t xml:space="preserve"> funds for daily operations. </w:t>
      </w:r>
      <w:r w:rsidR="008B1EEB" w:rsidRPr="0081235A">
        <w:rPr>
          <w:rFonts w:cs="Times New Roman"/>
          <w:szCs w:val="24"/>
        </w:rPr>
        <w:t>(</w:t>
      </w:r>
      <w:proofErr w:type="spellStart"/>
      <w:r w:rsidR="008B1EEB" w:rsidRPr="0081235A">
        <w:rPr>
          <w:rFonts w:cs="Times New Roman"/>
          <w:color w:val="222222"/>
          <w:szCs w:val="24"/>
          <w:shd w:val="clear" w:color="auto" w:fill="FFFFFF"/>
        </w:rPr>
        <w:t>Fosch</w:t>
      </w:r>
      <w:proofErr w:type="spellEnd"/>
      <w:r w:rsidR="008B1EEB" w:rsidRPr="0081235A">
        <w:rPr>
          <w:rFonts w:cs="Times New Roman"/>
          <w:color w:val="222222"/>
          <w:szCs w:val="24"/>
          <w:shd w:val="clear" w:color="auto" w:fill="FFFFFF"/>
        </w:rPr>
        <w:t xml:space="preserve">-Villaronga, and </w:t>
      </w:r>
      <w:proofErr w:type="spellStart"/>
      <w:r w:rsidR="008B1EEB" w:rsidRPr="0081235A">
        <w:rPr>
          <w:rFonts w:cs="Times New Roman"/>
          <w:color w:val="222222"/>
          <w:szCs w:val="24"/>
          <w:shd w:val="clear" w:color="auto" w:fill="FFFFFF"/>
        </w:rPr>
        <w:t>Drukarch</w:t>
      </w:r>
      <w:proofErr w:type="spellEnd"/>
      <w:r w:rsidR="008B1EEB" w:rsidRPr="0081235A">
        <w:rPr>
          <w:rFonts w:cs="Times New Roman"/>
          <w:color w:val="222222"/>
          <w:szCs w:val="24"/>
          <w:shd w:val="clear" w:color="auto" w:fill="FFFFFF"/>
        </w:rPr>
        <w:t xml:space="preserve"> 2023).</w:t>
      </w:r>
    </w:p>
    <w:p w14:paraId="77C1A30B" w14:textId="77777777" w:rsidR="00B62EA0" w:rsidRPr="00B62EA0" w:rsidRDefault="00000000" w:rsidP="00B62EA0">
      <w:pPr>
        <w:rPr>
          <w:rFonts w:cs="Times New Roman"/>
          <w:b/>
          <w:bCs/>
          <w:i/>
          <w:iCs/>
        </w:rPr>
      </w:pPr>
      <w:r w:rsidRPr="00B62EA0">
        <w:rPr>
          <w:rFonts w:cs="Times New Roman"/>
          <w:b/>
          <w:bCs/>
          <w:i/>
          <w:iCs/>
        </w:rPr>
        <w:t>Interest coverage ratio</w:t>
      </w:r>
    </w:p>
    <w:p w14:paraId="498528C4" w14:textId="435EC64C" w:rsidR="00AE4272" w:rsidRDefault="00000000" w:rsidP="005B638E">
      <w:pPr>
        <w:rPr>
          <w:rFonts w:cs="Times New Roman"/>
          <w:b/>
          <w:bCs/>
        </w:rPr>
      </w:pPr>
      <w:r>
        <w:rPr>
          <w:rFonts w:cs="Times New Roman"/>
          <w:b/>
          <w:bCs/>
        </w:rPr>
        <w:t xml:space="preserve"> “Interest coverage ratio = E</w:t>
      </w:r>
      <w:r w:rsidR="000E286C">
        <w:rPr>
          <w:rFonts w:cs="Times New Roman"/>
          <w:b/>
          <w:bCs/>
        </w:rPr>
        <w:t>BIT</w:t>
      </w:r>
      <w:r>
        <w:rPr>
          <w:rFonts w:cs="Times New Roman"/>
          <w:b/>
          <w:bCs/>
        </w:rPr>
        <w:t xml:space="preserve"> / Interest expenses”</w:t>
      </w:r>
    </w:p>
    <w:p w14:paraId="70CEA170" w14:textId="3B2F33CF" w:rsidR="000D093A" w:rsidRPr="000B10A8" w:rsidRDefault="000E286C" w:rsidP="00652647">
      <w:pPr>
        <w:rPr>
          <w:rFonts w:cs="Times New Roman"/>
          <w:szCs w:val="24"/>
        </w:rPr>
      </w:pPr>
      <w:r w:rsidRPr="000E286C">
        <w:rPr>
          <w:rFonts w:cs="Times New Roman"/>
          <w:color w:val="161719"/>
          <w:szCs w:val="24"/>
          <w:shd w:val="clear" w:color="auto" w:fill="FFFFFF"/>
        </w:rPr>
        <w:t>The ratio of interest coverage indicates how well-positioned the firm is for paying payments on its existing debt.</w:t>
      </w:r>
      <w:r w:rsidR="008101E7" w:rsidRPr="000B10A8">
        <w:rPr>
          <w:rFonts w:cs="Times New Roman"/>
          <w:color w:val="161719"/>
          <w:szCs w:val="24"/>
          <w:shd w:val="clear" w:color="auto" w:fill="FFFFFF"/>
        </w:rPr>
        <w:t xml:space="preserve"> It provides creditors with insights into the </w:t>
      </w:r>
      <w:r>
        <w:rPr>
          <w:rFonts w:cs="Times New Roman"/>
          <w:color w:val="161719"/>
          <w:szCs w:val="24"/>
          <w:shd w:val="clear" w:color="auto" w:fill="FFFFFF"/>
        </w:rPr>
        <w:t>dangers connected to</w:t>
      </w:r>
      <w:r w:rsidR="008101E7" w:rsidRPr="000B10A8">
        <w:rPr>
          <w:rFonts w:cs="Times New Roman"/>
          <w:color w:val="161719"/>
          <w:szCs w:val="24"/>
          <w:shd w:val="clear" w:color="auto" w:fill="FFFFFF"/>
        </w:rPr>
        <w:t xml:space="preserve"> financing a company. Investors and market analysts also rely on this ratio to obtain a </w:t>
      </w:r>
      <w:r>
        <w:rPr>
          <w:rFonts w:cs="Times New Roman"/>
          <w:color w:val="161719"/>
          <w:szCs w:val="24"/>
          <w:shd w:val="clear" w:color="auto" w:fill="FFFFFF"/>
        </w:rPr>
        <w:t>distinct image</w:t>
      </w:r>
      <w:r w:rsidR="008101E7" w:rsidRPr="000B10A8">
        <w:rPr>
          <w:rFonts w:cs="Times New Roman"/>
          <w:color w:val="161719"/>
          <w:szCs w:val="24"/>
          <w:shd w:val="clear" w:color="auto" w:fill="FFFFFF"/>
        </w:rPr>
        <w:t xml:space="preserve"> of a company's </w:t>
      </w:r>
      <w:r w:rsidRPr="000E286C">
        <w:rPr>
          <w:rFonts w:cs="Times New Roman"/>
          <w:color w:val="161719"/>
          <w:szCs w:val="24"/>
          <w:shd w:val="clear" w:color="auto" w:fill="FFFFFF"/>
        </w:rPr>
        <w:t>capacity to settle its outstanding debts with creditors.</w:t>
      </w:r>
      <w:r w:rsidR="008101E7" w:rsidRPr="000B10A8">
        <w:rPr>
          <w:rFonts w:cs="Times New Roman"/>
          <w:color w:val="161719"/>
          <w:szCs w:val="24"/>
          <w:shd w:val="clear" w:color="auto" w:fill="FFFFFF"/>
        </w:rPr>
        <w:t xml:space="preserve"> Sweets Plc's 2021 rating dropped from 3.861878453 to 3.561947 after the company lost </w:t>
      </w:r>
      <w:r w:rsidRPr="000E286C">
        <w:rPr>
          <w:rFonts w:cs="Times New Roman"/>
          <w:color w:val="161719"/>
          <w:szCs w:val="24"/>
          <w:shd w:val="clear" w:color="auto" w:fill="FFFFFF"/>
        </w:rPr>
        <w:t>the ability to reimburse its debtors.</w:t>
      </w:r>
      <w:r w:rsidR="008101E7" w:rsidRPr="000B10A8">
        <w:rPr>
          <w:rFonts w:cs="Times New Roman"/>
          <w:color w:val="161719"/>
          <w:szCs w:val="24"/>
          <w:shd w:val="clear" w:color="auto" w:fill="FFFFFF"/>
        </w:rPr>
        <w:t xml:space="preserve"> The company is facing financial difficulties as it struggles </w:t>
      </w:r>
      <w:r w:rsidRPr="000E286C">
        <w:rPr>
          <w:rFonts w:cs="Times New Roman"/>
          <w:color w:val="161719"/>
          <w:szCs w:val="24"/>
          <w:shd w:val="clear" w:color="auto" w:fill="FFFFFF"/>
        </w:rPr>
        <w:t>to market its products in</w:t>
      </w:r>
      <w:r w:rsidR="008101E7" w:rsidRPr="000B10A8">
        <w:rPr>
          <w:rFonts w:cs="Times New Roman"/>
          <w:color w:val="161719"/>
          <w:szCs w:val="24"/>
          <w:shd w:val="clear" w:color="auto" w:fill="FFFFFF"/>
        </w:rPr>
        <w:t xml:space="preserve"> the marketplaces due to </w:t>
      </w:r>
      <w:r w:rsidRPr="000E286C">
        <w:rPr>
          <w:rFonts w:cs="Times New Roman"/>
          <w:color w:val="161719"/>
          <w:szCs w:val="24"/>
          <w:shd w:val="clear" w:color="auto" w:fill="FFFFFF"/>
        </w:rPr>
        <w:t>changing patterns of customer behaviour</w:t>
      </w:r>
      <w:r w:rsidR="00C23827">
        <w:rPr>
          <w:rFonts w:cs="Times New Roman"/>
          <w:color w:val="161719"/>
          <w:szCs w:val="24"/>
          <w:shd w:val="clear" w:color="auto" w:fill="FFFFFF"/>
        </w:rPr>
        <w:t>.</w:t>
      </w:r>
      <w:r w:rsidR="008101E7" w:rsidRPr="000B10A8">
        <w:rPr>
          <w:rFonts w:cs="Times New Roman"/>
          <w:color w:val="161719"/>
          <w:szCs w:val="24"/>
          <w:shd w:val="clear" w:color="auto" w:fill="FFFFFF"/>
        </w:rPr>
        <w:t xml:space="preserve"> This ratio study is crucial for anyone looking to assess a company's financial strength and stability</w:t>
      </w:r>
      <w:r w:rsidR="002906EE" w:rsidRPr="000B10A8">
        <w:rPr>
          <w:rFonts w:cs="Times New Roman"/>
          <w:color w:val="161719"/>
          <w:szCs w:val="24"/>
          <w:shd w:val="clear" w:color="auto" w:fill="FFFFFF"/>
        </w:rPr>
        <w:t xml:space="preserve"> (</w:t>
      </w:r>
      <w:r w:rsidR="002906EE" w:rsidRPr="000B10A8">
        <w:rPr>
          <w:rFonts w:cs="Times New Roman"/>
          <w:color w:val="222222"/>
          <w:szCs w:val="24"/>
          <w:shd w:val="clear" w:color="auto" w:fill="FFFFFF"/>
        </w:rPr>
        <w:t>Nichols and Wahlen, 2023).</w:t>
      </w:r>
    </w:p>
    <w:p w14:paraId="3E6C6A1C" w14:textId="5418B618" w:rsidR="00652647" w:rsidRDefault="000D093A" w:rsidP="000D093A">
      <w:pPr>
        <w:pStyle w:val="Heading1"/>
      </w:pPr>
      <w:bookmarkStart w:id="6" w:name="_Toc152264395"/>
      <w:r>
        <w:lastRenderedPageBreak/>
        <w:t>Conclusion</w:t>
      </w:r>
      <w:bookmarkEnd w:id="6"/>
    </w:p>
    <w:p w14:paraId="1FA70117" w14:textId="37E6D157" w:rsidR="000C7B7E" w:rsidRPr="000C7B7E" w:rsidRDefault="00F0123C" w:rsidP="000C7B7E">
      <w:pPr>
        <w:rPr>
          <w:lang w:bidi="th-TH"/>
        </w:rPr>
      </w:pPr>
      <w:r w:rsidRPr="00F0123C">
        <w:rPr>
          <w:lang w:bidi="th-TH"/>
        </w:rPr>
        <w:t xml:space="preserve">The income statements along with </w:t>
      </w:r>
      <w:r w:rsidR="00C23827">
        <w:rPr>
          <w:lang w:bidi="th-TH"/>
        </w:rPr>
        <w:t xml:space="preserve">the </w:t>
      </w:r>
      <w:r w:rsidRPr="00F0123C">
        <w:rPr>
          <w:lang w:bidi="th-TH"/>
        </w:rPr>
        <w:t xml:space="preserve">balance sheet of Wales plc are provided in the report to illustrate the long-term viability and financial standing of the firm </w:t>
      </w:r>
      <w:r w:rsidR="00C23827">
        <w:rPr>
          <w:lang w:bidi="th-TH"/>
        </w:rPr>
        <w:t>over</w:t>
      </w:r>
      <w:r w:rsidRPr="00F0123C">
        <w:rPr>
          <w:lang w:bidi="th-TH"/>
        </w:rPr>
        <w:t xml:space="preserve"> the fiscal year. In addition, the report explains the development of financial measurements and evaluates Sweets Plc's productivity and efficacy using the aforementioned ratios as a basis.</w:t>
      </w:r>
    </w:p>
    <w:p w14:paraId="35593F44" w14:textId="25835FD1" w:rsidR="000D093A" w:rsidRDefault="000D093A" w:rsidP="000C7B7E">
      <w:pPr>
        <w:spacing w:line="259" w:lineRule="auto"/>
        <w:jc w:val="left"/>
        <w:rPr>
          <w:lang w:bidi="th-TH"/>
        </w:rPr>
      </w:pPr>
    </w:p>
    <w:p w14:paraId="5825E64D" w14:textId="77777777" w:rsidR="000C7B7E" w:rsidRDefault="000C7B7E" w:rsidP="000C7B7E">
      <w:pPr>
        <w:spacing w:line="259" w:lineRule="auto"/>
        <w:jc w:val="left"/>
        <w:rPr>
          <w:lang w:bidi="th-TH"/>
        </w:rPr>
      </w:pPr>
    </w:p>
    <w:p w14:paraId="5CD0A428" w14:textId="77777777" w:rsidR="000C7B7E" w:rsidRDefault="000C7B7E" w:rsidP="000C7B7E">
      <w:pPr>
        <w:spacing w:line="259" w:lineRule="auto"/>
        <w:jc w:val="left"/>
        <w:rPr>
          <w:lang w:bidi="th-TH"/>
        </w:rPr>
      </w:pPr>
    </w:p>
    <w:p w14:paraId="018F2E32" w14:textId="77777777" w:rsidR="000C7B7E" w:rsidRDefault="000C7B7E" w:rsidP="000C7B7E">
      <w:pPr>
        <w:spacing w:line="259" w:lineRule="auto"/>
        <w:jc w:val="left"/>
        <w:rPr>
          <w:lang w:bidi="th-TH"/>
        </w:rPr>
      </w:pPr>
    </w:p>
    <w:p w14:paraId="32F6DB2C" w14:textId="77777777" w:rsidR="000C7B7E" w:rsidRDefault="000C7B7E" w:rsidP="000C7B7E">
      <w:pPr>
        <w:spacing w:line="259" w:lineRule="auto"/>
        <w:jc w:val="left"/>
        <w:rPr>
          <w:lang w:bidi="th-TH"/>
        </w:rPr>
      </w:pPr>
    </w:p>
    <w:p w14:paraId="7B417ECE" w14:textId="77777777" w:rsidR="000C7B7E" w:rsidRPr="000D093A" w:rsidRDefault="000C7B7E" w:rsidP="000C7B7E">
      <w:pPr>
        <w:spacing w:line="259" w:lineRule="auto"/>
        <w:jc w:val="left"/>
        <w:rPr>
          <w:lang w:bidi="th-TH"/>
        </w:rPr>
      </w:pPr>
    </w:p>
    <w:p w14:paraId="48F5EA0B" w14:textId="77777777" w:rsidR="0065623D" w:rsidRPr="00B62EA0" w:rsidRDefault="0065623D" w:rsidP="005B638E">
      <w:pPr>
        <w:rPr>
          <w:rFonts w:cs="Times New Roman"/>
          <w:b/>
          <w:bCs/>
        </w:rPr>
      </w:pPr>
    </w:p>
    <w:p w14:paraId="3DFCF1A4" w14:textId="77777777" w:rsidR="006C185C" w:rsidRPr="006C185C" w:rsidRDefault="006C185C" w:rsidP="00AD3B2F">
      <w:pPr>
        <w:rPr>
          <w:rFonts w:cs="Times New Roman"/>
          <w:b/>
          <w:bCs/>
        </w:rPr>
      </w:pPr>
    </w:p>
    <w:p w14:paraId="47F55AB1" w14:textId="77777777" w:rsidR="00E75268" w:rsidRPr="00045463" w:rsidRDefault="00E75268" w:rsidP="009D026E"/>
    <w:p w14:paraId="6E427E18" w14:textId="77777777" w:rsidR="00A428DA" w:rsidRDefault="00A428DA" w:rsidP="0099396D"/>
    <w:p w14:paraId="7C4113AD" w14:textId="77777777" w:rsidR="00195AB4" w:rsidRPr="0088059E" w:rsidRDefault="00195AB4" w:rsidP="005E0CC7"/>
    <w:p w14:paraId="2580DFEB" w14:textId="77777777" w:rsidR="005E0CC7" w:rsidRPr="005E0CC7" w:rsidRDefault="005E0CC7" w:rsidP="00B007F0">
      <w:pPr>
        <w:rPr>
          <w:lang w:bidi="th-TH"/>
        </w:rPr>
      </w:pPr>
    </w:p>
    <w:p w14:paraId="387C39CA" w14:textId="77777777" w:rsidR="00C85AA7" w:rsidRPr="00C85AA7" w:rsidRDefault="00C85AA7" w:rsidP="00C85AA7">
      <w:pPr>
        <w:rPr>
          <w:lang w:val="en-US" w:bidi="th-TH"/>
        </w:rPr>
      </w:pPr>
    </w:p>
    <w:p w14:paraId="10C1C131" w14:textId="77777777" w:rsidR="00C85AA7" w:rsidRPr="00C85AA7" w:rsidRDefault="00C85AA7" w:rsidP="00C85AA7">
      <w:pPr>
        <w:rPr>
          <w:lang w:val="en-US" w:bidi="th-TH"/>
        </w:rPr>
      </w:pPr>
    </w:p>
    <w:p w14:paraId="3481D886" w14:textId="77777777" w:rsidR="000D093A" w:rsidRDefault="000D093A" w:rsidP="000D093A">
      <w:pPr>
        <w:rPr>
          <w:lang w:val="en-US"/>
        </w:rPr>
      </w:pPr>
    </w:p>
    <w:p w14:paraId="657C04F3" w14:textId="45274976" w:rsidR="00E52F63" w:rsidRDefault="000D093A" w:rsidP="005D57F4">
      <w:pPr>
        <w:pStyle w:val="Heading1"/>
        <w:rPr>
          <w:lang w:val="en-US"/>
        </w:rPr>
      </w:pPr>
      <w:bookmarkStart w:id="7" w:name="_Toc152264396"/>
      <w:r>
        <w:rPr>
          <w:lang w:val="en-US"/>
        </w:rPr>
        <w:lastRenderedPageBreak/>
        <w:t>References</w:t>
      </w:r>
      <w:bookmarkEnd w:id="7"/>
    </w:p>
    <w:p w14:paraId="02DDBCA5" w14:textId="77777777" w:rsidR="00602B75" w:rsidRPr="00AF5049" w:rsidRDefault="00602B75" w:rsidP="00344074">
      <w:pPr>
        <w:rPr>
          <w:rFonts w:cs="Times New Roman"/>
          <w:color w:val="222222"/>
          <w:szCs w:val="24"/>
          <w:shd w:val="clear" w:color="auto" w:fill="FFFFFF"/>
        </w:rPr>
      </w:pPr>
      <w:bookmarkStart w:id="8" w:name="_Hlk152258020"/>
      <w:r w:rsidRPr="00AF5049">
        <w:rPr>
          <w:rFonts w:cs="Times New Roman"/>
          <w:color w:val="222222"/>
          <w:szCs w:val="24"/>
          <w:shd w:val="clear" w:color="auto" w:fill="FFFFFF"/>
        </w:rPr>
        <w:t xml:space="preserve">Baker, Gray, and </w:t>
      </w:r>
      <w:proofErr w:type="spellStart"/>
      <w:r w:rsidRPr="00AF5049">
        <w:rPr>
          <w:rFonts w:cs="Times New Roman"/>
          <w:color w:val="222222"/>
          <w:szCs w:val="24"/>
          <w:shd w:val="clear" w:color="auto" w:fill="FFFFFF"/>
        </w:rPr>
        <w:t>Schaltegger</w:t>
      </w:r>
      <w:proofErr w:type="spellEnd"/>
      <w:r w:rsidRPr="00AF5049">
        <w:rPr>
          <w:rFonts w:cs="Times New Roman"/>
          <w:color w:val="222222"/>
          <w:szCs w:val="24"/>
          <w:shd w:val="clear" w:color="auto" w:fill="FFFFFF"/>
        </w:rPr>
        <w:t>, (2023). Debating accounting and sustainability: from incompatibility to rapprochement in the pursuit of corporate sustainability. Accounting, Auditing &amp; Accountability Journal, 36(2), pp.591-619.</w:t>
      </w:r>
    </w:p>
    <w:p w14:paraId="0F9AC662" w14:textId="77777777" w:rsidR="00602B75" w:rsidRPr="00AF5049" w:rsidRDefault="00602B75" w:rsidP="001C442E">
      <w:pPr>
        <w:rPr>
          <w:rFonts w:cs="Times New Roman"/>
          <w:color w:val="222222"/>
          <w:szCs w:val="24"/>
          <w:shd w:val="clear" w:color="auto" w:fill="FFFFFF"/>
        </w:rPr>
      </w:pPr>
      <w:r w:rsidRPr="00AF5049">
        <w:rPr>
          <w:rFonts w:cs="Times New Roman"/>
          <w:color w:val="222222"/>
          <w:szCs w:val="24"/>
          <w:shd w:val="clear" w:color="auto" w:fill="FFFFFF"/>
        </w:rPr>
        <w:t>Barth, M.E., Li, K. and McClure, C.G., (2023). Evolution in value relevance of accounting information. The Accounting Review, 98(1), pp.1-28.</w:t>
      </w:r>
    </w:p>
    <w:p w14:paraId="3FB9592C" w14:textId="77777777" w:rsidR="00602B75" w:rsidRPr="00AF5049" w:rsidRDefault="00602B75" w:rsidP="00344074">
      <w:pPr>
        <w:rPr>
          <w:rFonts w:cs="Times New Roman"/>
          <w:color w:val="222222"/>
          <w:szCs w:val="24"/>
          <w:shd w:val="clear" w:color="auto" w:fill="FFFFFF"/>
        </w:rPr>
      </w:pPr>
      <w:r w:rsidRPr="00AF5049">
        <w:rPr>
          <w:rFonts w:cs="Times New Roman"/>
          <w:color w:val="222222"/>
          <w:szCs w:val="24"/>
          <w:shd w:val="clear" w:color="auto" w:fill="FFFFFF"/>
        </w:rPr>
        <w:t>Brealey, R.A., Myers, S.C. and Marcus, A.J., (2023). Fundamentals of corporate finance. McGraw-Hill.</w:t>
      </w:r>
    </w:p>
    <w:p w14:paraId="449EC6F9" w14:textId="77777777" w:rsidR="00602B75" w:rsidRPr="00AF5049" w:rsidRDefault="00602B75" w:rsidP="001C442E">
      <w:pPr>
        <w:rPr>
          <w:rFonts w:cs="Times New Roman"/>
          <w:color w:val="222222"/>
          <w:szCs w:val="24"/>
          <w:shd w:val="clear" w:color="auto" w:fill="FFFFFF"/>
        </w:rPr>
      </w:pPr>
      <w:proofErr w:type="spellStart"/>
      <w:r w:rsidRPr="00AF5049">
        <w:rPr>
          <w:rFonts w:cs="Times New Roman"/>
          <w:color w:val="222222"/>
          <w:szCs w:val="24"/>
          <w:shd w:val="clear" w:color="auto" w:fill="FFFFFF"/>
        </w:rPr>
        <w:t>Cussatt</w:t>
      </w:r>
      <w:proofErr w:type="spellEnd"/>
      <w:r w:rsidRPr="00AF5049">
        <w:rPr>
          <w:rFonts w:cs="Times New Roman"/>
          <w:color w:val="222222"/>
          <w:szCs w:val="24"/>
          <w:shd w:val="clear" w:color="auto" w:fill="FFFFFF"/>
        </w:rPr>
        <w:t>, and Demere, (2023). The Usefulness of Corporate Income Tax Accounting: Evidence from Pension Returns. The Accounting Review, 98(1), pp.163-190.</w:t>
      </w:r>
    </w:p>
    <w:p w14:paraId="1A441E11" w14:textId="77777777" w:rsidR="00602B75" w:rsidRPr="00AF5049" w:rsidRDefault="00602B75" w:rsidP="001C442E">
      <w:pPr>
        <w:rPr>
          <w:rFonts w:cs="Times New Roman"/>
          <w:color w:val="222222"/>
          <w:szCs w:val="24"/>
          <w:shd w:val="clear" w:color="auto" w:fill="FFFFFF"/>
        </w:rPr>
      </w:pPr>
      <w:r w:rsidRPr="00AF5049">
        <w:rPr>
          <w:rFonts w:cs="Times New Roman"/>
          <w:color w:val="222222"/>
          <w:szCs w:val="24"/>
          <w:shd w:val="clear" w:color="auto" w:fill="FFFFFF"/>
        </w:rPr>
        <w:t>Edwards, J.R., (2023). Cash to accruals accounting in British central government: A journey through time. Financial Accountability &amp; Management, 39(1), pp.40-59.</w:t>
      </w:r>
    </w:p>
    <w:p w14:paraId="42424353" w14:textId="77777777" w:rsidR="00602B75" w:rsidRPr="00AF5049" w:rsidRDefault="00602B75" w:rsidP="00344074">
      <w:pPr>
        <w:rPr>
          <w:rFonts w:cs="Times New Roman"/>
          <w:color w:val="222222"/>
          <w:szCs w:val="24"/>
          <w:shd w:val="clear" w:color="auto" w:fill="FFFFFF"/>
        </w:rPr>
      </w:pPr>
      <w:r w:rsidRPr="00AF5049">
        <w:rPr>
          <w:rFonts w:cs="Times New Roman"/>
          <w:color w:val="222222"/>
          <w:szCs w:val="24"/>
          <w:shd w:val="clear" w:color="auto" w:fill="FFFFFF"/>
        </w:rPr>
        <w:t>Filzen, J.J., McBrayer, G.A. and Shannon, K.S., (2023). Risk factor disclosures: do managers and markets speak the same language</w:t>
      </w:r>
      <w:r>
        <w:rPr>
          <w:rFonts w:cs="Times New Roman"/>
          <w:color w:val="222222"/>
          <w:szCs w:val="24"/>
          <w:shd w:val="clear" w:color="auto" w:fill="FFFFFF"/>
        </w:rPr>
        <w:t>?</w:t>
      </w:r>
      <w:r w:rsidRPr="00AF5049">
        <w:rPr>
          <w:rFonts w:cs="Times New Roman"/>
          <w:color w:val="222222"/>
          <w:szCs w:val="24"/>
          <w:shd w:val="clear" w:color="auto" w:fill="FFFFFF"/>
        </w:rPr>
        <w:t> Accounting Horizons, 37(2), pp.67-83.</w:t>
      </w:r>
    </w:p>
    <w:p w14:paraId="031D9621" w14:textId="77777777" w:rsidR="00602B75" w:rsidRPr="00AF5049" w:rsidRDefault="00602B75" w:rsidP="001C442E">
      <w:pPr>
        <w:rPr>
          <w:rFonts w:cs="Times New Roman"/>
          <w:color w:val="222222"/>
          <w:szCs w:val="24"/>
          <w:shd w:val="clear" w:color="auto" w:fill="FFFFFF"/>
        </w:rPr>
      </w:pPr>
      <w:proofErr w:type="spellStart"/>
      <w:r w:rsidRPr="00AF5049">
        <w:rPr>
          <w:rFonts w:cs="Times New Roman"/>
          <w:color w:val="222222"/>
          <w:szCs w:val="24"/>
          <w:shd w:val="clear" w:color="auto" w:fill="FFFFFF"/>
        </w:rPr>
        <w:t>Fosch</w:t>
      </w:r>
      <w:proofErr w:type="spellEnd"/>
      <w:r w:rsidRPr="00AF5049">
        <w:rPr>
          <w:rFonts w:cs="Times New Roman"/>
          <w:color w:val="222222"/>
          <w:szCs w:val="24"/>
          <w:shd w:val="clear" w:color="auto" w:fill="FFFFFF"/>
        </w:rPr>
        <w:t xml:space="preserve">-Villaronga, and </w:t>
      </w:r>
      <w:proofErr w:type="spellStart"/>
      <w:r w:rsidRPr="00AF5049">
        <w:rPr>
          <w:rFonts w:cs="Times New Roman"/>
          <w:color w:val="222222"/>
          <w:szCs w:val="24"/>
          <w:shd w:val="clear" w:color="auto" w:fill="FFFFFF"/>
        </w:rPr>
        <w:t>Drukarch</w:t>
      </w:r>
      <w:proofErr w:type="spellEnd"/>
      <w:r w:rsidRPr="00AF5049">
        <w:rPr>
          <w:rFonts w:cs="Times New Roman"/>
          <w:color w:val="222222"/>
          <w:szCs w:val="24"/>
          <w:shd w:val="clear" w:color="auto" w:fill="FFFFFF"/>
        </w:rPr>
        <w:t xml:space="preserve"> (2023). Accounting for Diversity in Robot Design, Testbeds, and Safety Standardisation. International Journal of Social Robotics, pp.1-19.</w:t>
      </w:r>
    </w:p>
    <w:p w14:paraId="211534B3" w14:textId="77777777" w:rsidR="00602B75" w:rsidRPr="00AF5049" w:rsidRDefault="00602B75" w:rsidP="00344074">
      <w:pPr>
        <w:rPr>
          <w:rFonts w:cs="Times New Roman"/>
          <w:color w:val="222222"/>
          <w:szCs w:val="24"/>
          <w:shd w:val="clear" w:color="auto" w:fill="FFFFFF"/>
        </w:rPr>
      </w:pPr>
      <w:proofErr w:type="spellStart"/>
      <w:r w:rsidRPr="00AF5049">
        <w:rPr>
          <w:rFonts w:cs="Times New Roman"/>
          <w:color w:val="222222"/>
          <w:szCs w:val="24"/>
          <w:shd w:val="clear" w:color="auto" w:fill="FFFFFF"/>
        </w:rPr>
        <w:t>Gyamera</w:t>
      </w:r>
      <w:proofErr w:type="spellEnd"/>
      <w:r w:rsidRPr="00AF5049">
        <w:rPr>
          <w:rFonts w:cs="Times New Roman"/>
          <w:color w:val="222222"/>
          <w:szCs w:val="24"/>
          <w:shd w:val="clear" w:color="auto" w:fill="FFFFFF"/>
        </w:rPr>
        <w:t xml:space="preserve">, </w:t>
      </w:r>
      <w:proofErr w:type="spellStart"/>
      <w:r w:rsidRPr="00AF5049">
        <w:rPr>
          <w:rFonts w:cs="Times New Roman"/>
          <w:color w:val="222222"/>
          <w:szCs w:val="24"/>
          <w:shd w:val="clear" w:color="auto" w:fill="FFFFFF"/>
        </w:rPr>
        <w:t>Abayaawien</w:t>
      </w:r>
      <w:proofErr w:type="spellEnd"/>
      <w:r w:rsidRPr="00AF5049">
        <w:rPr>
          <w:rFonts w:cs="Times New Roman"/>
          <w:color w:val="222222"/>
          <w:szCs w:val="24"/>
          <w:shd w:val="clear" w:color="auto" w:fill="FFFFFF"/>
        </w:rPr>
        <w:t xml:space="preserve"> </w:t>
      </w:r>
      <w:proofErr w:type="spellStart"/>
      <w:r w:rsidRPr="00AF5049">
        <w:rPr>
          <w:rFonts w:cs="Times New Roman"/>
          <w:color w:val="222222"/>
          <w:szCs w:val="24"/>
          <w:shd w:val="clear" w:color="auto" w:fill="FFFFFF"/>
        </w:rPr>
        <w:t>Atuilik</w:t>
      </w:r>
      <w:proofErr w:type="spellEnd"/>
      <w:r w:rsidRPr="00AF5049">
        <w:rPr>
          <w:rFonts w:cs="Times New Roman"/>
          <w:color w:val="222222"/>
          <w:szCs w:val="24"/>
          <w:shd w:val="clear" w:color="auto" w:fill="FFFFFF"/>
        </w:rPr>
        <w:t xml:space="preserve">, </w:t>
      </w:r>
      <w:proofErr w:type="spellStart"/>
      <w:r w:rsidRPr="00AF5049">
        <w:rPr>
          <w:rFonts w:cs="Times New Roman"/>
          <w:color w:val="222222"/>
          <w:szCs w:val="24"/>
          <w:shd w:val="clear" w:color="auto" w:fill="FFFFFF"/>
        </w:rPr>
        <w:t>Eklemet</w:t>
      </w:r>
      <w:proofErr w:type="spellEnd"/>
      <w:r w:rsidRPr="00AF5049">
        <w:rPr>
          <w:rFonts w:cs="Times New Roman"/>
          <w:color w:val="222222"/>
          <w:szCs w:val="24"/>
          <w:shd w:val="clear" w:color="auto" w:fill="FFFFFF"/>
        </w:rPr>
        <w:t xml:space="preserve">, Henry Matey, Tetteh, L.A. and Kwasi </w:t>
      </w:r>
      <w:proofErr w:type="spellStart"/>
      <w:r w:rsidRPr="00AF5049">
        <w:rPr>
          <w:rFonts w:cs="Times New Roman"/>
          <w:color w:val="222222"/>
          <w:szCs w:val="24"/>
          <w:shd w:val="clear" w:color="auto" w:fill="FFFFFF"/>
        </w:rPr>
        <w:t>Apreku</w:t>
      </w:r>
      <w:proofErr w:type="spellEnd"/>
      <w:r w:rsidRPr="00AF5049">
        <w:rPr>
          <w:rFonts w:cs="Times New Roman"/>
          <w:color w:val="222222"/>
          <w:szCs w:val="24"/>
          <w:shd w:val="clear" w:color="auto" w:fill="FFFFFF"/>
        </w:rPr>
        <w:t>-Djan, (2023). An analysis of the effects of management accounting services on the financial performance of SME: The moderating role of information technology. Cogent Business &amp; Management, 10(1), p.2183559.</w:t>
      </w:r>
    </w:p>
    <w:p w14:paraId="45938029" w14:textId="77777777" w:rsidR="00602B75" w:rsidRPr="00AF5049" w:rsidRDefault="00602B75" w:rsidP="001C442E">
      <w:pPr>
        <w:rPr>
          <w:rFonts w:cs="Times New Roman"/>
          <w:color w:val="222222"/>
          <w:szCs w:val="24"/>
          <w:shd w:val="clear" w:color="auto" w:fill="FFFFFF"/>
        </w:rPr>
      </w:pPr>
      <w:r w:rsidRPr="00AF5049">
        <w:rPr>
          <w:rFonts w:cs="Times New Roman"/>
          <w:color w:val="222222"/>
          <w:szCs w:val="24"/>
          <w:shd w:val="clear" w:color="auto" w:fill="FFFFFF"/>
        </w:rPr>
        <w:t>Krantz, (2023). Fundamental analysis for dummies. John Wiley &amp; Sons.</w:t>
      </w:r>
    </w:p>
    <w:p w14:paraId="46A87A2A" w14:textId="77777777" w:rsidR="00602B75" w:rsidRPr="00AF5049" w:rsidRDefault="00602B75" w:rsidP="00156B37">
      <w:pPr>
        <w:rPr>
          <w:rFonts w:cs="Times New Roman"/>
          <w:color w:val="222222"/>
          <w:szCs w:val="24"/>
          <w:shd w:val="clear" w:color="auto" w:fill="FFFFFF"/>
        </w:rPr>
      </w:pPr>
      <w:r w:rsidRPr="00AF5049">
        <w:rPr>
          <w:rFonts w:cs="Times New Roman"/>
          <w:color w:val="222222"/>
          <w:szCs w:val="24"/>
          <w:shd w:val="clear" w:color="auto" w:fill="FFFFFF"/>
        </w:rPr>
        <w:lastRenderedPageBreak/>
        <w:t>Lord, J.E., (2023). Accounting for disability in international humanitarian law. International Review of the Red Cross, 105(922), pp.60-98.</w:t>
      </w:r>
    </w:p>
    <w:p w14:paraId="48636BDB" w14:textId="77777777" w:rsidR="00602B75" w:rsidRPr="00AF5049" w:rsidRDefault="00602B75" w:rsidP="00344074">
      <w:pPr>
        <w:rPr>
          <w:rFonts w:cs="Times New Roman"/>
          <w:color w:val="222222"/>
          <w:szCs w:val="24"/>
          <w:shd w:val="clear" w:color="auto" w:fill="FFFFFF"/>
        </w:rPr>
      </w:pPr>
      <w:r w:rsidRPr="00AF5049">
        <w:rPr>
          <w:rFonts w:cs="Times New Roman"/>
          <w:color w:val="222222"/>
          <w:szCs w:val="24"/>
          <w:shd w:val="clear" w:color="auto" w:fill="FFFFFF"/>
        </w:rPr>
        <w:t>Ng, C.K.C. and Webber, (2023). Aligning corporate carbon accounting with natural climate solutions in Southeast Asia. Environmental Development, 45, p.100805.</w:t>
      </w:r>
    </w:p>
    <w:p w14:paraId="292D9F28" w14:textId="77777777" w:rsidR="00602B75" w:rsidRPr="00AF5049" w:rsidRDefault="00602B75" w:rsidP="001C442E">
      <w:pPr>
        <w:rPr>
          <w:rFonts w:cs="Times New Roman"/>
          <w:color w:val="222222"/>
          <w:szCs w:val="24"/>
          <w:shd w:val="clear" w:color="auto" w:fill="FFFFFF"/>
        </w:rPr>
      </w:pPr>
      <w:r w:rsidRPr="00AF5049">
        <w:rPr>
          <w:rFonts w:cs="Times New Roman"/>
          <w:color w:val="222222"/>
          <w:szCs w:val="24"/>
          <w:shd w:val="clear" w:color="auto" w:fill="FFFFFF"/>
        </w:rPr>
        <w:t xml:space="preserve">Nichols, D.C. and Wahlen, J.M., (2023). The essential role of accounting information in the capital markets: Updating seminal research results with current evidence. Accounting </w:t>
      </w:r>
      <w:r>
        <w:rPr>
          <w:rFonts w:cs="Times New Roman"/>
          <w:color w:val="222222"/>
          <w:szCs w:val="24"/>
          <w:shd w:val="clear" w:color="auto" w:fill="FFFFFF"/>
        </w:rPr>
        <w:t>Horizons</w:t>
      </w:r>
      <w:r w:rsidRPr="00AF5049">
        <w:rPr>
          <w:rFonts w:cs="Times New Roman"/>
          <w:color w:val="222222"/>
          <w:szCs w:val="24"/>
          <w:shd w:val="clear" w:color="auto" w:fill="FFFFFF"/>
        </w:rPr>
        <w:t>, pp.1-28.</w:t>
      </w:r>
    </w:p>
    <w:p w14:paraId="563F78E7" w14:textId="77777777" w:rsidR="00602B75" w:rsidRPr="00AF5049" w:rsidRDefault="00602B75" w:rsidP="00344074">
      <w:pPr>
        <w:rPr>
          <w:rFonts w:cs="Times New Roman"/>
          <w:color w:val="222222"/>
          <w:szCs w:val="24"/>
          <w:shd w:val="clear" w:color="auto" w:fill="FFFFFF"/>
        </w:rPr>
      </w:pPr>
      <w:proofErr w:type="spellStart"/>
      <w:r w:rsidRPr="00AF5049">
        <w:rPr>
          <w:rFonts w:cs="Times New Roman"/>
          <w:color w:val="222222"/>
          <w:szCs w:val="24"/>
          <w:shd w:val="clear" w:color="auto" w:fill="FFFFFF"/>
        </w:rPr>
        <w:t>Pretell</w:t>
      </w:r>
      <w:proofErr w:type="spellEnd"/>
      <w:r w:rsidRPr="00AF5049">
        <w:rPr>
          <w:rFonts w:cs="Times New Roman"/>
          <w:color w:val="222222"/>
          <w:szCs w:val="24"/>
          <w:shd w:val="clear" w:color="auto" w:fill="FFFFFF"/>
        </w:rPr>
        <w:t xml:space="preserve">, Abrahamson, N.A. and </w:t>
      </w:r>
      <w:proofErr w:type="spellStart"/>
      <w:r w:rsidRPr="00AF5049">
        <w:rPr>
          <w:rFonts w:cs="Times New Roman"/>
          <w:color w:val="222222"/>
          <w:szCs w:val="24"/>
          <w:shd w:val="clear" w:color="auto" w:fill="FFFFFF"/>
        </w:rPr>
        <w:t>Ziotopoulou</w:t>
      </w:r>
      <w:proofErr w:type="spellEnd"/>
      <w:r w:rsidRPr="00AF5049">
        <w:rPr>
          <w:rFonts w:cs="Times New Roman"/>
          <w:color w:val="222222"/>
          <w:szCs w:val="24"/>
          <w:shd w:val="clear" w:color="auto" w:fill="FFFFFF"/>
        </w:rPr>
        <w:t xml:space="preserve">, (2023). A borehole array </w:t>
      </w:r>
      <w:r>
        <w:rPr>
          <w:rFonts w:cs="Times New Roman"/>
          <w:color w:val="222222"/>
          <w:szCs w:val="24"/>
          <w:shd w:val="clear" w:color="auto" w:fill="FFFFFF"/>
        </w:rPr>
        <w:t>data–based</w:t>
      </w:r>
      <w:r w:rsidRPr="00AF5049">
        <w:rPr>
          <w:rFonts w:cs="Times New Roman"/>
          <w:color w:val="222222"/>
          <w:szCs w:val="24"/>
          <w:shd w:val="clear" w:color="auto" w:fill="FFFFFF"/>
        </w:rPr>
        <w:t xml:space="preserve"> approach for conducting 1D site response analyses II: Accounting for </w:t>
      </w:r>
      <w:r>
        <w:rPr>
          <w:rFonts w:cs="Times New Roman"/>
          <w:color w:val="222222"/>
          <w:szCs w:val="24"/>
          <w:shd w:val="clear" w:color="auto" w:fill="FFFFFF"/>
        </w:rPr>
        <w:t>modelling</w:t>
      </w:r>
      <w:r w:rsidRPr="00AF5049">
        <w:rPr>
          <w:rFonts w:cs="Times New Roman"/>
          <w:color w:val="222222"/>
          <w:szCs w:val="24"/>
          <w:shd w:val="clear" w:color="auto" w:fill="FFFFFF"/>
        </w:rPr>
        <w:t xml:space="preserve"> errors. Earthquake Spectra, p.87552930231173443.</w:t>
      </w:r>
    </w:p>
    <w:p w14:paraId="5C0E18AC" w14:textId="77777777" w:rsidR="00602B75" w:rsidRPr="00AF5049" w:rsidRDefault="00602B75" w:rsidP="001C442E">
      <w:pPr>
        <w:rPr>
          <w:rFonts w:cs="Times New Roman"/>
          <w:color w:val="222222"/>
          <w:szCs w:val="24"/>
          <w:shd w:val="clear" w:color="auto" w:fill="FFFFFF"/>
        </w:rPr>
      </w:pPr>
      <w:proofErr w:type="spellStart"/>
      <w:r w:rsidRPr="00AF5049">
        <w:rPr>
          <w:rFonts w:cs="Times New Roman"/>
          <w:color w:val="222222"/>
          <w:szCs w:val="24"/>
          <w:shd w:val="clear" w:color="auto" w:fill="FFFFFF"/>
        </w:rPr>
        <w:t>Rogošić</w:t>
      </w:r>
      <w:proofErr w:type="spellEnd"/>
      <w:r w:rsidRPr="00AF5049">
        <w:rPr>
          <w:rFonts w:cs="Times New Roman"/>
          <w:color w:val="222222"/>
          <w:szCs w:val="24"/>
          <w:shd w:val="clear" w:color="auto" w:fill="FFFFFF"/>
        </w:rPr>
        <w:t>, and Perica, (2023). Affective professional commitment and accounting ethics principles: examining the mediating role of the code of ethics. Economic research-Ekonomska istraživanja, 36(1), pp.480-498.</w:t>
      </w:r>
    </w:p>
    <w:p w14:paraId="23D567C3" w14:textId="77777777" w:rsidR="00602B75" w:rsidRPr="00AF5049" w:rsidRDefault="00602B75" w:rsidP="00344074">
      <w:pPr>
        <w:rPr>
          <w:rFonts w:cs="Times New Roman"/>
          <w:color w:val="222222"/>
          <w:szCs w:val="24"/>
          <w:shd w:val="clear" w:color="auto" w:fill="FFFFFF"/>
        </w:rPr>
      </w:pPr>
      <w:r w:rsidRPr="00AF5049">
        <w:rPr>
          <w:rFonts w:cs="Times New Roman"/>
          <w:color w:val="222222"/>
          <w:szCs w:val="24"/>
          <w:shd w:val="clear" w:color="auto" w:fill="FFFFFF"/>
        </w:rPr>
        <w:t>Sidaway, S.I., Juric, and Deegan, (2023). Teaching the concept of decision-usefulness, and accounting as a technical, social and moral practice: the case of COVID-19 “case number” reporting. </w:t>
      </w:r>
      <w:proofErr w:type="spellStart"/>
      <w:r w:rsidRPr="00AF5049">
        <w:rPr>
          <w:rFonts w:cs="Times New Roman"/>
          <w:color w:val="222222"/>
          <w:szCs w:val="24"/>
          <w:shd w:val="clear" w:color="auto" w:fill="FFFFFF"/>
        </w:rPr>
        <w:t>Meditari</w:t>
      </w:r>
      <w:proofErr w:type="spellEnd"/>
      <w:r w:rsidRPr="00AF5049">
        <w:rPr>
          <w:rFonts w:cs="Times New Roman"/>
          <w:color w:val="222222"/>
          <w:szCs w:val="24"/>
          <w:shd w:val="clear" w:color="auto" w:fill="FFFFFF"/>
        </w:rPr>
        <w:t xml:space="preserve"> Accountancy Research, 31(1), pp.121-140.</w:t>
      </w:r>
    </w:p>
    <w:p w14:paraId="4CFA5F2F" w14:textId="77777777" w:rsidR="00602B75" w:rsidRPr="00AF5049" w:rsidRDefault="00602B75" w:rsidP="00344074">
      <w:pPr>
        <w:rPr>
          <w:rFonts w:cs="Times New Roman"/>
          <w:color w:val="222222"/>
          <w:szCs w:val="24"/>
          <w:shd w:val="clear" w:color="auto" w:fill="FFFFFF"/>
        </w:rPr>
      </w:pPr>
      <w:r w:rsidRPr="00AF5049">
        <w:rPr>
          <w:rFonts w:cs="Times New Roman"/>
          <w:color w:val="222222"/>
          <w:szCs w:val="24"/>
          <w:shd w:val="clear" w:color="auto" w:fill="FFFFFF"/>
        </w:rPr>
        <w:t>West, and Buckby, (2023). Professional judgement in accounting and Aristotelian practical wisdom. Accounting, Auditing &amp; Accountability Journal, 36(1), pp.120-145.</w:t>
      </w:r>
      <w:bookmarkEnd w:id="8"/>
    </w:p>
    <w:sectPr w:rsidR="00602B75" w:rsidRPr="00AF5049" w:rsidSect="00E52F63">
      <w:headerReference w:type="default" r:id="rId8"/>
      <w:footerReference w:type="default" r:id="rId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455118" w14:textId="77777777" w:rsidR="00340BB3" w:rsidRDefault="00340BB3">
      <w:pPr>
        <w:spacing w:after="0" w:line="240" w:lineRule="auto"/>
      </w:pPr>
      <w:r>
        <w:separator/>
      </w:r>
    </w:p>
  </w:endnote>
  <w:endnote w:type="continuationSeparator" w:id="0">
    <w:p w14:paraId="07305A6C" w14:textId="77777777" w:rsidR="00340BB3" w:rsidRDefault="00340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2985235"/>
      <w:docPartObj>
        <w:docPartGallery w:val="Page Numbers (Bottom of Page)"/>
        <w:docPartUnique/>
      </w:docPartObj>
    </w:sdtPr>
    <w:sdtContent>
      <w:sdt>
        <w:sdtPr>
          <w:id w:val="-1769616900"/>
          <w:docPartObj>
            <w:docPartGallery w:val="Page Numbers (Top of Page)"/>
            <w:docPartUnique/>
          </w:docPartObj>
        </w:sdtPr>
        <w:sdtContent>
          <w:p w14:paraId="61A795D5" w14:textId="325DBAC5" w:rsidR="00E52F63" w:rsidRDefault="00000000">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73353F63" w14:textId="77777777" w:rsidR="00E52F63" w:rsidRDefault="00E52F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867A50" w14:textId="77777777" w:rsidR="00340BB3" w:rsidRDefault="00340BB3">
      <w:pPr>
        <w:spacing w:after="0" w:line="240" w:lineRule="auto"/>
      </w:pPr>
      <w:r>
        <w:separator/>
      </w:r>
    </w:p>
  </w:footnote>
  <w:footnote w:type="continuationSeparator" w:id="0">
    <w:p w14:paraId="2C995813" w14:textId="77777777" w:rsidR="00340BB3" w:rsidRDefault="00340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C8FE7" w14:textId="6BED864B" w:rsidR="00E52F63" w:rsidRDefault="00000000">
    <w:pPr>
      <w:pStyle w:val="Header"/>
      <w:tabs>
        <w:tab w:val="clear" w:pos="4680"/>
        <w:tab w:val="clear" w:pos="9360"/>
      </w:tabs>
      <w:jc w:val="right"/>
      <w:rPr>
        <w:color w:val="7F7F7F" w:themeColor="text1" w:themeTint="80"/>
      </w:rPr>
    </w:pPr>
    <w:r w:rsidRPr="00E52F63">
      <w:rPr>
        <w:lang w:val="en-US"/>
      </w:rPr>
      <w:t>Accounting Fundamentals</w:t>
    </w:r>
  </w:p>
  <w:p w14:paraId="31DDB343" w14:textId="3C25E5D1" w:rsidR="00E52F63" w:rsidRPr="00E52F63" w:rsidRDefault="00E52F63" w:rsidP="00E52F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B8626A"/>
    <w:multiLevelType w:val="multilevel"/>
    <w:tmpl w:val="9CDAF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510362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2F63"/>
    <w:rsid w:val="00011906"/>
    <w:rsid w:val="000312CE"/>
    <w:rsid w:val="0004342C"/>
    <w:rsid w:val="00045463"/>
    <w:rsid w:val="00085398"/>
    <w:rsid w:val="000B10A8"/>
    <w:rsid w:val="000C7B7E"/>
    <w:rsid w:val="000D093A"/>
    <w:rsid w:val="000D7269"/>
    <w:rsid w:val="000E286C"/>
    <w:rsid w:val="000E5B11"/>
    <w:rsid w:val="00127A2F"/>
    <w:rsid w:val="00135D2D"/>
    <w:rsid w:val="00152E52"/>
    <w:rsid w:val="001549D1"/>
    <w:rsid w:val="00156B37"/>
    <w:rsid w:val="00160898"/>
    <w:rsid w:val="00170022"/>
    <w:rsid w:val="00174F39"/>
    <w:rsid w:val="00176DCC"/>
    <w:rsid w:val="00182DC6"/>
    <w:rsid w:val="00184458"/>
    <w:rsid w:val="00185191"/>
    <w:rsid w:val="00185D2D"/>
    <w:rsid w:val="00195AB4"/>
    <w:rsid w:val="00197A7A"/>
    <w:rsid w:val="001C442E"/>
    <w:rsid w:val="001E753C"/>
    <w:rsid w:val="001F0EBC"/>
    <w:rsid w:val="00201F31"/>
    <w:rsid w:val="00202958"/>
    <w:rsid w:val="0023536D"/>
    <w:rsid w:val="002467AB"/>
    <w:rsid w:val="0025350D"/>
    <w:rsid w:val="00260EF7"/>
    <w:rsid w:val="002906EE"/>
    <w:rsid w:val="00294DAF"/>
    <w:rsid w:val="002B1D61"/>
    <w:rsid w:val="002B45C0"/>
    <w:rsid w:val="002C4465"/>
    <w:rsid w:val="002D0D71"/>
    <w:rsid w:val="00301E5D"/>
    <w:rsid w:val="00302487"/>
    <w:rsid w:val="00307865"/>
    <w:rsid w:val="0031302D"/>
    <w:rsid w:val="003152DB"/>
    <w:rsid w:val="00323658"/>
    <w:rsid w:val="003256FB"/>
    <w:rsid w:val="00340BB3"/>
    <w:rsid w:val="00343829"/>
    <w:rsid w:val="00344074"/>
    <w:rsid w:val="00355F3C"/>
    <w:rsid w:val="00364202"/>
    <w:rsid w:val="0037211A"/>
    <w:rsid w:val="0038368C"/>
    <w:rsid w:val="00397BFB"/>
    <w:rsid w:val="003A2589"/>
    <w:rsid w:val="003C6180"/>
    <w:rsid w:val="003D0025"/>
    <w:rsid w:val="003D1EA2"/>
    <w:rsid w:val="003F2ED4"/>
    <w:rsid w:val="003F47C7"/>
    <w:rsid w:val="00415543"/>
    <w:rsid w:val="004272DE"/>
    <w:rsid w:val="00435793"/>
    <w:rsid w:val="00436290"/>
    <w:rsid w:val="00444335"/>
    <w:rsid w:val="00454534"/>
    <w:rsid w:val="0045565B"/>
    <w:rsid w:val="00461BE2"/>
    <w:rsid w:val="00471CC9"/>
    <w:rsid w:val="004B330D"/>
    <w:rsid w:val="004C7E16"/>
    <w:rsid w:val="004E1895"/>
    <w:rsid w:val="0050355A"/>
    <w:rsid w:val="00517A19"/>
    <w:rsid w:val="00517FD9"/>
    <w:rsid w:val="005229E7"/>
    <w:rsid w:val="00526555"/>
    <w:rsid w:val="00546991"/>
    <w:rsid w:val="005649E3"/>
    <w:rsid w:val="00565248"/>
    <w:rsid w:val="00573BB8"/>
    <w:rsid w:val="00585EE6"/>
    <w:rsid w:val="00586972"/>
    <w:rsid w:val="005B638E"/>
    <w:rsid w:val="005C0701"/>
    <w:rsid w:val="005D57F4"/>
    <w:rsid w:val="005D6700"/>
    <w:rsid w:val="005E0CC7"/>
    <w:rsid w:val="006013F7"/>
    <w:rsid w:val="00602B75"/>
    <w:rsid w:val="00613A71"/>
    <w:rsid w:val="00623F8C"/>
    <w:rsid w:val="006276A5"/>
    <w:rsid w:val="00630588"/>
    <w:rsid w:val="00644727"/>
    <w:rsid w:val="006514C8"/>
    <w:rsid w:val="00652647"/>
    <w:rsid w:val="0065623D"/>
    <w:rsid w:val="006866C0"/>
    <w:rsid w:val="006929BE"/>
    <w:rsid w:val="006C185C"/>
    <w:rsid w:val="006D4C57"/>
    <w:rsid w:val="006E3333"/>
    <w:rsid w:val="006E5835"/>
    <w:rsid w:val="0070458B"/>
    <w:rsid w:val="0070566D"/>
    <w:rsid w:val="00715CDC"/>
    <w:rsid w:val="00723DC2"/>
    <w:rsid w:val="007530BE"/>
    <w:rsid w:val="00755BA4"/>
    <w:rsid w:val="00767354"/>
    <w:rsid w:val="0078424E"/>
    <w:rsid w:val="00785AD1"/>
    <w:rsid w:val="0078639A"/>
    <w:rsid w:val="0079477D"/>
    <w:rsid w:val="007B186F"/>
    <w:rsid w:val="007B73B1"/>
    <w:rsid w:val="007C21BD"/>
    <w:rsid w:val="007C242B"/>
    <w:rsid w:val="007D3017"/>
    <w:rsid w:val="007D7EB2"/>
    <w:rsid w:val="008101E7"/>
    <w:rsid w:val="0081235A"/>
    <w:rsid w:val="00845290"/>
    <w:rsid w:val="00846ECA"/>
    <w:rsid w:val="00850CFC"/>
    <w:rsid w:val="0086676F"/>
    <w:rsid w:val="0087259D"/>
    <w:rsid w:val="0088059E"/>
    <w:rsid w:val="008A4F9E"/>
    <w:rsid w:val="008B1EEB"/>
    <w:rsid w:val="008B2E17"/>
    <w:rsid w:val="008C31ED"/>
    <w:rsid w:val="008F2DB9"/>
    <w:rsid w:val="008F6E49"/>
    <w:rsid w:val="0090684E"/>
    <w:rsid w:val="009124C3"/>
    <w:rsid w:val="00913295"/>
    <w:rsid w:val="009176F3"/>
    <w:rsid w:val="009257F8"/>
    <w:rsid w:val="00937F7D"/>
    <w:rsid w:val="0097256F"/>
    <w:rsid w:val="0099396D"/>
    <w:rsid w:val="00994A65"/>
    <w:rsid w:val="00995BF0"/>
    <w:rsid w:val="009A1806"/>
    <w:rsid w:val="009C1AD3"/>
    <w:rsid w:val="009C4B3D"/>
    <w:rsid w:val="009C557A"/>
    <w:rsid w:val="009D026E"/>
    <w:rsid w:val="009E092B"/>
    <w:rsid w:val="00A056A4"/>
    <w:rsid w:val="00A15B77"/>
    <w:rsid w:val="00A356E2"/>
    <w:rsid w:val="00A4280A"/>
    <w:rsid w:val="00A428DA"/>
    <w:rsid w:val="00A535A9"/>
    <w:rsid w:val="00A564B3"/>
    <w:rsid w:val="00A569E3"/>
    <w:rsid w:val="00A62FEB"/>
    <w:rsid w:val="00A67F55"/>
    <w:rsid w:val="00A7481B"/>
    <w:rsid w:val="00A75F97"/>
    <w:rsid w:val="00A90D99"/>
    <w:rsid w:val="00AC4521"/>
    <w:rsid w:val="00AC5A61"/>
    <w:rsid w:val="00AD014B"/>
    <w:rsid w:val="00AD3B2F"/>
    <w:rsid w:val="00AD4C82"/>
    <w:rsid w:val="00AE01F6"/>
    <w:rsid w:val="00AE4272"/>
    <w:rsid w:val="00AE5EC2"/>
    <w:rsid w:val="00AF5049"/>
    <w:rsid w:val="00B007F0"/>
    <w:rsid w:val="00B07D36"/>
    <w:rsid w:val="00B13AAE"/>
    <w:rsid w:val="00B16A03"/>
    <w:rsid w:val="00B209E6"/>
    <w:rsid w:val="00B260EA"/>
    <w:rsid w:val="00B26C0B"/>
    <w:rsid w:val="00B519C6"/>
    <w:rsid w:val="00B60AC5"/>
    <w:rsid w:val="00B615F4"/>
    <w:rsid w:val="00B62EA0"/>
    <w:rsid w:val="00B634A1"/>
    <w:rsid w:val="00B658D2"/>
    <w:rsid w:val="00B6619B"/>
    <w:rsid w:val="00B8286B"/>
    <w:rsid w:val="00B94050"/>
    <w:rsid w:val="00BA2867"/>
    <w:rsid w:val="00BA463E"/>
    <w:rsid w:val="00BD2DCB"/>
    <w:rsid w:val="00C03053"/>
    <w:rsid w:val="00C23827"/>
    <w:rsid w:val="00C5141B"/>
    <w:rsid w:val="00C57398"/>
    <w:rsid w:val="00C57F22"/>
    <w:rsid w:val="00C613FF"/>
    <w:rsid w:val="00C639B9"/>
    <w:rsid w:val="00C76C07"/>
    <w:rsid w:val="00C8285B"/>
    <w:rsid w:val="00C829EA"/>
    <w:rsid w:val="00C85AA7"/>
    <w:rsid w:val="00C91675"/>
    <w:rsid w:val="00C91CB1"/>
    <w:rsid w:val="00CA09DD"/>
    <w:rsid w:val="00CC5E72"/>
    <w:rsid w:val="00CE28A2"/>
    <w:rsid w:val="00CE5755"/>
    <w:rsid w:val="00D17FB8"/>
    <w:rsid w:val="00D273C8"/>
    <w:rsid w:val="00D429EB"/>
    <w:rsid w:val="00D54105"/>
    <w:rsid w:val="00D65677"/>
    <w:rsid w:val="00D731AC"/>
    <w:rsid w:val="00D90BCB"/>
    <w:rsid w:val="00DA48E5"/>
    <w:rsid w:val="00E2475B"/>
    <w:rsid w:val="00E42E32"/>
    <w:rsid w:val="00E52821"/>
    <w:rsid w:val="00E52F63"/>
    <w:rsid w:val="00E653A6"/>
    <w:rsid w:val="00E75268"/>
    <w:rsid w:val="00EA047D"/>
    <w:rsid w:val="00EA0544"/>
    <w:rsid w:val="00ED50D7"/>
    <w:rsid w:val="00F009AE"/>
    <w:rsid w:val="00F0123C"/>
    <w:rsid w:val="00F15D29"/>
    <w:rsid w:val="00F16806"/>
    <w:rsid w:val="00F20FF3"/>
    <w:rsid w:val="00F26F38"/>
    <w:rsid w:val="00F318C8"/>
    <w:rsid w:val="00F47751"/>
    <w:rsid w:val="00F96AC5"/>
    <w:rsid w:val="00FA4FE7"/>
    <w:rsid w:val="00FA639F"/>
    <w:rsid w:val="00FB498B"/>
    <w:rsid w:val="00FC2CFF"/>
    <w:rsid w:val="00FC6A92"/>
    <w:rsid w:val="00FF36C6"/>
  </w:rsids>
  <m:mathPr>
    <m:mathFont m:val="Cambria Math"/>
    <m:brkBin m:val="before"/>
    <m:brkBinSub m:val="--"/>
    <m:smallFrac m:val="0"/>
    <m:dispDef/>
    <m:lMargin m:val="0"/>
    <m:rMargin m:val="0"/>
    <m:defJc m:val="centerGroup"/>
    <m:wrapIndent m:val="1440"/>
    <m:intLim m:val="subSup"/>
    <m:naryLim m:val="undOvr"/>
  </m:mathPr>
  <w:themeFontLang w:val="en-US"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F2613C"/>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8"/>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5248"/>
    <w:pPr>
      <w:spacing w:line="480" w:lineRule="auto"/>
      <w:jc w:val="both"/>
    </w:pPr>
    <w:rPr>
      <w:rFonts w:ascii="Times New Roman" w:hAnsi="Times New Roman"/>
      <w:color w:val="000000" w:themeColor="text1"/>
      <w:sz w:val="24"/>
      <w:szCs w:val="22"/>
      <w:lang w:val="en-IN" w:bidi="ar-SA"/>
    </w:rPr>
  </w:style>
  <w:style w:type="paragraph" w:styleId="Heading1">
    <w:name w:val="heading 1"/>
    <w:basedOn w:val="Normal"/>
    <w:next w:val="Normal"/>
    <w:link w:val="Heading1Char"/>
    <w:uiPriority w:val="9"/>
    <w:qFormat/>
    <w:rsid w:val="00526555"/>
    <w:pPr>
      <w:keepNext/>
      <w:keepLines/>
      <w:spacing w:before="480" w:after="0"/>
      <w:outlineLvl w:val="0"/>
    </w:pPr>
    <w:rPr>
      <w:rFonts w:eastAsiaTheme="majorEastAsia" w:cstheme="majorBidi"/>
      <w:b/>
      <w:bCs/>
      <w:sz w:val="28"/>
      <w:szCs w:val="25"/>
      <w:lang w:bidi="th-TH"/>
    </w:rPr>
  </w:style>
  <w:style w:type="paragraph" w:styleId="Heading2">
    <w:name w:val="heading 2"/>
    <w:basedOn w:val="Normal"/>
    <w:next w:val="Normal"/>
    <w:link w:val="Heading2Char"/>
    <w:uiPriority w:val="9"/>
    <w:unhideWhenUsed/>
    <w:qFormat/>
    <w:rsid w:val="004E1895"/>
    <w:pPr>
      <w:keepNext/>
      <w:keepLines/>
      <w:spacing w:before="40" w:after="0"/>
      <w:outlineLvl w:val="1"/>
    </w:pPr>
    <w:rPr>
      <w:rFonts w:eastAsiaTheme="majorEastAsia" w:cstheme="majorBidi"/>
      <w:b/>
      <w:sz w:val="26"/>
      <w:szCs w:val="23"/>
      <w:lang w:bidi="th-TH"/>
    </w:rPr>
  </w:style>
  <w:style w:type="paragraph" w:styleId="Heading3">
    <w:name w:val="heading 3"/>
    <w:basedOn w:val="Normal"/>
    <w:next w:val="Normal"/>
    <w:link w:val="Heading3Char"/>
    <w:uiPriority w:val="9"/>
    <w:unhideWhenUsed/>
    <w:qFormat/>
    <w:rsid w:val="00011906"/>
    <w:pPr>
      <w:keepNext/>
      <w:keepLines/>
      <w:spacing w:before="40" w:after="0"/>
      <w:outlineLvl w:val="2"/>
    </w:pPr>
    <w:rPr>
      <w:rFonts w:eastAsiaTheme="majorEastAsia" w:cstheme="majorBidi"/>
      <w:i/>
      <w:sz w:val="22"/>
      <w:szCs w:val="24"/>
      <w:u w:val="single"/>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6555"/>
    <w:rPr>
      <w:rFonts w:ascii="Times New Roman" w:eastAsiaTheme="majorEastAsia" w:hAnsi="Times New Roman" w:cstheme="majorBidi"/>
      <w:b/>
      <w:bCs/>
      <w:color w:val="000000" w:themeColor="text1"/>
      <w:sz w:val="28"/>
      <w:szCs w:val="25"/>
    </w:rPr>
  </w:style>
  <w:style w:type="character" w:customStyle="1" w:styleId="Heading2Char">
    <w:name w:val="Heading 2 Char"/>
    <w:basedOn w:val="DefaultParagraphFont"/>
    <w:link w:val="Heading2"/>
    <w:uiPriority w:val="9"/>
    <w:rsid w:val="004E1895"/>
    <w:rPr>
      <w:rFonts w:ascii="Times New Roman" w:eastAsiaTheme="majorEastAsia" w:hAnsi="Times New Roman" w:cstheme="majorBidi"/>
      <w:b/>
      <w:color w:val="000000" w:themeColor="text1"/>
      <w:sz w:val="26"/>
      <w:szCs w:val="23"/>
    </w:rPr>
  </w:style>
  <w:style w:type="character" w:customStyle="1" w:styleId="Heading3Char">
    <w:name w:val="Heading 3 Char"/>
    <w:basedOn w:val="DefaultParagraphFont"/>
    <w:link w:val="Heading3"/>
    <w:uiPriority w:val="9"/>
    <w:rsid w:val="00011906"/>
    <w:rPr>
      <w:rFonts w:ascii="Times New Roman" w:eastAsiaTheme="majorEastAsia" w:hAnsi="Times New Roman" w:cstheme="majorBidi"/>
      <w:i/>
      <w:color w:val="000000" w:themeColor="text1"/>
      <w:kern w:val="0"/>
      <w:szCs w:val="24"/>
      <w:u w:val="single"/>
      <w14:ligatures w14:val="none"/>
    </w:rPr>
  </w:style>
  <w:style w:type="paragraph" w:styleId="Header">
    <w:name w:val="header"/>
    <w:basedOn w:val="Normal"/>
    <w:link w:val="HeaderChar"/>
    <w:uiPriority w:val="99"/>
    <w:unhideWhenUsed/>
    <w:rsid w:val="00E52F63"/>
    <w:pPr>
      <w:tabs>
        <w:tab w:val="center" w:pos="4680"/>
        <w:tab w:val="right" w:pos="9360"/>
      </w:tabs>
      <w:spacing w:after="0" w:line="240" w:lineRule="auto"/>
    </w:pPr>
  </w:style>
  <w:style w:type="character" w:customStyle="1" w:styleId="HeaderChar">
    <w:name w:val="Header Char"/>
    <w:basedOn w:val="DefaultParagraphFont"/>
    <w:link w:val="Header"/>
    <w:uiPriority w:val="99"/>
    <w:rsid w:val="00E52F63"/>
    <w:rPr>
      <w:rFonts w:ascii="Times New Roman" w:hAnsi="Times New Roman"/>
      <w:color w:val="000000" w:themeColor="text1"/>
      <w:sz w:val="24"/>
      <w:szCs w:val="22"/>
      <w:lang w:val="en-IN" w:bidi="ar-SA"/>
    </w:rPr>
  </w:style>
  <w:style w:type="paragraph" w:styleId="Footer">
    <w:name w:val="footer"/>
    <w:basedOn w:val="Normal"/>
    <w:link w:val="FooterChar"/>
    <w:uiPriority w:val="99"/>
    <w:unhideWhenUsed/>
    <w:rsid w:val="00E52F63"/>
    <w:pPr>
      <w:tabs>
        <w:tab w:val="center" w:pos="4680"/>
        <w:tab w:val="right" w:pos="9360"/>
      </w:tabs>
      <w:spacing w:after="0" w:line="240" w:lineRule="auto"/>
    </w:pPr>
  </w:style>
  <w:style w:type="character" w:customStyle="1" w:styleId="FooterChar">
    <w:name w:val="Footer Char"/>
    <w:basedOn w:val="DefaultParagraphFont"/>
    <w:link w:val="Footer"/>
    <w:uiPriority w:val="99"/>
    <w:rsid w:val="00E52F63"/>
    <w:rPr>
      <w:rFonts w:ascii="Times New Roman" w:hAnsi="Times New Roman"/>
      <w:color w:val="000000" w:themeColor="text1"/>
      <w:sz w:val="24"/>
      <w:szCs w:val="22"/>
      <w:lang w:val="en-IN" w:bidi="ar-SA"/>
    </w:rPr>
  </w:style>
  <w:style w:type="paragraph" w:styleId="NormalWeb">
    <w:name w:val="Normal (Web)"/>
    <w:basedOn w:val="Normal"/>
    <w:uiPriority w:val="99"/>
    <w:semiHidden/>
    <w:unhideWhenUsed/>
    <w:rsid w:val="00565248"/>
    <w:pPr>
      <w:spacing w:before="100" w:beforeAutospacing="1" w:after="100" w:afterAutospacing="1" w:line="240" w:lineRule="auto"/>
      <w:jc w:val="left"/>
    </w:pPr>
    <w:rPr>
      <w:rFonts w:eastAsia="Times New Roman" w:cs="Times New Roman"/>
      <w:color w:val="auto"/>
      <w:kern w:val="0"/>
      <w:szCs w:val="24"/>
      <w:lang w:val="en-US"/>
      <w14:ligatures w14:val="none"/>
    </w:rPr>
  </w:style>
  <w:style w:type="paragraph" w:styleId="z-TopofForm">
    <w:name w:val="HTML Top of Form"/>
    <w:basedOn w:val="Normal"/>
    <w:next w:val="Normal"/>
    <w:link w:val="z-TopofFormChar"/>
    <w:hidden/>
    <w:uiPriority w:val="99"/>
    <w:semiHidden/>
    <w:unhideWhenUsed/>
    <w:rsid w:val="00565248"/>
    <w:pPr>
      <w:pBdr>
        <w:bottom w:val="single" w:sz="6" w:space="1" w:color="auto"/>
      </w:pBdr>
      <w:spacing w:after="0" w:line="240" w:lineRule="auto"/>
      <w:jc w:val="center"/>
    </w:pPr>
    <w:rPr>
      <w:rFonts w:ascii="Arial" w:eastAsia="Times New Roman" w:hAnsi="Arial" w:cs="Arial"/>
      <w:vanish/>
      <w:color w:val="auto"/>
      <w:kern w:val="0"/>
      <w:sz w:val="16"/>
      <w:szCs w:val="16"/>
      <w:lang w:val="en-US"/>
      <w14:ligatures w14:val="none"/>
    </w:rPr>
  </w:style>
  <w:style w:type="character" w:customStyle="1" w:styleId="z-TopofFormChar">
    <w:name w:val="z-Top of Form Char"/>
    <w:basedOn w:val="DefaultParagraphFont"/>
    <w:link w:val="z-TopofForm"/>
    <w:uiPriority w:val="99"/>
    <w:semiHidden/>
    <w:rsid w:val="00565248"/>
    <w:rPr>
      <w:rFonts w:ascii="Arial" w:eastAsia="Times New Roman" w:hAnsi="Arial" w:cs="Arial"/>
      <w:vanish/>
      <w:kern w:val="0"/>
      <w:sz w:val="16"/>
      <w:szCs w:val="16"/>
      <w:lang w:bidi="ar-SA"/>
      <w14:ligatures w14:val="none"/>
    </w:rPr>
  </w:style>
  <w:style w:type="table" w:styleId="ListTable7Colorful-Accent6">
    <w:name w:val="List Table 7 Colorful Accent 6"/>
    <w:basedOn w:val="TableNormal"/>
    <w:uiPriority w:val="52"/>
    <w:rsid w:val="00B007F0"/>
    <w:pPr>
      <w:spacing w:after="0" w:line="240" w:lineRule="auto"/>
    </w:pPr>
    <w:rPr>
      <w:rFonts w:eastAsia="Calibri"/>
      <w:color w:val="538135" w:themeColor="accent6" w:themeShade="BF"/>
      <w:kern w:val="0"/>
      <w:szCs w:val="22"/>
      <w:lang w:bidi="ar-SA"/>
      <w14:ligatures w14:val="none"/>
    </w:rPr>
    <w:tblPr>
      <w:tblStyleRowBandSize w:val="1"/>
      <w:tblStyleColBandSize w:val="1"/>
    </w:tblPr>
    <w:tblStylePr w:type="firstRow">
      <w:rPr>
        <w:rFonts w:asciiTheme="majorHAnsi" w:eastAsiaTheme="majorEastAsia" w:hAnsiTheme="majorHAnsi" w:cstheme="majorBidi" w:hint="default"/>
        <w:i/>
        <w:iCs/>
        <w:sz w:val="26"/>
        <w:szCs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hint="default"/>
        <w:i/>
        <w:iCs/>
        <w:sz w:val="26"/>
        <w:szCs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hint="default"/>
        <w:i/>
        <w:iCs/>
        <w:sz w:val="26"/>
        <w:szCs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hint="default"/>
        <w:i/>
        <w:iCs/>
        <w:sz w:val="26"/>
        <w:szCs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eGrid">
    <w:name w:val="Table Grid"/>
    <w:basedOn w:val="TableNormal"/>
    <w:uiPriority w:val="39"/>
    <w:rsid w:val="00195AB4"/>
    <w:pPr>
      <w:spacing w:after="0" w:line="240" w:lineRule="auto"/>
    </w:pPr>
    <w:rPr>
      <w:rFonts w:eastAsia="Calibri"/>
      <w:kern w:val="0"/>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1C442E"/>
  </w:style>
  <w:style w:type="character" w:styleId="Hyperlink">
    <w:name w:val="Hyperlink"/>
    <w:basedOn w:val="DefaultParagraphFont"/>
    <w:uiPriority w:val="99"/>
    <w:unhideWhenUsed/>
    <w:rsid w:val="001C442E"/>
    <w:rPr>
      <w:color w:val="0563C1" w:themeColor="hyperlink"/>
      <w:u w:val="single"/>
    </w:rPr>
  </w:style>
  <w:style w:type="character" w:styleId="UnresolvedMention">
    <w:name w:val="Unresolved Mention"/>
    <w:basedOn w:val="DefaultParagraphFont"/>
    <w:uiPriority w:val="99"/>
    <w:semiHidden/>
    <w:unhideWhenUsed/>
    <w:rsid w:val="001C442E"/>
    <w:rPr>
      <w:color w:val="605E5C"/>
      <w:shd w:val="clear" w:color="auto" w:fill="E1DFDD"/>
    </w:rPr>
  </w:style>
  <w:style w:type="paragraph" w:styleId="TOCHeading">
    <w:name w:val="TOC Heading"/>
    <w:basedOn w:val="Heading1"/>
    <w:next w:val="Normal"/>
    <w:uiPriority w:val="39"/>
    <w:unhideWhenUsed/>
    <w:qFormat/>
    <w:rsid w:val="005229E7"/>
    <w:pPr>
      <w:spacing w:before="240" w:line="259" w:lineRule="auto"/>
      <w:jc w:val="left"/>
      <w:outlineLvl w:val="9"/>
    </w:pPr>
    <w:rPr>
      <w:rFonts w:asciiTheme="majorHAnsi" w:hAnsiTheme="majorHAnsi"/>
      <w:b w:val="0"/>
      <w:bCs w:val="0"/>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5229E7"/>
    <w:pPr>
      <w:spacing w:after="100"/>
    </w:pPr>
  </w:style>
  <w:style w:type="paragraph" w:styleId="TOC2">
    <w:name w:val="toc 2"/>
    <w:basedOn w:val="Normal"/>
    <w:next w:val="Normal"/>
    <w:autoRedefine/>
    <w:uiPriority w:val="39"/>
    <w:unhideWhenUsed/>
    <w:rsid w:val="005229E7"/>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74141">
      <w:bodyDiv w:val="1"/>
      <w:marLeft w:val="0"/>
      <w:marRight w:val="0"/>
      <w:marTop w:val="0"/>
      <w:marBottom w:val="0"/>
      <w:divBdr>
        <w:top w:val="none" w:sz="0" w:space="0" w:color="auto"/>
        <w:left w:val="none" w:sz="0" w:space="0" w:color="auto"/>
        <w:bottom w:val="none" w:sz="0" w:space="0" w:color="auto"/>
        <w:right w:val="none" w:sz="0" w:space="0" w:color="auto"/>
      </w:divBdr>
      <w:divsChild>
        <w:div w:id="189417385">
          <w:marLeft w:val="0"/>
          <w:marRight w:val="0"/>
          <w:marTop w:val="0"/>
          <w:marBottom w:val="0"/>
          <w:divBdr>
            <w:top w:val="none" w:sz="0" w:space="0" w:color="auto"/>
            <w:left w:val="none" w:sz="0" w:space="0" w:color="auto"/>
            <w:bottom w:val="none" w:sz="0" w:space="0" w:color="auto"/>
            <w:right w:val="none" w:sz="0" w:space="0" w:color="auto"/>
          </w:divBdr>
        </w:div>
      </w:divsChild>
    </w:div>
    <w:div w:id="438067999">
      <w:bodyDiv w:val="1"/>
      <w:marLeft w:val="0"/>
      <w:marRight w:val="0"/>
      <w:marTop w:val="0"/>
      <w:marBottom w:val="0"/>
      <w:divBdr>
        <w:top w:val="none" w:sz="0" w:space="0" w:color="auto"/>
        <w:left w:val="none" w:sz="0" w:space="0" w:color="auto"/>
        <w:bottom w:val="none" w:sz="0" w:space="0" w:color="auto"/>
        <w:right w:val="none" w:sz="0" w:space="0" w:color="auto"/>
      </w:divBdr>
      <w:divsChild>
        <w:div w:id="29500442">
          <w:marLeft w:val="0"/>
          <w:marRight w:val="0"/>
          <w:marTop w:val="0"/>
          <w:marBottom w:val="0"/>
          <w:divBdr>
            <w:top w:val="none" w:sz="0" w:space="0" w:color="auto"/>
            <w:left w:val="none" w:sz="0" w:space="0" w:color="auto"/>
            <w:bottom w:val="none" w:sz="0" w:space="0" w:color="auto"/>
            <w:right w:val="none" w:sz="0" w:space="0" w:color="auto"/>
          </w:divBdr>
        </w:div>
      </w:divsChild>
    </w:div>
    <w:div w:id="1965965093">
      <w:bodyDiv w:val="1"/>
      <w:marLeft w:val="0"/>
      <w:marRight w:val="0"/>
      <w:marTop w:val="0"/>
      <w:marBottom w:val="0"/>
      <w:divBdr>
        <w:top w:val="none" w:sz="0" w:space="0" w:color="auto"/>
        <w:left w:val="none" w:sz="0" w:space="0" w:color="auto"/>
        <w:bottom w:val="none" w:sz="0" w:space="0" w:color="auto"/>
        <w:right w:val="none" w:sz="0" w:space="0" w:color="auto"/>
      </w:divBdr>
      <w:divsChild>
        <w:div w:id="5781029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acc2224</b:Tag>
    <b:SourceType>InternetSite</b:SourceType>
    <b:Guid>{D6F91C54-9FB9-43DE-BC42-99E12E3D00EF}</b:Guid>
    <b:Author>
      <b:Author>
        <b:Corporate>accountingtools</b:Corporate>
      </b:Author>
    </b:Author>
    <b:Title>Inventory turnover definition</b:Title>
    <b:Year>2022</b:Year>
    <b:URL>https://www.accountingtools.com/articles/what-is-inventory-turnover.html#:~:text=By%20using%20the%20days%20sales,multiply%20the%20result%20by%20365.</b:URL>
    <b:YearAccessed>2023</b:YearAccessed>
    <b:MonthAccessed>November</b:MonthAccessed>
    <b:DayAccessed>20</b:DayAccessed>
    <b:RefOrder>1</b:RefOrder>
  </b:Source>
  <b:Source>
    <b:Tag>cor20</b:Tag>
    <b:SourceType>InternetSite</b:SourceType>
    <b:Guid>{D33D1470-A9A5-4F1E-BD70-833220B2FFF1}</b:Guid>
    <b:Author>
      <b:Author>
        <b:Corporate>corporatefinanceinstitute</b:Corporate>
      </b:Author>
    </b:Author>
    <b:Title>Gearing</b:Title>
    <b:Year>2022</b:Year>
    <b:URL>https://corporatefinanceinstitute.com/resources/knowledge/finance/gearing/</b:URL>
    <b:YearAccessed>2023</b:YearAccessed>
    <b:MonthAccessed>November</b:MonthAccessed>
    <b:DayAccessed>20'</b:DayAccessed>
    <b:RefOrder>2</b:RefOrder>
  </b:Source>
  <b:Source>
    <b:Tag>BBC2214</b:Tag>
    <b:SourceType>InternetSite</b:SourceType>
    <b:Guid>{CC2C2CFA-B926-4852-B226-AFCBF39DEB04}</b:Guid>
    <b:Author>
      <b:Author>
        <b:Corporate>BBC</b:Corporate>
      </b:Author>
    </b:Author>
    <b:Title>Revenue, cost and profit</b:Title>
    <b:Year>2022</b:Year>
    <b:URL>https://www.bbc.co.uk/bitesize/guides/zxq2hyc/revision/2</b:URL>
    <b:YearAccessed>2023</b:YearAccessed>
    <b:MonthAccessed>November</b:MonthAccessed>
    <b:DayAccessed>21</b:DayAccessed>
    <b:RefOrder>3</b:RefOrder>
  </b:Source>
  <b:Source>
    <b:Tag>cor224</b:Tag>
    <b:SourceType>InternetSite</b:SourceType>
    <b:Guid>{5A1AC1F5-75F3-48B6-82B1-2A91C5F55F92}</b:Guid>
    <b:Author>
      <b:Author>
        <b:Corporate>corporatefinanceinstitute</b:Corporate>
      </b:Author>
    </b:Author>
    <b:Title>Interest Coverage Ratio</b:Title>
    <b:Year>2022</b:Year>
    <b:URL>https://corporatefinanceinstitute.com/resources/knowledge/finance/interest-coverage-ratio/</b:URL>
    <b:YearAccessed>2023</b:YearAccessed>
    <b:MonthAccessed>November</b:MonthAccessed>
    <b:DayAccessed>20</b:DayAccessed>
    <b:RefOrder>4</b:RefOrder>
  </b:Source>
  <b:Source>
    <b:Tag>cor223</b:Tag>
    <b:SourceType>InternetSite</b:SourceType>
    <b:Guid>{12E35491-42F8-4C8B-B7DE-0E1E5A9EE64D}</b:Guid>
    <b:Author>
      <b:Author>
        <b:Corporate>corporatefinanceinstitute</b:Corporate>
      </b:Author>
    </b:Author>
    <b:Title>Current Ratio Formula</b:Title>
    <b:Year>2022</b:Year>
    <b:URL>https://corporatefinanceinstitute.com/resources/knowledge/finance/current-ratio-formula/</b:URL>
    <b:RefOrder>5</b:RefOrder>
  </b:Source>
  <b:Source xmlns:b="http://schemas.openxmlformats.org/officeDocument/2006/bibliography">
    <b:Tag>BBC2212</b:Tag>
    <b:SourceType>InternetSite</b:SourceType>
    <b:Guid>{1B738C68-D1F0-48DE-B623-3EE42022075E}</b:Guid>
    <b:Author>
      <b:Author>
        <b:Corporate>BBC</b:Corporate>
      </b:Author>
    </b:Author>
    <b:Title>Financial records</b:Title>
    <b:Year>2022</b:Year>
    <b:URL>https://www.bbc.co.uk/bitesize/guides/zhm6sbk/revision/2</b:URL>
    <b:YearAccessed>2023</b:YearAccessed>
    <b:MonthAccessed>November</b:MonthAccessed>
    <b:DayAccessed>21</b:DayAccessed>
    <b:RefOrder>6</b:RefOrder>
  </b:Source>
</b:Sources>
</file>

<file path=customXml/itemProps1.xml><?xml version="1.0" encoding="utf-8"?>
<ds:datastoreItem xmlns:ds="http://schemas.openxmlformats.org/officeDocument/2006/customXml" ds:itemID="{8468F4B8-7678-473B-B9B7-95AF6D596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3274</Words>
  <Characters>18665</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21896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2023-12-20T12:54:00Z</dcterms:created>
  <dcterms:modified xsi:type="dcterms:W3CDTF">2023-12-20T12:54:00Z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3124dfd2463456105804c13560e80b5288d9012bcf17daa4c8c7f9a4448de13e</vt:lpwstr>
  </property>
</Properties>
</file>