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613CF4E" w14:textId="77777777" w:rsidR="00CB794B" w:rsidRPr="00B60289" w:rsidRDefault="00CB794B" w:rsidP="00CB794B">
      <w:pPr>
        <w:spacing w:line="480" w:lineRule="auto"/>
        <w:jc w:val="center"/>
        <w:rPr>
          <w:rFonts w:ascii="Arial" w:hAnsi="Arial" w:cs="Arial"/>
          <w:b/>
          <w:sz w:val="26"/>
          <w:szCs w:val="26"/>
          <w:u w:val="single"/>
        </w:rPr>
      </w:pPr>
      <w:bookmarkStart w:id="0" w:name="_GoBack"/>
      <w:bookmarkEnd w:id="0"/>
      <w:r w:rsidRPr="00B60289">
        <w:rPr>
          <w:rFonts w:ascii="Arial" w:hAnsi="Arial" w:cs="Arial"/>
          <w:b/>
          <w:sz w:val="26"/>
          <w:szCs w:val="26"/>
          <w:u w:val="single"/>
        </w:rPr>
        <w:t>Paleo environmental archaeology is multi-disciplinary in nature. Illustrate your answer with reference to two contrasting urban archaeological sites.</w:t>
      </w:r>
    </w:p>
    <w:p w14:paraId="1BBAF177" w14:textId="77777777" w:rsidR="00CB794B" w:rsidRPr="00B60289" w:rsidRDefault="00CB794B" w:rsidP="00CB794B">
      <w:pPr>
        <w:spacing w:line="480" w:lineRule="auto"/>
        <w:rPr>
          <w:rFonts w:ascii="Arial" w:hAnsi="Arial" w:cs="Arial"/>
        </w:rPr>
      </w:pPr>
    </w:p>
    <w:p w14:paraId="17CFDF29" w14:textId="215FF371" w:rsidR="00CB794B" w:rsidRPr="00B60289" w:rsidRDefault="00CB794B" w:rsidP="00CB794B">
      <w:pPr>
        <w:spacing w:line="480" w:lineRule="auto"/>
        <w:rPr>
          <w:rFonts w:ascii="Arial" w:hAnsi="Arial" w:cs="Arial"/>
        </w:rPr>
      </w:pPr>
      <w:r w:rsidRPr="00B60289">
        <w:rPr>
          <w:rFonts w:ascii="Arial" w:hAnsi="Arial" w:cs="Arial"/>
        </w:rPr>
        <w:t>Paleo-environmental archaeology allows us to explore human behaviour in the landscapes of the past. However, the history of human existence spans over an immensely long period of time which can cause complications in accurately dating the record of the material evidence that is left behind. This essay will examine the multi-disciplinary nature of the field</w:t>
      </w:r>
      <w:r w:rsidR="00C367A1" w:rsidRPr="00B60289">
        <w:rPr>
          <w:rFonts w:ascii="Arial" w:hAnsi="Arial" w:cs="Arial"/>
        </w:rPr>
        <w:t>, t</w:t>
      </w:r>
      <w:r w:rsidRPr="00B60289">
        <w:rPr>
          <w:rFonts w:ascii="Arial" w:hAnsi="Arial" w:cs="Arial"/>
        </w:rPr>
        <w:t>he different skills and techniques used in paleo-environmental archaeolog</w:t>
      </w:r>
      <w:r w:rsidR="00C367A1" w:rsidRPr="00B60289">
        <w:rPr>
          <w:rFonts w:ascii="Arial" w:hAnsi="Arial" w:cs="Arial"/>
        </w:rPr>
        <w:t xml:space="preserve">y </w:t>
      </w:r>
      <w:r w:rsidRPr="00B60289">
        <w:rPr>
          <w:rFonts w:ascii="Arial" w:hAnsi="Arial" w:cs="Arial"/>
        </w:rPr>
        <w:t xml:space="preserve">and the reasons for </w:t>
      </w:r>
      <w:r w:rsidR="00C367A1" w:rsidRPr="00B60289">
        <w:rPr>
          <w:rFonts w:ascii="Arial" w:hAnsi="Arial" w:cs="Arial"/>
        </w:rPr>
        <w:t>their use. These</w:t>
      </w:r>
      <w:r w:rsidRPr="00B60289">
        <w:rPr>
          <w:rFonts w:ascii="Arial" w:hAnsi="Arial" w:cs="Arial"/>
        </w:rPr>
        <w:t xml:space="preserve"> will be examined with reference to two specific examples </w:t>
      </w:r>
      <w:r w:rsidR="00C367A1" w:rsidRPr="00B60289">
        <w:rPr>
          <w:rFonts w:ascii="Arial" w:hAnsi="Arial" w:cs="Arial"/>
        </w:rPr>
        <w:t xml:space="preserve">of urban archaeology, and how these skills might be used. </w:t>
      </w:r>
    </w:p>
    <w:p w14:paraId="1CB0DAC6" w14:textId="0F3C824C" w:rsidR="00CB794B" w:rsidRPr="00B60289" w:rsidRDefault="00CB794B" w:rsidP="00CB794B">
      <w:pPr>
        <w:spacing w:line="480" w:lineRule="auto"/>
        <w:rPr>
          <w:rFonts w:ascii="Arial" w:hAnsi="Arial" w:cs="Arial"/>
          <w:color w:val="000000" w:themeColor="text1"/>
        </w:rPr>
      </w:pPr>
      <w:r w:rsidRPr="00B60289">
        <w:rPr>
          <w:rFonts w:ascii="Arial" w:hAnsi="Arial" w:cs="Arial"/>
        </w:rPr>
        <w:t xml:space="preserve">The archaeology of the modern human, and its history, can arguably be traced back as far as 40,000-50,000 years ago (Nitecki, Nitecki, 1994). As a result, one may be dealing with a multitude of artefacts, species, environments, behaviours, interactions, that understandably one would wish to analyse, and ideally, date. In this area alone, the huge expanse of time causes problems, as popular dating techniques, such as carbon dating, can only date back to a certain point before the carbon levels simply become to finite to read (Walker, 2005). </w:t>
      </w:r>
      <w:r w:rsidRPr="00B60289">
        <w:rPr>
          <w:rFonts w:ascii="Arial" w:hAnsi="Arial" w:cs="Arial"/>
          <w:color w:val="000000" w:themeColor="text1"/>
        </w:rPr>
        <w:t>As a result of these kinds of problems, paleo-environmental archaeologists have found themselves exploring a number of other dating options and techniques. This commitment to exploring many different skills and disciplines is a fundamental component of this field, driven by the need for a far wider skillset to analyse the massive variations in the history of human activity on earth, and a desire to produce a clearer picture of the past.</w:t>
      </w:r>
    </w:p>
    <w:p w14:paraId="47C59E38" w14:textId="6E601C36" w:rsidR="00CB794B" w:rsidRPr="00B60289" w:rsidRDefault="00CB794B" w:rsidP="00CB794B">
      <w:pPr>
        <w:spacing w:line="480" w:lineRule="auto"/>
        <w:rPr>
          <w:rFonts w:ascii="Arial" w:hAnsi="Arial" w:cs="Arial"/>
          <w:color w:val="000000" w:themeColor="text1"/>
        </w:rPr>
      </w:pPr>
      <w:r w:rsidRPr="00B60289">
        <w:rPr>
          <w:rFonts w:ascii="Arial" w:hAnsi="Arial" w:cs="Arial"/>
          <w:color w:val="000000" w:themeColor="text1"/>
        </w:rPr>
        <w:t>To explore the diversity needed in this field of study, the case studies chosen</w:t>
      </w:r>
      <w:r w:rsidR="00C367A1" w:rsidRPr="00B60289">
        <w:rPr>
          <w:rFonts w:ascii="Arial" w:hAnsi="Arial" w:cs="Arial"/>
          <w:color w:val="000000" w:themeColor="text1"/>
        </w:rPr>
        <w:t>,</w:t>
      </w:r>
      <w:r w:rsidRPr="00B60289">
        <w:rPr>
          <w:rFonts w:ascii="Arial" w:hAnsi="Arial" w:cs="Arial"/>
          <w:color w:val="000000" w:themeColor="text1"/>
        </w:rPr>
        <w:t xml:space="preserve"> have very different environmental surroundings</w:t>
      </w:r>
      <w:r w:rsidR="00C367A1" w:rsidRPr="00B60289">
        <w:rPr>
          <w:rFonts w:ascii="Arial" w:hAnsi="Arial" w:cs="Arial"/>
          <w:color w:val="000000" w:themeColor="text1"/>
        </w:rPr>
        <w:t>,</w:t>
      </w:r>
      <w:r w:rsidRPr="00B60289">
        <w:rPr>
          <w:rFonts w:ascii="Arial" w:hAnsi="Arial" w:cs="Arial"/>
          <w:color w:val="000000" w:themeColor="text1"/>
        </w:rPr>
        <w:t xml:space="preserve"> to highlight how different each paleo</w:t>
      </w:r>
      <w:r w:rsidR="00A21158">
        <w:rPr>
          <w:rFonts w:ascii="Arial" w:hAnsi="Arial" w:cs="Arial"/>
          <w:color w:val="000000" w:themeColor="text1"/>
        </w:rPr>
        <w:t>-</w:t>
      </w:r>
      <w:r w:rsidRPr="00B60289">
        <w:rPr>
          <w:rFonts w:ascii="Arial" w:hAnsi="Arial" w:cs="Arial"/>
          <w:color w:val="000000" w:themeColor="text1"/>
        </w:rPr>
        <w:t xml:space="preserve">environmental site might be. </w:t>
      </w:r>
    </w:p>
    <w:p w14:paraId="142ED45B" w14:textId="19F7BE2C" w:rsidR="00794454" w:rsidRPr="00B60289" w:rsidRDefault="00CB794B" w:rsidP="00CB794B">
      <w:pPr>
        <w:spacing w:line="480" w:lineRule="auto"/>
        <w:rPr>
          <w:rFonts w:ascii="Arial" w:hAnsi="Arial" w:cs="Arial"/>
          <w:i/>
          <w:color w:val="000000" w:themeColor="text1"/>
        </w:rPr>
      </w:pPr>
      <w:r w:rsidRPr="00B60289">
        <w:rPr>
          <w:rFonts w:ascii="Arial" w:hAnsi="Arial" w:cs="Arial"/>
          <w:color w:val="000000" w:themeColor="text1"/>
        </w:rPr>
        <w:lastRenderedPageBreak/>
        <w:t xml:space="preserve">Pompeii is famous for its almost perfectly preserved status as a result of a massive volcanic eruption of </w:t>
      </w:r>
      <w:r w:rsidR="00C367A1" w:rsidRPr="00B60289">
        <w:rPr>
          <w:rFonts w:ascii="Arial" w:hAnsi="Arial" w:cs="Arial"/>
          <w:color w:val="000000" w:themeColor="text1"/>
        </w:rPr>
        <w:t>Mount Vesuvius</w:t>
      </w:r>
      <w:r w:rsidRPr="00B60289">
        <w:rPr>
          <w:rFonts w:ascii="Arial" w:hAnsi="Arial" w:cs="Arial"/>
          <w:color w:val="000000" w:themeColor="text1"/>
        </w:rPr>
        <w:t xml:space="preserve"> in 79 AD (Cooley, 2003). </w:t>
      </w:r>
      <w:r w:rsidR="00C367A1" w:rsidRPr="00B60289">
        <w:rPr>
          <w:rFonts w:ascii="Arial" w:hAnsi="Arial" w:cs="Arial"/>
          <w:color w:val="000000" w:themeColor="text1"/>
        </w:rPr>
        <w:t xml:space="preserve">The </w:t>
      </w:r>
      <w:r w:rsidR="003E2DC5" w:rsidRPr="00B60289">
        <w:rPr>
          <w:rFonts w:ascii="Arial" w:hAnsi="Arial" w:cs="Arial"/>
          <w:color w:val="000000" w:themeColor="text1"/>
        </w:rPr>
        <w:t>huge</w:t>
      </w:r>
      <w:r w:rsidR="00C367A1" w:rsidRPr="00B60289">
        <w:rPr>
          <w:rFonts w:ascii="Arial" w:hAnsi="Arial" w:cs="Arial"/>
          <w:color w:val="000000" w:themeColor="text1"/>
        </w:rPr>
        <w:t xml:space="preserve"> site effected by th</w:t>
      </w:r>
      <w:r w:rsidR="003E2DC5" w:rsidRPr="00B60289">
        <w:rPr>
          <w:rFonts w:ascii="Arial" w:hAnsi="Arial" w:cs="Arial"/>
          <w:color w:val="000000" w:themeColor="text1"/>
        </w:rPr>
        <w:t xml:space="preserve">e </w:t>
      </w:r>
      <w:r w:rsidR="00C367A1" w:rsidRPr="00B60289">
        <w:rPr>
          <w:rFonts w:ascii="Arial" w:hAnsi="Arial" w:cs="Arial"/>
          <w:color w:val="000000" w:themeColor="text1"/>
        </w:rPr>
        <w:t xml:space="preserve">eruption, </w:t>
      </w:r>
      <w:r w:rsidR="003E2DC5" w:rsidRPr="00B60289">
        <w:rPr>
          <w:rFonts w:ascii="Arial" w:hAnsi="Arial" w:cs="Arial"/>
          <w:color w:val="000000" w:themeColor="text1"/>
        </w:rPr>
        <w:t xml:space="preserve">not only that of </w:t>
      </w:r>
      <w:r w:rsidR="00C367A1" w:rsidRPr="00B60289">
        <w:rPr>
          <w:rFonts w:ascii="Arial" w:hAnsi="Arial" w:cs="Arial"/>
          <w:color w:val="000000" w:themeColor="text1"/>
        </w:rPr>
        <w:t xml:space="preserve">Pompeii, but Herculaneum and </w:t>
      </w:r>
      <w:r w:rsidR="003E2DC5" w:rsidRPr="00B60289">
        <w:rPr>
          <w:rFonts w:ascii="Arial" w:hAnsi="Arial" w:cs="Arial"/>
          <w:color w:val="000000" w:themeColor="text1"/>
        </w:rPr>
        <w:t>Oplontis, was discovered in the early 1700’s, when archaeology and its theoretical and practical methods where in its infancy.</w:t>
      </w:r>
      <w:r w:rsidRPr="00B60289">
        <w:rPr>
          <w:rFonts w:ascii="Arial" w:hAnsi="Arial" w:cs="Arial"/>
          <w:color w:val="000000" w:themeColor="text1"/>
        </w:rPr>
        <w:t xml:space="preserve"> Paleo-environmental archaeology</w:t>
      </w:r>
      <w:r w:rsidR="003E2DC5" w:rsidRPr="00B60289">
        <w:rPr>
          <w:rFonts w:ascii="Arial" w:hAnsi="Arial" w:cs="Arial"/>
          <w:color w:val="000000" w:themeColor="text1"/>
        </w:rPr>
        <w:t xml:space="preserve"> itself was unheard of, although it is probable that </w:t>
      </w:r>
      <w:r w:rsidR="00B765FF" w:rsidRPr="00B60289">
        <w:rPr>
          <w:rFonts w:ascii="Arial" w:hAnsi="Arial" w:cs="Arial"/>
          <w:color w:val="000000" w:themeColor="text1"/>
        </w:rPr>
        <w:t xml:space="preserve">excavators </w:t>
      </w:r>
      <w:r w:rsidR="00C119E0" w:rsidRPr="00B60289">
        <w:rPr>
          <w:rFonts w:ascii="Arial" w:hAnsi="Arial" w:cs="Arial"/>
          <w:color w:val="000000" w:themeColor="text1"/>
        </w:rPr>
        <w:t>will</w:t>
      </w:r>
      <w:r w:rsidR="00B765FF" w:rsidRPr="00B60289">
        <w:rPr>
          <w:rFonts w:ascii="Arial" w:hAnsi="Arial" w:cs="Arial"/>
          <w:color w:val="000000" w:themeColor="text1"/>
        </w:rPr>
        <w:t xml:space="preserve"> have </w:t>
      </w:r>
      <w:r w:rsidR="003E2DC5" w:rsidRPr="00B60289">
        <w:rPr>
          <w:rFonts w:ascii="Arial" w:hAnsi="Arial" w:cs="Arial"/>
          <w:color w:val="000000" w:themeColor="text1"/>
        </w:rPr>
        <w:t>discussed or theorised about the environmental nature of the area</w:t>
      </w:r>
      <w:r w:rsidR="00C119E0" w:rsidRPr="00B60289">
        <w:rPr>
          <w:rFonts w:ascii="Arial" w:hAnsi="Arial" w:cs="Arial"/>
          <w:color w:val="000000" w:themeColor="text1"/>
        </w:rPr>
        <w:t xml:space="preserve"> in some way</w:t>
      </w:r>
      <w:r w:rsidR="003E2DC5" w:rsidRPr="00B60289">
        <w:rPr>
          <w:rFonts w:ascii="Arial" w:hAnsi="Arial" w:cs="Arial"/>
          <w:color w:val="000000" w:themeColor="text1"/>
        </w:rPr>
        <w:t>. A</w:t>
      </w:r>
      <w:r w:rsidRPr="00B60289">
        <w:rPr>
          <w:rFonts w:ascii="Arial" w:hAnsi="Arial" w:cs="Arial"/>
          <w:color w:val="000000" w:themeColor="text1"/>
        </w:rPr>
        <w:t xml:space="preserve">s a </w:t>
      </w:r>
      <w:r w:rsidR="00B765FF" w:rsidRPr="00B60289">
        <w:rPr>
          <w:rFonts w:ascii="Arial" w:hAnsi="Arial" w:cs="Arial"/>
          <w:color w:val="000000" w:themeColor="text1"/>
        </w:rPr>
        <w:t>result,</w:t>
      </w:r>
      <w:r w:rsidRPr="00B60289">
        <w:rPr>
          <w:rFonts w:ascii="Arial" w:hAnsi="Arial" w:cs="Arial"/>
          <w:color w:val="000000" w:themeColor="text1"/>
        </w:rPr>
        <w:t xml:space="preserve"> the handling </w:t>
      </w:r>
      <w:r w:rsidR="004D049D" w:rsidRPr="00B60289">
        <w:rPr>
          <w:rFonts w:ascii="Arial" w:hAnsi="Arial" w:cs="Arial"/>
          <w:color w:val="000000" w:themeColor="text1"/>
        </w:rPr>
        <w:t>of</w:t>
      </w:r>
      <w:r w:rsidRPr="00B60289">
        <w:rPr>
          <w:rFonts w:ascii="Arial" w:hAnsi="Arial" w:cs="Arial"/>
          <w:color w:val="000000" w:themeColor="text1"/>
        </w:rPr>
        <w:t xml:space="preserve"> the site has been varied in its sensitivity to the archaeology</w:t>
      </w:r>
      <w:r w:rsidR="004D049D" w:rsidRPr="00B60289">
        <w:rPr>
          <w:rFonts w:ascii="Arial" w:hAnsi="Arial" w:cs="Arial"/>
          <w:color w:val="000000" w:themeColor="text1"/>
        </w:rPr>
        <w:t>, as first highlighted by Austrian Emperor Joseph II, who on visiting Pompeii in 1768, found that the ‘excavation’ he was witnessing was a “deception that had been perpetrated and that it was not of the highest order” (Lazer,</w:t>
      </w:r>
      <w:r w:rsidR="00C119E0" w:rsidRPr="00B60289">
        <w:rPr>
          <w:rFonts w:ascii="Arial" w:hAnsi="Arial" w:cs="Arial"/>
          <w:color w:val="000000" w:themeColor="text1"/>
        </w:rPr>
        <w:t>2008)</w:t>
      </w:r>
      <w:r w:rsidR="004D049D" w:rsidRPr="00B60289">
        <w:rPr>
          <w:rFonts w:ascii="Arial" w:hAnsi="Arial" w:cs="Arial"/>
          <w:color w:val="000000" w:themeColor="text1"/>
        </w:rPr>
        <w:t>, Joseph was not very impressed</w:t>
      </w:r>
      <w:r w:rsidRPr="00B60289">
        <w:rPr>
          <w:rFonts w:ascii="Arial" w:hAnsi="Arial" w:cs="Arial"/>
          <w:color w:val="000000" w:themeColor="text1"/>
        </w:rPr>
        <w:t xml:space="preserve">. Environmentally, from an Archaeological point of view, Pompeii is a rarity, not only from the unique environmental change that </w:t>
      </w:r>
      <w:r w:rsidR="00C119E0" w:rsidRPr="00B60289">
        <w:rPr>
          <w:rFonts w:ascii="Arial" w:hAnsi="Arial" w:cs="Arial"/>
          <w:color w:val="000000" w:themeColor="text1"/>
        </w:rPr>
        <w:t xml:space="preserve">“preserved it in a time-capsule” (Cooley, Cooley, 2004) </w:t>
      </w:r>
      <w:r w:rsidRPr="00B60289">
        <w:rPr>
          <w:rFonts w:ascii="Arial" w:hAnsi="Arial" w:cs="Arial"/>
          <w:color w:val="000000" w:themeColor="text1"/>
        </w:rPr>
        <w:t>but also from the effect that environmental change had on the surrounding area and the people that lived there. Pompeii was</w:t>
      </w:r>
      <w:r w:rsidR="003E2DC5" w:rsidRPr="00B60289">
        <w:rPr>
          <w:rFonts w:ascii="Arial" w:hAnsi="Arial" w:cs="Arial"/>
          <w:color w:val="000000" w:themeColor="text1"/>
        </w:rPr>
        <w:t>,</w:t>
      </w:r>
      <w:r w:rsidRPr="00B60289">
        <w:rPr>
          <w:rFonts w:ascii="Arial" w:hAnsi="Arial" w:cs="Arial"/>
          <w:color w:val="000000" w:themeColor="text1"/>
        </w:rPr>
        <w:t xml:space="preserve"> by all accounts a thriving city</w:t>
      </w:r>
      <w:r w:rsidR="00C119E0" w:rsidRPr="00B60289">
        <w:rPr>
          <w:rFonts w:ascii="Arial" w:hAnsi="Arial" w:cs="Arial"/>
          <w:color w:val="000000" w:themeColor="text1"/>
        </w:rPr>
        <w:t>.</w:t>
      </w:r>
      <w:r w:rsidR="003E2DC5" w:rsidRPr="00B60289">
        <w:rPr>
          <w:rFonts w:ascii="Arial" w:hAnsi="Arial" w:cs="Arial"/>
          <w:color w:val="000000" w:themeColor="text1"/>
        </w:rPr>
        <w:t xml:space="preserve"> </w:t>
      </w:r>
      <w:r w:rsidR="00C119E0" w:rsidRPr="00B60289">
        <w:rPr>
          <w:rFonts w:ascii="Arial" w:hAnsi="Arial" w:cs="Arial"/>
          <w:color w:val="000000" w:themeColor="text1"/>
        </w:rPr>
        <w:t>A</w:t>
      </w:r>
      <w:r w:rsidR="003E2DC5" w:rsidRPr="00B60289">
        <w:rPr>
          <w:rFonts w:ascii="Arial" w:hAnsi="Arial" w:cs="Arial"/>
          <w:color w:val="000000" w:themeColor="text1"/>
        </w:rPr>
        <w:t>s</w:t>
      </w:r>
      <w:r w:rsidRPr="00B60289">
        <w:rPr>
          <w:rFonts w:ascii="Arial" w:hAnsi="Arial" w:cs="Arial"/>
          <w:color w:val="000000" w:themeColor="text1"/>
        </w:rPr>
        <w:t xml:space="preserve"> the eruption took place over </w:t>
      </w:r>
      <w:r w:rsidR="003E2DC5" w:rsidRPr="00B60289">
        <w:rPr>
          <w:rFonts w:ascii="Arial" w:hAnsi="Arial" w:cs="Arial"/>
          <w:color w:val="000000" w:themeColor="text1"/>
        </w:rPr>
        <w:t xml:space="preserve">several </w:t>
      </w:r>
      <w:r w:rsidRPr="00B60289">
        <w:rPr>
          <w:rFonts w:ascii="Arial" w:hAnsi="Arial" w:cs="Arial"/>
          <w:color w:val="000000" w:themeColor="text1"/>
        </w:rPr>
        <w:t xml:space="preserve">days, there are many reliable sources that </w:t>
      </w:r>
      <w:r w:rsidR="003E2DC5" w:rsidRPr="00B60289">
        <w:rPr>
          <w:rFonts w:ascii="Arial" w:hAnsi="Arial" w:cs="Arial"/>
          <w:color w:val="000000" w:themeColor="text1"/>
        </w:rPr>
        <w:t xml:space="preserve">not </w:t>
      </w:r>
      <w:r w:rsidRPr="00B60289">
        <w:rPr>
          <w:rFonts w:ascii="Arial" w:hAnsi="Arial" w:cs="Arial"/>
          <w:color w:val="000000" w:themeColor="text1"/>
        </w:rPr>
        <w:t xml:space="preserve">only date the eruption to 79 AD but describe the eruption in detail </w:t>
      </w:r>
      <w:r w:rsidR="00207120" w:rsidRPr="00B60289">
        <w:rPr>
          <w:rFonts w:ascii="Arial" w:hAnsi="Arial" w:cs="Arial"/>
          <w:color w:val="000000" w:themeColor="text1"/>
        </w:rPr>
        <w:t>(Pliny the Younger), there has not been a need to use traditional dating methods. However</w:t>
      </w:r>
      <w:r w:rsidR="00C119E0" w:rsidRPr="00B60289">
        <w:rPr>
          <w:rFonts w:ascii="Arial" w:hAnsi="Arial" w:cs="Arial"/>
          <w:color w:val="000000" w:themeColor="text1"/>
        </w:rPr>
        <w:t>,</w:t>
      </w:r>
      <w:r w:rsidR="00207120" w:rsidRPr="00B60289">
        <w:rPr>
          <w:rFonts w:ascii="Arial" w:hAnsi="Arial" w:cs="Arial"/>
          <w:color w:val="000000" w:themeColor="text1"/>
        </w:rPr>
        <w:t xml:space="preserve"> </w:t>
      </w:r>
      <w:r w:rsidR="006F5AB7" w:rsidRPr="00B60289">
        <w:rPr>
          <w:rFonts w:ascii="Arial" w:hAnsi="Arial" w:cs="Arial"/>
          <w:color w:val="000000" w:themeColor="text1"/>
        </w:rPr>
        <w:t xml:space="preserve">the use of Tephrochronology, </w:t>
      </w:r>
      <w:r w:rsidR="00207120" w:rsidRPr="00B60289">
        <w:rPr>
          <w:rFonts w:ascii="Arial" w:hAnsi="Arial" w:cs="Arial"/>
          <w:color w:val="000000" w:themeColor="text1"/>
        </w:rPr>
        <w:t>Dendrochronology, radio-carbon dating</w:t>
      </w:r>
      <w:r w:rsidR="006F5AB7" w:rsidRPr="00B60289">
        <w:rPr>
          <w:rFonts w:ascii="Arial" w:hAnsi="Arial" w:cs="Arial"/>
          <w:color w:val="000000" w:themeColor="text1"/>
        </w:rPr>
        <w:t>,</w:t>
      </w:r>
      <w:r w:rsidR="00207120" w:rsidRPr="00B60289">
        <w:rPr>
          <w:rFonts w:ascii="Arial" w:hAnsi="Arial" w:cs="Arial"/>
          <w:color w:val="000000" w:themeColor="text1"/>
        </w:rPr>
        <w:t xml:space="preserve"> Argon </w:t>
      </w:r>
      <w:r w:rsidR="00C119E0" w:rsidRPr="00B60289">
        <w:rPr>
          <w:rFonts w:ascii="Arial" w:hAnsi="Arial" w:cs="Arial"/>
          <w:color w:val="000000" w:themeColor="text1"/>
        </w:rPr>
        <w:t>dating,</w:t>
      </w:r>
      <w:r w:rsidR="00207120" w:rsidRPr="00B60289">
        <w:rPr>
          <w:rFonts w:ascii="Arial" w:hAnsi="Arial" w:cs="Arial"/>
          <w:color w:val="000000" w:themeColor="text1"/>
        </w:rPr>
        <w:t xml:space="preserve"> </w:t>
      </w:r>
      <w:r w:rsidR="006F5AB7" w:rsidRPr="00B60289">
        <w:rPr>
          <w:rFonts w:ascii="Arial" w:hAnsi="Arial" w:cs="Arial"/>
          <w:color w:val="000000" w:themeColor="text1"/>
        </w:rPr>
        <w:t xml:space="preserve">and a number of other methods </w:t>
      </w:r>
      <w:r w:rsidR="00207120" w:rsidRPr="00B60289">
        <w:rPr>
          <w:rFonts w:ascii="Arial" w:hAnsi="Arial" w:cs="Arial"/>
          <w:color w:val="000000" w:themeColor="text1"/>
        </w:rPr>
        <w:t xml:space="preserve">can be used to </w:t>
      </w:r>
      <w:r w:rsidR="00C119E0" w:rsidRPr="00B60289">
        <w:rPr>
          <w:rFonts w:ascii="Arial" w:hAnsi="Arial" w:cs="Arial"/>
          <w:color w:val="000000" w:themeColor="text1"/>
        </w:rPr>
        <w:t xml:space="preserve">acquire </w:t>
      </w:r>
      <w:r w:rsidR="00207120" w:rsidRPr="00B60289">
        <w:rPr>
          <w:rFonts w:ascii="Arial" w:hAnsi="Arial" w:cs="Arial"/>
          <w:color w:val="000000" w:themeColor="text1"/>
        </w:rPr>
        <w:t>approximate dates for volcanic eruptions</w:t>
      </w:r>
      <w:r w:rsidR="006F5AB7" w:rsidRPr="00B60289">
        <w:rPr>
          <w:rFonts w:ascii="Arial" w:hAnsi="Arial" w:cs="Arial"/>
          <w:color w:val="000000" w:themeColor="text1"/>
        </w:rPr>
        <w:t xml:space="preserve"> (Walker, 2005)</w:t>
      </w:r>
      <w:r w:rsidR="00207120" w:rsidRPr="00B60289">
        <w:rPr>
          <w:rFonts w:ascii="Arial" w:hAnsi="Arial" w:cs="Arial"/>
          <w:color w:val="000000" w:themeColor="text1"/>
        </w:rPr>
        <w:t xml:space="preserve">, </w:t>
      </w:r>
      <w:r w:rsidR="000149BD" w:rsidRPr="00B60289">
        <w:rPr>
          <w:rFonts w:ascii="Arial" w:hAnsi="Arial" w:cs="Arial"/>
          <w:color w:val="000000" w:themeColor="text1"/>
        </w:rPr>
        <w:t>as well as new technologies such as luminescence, used by geologists (Fattahi, M. 2003).</w:t>
      </w:r>
      <w:r w:rsidR="00E90059" w:rsidRPr="00B60289">
        <w:rPr>
          <w:rFonts w:ascii="Arial" w:hAnsi="Arial" w:cs="Arial"/>
          <w:color w:val="000000" w:themeColor="text1"/>
        </w:rPr>
        <w:t xml:space="preserve"> The use and advances of these new and ever improving technologies allows gaps in the pre-historical record to be filled, not only environmentally but archaeologically in this case. Roman civilisation is well documented, and as such the existence and destruction of Pompeii and its surrounding areas is indisputably mentioned in the record. However, it is important to bare in mind that as with any advanced culture, written history </w:t>
      </w:r>
      <w:r w:rsidR="004A375B" w:rsidRPr="00B60289">
        <w:rPr>
          <w:rFonts w:ascii="Arial" w:hAnsi="Arial" w:cs="Arial"/>
          <w:color w:val="000000" w:themeColor="text1"/>
        </w:rPr>
        <w:t>must</w:t>
      </w:r>
      <w:r w:rsidR="00E90059" w:rsidRPr="00B60289">
        <w:rPr>
          <w:rFonts w:ascii="Arial" w:hAnsi="Arial" w:cs="Arial"/>
          <w:color w:val="000000" w:themeColor="text1"/>
        </w:rPr>
        <w:t xml:space="preserve"> be taken with a pinch of salt, as personal and political motivation might play a part in how that period </w:t>
      </w:r>
      <w:r w:rsidR="004A375B" w:rsidRPr="00B60289">
        <w:rPr>
          <w:rFonts w:ascii="Arial" w:hAnsi="Arial" w:cs="Arial"/>
          <w:color w:val="000000" w:themeColor="text1"/>
        </w:rPr>
        <w:t>of</w:t>
      </w:r>
      <w:r w:rsidR="00E90059" w:rsidRPr="00B60289">
        <w:rPr>
          <w:rFonts w:ascii="Arial" w:hAnsi="Arial" w:cs="Arial"/>
          <w:color w:val="000000" w:themeColor="text1"/>
        </w:rPr>
        <w:t xml:space="preserve"> history is reported, unlike the far more objective understanding we might get from dating or analysing an artefact. </w:t>
      </w:r>
      <w:r w:rsidR="00794454" w:rsidRPr="00B60289">
        <w:rPr>
          <w:rFonts w:ascii="Arial" w:hAnsi="Arial" w:cs="Arial"/>
          <w:color w:val="000000" w:themeColor="text1"/>
        </w:rPr>
        <w:t xml:space="preserve">The easiest way to start this process is through viewing the stratigraphy for what you believe is that </w:t>
      </w:r>
      <w:r w:rsidR="00794454" w:rsidRPr="00B60289">
        <w:rPr>
          <w:rFonts w:ascii="Arial" w:hAnsi="Arial" w:cs="Arial"/>
          <w:color w:val="000000" w:themeColor="text1"/>
        </w:rPr>
        <w:lastRenderedPageBreak/>
        <w:t>period. For any location in a near proximity to a volcano these layers can be large and varied as the University of Oxford discovered on one of its research digs to discover remains of the pre-history of Pompeii (</w:t>
      </w:r>
      <w:r w:rsidR="00794454" w:rsidRPr="00B60289">
        <w:rPr>
          <w:rFonts w:ascii="Arial" w:hAnsi="Arial" w:cs="Arial"/>
          <w:i/>
          <w:color w:val="000000" w:themeColor="text1"/>
        </w:rPr>
        <w:t>Pic 1).</w:t>
      </w:r>
    </w:p>
    <w:p w14:paraId="75FB11B4" w14:textId="13859F57" w:rsidR="00794454" w:rsidRPr="00B60289" w:rsidRDefault="00794454" w:rsidP="00794454">
      <w:pPr>
        <w:spacing w:line="240" w:lineRule="auto"/>
        <w:rPr>
          <w:rFonts w:ascii="Arial" w:hAnsi="Arial" w:cs="Arial"/>
          <w:i/>
          <w:color w:val="000000" w:themeColor="text1"/>
        </w:rPr>
      </w:pPr>
      <w:r w:rsidRPr="00B60289">
        <w:rPr>
          <w:rFonts w:ascii="Arial" w:hAnsi="Arial" w:cs="Arial"/>
          <w:i/>
          <w:color w:val="000000" w:themeColor="text1"/>
        </w:rPr>
        <w:t>Pic 1</w:t>
      </w:r>
    </w:p>
    <w:p w14:paraId="1B17D488" w14:textId="02A29F1E" w:rsidR="00794454" w:rsidRPr="00B60289" w:rsidRDefault="00794454" w:rsidP="00794454">
      <w:pPr>
        <w:spacing w:line="240" w:lineRule="auto"/>
        <w:rPr>
          <w:rFonts w:ascii="Arial" w:hAnsi="Arial" w:cs="Arial"/>
          <w:color w:val="000000" w:themeColor="text1"/>
        </w:rPr>
      </w:pPr>
      <w:r w:rsidRPr="00B60289">
        <w:rPr>
          <w:rFonts w:ascii="Arial" w:hAnsi="Arial" w:cs="Arial"/>
          <w:noProof/>
          <w:lang w:eastAsia="en-GB"/>
        </w:rPr>
        <w:drawing>
          <wp:inline distT="0" distB="0" distL="0" distR="0" wp14:anchorId="7BFCA39A" wp14:editId="2D51A59B">
            <wp:extent cx="5715000" cy="3790950"/>
            <wp:effectExtent l="0" t="0" r="0" b="0"/>
            <wp:docPr id="1" name="Picture 1" descr="files/Research Projects/Pompeii/prehistoric stratigraphy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iles/Research Projects/Pompeii/prehistoric stratigraphy 3.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15000" cy="3790950"/>
                    </a:xfrm>
                    <a:prstGeom prst="rect">
                      <a:avLst/>
                    </a:prstGeom>
                    <a:noFill/>
                    <a:ln>
                      <a:noFill/>
                    </a:ln>
                  </pic:spPr>
                </pic:pic>
              </a:graphicData>
            </a:graphic>
          </wp:inline>
        </w:drawing>
      </w:r>
    </w:p>
    <w:p w14:paraId="3F5868F1" w14:textId="7CACDBBB" w:rsidR="00794454" w:rsidRPr="00B60289" w:rsidRDefault="00794454" w:rsidP="00794454">
      <w:pPr>
        <w:spacing w:line="240" w:lineRule="auto"/>
        <w:rPr>
          <w:rFonts w:ascii="Arial" w:hAnsi="Arial" w:cs="Arial"/>
          <w:i/>
          <w:sz w:val="16"/>
          <w:szCs w:val="16"/>
        </w:rPr>
      </w:pPr>
      <w:r w:rsidRPr="00B60289">
        <w:rPr>
          <w:rFonts w:ascii="Arial" w:hAnsi="Arial" w:cs="Arial"/>
          <w:i/>
          <w:sz w:val="18"/>
          <w:szCs w:val="18"/>
        </w:rPr>
        <w:t>Prehistoric stratigraphy at V 1,18, Pompeii: 38 - early Bronze Age structure, 37 - early Bronze Age as palaeosol, 36 - volcanic ash from the Campi Flegrei, 35 - early Bronze Age palaeosol.</w:t>
      </w:r>
    </w:p>
    <w:p w14:paraId="4C41CD5C" w14:textId="77777777" w:rsidR="001A3A33" w:rsidRPr="00B60289" w:rsidRDefault="001A3A33" w:rsidP="00FB7F28">
      <w:pPr>
        <w:spacing w:line="360" w:lineRule="auto"/>
        <w:rPr>
          <w:rFonts w:ascii="Arial" w:hAnsi="Arial" w:cs="Arial"/>
        </w:rPr>
      </w:pPr>
    </w:p>
    <w:p w14:paraId="4E738541" w14:textId="16E0E345" w:rsidR="00A11FB9" w:rsidRPr="00B60289" w:rsidRDefault="00595165" w:rsidP="00C13BE1">
      <w:pPr>
        <w:spacing w:line="480" w:lineRule="auto"/>
        <w:rPr>
          <w:rFonts w:ascii="Arial" w:hAnsi="Arial" w:cs="Arial"/>
        </w:rPr>
      </w:pPr>
      <w:r w:rsidRPr="00B60289">
        <w:rPr>
          <w:rFonts w:ascii="Arial" w:hAnsi="Arial" w:cs="Arial"/>
        </w:rPr>
        <w:t xml:space="preserve">Uniquely Pompeii is so impressively preserved that it has allowed humans of today to </w:t>
      </w:r>
      <w:r w:rsidR="001A3A33" w:rsidRPr="00B60289">
        <w:rPr>
          <w:rFonts w:ascii="Arial" w:hAnsi="Arial" w:cs="Arial"/>
        </w:rPr>
        <w:t>quite literally walk in the footsteps of their ancestors. However</w:t>
      </w:r>
      <w:r w:rsidR="00B765FF" w:rsidRPr="00B60289">
        <w:rPr>
          <w:rFonts w:ascii="Arial" w:hAnsi="Arial" w:cs="Arial"/>
        </w:rPr>
        <w:t>,</w:t>
      </w:r>
      <w:r w:rsidR="001A3A33" w:rsidRPr="00B60289">
        <w:rPr>
          <w:rFonts w:ascii="Arial" w:hAnsi="Arial" w:cs="Arial"/>
        </w:rPr>
        <w:t xml:space="preserve"> the volcanic </w:t>
      </w:r>
      <w:r w:rsidR="00F01E7C" w:rsidRPr="00B60289">
        <w:rPr>
          <w:rFonts w:ascii="Arial" w:hAnsi="Arial" w:cs="Arial"/>
        </w:rPr>
        <w:t xml:space="preserve">activity </w:t>
      </w:r>
      <w:r w:rsidR="001A3A33" w:rsidRPr="00B60289">
        <w:rPr>
          <w:rFonts w:ascii="Arial" w:hAnsi="Arial" w:cs="Arial"/>
        </w:rPr>
        <w:t xml:space="preserve">that preserved so much of Pompeii and Herculaneum also </w:t>
      </w:r>
      <w:r w:rsidR="00F01E7C" w:rsidRPr="00B60289">
        <w:rPr>
          <w:rFonts w:ascii="Arial" w:hAnsi="Arial" w:cs="Arial"/>
        </w:rPr>
        <w:t xml:space="preserve">created preservation problems of its own. Somers has researched and discussed how archaeology in close proximity to active volcanoes is </w:t>
      </w:r>
      <w:r w:rsidR="00641D22" w:rsidRPr="00B60289">
        <w:rPr>
          <w:rFonts w:ascii="Arial" w:hAnsi="Arial" w:cs="Arial"/>
        </w:rPr>
        <w:t>affected,</w:t>
      </w:r>
      <w:r w:rsidR="00B8723D" w:rsidRPr="00B60289">
        <w:rPr>
          <w:rFonts w:ascii="Arial" w:hAnsi="Arial" w:cs="Arial"/>
        </w:rPr>
        <w:t xml:space="preserve"> highlight</w:t>
      </w:r>
      <w:r w:rsidR="004A375B" w:rsidRPr="00B60289">
        <w:rPr>
          <w:rFonts w:ascii="Arial" w:hAnsi="Arial" w:cs="Arial"/>
        </w:rPr>
        <w:t>ing</w:t>
      </w:r>
      <w:r w:rsidR="00B8723D" w:rsidRPr="00B60289">
        <w:rPr>
          <w:rFonts w:ascii="Arial" w:hAnsi="Arial" w:cs="Arial"/>
        </w:rPr>
        <w:t xml:space="preserve"> the importance of considering what the effect of huge natural disasters such as these had on those still living in the area or nearby, how it might </w:t>
      </w:r>
      <w:r w:rsidR="00C119E0" w:rsidRPr="00B60289">
        <w:rPr>
          <w:rFonts w:ascii="Arial" w:hAnsi="Arial" w:cs="Arial"/>
        </w:rPr>
        <w:t>affect</w:t>
      </w:r>
      <w:r w:rsidR="00B8723D" w:rsidRPr="00B60289">
        <w:rPr>
          <w:rFonts w:ascii="Arial" w:hAnsi="Arial" w:cs="Arial"/>
        </w:rPr>
        <w:t xml:space="preserve"> their way of life in the short and long term. Somers refers to the active and historical activity of Hawaii, which is where he conducted his research</w:t>
      </w:r>
      <w:r w:rsidR="00C119E0" w:rsidRPr="00B60289">
        <w:rPr>
          <w:rFonts w:ascii="Arial" w:hAnsi="Arial" w:cs="Arial"/>
        </w:rPr>
        <w:t>, b</w:t>
      </w:r>
      <w:r w:rsidR="004A375B" w:rsidRPr="00B60289">
        <w:rPr>
          <w:rFonts w:ascii="Arial" w:hAnsi="Arial" w:cs="Arial"/>
        </w:rPr>
        <w:t>eliev</w:t>
      </w:r>
      <w:r w:rsidR="00C119E0" w:rsidRPr="00B60289">
        <w:rPr>
          <w:rFonts w:ascii="Arial" w:hAnsi="Arial" w:cs="Arial"/>
        </w:rPr>
        <w:t>ing</w:t>
      </w:r>
      <w:r w:rsidR="00B8723D" w:rsidRPr="00B60289">
        <w:rPr>
          <w:rFonts w:ascii="Arial" w:hAnsi="Arial" w:cs="Arial"/>
        </w:rPr>
        <w:t xml:space="preserve"> that </w:t>
      </w:r>
      <w:r w:rsidR="00641D22" w:rsidRPr="00B60289">
        <w:rPr>
          <w:rFonts w:ascii="Arial" w:hAnsi="Arial" w:cs="Arial"/>
        </w:rPr>
        <w:t xml:space="preserve">any area that has active volcanic geology is likely to suffer from other natural disasters, as a result of seismic </w:t>
      </w:r>
      <w:r w:rsidR="00641D22" w:rsidRPr="00B60289">
        <w:rPr>
          <w:rFonts w:ascii="Arial" w:hAnsi="Arial" w:cs="Arial"/>
        </w:rPr>
        <w:lastRenderedPageBreak/>
        <w:t>activity bellow, which obviously creates a clear problem for Archaeologist and fragile archaeology world-wide (</w:t>
      </w:r>
      <w:r w:rsidR="004A375B" w:rsidRPr="00B60289">
        <w:rPr>
          <w:rFonts w:ascii="Arial" w:hAnsi="Arial" w:cs="Arial"/>
        </w:rPr>
        <w:t xml:space="preserve">Somers.G.F, 1991) </w:t>
      </w:r>
      <w:r w:rsidR="00641D22" w:rsidRPr="00B60289">
        <w:rPr>
          <w:rFonts w:ascii="Arial" w:hAnsi="Arial" w:cs="Arial"/>
        </w:rPr>
        <w:t xml:space="preserve">. At Pompeii it seems that ash deposits helped protect much of the evidence, but as the stratigraphy tells us that there hadn’t been an eruption quite that large in some time (see </w:t>
      </w:r>
      <w:r w:rsidR="00A11FB9" w:rsidRPr="00B60289">
        <w:rPr>
          <w:rFonts w:ascii="Arial" w:hAnsi="Arial" w:cs="Arial"/>
        </w:rPr>
        <w:t xml:space="preserve">Pic </w:t>
      </w:r>
      <w:r w:rsidR="00641D22" w:rsidRPr="00B60289">
        <w:rPr>
          <w:rFonts w:ascii="Arial" w:hAnsi="Arial" w:cs="Arial"/>
        </w:rPr>
        <w:t>1)</w:t>
      </w:r>
      <w:r w:rsidR="004A375B" w:rsidRPr="00B60289">
        <w:rPr>
          <w:rFonts w:ascii="Arial" w:hAnsi="Arial" w:cs="Arial"/>
        </w:rPr>
        <w:t xml:space="preserve">, we have no way of knowing what earlier sites may have been there </w:t>
      </w:r>
      <w:r w:rsidR="00C119E0" w:rsidRPr="00B60289">
        <w:rPr>
          <w:rFonts w:ascii="Arial" w:hAnsi="Arial" w:cs="Arial"/>
        </w:rPr>
        <w:t>previously, and whether they were d</w:t>
      </w:r>
      <w:r w:rsidR="004A375B" w:rsidRPr="00B60289">
        <w:rPr>
          <w:rFonts w:ascii="Arial" w:hAnsi="Arial" w:cs="Arial"/>
        </w:rPr>
        <w:t>estroyed by previous eruptions.</w:t>
      </w:r>
      <w:r w:rsidR="00645B4E" w:rsidRPr="00B60289">
        <w:rPr>
          <w:rFonts w:ascii="Arial" w:hAnsi="Arial" w:cs="Arial"/>
        </w:rPr>
        <w:t xml:space="preserve"> This is something Somers has discussed briefly in his examples of how lava flows have effected </w:t>
      </w:r>
      <w:r w:rsidR="00AB2353" w:rsidRPr="00B60289">
        <w:rPr>
          <w:rFonts w:ascii="Arial" w:hAnsi="Arial" w:cs="Arial"/>
        </w:rPr>
        <w:t>Hawai’i</w:t>
      </w:r>
      <w:r w:rsidR="00645B4E" w:rsidRPr="00B60289">
        <w:rPr>
          <w:rFonts w:ascii="Arial" w:hAnsi="Arial" w:cs="Arial"/>
        </w:rPr>
        <w:t xml:space="preserve"> in recent years, showing clear evidence of </w:t>
      </w:r>
      <w:r w:rsidR="00AB2353" w:rsidRPr="00B60289">
        <w:rPr>
          <w:rFonts w:ascii="Arial" w:hAnsi="Arial" w:cs="Arial"/>
        </w:rPr>
        <w:t>thousands</w:t>
      </w:r>
      <w:r w:rsidR="00645B4E" w:rsidRPr="00B60289">
        <w:rPr>
          <w:rFonts w:ascii="Arial" w:hAnsi="Arial" w:cs="Arial"/>
        </w:rPr>
        <w:t xml:space="preserve"> of archaeological sites being destroyed/sealed from us forever by lava flowing over them, he also highlights how this then changes the shorelines over the years which again effects how much archaeology is washed away by the sea.</w:t>
      </w:r>
      <w:r w:rsidR="00B765FF" w:rsidRPr="00B60289">
        <w:rPr>
          <w:rFonts w:ascii="Arial" w:hAnsi="Arial" w:cs="Arial"/>
        </w:rPr>
        <w:t xml:space="preserve"> It is worth noting however that he does mention how the locals deal very well with regular disruptions from the volcanic activity, even building walkways over flows of lava, and how arable the soil is. It is probably then, that not long after the eruption of Vesuvius, the land around Pompeii’s remains may well have continued to be cultivated. </w:t>
      </w:r>
      <w:r w:rsidR="00AB2353" w:rsidRPr="00B60289">
        <w:rPr>
          <w:rFonts w:ascii="Arial" w:hAnsi="Arial" w:cs="Arial"/>
        </w:rPr>
        <w:t xml:space="preserve"> Kibblewhite, Toth,</w:t>
      </w:r>
      <w:r w:rsidR="00B8121B" w:rsidRPr="00B60289">
        <w:rPr>
          <w:rFonts w:ascii="Arial" w:hAnsi="Arial" w:cs="Arial"/>
        </w:rPr>
        <w:t xml:space="preserve"> and</w:t>
      </w:r>
      <w:r w:rsidR="00AB2353" w:rsidRPr="00B60289">
        <w:rPr>
          <w:rFonts w:ascii="Arial" w:hAnsi="Arial" w:cs="Arial"/>
        </w:rPr>
        <w:t xml:space="preserve"> Hermann</w:t>
      </w:r>
      <w:r w:rsidR="00B8121B" w:rsidRPr="00B60289">
        <w:rPr>
          <w:rFonts w:ascii="Arial" w:hAnsi="Arial" w:cs="Arial"/>
        </w:rPr>
        <w:t xml:space="preserve"> discuss in detail in their article</w:t>
      </w:r>
      <w:r w:rsidR="005F7E2B" w:rsidRPr="00B60289">
        <w:rPr>
          <w:rFonts w:ascii="Arial" w:hAnsi="Arial" w:cs="Arial"/>
        </w:rPr>
        <w:t>,</w:t>
      </w:r>
      <w:r w:rsidR="00B8121B" w:rsidRPr="00B60289">
        <w:rPr>
          <w:rFonts w:ascii="Arial" w:hAnsi="Arial" w:cs="Arial"/>
        </w:rPr>
        <w:t xml:space="preserve"> how different soil types can </w:t>
      </w:r>
      <w:r w:rsidR="005F7E2B" w:rsidRPr="00B60289">
        <w:rPr>
          <w:rFonts w:ascii="Arial" w:hAnsi="Arial" w:cs="Arial"/>
        </w:rPr>
        <w:t>affect</w:t>
      </w:r>
      <w:r w:rsidR="00B8121B" w:rsidRPr="00B60289">
        <w:rPr>
          <w:rFonts w:ascii="Arial" w:hAnsi="Arial" w:cs="Arial"/>
        </w:rPr>
        <w:t xml:space="preserve"> </w:t>
      </w:r>
      <w:r w:rsidR="005F7E2B" w:rsidRPr="00B60289">
        <w:rPr>
          <w:rFonts w:ascii="Arial" w:hAnsi="Arial" w:cs="Arial"/>
        </w:rPr>
        <w:t>the preservation of archaeological items</w:t>
      </w:r>
      <w:r w:rsidR="00A11FB9" w:rsidRPr="00B60289">
        <w:rPr>
          <w:rFonts w:ascii="Arial" w:hAnsi="Arial" w:cs="Arial"/>
        </w:rPr>
        <w:t xml:space="preserve"> (Pic 2 + 3).</w:t>
      </w:r>
    </w:p>
    <w:p w14:paraId="6D51941B" w14:textId="77777777" w:rsidR="007F3898" w:rsidRPr="00B60289" w:rsidRDefault="007F3898" w:rsidP="007F3898">
      <w:pPr>
        <w:spacing w:line="240" w:lineRule="auto"/>
        <w:rPr>
          <w:rFonts w:ascii="Arial" w:hAnsi="Arial" w:cs="Arial"/>
          <w:noProof/>
        </w:rPr>
      </w:pPr>
    </w:p>
    <w:p w14:paraId="219F24F9" w14:textId="64D5D532" w:rsidR="007F3898" w:rsidRPr="00B60289" w:rsidRDefault="00B60289" w:rsidP="007F3898">
      <w:pPr>
        <w:spacing w:line="240" w:lineRule="auto"/>
        <w:rPr>
          <w:rFonts w:ascii="Arial" w:hAnsi="Arial" w:cs="Arial"/>
          <w:i/>
          <w:noProof/>
        </w:rPr>
      </w:pPr>
      <w:r w:rsidRPr="00B60289">
        <w:rPr>
          <w:rFonts w:ascii="Arial" w:hAnsi="Arial" w:cs="Arial"/>
          <w:i/>
          <w:noProof/>
          <w:lang w:eastAsia="en-GB"/>
        </w:rPr>
        <w:drawing>
          <wp:anchor distT="0" distB="0" distL="114300" distR="114300" simplePos="0" relativeHeight="251658240" behindDoc="0" locked="0" layoutInCell="1" allowOverlap="1" wp14:anchorId="2CF525AB" wp14:editId="7E0E1FA8">
            <wp:simplePos x="0" y="0"/>
            <wp:positionH relativeFrom="margin">
              <wp:align>left</wp:align>
            </wp:positionH>
            <wp:positionV relativeFrom="paragraph">
              <wp:posOffset>254000</wp:posOffset>
            </wp:positionV>
            <wp:extent cx="2723515" cy="2105025"/>
            <wp:effectExtent l="76200" t="76200" r="133985" b="12382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cstate="print">
                      <a:extLst>
                        <a:ext uri="{28A0092B-C50C-407E-A947-70E740481C1C}">
                          <a14:useLocalDpi xmlns:a14="http://schemas.microsoft.com/office/drawing/2010/main" val="0"/>
                        </a:ext>
                      </a:extLst>
                    </a:blip>
                    <a:srcRect l="23765" t="15961" r="23720" b="11921"/>
                    <a:stretch/>
                  </pic:blipFill>
                  <pic:spPr bwMode="auto">
                    <a:xfrm>
                      <a:off x="0" y="0"/>
                      <a:ext cx="2726298" cy="210708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B60289">
        <w:rPr>
          <w:rFonts w:ascii="Arial" w:hAnsi="Arial" w:cs="Arial"/>
          <w:noProof/>
          <w:lang w:eastAsia="en-GB"/>
        </w:rPr>
        <w:drawing>
          <wp:anchor distT="0" distB="0" distL="114300" distR="114300" simplePos="0" relativeHeight="251659264" behindDoc="0" locked="0" layoutInCell="1" allowOverlap="1" wp14:anchorId="75442DAE" wp14:editId="3797D480">
            <wp:simplePos x="0" y="0"/>
            <wp:positionH relativeFrom="column">
              <wp:posOffset>3143250</wp:posOffset>
            </wp:positionH>
            <wp:positionV relativeFrom="paragraph">
              <wp:posOffset>255270</wp:posOffset>
            </wp:positionV>
            <wp:extent cx="2333625" cy="1000125"/>
            <wp:effectExtent l="76200" t="76200" r="142875" b="14287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26590" t="35763" r="27210" b="33202"/>
                    <a:stretch/>
                  </pic:blipFill>
                  <pic:spPr bwMode="auto">
                    <a:xfrm>
                      <a:off x="0" y="0"/>
                      <a:ext cx="2333625" cy="10001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anchor>
        </w:drawing>
      </w:r>
      <w:r w:rsidR="007F3898" w:rsidRPr="00B60289">
        <w:rPr>
          <w:rFonts w:ascii="Arial" w:hAnsi="Arial" w:cs="Arial"/>
          <w:i/>
          <w:noProof/>
        </w:rPr>
        <w:t xml:space="preserve"> Picture 2                                                                                Picture 3</w:t>
      </w:r>
    </w:p>
    <w:p w14:paraId="0C82D77A" w14:textId="16FAB608" w:rsidR="00B60289" w:rsidRPr="00B60289" w:rsidRDefault="007F3898" w:rsidP="007F3898">
      <w:pPr>
        <w:spacing w:line="240" w:lineRule="auto"/>
        <w:rPr>
          <w:rFonts w:ascii="Arial" w:hAnsi="Arial" w:cs="Arial"/>
          <w:noProof/>
          <w:sz w:val="16"/>
          <w:szCs w:val="16"/>
        </w:rPr>
      </w:pPr>
      <w:r w:rsidRPr="00B60289">
        <w:rPr>
          <w:rFonts w:ascii="Arial" w:hAnsi="Arial" w:cs="Arial"/>
          <w:noProof/>
          <w:sz w:val="16"/>
          <w:szCs w:val="16"/>
        </w:rPr>
        <w:t xml:space="preserve"> </w:t>
      </w:r>
      <w:r w:rsidR="00B60289" w:rsidRPr="00B60289">
        <w:rPr>
          <w:rFonts w:ascii="Arial" w:hAnsi="Arial" w:cs="Arial"/>
          <w:noProof/>
          <w:sz w:val="16"/>
          <w:szCs w:val="16"/>
        </w:rPr>
        <w:t xml:space="preserve">   % of preservative soil rates in EU</w:t>
      </w:r>
    </w:p>
    <w:p w14:paraId="6515AB68" w14:textId="0E864309" w:rsidR="00B60289" w:rsidRPr="00B60289" w:rsidRDefault="00B60289" w:rsidP="007F3898">
      <w:pPr>
        <w:spacing w:line="240" w:lineRule="auto"/>
        <w:rPr>
          <w:rFonts w:ascii="Arial" w:hAnsi="Arial" w:cs="Arial"/>
          <w:noProof/>
          <w:sz w:val="16"/>
          <w:szCs w:val="16"/>
        </w:rPr>
      </w:pPr>
    </w:p>
    <w:p w14:paraId="218840AA" w14:textId="77777777" w:rsidR="00B60289" w:rsidRPr="00B60289" w:rsidRDefault="00B60289" w:rsidP="007F3898">
      <w:pPr>
        <w:spacing w:line="240" w:lineRule="auto"/>
        <w:rPr>
          <w:rFonts w:ascii="Arial" w:hAnsi="Arial" w:cs="Arial"/>
          <w:noProof/>
          <w:sz w:val="16"/>
          <w:szCs w:val="16"/>
        </w:rPr>
      </w:pPr>
    </w:p>
    <w:p w14:paraId="522F16AD" w14:textId="77777777" w:rsidR="00B60289" w:rsidRPr="00B60289" w:rsidRDefault="00B60289" w:rsidP="007F3898">
      <w:pPr>
        <w:spacing w:line="240" w:lineRule="auto"/>
        <w:rPr>
          <w:rFonts w:ascii="Arial" w:hAnsi="Arial" w:cs="Arial"/>
          <w:noProof/>
          <w:sz w:val="16"/>
          <w:szCs w:val="16"/>
        </w:rPr>
      </w:pPr>
    </w:p>
    <w:p w14:paraId="27332A45" w14:textId="77777777" w:rsidR="00B60289" w:rsidRPr="00B60289" w:rsidRDefault="00B60289" w:rsidP="007F3898">
      <w:pPr>
        <w:spacing w:line="240" w:lineRule="auto"/>
        <w:rPr>
          <w:rFonts w:ascii="Arial" w:hAnsi="Arial" w:cs="Arial"/>
          <w:noProof/>
          <w:sz w:val="16"/>
          <w:szCs w:val="16"/>
        </w:rPr>
      </w:pPr>
    </w:p>
    <w:p w14:paraId="0221DF9D" w14:textId="7936EE78" w:rsidR="00B60289" w:rsidRPr="00B60289" w:rsidRDefault="007F3898" w:rsidP="00B60289">
      <w:pPr>
        <w:spacing w:line="240" w:lineRule="auto"/>
        <w:ind w:left="75"/>
        <w:rPr>
          <w:rFonts w:ascii="Arial" w:hAnsi="Arial" w:cs="Arial"/>
          <w:noProof/>
          <w:sz w:val="16"/>
          <w:szCs w:val="16"/>
        </w:rPr>
      </w:pPr>
      <w:r w:rsidRPr="00B60289">
        <w:rPr>
          <w:rFonts w:ascii="Arial" w:hAnsi="Arial" w:cs="Arial"/>
          <w:noProof/>
          <w:sz w:val="16"/>
          <w:szCs w:val="16"/>
        </w:rPr>
        <w:t>Small section of Soil Types and their composition (see full table</w:t>
      </w:r>
      <w:r w:rsidR="00B60289" w:rsidRPr="00B60289">
        <w:rPr>
          <w:rFonts w:ascii="Arial" w:hAnsi="Arial" w:cs="Arial"/>
          <w:noProof/>
          <w:sz w:val="16"/>
          <w:szCs w:val="16"/>
        </w:rPr>
        <w:t xml:space="preserve"> in original article:        </w:t>
      </w:r>
      <w:hyperlink r:id="rId10" w:anchor="t0010" w:history="1">
        <w:r w:rsidR="00B60289" w:rsidRPr="00B60289">
          <w:rPr>
            <w:rStyle w:val="Hyperlink"/>
            <w:rFonts w:ascii="Arial" w:hAnsi="Arial" w:cs="Arial"/>
            <w:noProof/>
            <w:sz w:val="16"/>
            <w:szCs w:val="16"/>
          </w:rPr>
          <w:t>https://www.sciencedirect.com/science/article/pii/S0048969715004854#t0010</w:t>
        </w:r>
      </w:hyperlink>
      <w:r w:rsidR="00B60289" w:rsidRPr="00B60289">
        <w:rPr>
          <w:rFonts w:ascii="Arial" w:hAnsi="Arial" w:cs="Arial"/>
          <w:noProof/>
          <w:sz w:val="16"/>
          <w:szCs w:val="16"/>
        </w:rPr>
        <w:t>)</w:t>
      </w:r>
    </w:p>
    <w:p w14:paraId="37C80E7D" w14:textId="1AEA3393" w:rsidR="00A11FB9" w:rsidRPr="00B60289" w:rsidRDefault="007F3898" w:rsidP="00B60289">
      <w:pPr>
        <w:spacing w:line="240" w:lineRule="auto"/>
        <w:rPr>
          <w:rFonts w:ascii="Arial" w:hAnsi="Arial" w:cs="Arial"/>
          <w:noProof/>
          <w:sz w:val="16"/>
          <w:szCs w:val="16"/>
        </w:rPr>
      </w:pPr>
      <w:r w:rsidRPr="00B60289">
        <w:rPr>
          <w:rFonts w:ascii="Arial" w:hAnsi="Arial" w:cs="Arial"/>
          <w:noProof/>
          <w:sz w:val="16"/>
          <w:szCs w:val="16"/>
        </w:rPr>
        <w:t xml:space="preserve">                                 </w:t>
      </w:r>
    </w:p>
    <w:p w14:paraId="553B89E8" w14:textId="5AF54CBD" w:rsidR="00B8121B" w:rsidRPr="00B60289" w:rsidRDefault="00A11FB9" w:rsidP="00B8121B">
      <w:pPr>
        <w:spacing w:line="480" w:lineRule="auto"/>
        <w:rPr>
          <w:rFonts w:ascii="Arial" w:hAnsi="Arial" w:cs="Arial"/>
        </w:rPr>
      </w:pPr>
      <w:r w:rsidRPr="00B60289">
        <w:rPr>
          <w:rFonts w:ascii="Arial" w:hAnsi="Arial" w:cs="Arial"/>
        </w:rPr>
        <w:t>As</w:t>
      </w:r>
      <w:r w:rsidR="005F7E2B" w:rsidRPr="00B60289">
        <w:rPr>
          <w:rFonts w:ascii="Arial" w:hAnsi="Arial" w:cs="Arial"/>
        </w:rPr>
        <w:t xml:space="preserve"> Pompeii is relatively arid and dry, it is a prime area for </w:t>
      </w:r>
      <w:r w:rsidR="00650DA2" w:rsidRPr="00B60289">
        <w:rPr>
          <w:rFonts w:ascii="Arial" w:hAnsi="Arial" w:cs="Arial"/>
        </w:rPr>
        <w:t>well-preserved</w:t>
      </w:r>
      <w:r w:rsidR="005F7E2B" w:rsidRPr="00B60289">
        <w:rPr>
          <w:rFonts w:ascii="Arial" w:hAnsi="Arial" w:cs="Arial"/>
        </w:rPr>
        <w:t xml:space="preserve"> archaeology</w:t>
      </w:r>
      <w:r w:rsidR="00650DA2" w:rsidRPr="00B60289">
        <w:rPr>
          <w:rFonts w:ascii="Arial" w:hAnsi="Arial" w:cs="Arial"/>
        </w:rPr>
        <w:t>. P</w:t>
      </w:r>
      <w:r w:rsidR="005F7E2B" w:rsidRPr="00B60289">
        <w:rPr>
          <w:rFonts w:ascii="Arial" w:hAnsi="Arial" w:cs="Arial"/>
        </w:rPr>
        <w:t xml:space="preserve">ottery, bone, and organic material all survive well in arid conditions regardless of acidity </w:t>
      </w:r>
      <w:r w:rsidR="005F7E2B" w:rsidRPr="00B60289">
        <w:rPr>
          <w:rFonts w:ascii="Arial" w:hAnsi="Arial" w:cs="Arial"/>
        </w:rPr>
        <w:lastRenderedPageBreak/>
        <w:t>according to the article (Kibblewhite, Toth, Hermann, 1/10/2015). Once again this just highlights how individual Pompeii is, if it were not subject to volcanic activity, the archaeological deposits there would potentially be very well preserved</w:t>
      </w:r>
      <w:r w:rsidR="007E73B9" w:rsidRPr="00B60289">
        <w:rPr>
          <w:rFonts w:ascii="Arial" w:hAnsi="Arial" w:cs="Arial"/>
        </w:rPr>
        <w:t xml:space="preserve">, </w:t>
      </w:r>
      <w:r w:rsidR="00166E4A" w:rsidRPr="00B60289">
        <w:rPr>
          <w:rFonts w:ascii="Arial" w:hAnsi="Arial" w:cs="Arial"/>
        </w:rPr>
        <w:t>because of that very</w:t>
      </w:r>
      <w:r w:rsidR="007E73B9" w:rsidRPr="00B60289">
        <w:rPr>
          <w:rFonts w:ascii="Arial" w:hAnsi="Arial" w:cs="Arial"/>
        </w:rPr>
        <w:t xml:space="preserve"> environment. </w:t>
      </w:r>
      <w:r w:rsidR="00166E4A" w:rsidRPr="00B60289">
        <w:rPr>
          <w:rFonts w:ascii="Arial" w:hAnsi="Arial" w:cs="Arial"/>
        </w:rPr>
        <w:t>A</w:t>
      </w:r>
      <w:r w:rsidR="007E73B9" w:rsidRPr="00B60289">
        <w:rPr>
          <w:rFonts w:ascii="Arial" w:hAnsi="Arial" w:cs="Arial"/>
        </w:rPr>
        <w:t xml:space="preserve"> result of this mass death, it left us with remains from a large population, giving an insight into the type of living population there would have been there at the time, something hard to find elsewhere as most </w:t>
      </w:r>
      <w:r w:rsidR="00166E4A" w:rsidRPr="00B60289">
        <w:rPr>
          <w:rFonts w:ascii="Arial" w:hAnsi="Arial" w:cs="Arial"/>
        </w:rPr>
        <w:t>bodies</w:t>
      </w:r>
      <w:r w:rsidR="007E73B9" w:rsidRPr="00B60289">
        <w:rPr>
          <w:rFonts w:ascii="Arial" w:hAnsi="Arial" w:cs="Arial"/>
        </w:rPr>
        <w:t xml:space="preserve"> found are deceased put to rest and so do not reflect a current </w:t>
      </w:r>
      <w:r w:rsidR="00B765FF" w:rsidRPr="00B60289">
        <w:rPr>
          <w:rFonts w:ascii="Arial" w:hAnsi="Arial" w:cs="Arial"/>
        </w:rPr>
        <w:t>c</w:t>
      </w:r>
      <w:r w:rsidR="007E73B9" w:rsidRPr="00B60289">
        <w:rPr>
          <w:rFonts w:ascii="Arial" w:hAnsi="Arial" w:cs="Arial"/>
        </w:rPr>
        <w:t>ultural population of that area.</w:t>
      </w:r>
      <w:r w:rsidR="00B765FF" w:rsidRPr="00B60289">
        <w:rPr>
          <w:rFonts w:ascii="Arial" w:hAnsi="Arial" w:cs="Arial"/>
        </w:rPr>
        <w:t xml:space="preserve"> </w:t>
      </w:r>
    </w:p>
    <w:p w14:paraId="1323C341" w14:textId="6F79B2A9" w:rsidR="00B8121B" w:rsidRDefault="00B765FF" w:rsidP="00CB794B">
      <w:pPr>
        <w:spacing w:line="480" w:lineRule="auto"/>
        <w:rPr>
          <w:rFonts w:ascii="Arial" w:hAnsi="Arial" w:cs="Arial"/>
        </w:rPr>
      </w:pPr>
      <w:r w:rsidRPr="00B60289">
        <w:rPr>
          <w:rFonts w:ascii="Arial" w:hAnsi="Arial" w:cs="Arial"/>
        </w:rPr>
        <w:t>In analysing Pompeii in necessary detail, the Paleo-environmental archaeologist, would need to learn far more about the area than you</w:t>
      </w:r>
      <w:r w:rsidR="00166E4A" w:rsidRPr="00B60289">
        <w:rPr>
          <w:rFonts w:ascii="Arial" w:hAnsi="Arial" w:cs="Arial"/>
        </w:rPr>
        <w:t xml:space="preserve"> might need</w:t>
      </w:r>
      <w:r w:rsidRPr="00B60289">
        <w:rPr>
          <w:rFonts w:ascii="Arial" w:hAnsi="Arial" w:cs="Arial"/>
        </w:rPr>
        <w:t xml:space="preserve"> simply excavating a site</w:t>
      </w:r>
      <w:r w:rsidR="00166E4A" w:rsidRPr="00B60289">
        <w:rPr>
          <w:rFonts w:ascii="Arial" w:hAnsi="Arial" w:cs="Arial"/>
        </w:rPr>
        <w:t xml:space="preserve"> in a warm dry area</w:t>
      </w:r>
      <w:r w:rsidRPr="00B60289">
        <w:rPr>
          <w:rFonts w:ascii="Arial" w:hAnsi="Arial" w:cs="Arial"/>
        </w:rPr>
        <w:t>. Understanding volcanic and tectonic activity is vital, as well as how these things</w:t>
      </w:r>
      <w:r w:rsidR="00166E4A" w:rsidRPr="00B60289">
        <w:rPr>
          <w:rFonts w:ascii="Arial" w:hAnsi="Arial" w:cs="Arial"/>
        </w:rPr>
        <w:t xml:space="preserve"> </w:t>
      </w:r>
      <w:r w:rsidRPr="00B60289">
        <w:rPr>
          <w:rFonts w:ascii="Arial" w:hAnsi="Arial" w:cs="Arial"/>
        </w:rPr>
        <w:t>effect the environment locally and globally</w:t>
      </w:r>
      <w:r w:rsidR="00166E4A" w:rsidRPr="00B60289">
        <w:rPr>
          <w:rFonts w:ascii="Arial" w:hAnsi="Arial" w:cs="Arial"/>
        </w:rPr>
        <w:t>, and how we can measure those effects in the present day</w:t>
      </w:r>
      <w:r w:rsidR="004D049D" w:rsidRPr="00B60289">
        <w:rPr>
          <w:rFonts w:ascii="Arial" w:hAnsi="Arial" w:cs="Arial"/>
        </w:rPr>
        <w:t>.</w:t>
      </w:r>
      <w:r w:rsidR="00166E4A" w:rsidRPr="00B60289">
        <w:rPr>
          <w:rFonts w:ascii="Arial" w:hAnsi="Arial" w:cs="Arial"/>
        </w:rPr>
        <w:t xml:space="preserve"> In this case, the environment is such an extreme, that a study in agriculture, volcanology, and geology would be advantageous when assessing archaeology in this area. As well as potentially looking at comparative anthropology to other cultures who may have lost historical evidence and changed behaviours several times to deal with this </w:t>
      </w:r>
      <w:r w:rsidR="00650DA2" w:rsidRPr="00B60289">
        <w:rPr>
          <w:rFonts w:ascii="Arial" w:hAnsi="Arial" w:cs="Arial"/>
        </w:rPr>
        <w:t xml:space="preserve">harsh </w:t>
      </w:r>
      <w:r w:rsidR="00166E4A" w:rsidRPr="00B60289">
        <w:rPr>
          <w:rFonts w:ascii="Arial" w:hAnsi="Arial" w:cs="Arial"/>
        </w:rPr>
        <w:t>give and take environment.</w:t>
      </w:r>
    </w:p>
    <w:p w14:paraId="5FE4D03C" w14:textId="4755E7D9" w:rsidR="00C37628" w:rsidRDefault="00C37628" w:rsidP="00CB794B">
      <w:pPr>
        <w:spacing w:line="480" w:lineRule="auto"/>
        <w:rPr>
          <w:rFonts w:ascii="Arial" w:hAnsi="Arial" w:cs="Arial"/>
        </w:rPr>
      </w:pPr>
    </w:p>
    <w:p w14:paraId="3AEFF57A" w14:textId="5CD02088" w:rsidR="00223832" w:rsidRDefault="00C37628" w:rsidP="00CB794B">
      <w:pPr>
        <w:spacing w:line="480" w:lineRule="auto"/>
        <w:rPr>
          <w:rFonts w:ascii="Arial" w:hAnsi="Arial" w:cs="Arial"/>
        </w:rPr>
      </w:pPr>
      <w:r w:rsidRPr="00C37628">
        <w:rPr>
          <w:rFonts w:ascii="Arial" w:hAnsi="Arial" w:cs="Arial"/>
          <w:noProof/>
          <w:lang w:eastAsia="en-GB"/>
        </w:rPr>
        <mc:AlternateContent>
          <mc:Choice Requires="wps">
            <w:drawing>
              <wp:anchor distT="45720" distB="45720" distL="114300" distR="114300" simplePos="0" relativeHeight="251663360" behindDoc="0" locked="0" layoutInCell="1" allowOverlap="1" wp14:anchorId="457C2AD2" wp14:editId="0CA9356F">
                <wp:simplePos x="0" y="0"/>
                <wp:positionH relativeFrom="column">
                  <wp:posOffset>3276600</wp:posOffset>
                </wp:positionH>
                <wp:positionV relativeFrom="paragraph">
                  <wp:posOffset>872490</wp:posOffset>
                </wp:positionV>
                <wp:extent cx="476250" cy="219075"/>
                <wp:effectExtent l="0" t="0" r="1905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 cy="219075"/>
                        </a:xfrm>
                        <a:prstGeom prst="rect">
                          <a:avLst/>
                        </a:prstGeom>
                        <a:solidFill>
                          <a:srgbClr val="FFFFFF"/>
                        </a:solidFill>
                        <a:ln w="9525">
                          <a:solidFill>
                            <a:schemeClr val="bg1"/>
                          </a:solidFill>
                          <a:miter lim="800000"/>
                          <a:headEnd/>
                          <a:tailEnd/>
                        </a:ln>
                      </wps:spPr>
                      <wps:txbx>
                        <w:txbxContent>
                          <w:p w14:paraId="4B2F7477" w14:textId="2169719B" w:rsidR="00C37628" w:rsidRPr="00C37628" w:rsidRDefault="00C37628">
                            <w:pPr>
                              <w:rPr>
                                <w:i/>
                              </w:rPr>
                            </w:pPr>
                            <w:r>
                              <w:rPr>
                                <w:i/>
                              </w:rPr>
                              <w:t>Pic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57C2AD2" id="_x0000_t202" coordsize="21600,21600" o:spt="202" path="m,l,21600r21600,l21600,xe">
                <v:stroke joinstyle="miter"/>
                <v:path gradientshapeok="t" o:connecttype="rect"/>
              </v:shapetype>
              <v:shape id="Text Box 2" o:spid="_x0000_s1026" type="#_x0000_t202" style="position:absolute;margin-left:258pt;margin-top:68.7pt;width:37.5pt;height:17.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" strokecolor="white [3212]">
                <v:textbox>
                  <w:txbxContent>
                    <w:p w14:paraId="4B2F7477" w14:textId="2169719B" w:rsidR="00C37628" w:rsidRPr="00C37628" w:rsidRDefault="00C37628">
                      <w:pPr>
                        <w:rPr>
                          <w:i/>
                        </w:rPr>
                      </w:pPr>
                      <w:r>
                        <w:rPr>
                          <w:i/>
                        </w:rPr>
                        <w:t>Pic 4</w:t>
                      </w:r>
                    </w:p>
                  </w:txbxContent>
                </v:textbox>
                <w10:wrap type="square"/>
              </v:shape>
            </w:pict>
          </mc:Fallback>
        </mc:AlternateContent>
      </w:r>
      <w:r w:rsidRPr="00281B64">
        <w:rPr>
          <w:rFonts w:ascii="Arial" w:hAnsi="Arial" w:cs="Arial"/>
          <w:noProof/>
          <w:lang w:eastAsia="en-GB"/>
        </w:rPr>
        <w:drawing>
          <wp:anchor distT="0" distB="0" distL="114300" distR="114300" simplePos="0" relativeHeight="251660288" behindDoc="1" locked="0" layoutInCell="1" allowOverlap="1" wp14:anchorId="295B1345" wp14:editId="5B652E29">
            <wp:simplePos x="0" y="0"/>
            <wp:positionH relativeFrom="margin">
              <wp:posOffset>3264535</wp:posOffset>
            </wp:positionH>
            <wp:positionV relativeFrom="paragraph">
              <wp:posOffset>1112520</wp:posOffset>
            </wp:positionV>
            <wp:extent cx="2566035" cy="1800225"/>
            <wp:effectExtent l="0" t="0" r="5715" b="9525"/>
            <wp:wrapTight wrapText="bothSides">
              <wp:wrapPolygon edited="0">
                <wp:start x="0" y="0"/>
                <wp:lineTo x="0" y="21486"/>
                <wp:lineTo x="21488" y="21486"/>
                <wp:lineTo x="21488" y="0"/>
                <wp:lineTo x="0" y="0"/>
              </wp:wrapPolygon>
            </wp:wrapTight>
            <wp:docPr id="4" name="Picture 4" descr="C:\Users\1602168\AppData\Local\Microsoft\Windows\Temporary Internet Files\Content.IE5\LTIMNGRE\IMG_1937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602168\AppData\Local\Microsoft\Windows\Temporary Internet Files\Content.IE5\LTIMNGRE\IMG_1937 (1).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566035" cy="1800225"/>
                    </a:xfrm>
                    <a:prstGeom prst="rect">
                      <a:avLst/>
                    </a:prstGeom>
                    <a:noFill/>
                    <a:ln>
                      <a:noFill/>
                    </a:ln>
                  </pic:spPr>
                </pic:pic>
              </a:graphicData>
            </a:graphic>
            <wp14:sizeRelH relativeFrom="page">
              <wp14:pctWidth>0</wp14:pctWidth>
            </wp14:sizeRelH>
            <wp14:sizeRelV relativeFrom="page">
              <wp14:pctHeight>0</wp14:pctHeight>
            </wp14:sizeRelV>
          </wp:anchor>
        </w:drawing>
      </w:r>
      <w:r w:rsidR="00223832">
        <w:rPr>
          <w:rFonts w:ascii="Arial" w:hAnsi="Arial" w:cs="Arial"/>
        </w:rPr>
        <w:t>The difficulties that Kibblewhite, Toth, and Hermann</w:t>
      </w:r>
      <w:r w:rsidR="00410BB1">
        <w:rPr>
          <w:rFonts w:ascii="Arial" w:hAnsi="Arial" w:cs="Arial"/>
        </w:rPr>
        <w:t xml:space="preserve"> discuss around</w:t>
      </w:r>
      <w:r w:rsidR="00223832">
        <w:rPr>
          <w:rFonts w:ascii="Arial" w:hAnsi="Arial" w:cs="Arial"/>
        </w:rPr>
        <w:t xml:space="preserve"> </w:t>
      </w:r>
      <w:r w:rsidR="00410BB1">
        <w:rPr>
          <w:rFonts w:ascii="Arial" w:hAnsi="Arial" w:cs="Arial"/>
        </w:rPr>
        <w:t>the types of ground conditions,</w:t>
      </w:r>
      <w:r w:rsidR="00223832">
        <w:rPr>
          <w:rFonts w:ascii="Arial" w:hAnsi="Arial" w:cs="Arial"/>
        </w:rPr>
        <w:t xml:space="preserve"> and their effect on Archaeology can also be used when discussing quite different archaeological environments. The Glastonbury Lake Village was discovered in March 1892</w:t>
      </w:r>
      <w:r w:rsidR="00410BB1">
        <w:rPr>
          <w:rFonts w:ascii="Arial" w:hAnsi="Arial" w:cs="Arial"/>
        </w:rPr>
        <w:t>, and subsequently excavated for 11 years</w:t>
      </w:r>
      <w:r>
        <w:rPr>
          <w:rFonts w:ascii="Arial" w:hAnsi="Arial" w:cs="Arial"/>
        </w:rPr>
        <w:t xml:space="preserve"> (Coles, Minnitt, 1995)</w:t>
      </w:r>
      <w:r w:rsidR="00410BB1">
        <w:rPr>
          <w:rFonts w:ascii="Arial" w:hAnsi="Arial" w:cs="Arial"/>
        </w:rPr>
        <w:t>. This case study is as opposite as it is likely to be from that of Pompeii. Coles and Minnitt give us a good indication of what the conditions at the site would have been like</w:t>
      </w:r>
      <w:r>
        <w:rPr>
          <w:rFonts w:ascii="Arial" w:hAnsi="Arial" w:cs="Arial"/>
        </w:rPr>
        <w:t xml:space="preserve"> prior to occupation</w:t>
      </w:r>
      <w:r w:rsidR="00410BB1">
        <w:rPr>
          <w:rFonts w:ascii="Arial" w:hAnsi="Arial" w:cs="Arial"/>
        </w:rPr>
        <w:t xml:space="preserve"> (see Pic 4).</w:t>
      </w:r>
    </w:p>
    <w:p w14:paraId="74FCD983" w14:textId="2D6E13F5" w:rsidR="00C37628" w:rsidRDefault="00C37628" w:rsidP="00CB794B">
      <w:pPr>
        <w:spacing w:line="480" w:lineRule="auto"/>
        <w:rPr>
          <w:rFonts w:ascii="Arial" w:hAnsi="Arial" w:cs="Arial"/>
        </w:rPr>
      </w:pPr>
      <w:r w:rsidRPr="00C37628">
        <w:rPr>
          <w:rFonts w:ascii="Arial" w:hAnsi="Arial" w:cs="Arial"/>
          <w:noProof/>
          <w:lang w:eastAsia="en-GB"/>
        </w:rPr>
        <w:lastRenderedPageBreak/>
        <mc:AlternateContent>
          <mc:Choice Requires="wps">
            <w:drawing>
              <wp:anchor distT="45720" distB="45720" distL="114300" distR="114300" simplePos="0" relativeHeight="251665408" behindDoc="0" locked="0" layoutInCell="1" allowOverlap="1" wp14:anchorId="34A55712" wp14:editId="219F68C1">
                <wp:simplePos x="0" y="0"/>
                <wp:positionH relativeFrom="margin">
                  <wp:align>left</wp:align>
                </wp:positionH>
                <wp:positionV relativeFrom="paragraph">
                  <wp:posOffset>1533525</wp:posOffset>
                </wp:positionV>
                <wp:extent cx="485775" cy="247650"/>
                <wp:effectExtent l="0" t="0" r="28575" b="1905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775" cy="247650"/>
                        </a:xfrm>
                        <a:prstGeom prst="rect">
                          <a:avLst/>
                        </a:prstGeom>
                        <a:solidFill>
                          <a:srgbClr val="FFFFFF"/>
                        </a:solidFill>
                        <a:ln w="9525">
                          <a:solidFill>
                            <a:schemeClr val="bg1"/>
                          </a:solidFill>
                          <a:miter lim="800000"/>
                          <a:headEnd/>
                          <a:tailEnd/>
                        </a:ln>
                      </wps:spPr>
                      <wps:txbx>
                        <w:txbxContent>
                          <w:p w14:paraId="5F546FDB" w14:textId="27F5B51B" w:rsidR="00C37628" w:rsidRPr="00C37628" w:rsidRDefault="00C37628">
                            <w:pPr>
                              <w:rPr>
                                <w:i/>
                              </w:rPr>
                            </w:pPr>
                            <w:r>
                              <w:rPr>
                                <w:i/>
                              </w:rPr>
                              <w:t>Pic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A55712" id="_x0000_s1027" type="#_x0000_t202" style="position:absolute;margin-left:0;margin-top:120.75pt;width:38.25pt;height:19.5pt;z-index:251665408;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" strokecolor="white [3212]">
                <v:textbox>
                  <w:txbxContent>
                    <w:p w14:paraId="5F546FDB" w14:textId="27F5B51B" w:rsidR="00C37628" w:rsidRPr="00C37628" w:rsidRDefault="00C37628">
                      <w:pPr>
                        <w:rPr>
                          <w:i/>
                        </w:rPr>
                      </w:pPr>
                      <w:r>
                        <w:rPr>
                          <w:i/>
                        </w:rPr>
                        <w:t>Pic 5</w:t>
                      </w:r>
                    </w:p>
                  </w:txbxContent>
                </v:textbox>
                <w10:wrap type="square" anchorx="margin"/>
              </v:shape>
            </w:pict>
          </mc:Fallback>
        </mc:AlternateContent>
      </w:r>
      <w:r w:rsidR="00281B64">
        <w:rPr>
          <w:rFonts w:ascii="Arial" w:hAnsi="Arial" w:cs="Arial"/>
        </w:rPr>
        <w:t>As Bulleid mentions in his book about his discoveries at the site, the homes of those who lived there where predominantly, or at least, some form of</w:t>
      </w:r>
      <w:r>
        <w:rPr>
          <w:rFonts w:ascii="Arial" w:hAnsi="Arial" w:cs="Arial"/>
        </w:rPr>
        <w:t>,</w:t>
      </w:r>
      <w:r w:rsidR="00281B64">
        <w:rPr>
          <w:rFonts w:ascii="Arial" w:hAnsi="Arial" w:cs="Arial"/>
        </w:rPr>
        <w:t xml:space="preserve"> pile dwellings. This site as a result of its alkaline peaty ground conditions has preserved much that in other areas would have been destroyed. </w:t>
      </w:r>
      <w:r>
        <w:rPr>
          <w:rFonts w:ascii="Arial" w:hAnsi="Arial" w:cs="Arial"/>
        </w:rPr>
        <w:t>It is clear</w:t>
      </w:r>
      <w:r w:rsidR="00281B64">
        <w:rPr>
          <w:rFonts w:ascii="Arial" w:hAnsi="Arial" w:cs="Arial"/>
        </w:rPr>
        <w:t xml:space="preserve"> that these dwellings were pile dwellings because much of the work done to keep them above water has been preserved</w:t>
      </w:r>
      <w:r>
        <w:rPr>
          <w:rFonts w:ascii="Arial" w:hAnsi="Arial" w:cs="Arial"/>
        </w:rPr>
        <w:t xml:space="preserve"> by the bog itself. Here we see</w:t>
      </w:r>
    </w:p>
    <w:p w14:paraId="214432B3" w14:textId="0BB7B8D3" w:rsidR="00281B64" w:rsidRDefault="00C37628" w:rsidP="00CB794B">
      <w:pPr>
        <w:spacing w:line="480" w:lineRule="auto"/>
        <w:rPr>
          <w:rFonts w:ascii="Arial" w:hAnsi="Arial" w:cs="Arial"/>
        </w:rPr>
      </w:pPr>
      <w:r w:rsidRPr="00281B64">
        <w:rPr>
          <w:rFonts w:ascii="Arial" w:hAnsi="Arial" w:cs="Arial"/>
          <w:noProof/>
          <w:lang w:eastAsia="en-GB"/>
        </w:rPr>
        <w:drawing>
          <wp:anchor distT="0" distB="0" distL="114300" distR="114300" simplePos="0" relativeHeight="251661312" behindDoc="1" locked="0" layoutInCell="1" allowOverlap="1" wp14:anchorId="5557B7AF" wp14:editId="07E3D4AB">
            <wp:simplePos x="0" y="0"/>
            <wp:positionH relativeFrom="column">
              <wp:posOffset>-200025</wp:posOffset>
            </wp:positionH>
            <wp:positionV relativeFrom="paragraph">
              <wp:posOffset>75565</wp:posOffset>
            </wp:positionV>
            <wp:extent cx="3038475" cy="2110105"/>
            <wp:effectExtent l="0" t="0" r="9525" b="4445"/>
            <wp:wrapTight wrapText="bothSides">
              <wp:wrapPolygon edited="0">
                <wp:start x="0" y="0"/>
                <wp:lineTo x="0" y="21450"/>
                <wp:lineTo x="21532" y="21450"/>
                <wp:lineTo x="21532" y="0"/>
                <wp:lineTo x="0" y="0"/>
              </wp:wrapPolygon>
            </wp:wrapTight>
            <wp:docPr id="2" name="Picture 2" descr="C:\Users\1602168\AppData\Local\Microsoft\Windows\Temporary Internet Files\Content.IE5\Q406G7FL\IMG_19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1602168\AppData\Local\Microsoft\Windows\Temporary Internet Files\Content.IE5\Q406G7FL\IMG_1940.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038475" cy="211010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rPr>
        <w:t>several</w:t>
      </w:r>
      <w:r w:rsidR="00281B64">
        <w:rPr>
          <w:rFonts w:ascii="Arial" w:hAnsi="Arial" w:cs="Arial"/>
        </w:rPr>
        <w:t xml:space="preserve"> examples of how pillars, reeds or posts were piled or stood up in the bog to form foundations for the buildings</w:t>
      </w:r>
      <w:r>
        <w:rPr>
          <w:rFonts w:ascii="Arial" w:hAnsi="Arial" w:cs="Arial"/>
        </w:rPr>
        <w:t xml:space="preserve"> (Bulleid, </w:t>
      </w:r>
      <w:r w:rsidR="00E22462">
        <w:rPr>
          <w:rFonts w:ascii="Arial" w:hAnsi="Arial" w:cs="Arial"/>
        </w:rPr>
        <w:t>1949)</w:t>
      </w:r>
      <w:r w:rsidR="00281B64">
        <w:rPr>
          <w:rFonts w:ascii="Arial" w:hAnsi="Arial" w:cs="Arial"/>
        </w:rPr>
        <w:t xml:space="preserve">. </w:t>
      </w:r>
      <w:r>
        <w:rPr>
          <w:rFonts w:ascii="Arial" w:hAnsi="Arial" w:cs="Arial"/>
        </w:rPr>
        <w:t>What is clearly shown in the more solid stratigraphy at the site is that the houses would continue to sink, while the occupants slowly built up the floors, with clay as it sank eventually creating  more stable surface (see Pic 5).</w:t>
      </w:r>
      <w:r w:rsidR="00E22462">
        <w:rPr>
          <w:rFonts w:ascii="Arial" w:hAnsi="Arial" w:cs="Arial"/>
        </w:rPr>
        <w:t xml:space="preserve"> </w:t>
      </w:r>
      <w:r w:rsidR="00CF5AE6">
        <w:rPr>
          <w:rFonts w:ascii="Arial" w:hAnsi="Arial" w:cs="Arial"/>
        </w:rPr>
        <w:t>The sediments that built up over this area preserved pollens and plant macrofossils in each layer allowing for later analysis. This helped excavators confirm what the area was like environmentally at the time of occupation. Giving them a different idea of what was thriving and what no</w:t>
      </w:r>
      <w:r w:rsidR="00397F48">
        <w:rPr>
          <w:rFonts w:ascii="Arial" w:hAnsi="Arial" w:cs="Arial"/>
        </w:rPr>
        <w:t>t at different periods of time</w:t>
      </w:r>
      <w:r w:rsidR="00CF5AE6">
        <w:rPr>
          <w:rFonts w:ascii="Arial" w:hAnsi="Arial" w:cs="Arial"/>
        </w:rPr>
        <w:t>.</w:t>
      </w:r>
    </w:p>
    <w:p w14:paraId="6948A574" w14:textId="13C33FF1" w:rsidR="00CF5AE6" w:rsidRDefault="00CF5AE6" w:rsidP="00CB794B">
      <w:pPr>
        <w:spacing w:line="480" w:lineRule="auto"/>
        <w:rPr>
          <w:rFonts w:ascii="Arial" w:hAnsi="Arial" w:cs="Arial"/>
        </w:rPr>
      </w:pPr>
      <w:r>
        <w:rPr>
          <w:rFonts w:ascii="Arial" w:hAnsi="Arial" w:cs="Arial"/>
        </w:rPr>
        <w:t>In this area Paleo-environmental archaeologists have to consider many things not necessary at Pompeii. Initially, how to excavate in such a damp area, and the subsequent issues of dealing with peat preserved finds that need to be kept moist so as not to degenerate (in fact many of the timbers and piles found</w:t>
      </w:r>
      <w:r w:rsidR="00397F48">
        <w:rPr>
          <w:rFonts w:ascii="Arial" w:hAnsi="Arial" w:cs="Arial"/>
        </w:rPr>
        <w:t xml:space="preserve"> were left or put back in place </w:t>
      </w:r>
      <w:r>
        <w:rPr>
          <w:rFonts w:ascii="Arial" w:hAnsi="Arial" w:cs="Arial"/>
        </w:rPr>
        <w:t>for future digs and to protect the material)</w:t>
      </w:r>
      <w:r w:rsidR="00397F48">
        <w:rPr>
          <w:rFonts w:ascii="Arial" w:hAnsi="Arial" w:cs="Arial"/>
        </w:rPr>
        <w:t xml:space="preserve">. The stratigraphy is intentionally man made by the original occupants and so that has to be dealt with differently to naturally forming layers and of course the amount of botanical information available to analyse in the forms of pollens and macros mean another skill to hone for the Paleo-Anthropologist. </w:t>
      </w:r>
    </w:p>
    <w:p w14:paraId="58E99342" w14:textId="77777777" w:rsidR="00397F48" w:rsidRDefault="00397F48" w:rsidP="00CB794B">
      <w:pPr>
        <w:spacing w:line="480" w:lineRule="auto"/>
        <w:rPr>
          <w:rFonts w:ascii="Arial" w:hAnsi="Arial" w:cs="Arial"/>
        </w:rPr>
      </w:pPr>
    </w:p>
    <w:p w14:paraId="4478C8C8" w14:textId="3DF4695F" w:rsidR="00397F48" w:rsidRPr="00C37628" w:rsidRDefault="003A5833" w:rsidP="00CB794B">
      <w:pPr>
        <w:spacing w:line="480" w:lineRule="auto"/>
        <w:rPr>
          <w:rFonts w:ascii="Arial" w:hAnsi="Arial" w:cs="Arial"/>
        </w:rPr>
      </w:pPr>
      <w:r>
        <w:rPr>
          <w:rFonts w:ascii="Arial" w:hAnsi="Arial" w:cs="Arial"/>
        </w:rPr>
        <w:lastRenderedPageBreak/>
        <w:t>In conclusion, it</w:t>
      </w:r>
      <w:r w:rsidR="00397F48">
        <w:rPr>
          <w:rFonts w:ascii="Arial" w:hAnsi="Arial" w:cs="Arial"/>
        </w:rPr>
        <w:t xml:space="preserve"> is abundantly clear just how vari</w:t>
      </w:r>
      <w:r>
        <w:rPr>
          <w:rFonts w:ascii="Arial" w:hAnsi="Arial" w:cs="Arial"/>
        </w:rPr>
        <w:t xml:space="preserve">ed and diverse the skillset of </w:t>
      </w:r>
      <w:r w:rsidR="00397F48">
        <w:rPr>
          <w:rFonts w:ascii="Arial" w:hAnsi="Arial" w:cs="Arial"/>
        </w:rPr>
        <w:t>Pale</w:t>
      </w:r>
      <w:r>
        <w:rPr>
          <w:rFonts w:ascii="Arial" w:hAnsi="Arial" w:cs="Arial"/>
        </w:rPr>
        <w:t>o</w:t>
      </w:r>
      <w:r w:rsidR="00397F48">
        <w:rPr>
          <w:rFonts w:ascii="Arial" w:hAnsi="Arial" w:cs="Arial"/>
        </w:rPr>
        <w:t xml:space="preserve">-environmental archaeologist needs to be. From one example to the next we see the list of </w:t>
      </w:r>
      <w:r>
        <w:rPr>
          <w:rFonts w:ascii="Arial" w:hAnsi="Arial" w:cs="Arial"/>
        </w:rPr>
        <w:t xml:space="preserve">desirable </w:t>
      </w:r>
      <w:r w:rsidR="00397F48">
        <w:rPr>
          <w:rFonts w:ascii="Arial" w:hAnsi="Arial" w:cs="Arial"/>
        </w:rPr>
        <w:t>skill</w:t>
      </w:r>
      <w:r>
        <w:rPr>
          <w:rFonts w:ascii="Arial" w:hAnsi="Arial" w:cs="Arial"/>
        </w:rPr>
        <w:t>s</w:t>
      </w:r>
      <w:r w:rsidR="00397F48">
        <w:rPr>
          <w:rFonts w:ascii="Arial" w:hAnsi="Arial" w:cs="Arial"/>
        </w:rPr>
        <w:t xml:space="preserve"> grow</w:t>
      </w:r>
      <w:r>
        <w:rPr>
          <w:rFonts w:ascii="Arial" w:hAnsi="Arial" w:cs="Arial"/>
        </w:rPr>
        <w:t>,</w:t>
      </w:r>
      <w:r w:rsidR="00397F48">
        <w:rPr>
          <w:rFonts w:ascii="Arial" w:hAnsi="Arial" w:cs="Arial"/>
        </w:rPr>
        <w:t xml:space="preserve"> the amount of collabor</w:t>
      </w:r>
      <w:r>
        <w:rPr>
          <w:rFonts w:ascii="Arial" w:hAnsi="Arial" w:cs="Arial"/>
        </w:rPr>
        <w:t xml:space="preserve">ation needed with other experts in a variety of fields on each of these case studies is abundantly clear. </w:t>
      </w:r>
    </w:p>
    <w:p w14:paraId="4B0377F5" w14:textId="04961444" w:rsidR="00281B64" w:rsidRDefault="00281B64" w:rsidP="00CB794B">
      <w:pPr>
        <w:spacing w:line="480" w:lineRule="auto"/>
        <w:rPr>
          <w:rFonts w:ascii="Arial" w:hAnsi="Arial" w:cs="Arial"/>
        </w:rPr>
      </w:pPr>
    </w:p>
    <w:p w14:paraId="15BD7A03" w14:textId="1D68A4D6" w:rsidR="00281B64" w:rsidRDefault="00281B64" w:rsidP="00CB794B">
      <w:pPr>
        <w:spacing w:line="480" w:lineRule="auto"/>
        <w:rPr>
          <w:rFonts w:ascii="Arial" w:hAnsi="Arial" w:cs="Arial"/>
        </w:rPr>
      </w:pPr>
    </w:p>
    <w:p w14:paraId="4EEE356D" w14:textId="49F1E0AE" w:rsidR="00281B64" w:rsidRDefault="00281B64" w:rsidP="00CB794B">
      <w:pPr>
        <w:spacing w:line="480" w:lineRule="auto"/>
        <w:rPr>
          <w:rFonts w:ascii="Arial" w:hAnsi="Arial" w:cs="Arial"/>
        </w:rPr>
      </w:pPr>
    </w:p>
    <w:p w14:paraId="3270A8C6" w14:textId="5C2B3FC9" w:rsidR="00281B64" w:rsidRDefault="00281B64" w:rsidP="00CB794B">
      <w:pPr>
        <w:spacing w:line="480" w:lineRule="auto"/>
        <w:rPr>
          <w:rFonts w:ascii="Arial" w:hAnsi="Arial" w:cs="Arial"/>
        </w:rPr>
      </w:pPr>
    </w:p>
    <w:p w14:paraId="647B32E2" w14:textId="524E0F69" w:rsidR="003A5833" w:rsidRDefault="003A5833" w:rsidP="00CB794B">
      <w:pPr>
        <w:spacing w:line="480" w:lineRule="auto"/>
        <w:rPr>
          <w:rFonts w:ascii="Arial" w:hAnsi="Arial" w:cs="Arial"/>
        </w:rPr>
      </w:pPr>
    </w:p>
    <w:p w14:paraId="7641B873" w14:textId="77777777" w:rsidR="003A5833" w:rsidRDefault="003A5833" w:rsidP="00CB794B">
      <w:pPr>
        <w:spacing w:line="480" w:lineRule="auto"/>
        <w:rPr>
          <w:rFonts w:ascii="Arial" w:hAnsi="Arial" w:cs="Arial"/>
        </w:rPr>
      </w:pPr>
    </w:p>
    <w:p w14:paraId="3341EA84" w14:textId="77777777" w:rsidR="003A5833" w:rsidRDefault="003A5833" w:rsidP="00CB794B">
      <w:pPr>
        <w:spacing w:line="480" w:lineRule="auto"/>
        <w:rPr>
          <w:rFonts w:ascii="Arial" w:hAnsi="Arial" w:cs="Arial"/>
        </w:rPr>
      </w:pPr>
    </w:p>
    <w:p w14:paraId="1DF0A934" w14:textId="77777777" w:rsidR="003A5833" w:rsidRDefault="003A5833" w:rsidP="00CB794B">
      <w:pPr>
        <w:spacing w:line="480" w:lineRule="auto"/>
        <w:rPr>
          <w:rFonts w:ascii="Arial" w:hAnsi="Arial" w:cs="Arial"/>
        </w:rPr>
      </w:pPr>
    </w:p>
    <w:p w14:paraId="2E170B09" w14:textId="77777777" w:rsidR="003A5833" w:rsidRDefault="003A5833" w:rsidP="00CB794B">
      <w:pPr>
        <w:spacing w:line="480" w:lineRule="auto"/>
        <w:rPr>
          <w:rFonts w:ascii="Arial" w:hAnsi="Arial" w:cs="Arial"/>
        </w:rPr>
      </w:pPr>
    </w:p>
    <w:p w14:paraId="3795C75A" w14:textId="77777777" w:rsidR="003A5833" w:rsidRDefault="003A5833" w:rsidP="00CB794B">
      <w:pPr>
        <w:spacing w:line="480" w:lineRule="auto"/>
        <w:rPr>
          <w:rFonts w:ascii="Arial" w:hAnsi="Arial" w:cs="Arial"/>
        </w:rPr>
      </w:pPr>
    </w:p>
    <w:p w14:paraId="538B14B9" w14:textId="77777777" w:rsidR="003A5833" w:rsidRDefault="003A5833" w:rsidP="00CB794B">
      <w:pPr>
        <w:spacing w:line="480" w:lineRule="auto"/>
        <w:rPr>
          <w:rFonts w:ascii="Arial" w:hAnsi="Arial" w:cs="Arial"/>
        </w:rPr>
      </w:pPr>
    </w:p>
    <w:p w14:paraId="76FA736B" w14:textId="77777777" w:rsidR="003A5833" w:rsidRDefault="003A5833" w:rsidP="00CB794B">
      <w:pPr>
        <w:spacing w:line="480" w:lineRule="auto"/>
        <w:rPr>
          <w:rFonts w:ascii="Arial" w:hAnsi="Arial" w:cs="Arial"/>
        </w:rPr>
      </w:pPr>
    </w:p>
    <w:p w14:paraId="3DB81087" w14:textId="77777777" w:rsidR="003A5833" w:rsidRDefault="003A5833" w:rsidP="00CB794B">
      <w:pPr>
        <w:spacing w:line="480" w:lineRule="auto"/>
        <w:rPr>
          <w:rFonts w:ascii="Arial" w:hAnsi="Arial" w:cs="Arial"/>
        </w:rPr>
      </w:pPr>
    </w:p>
    <w:p w14:paraId="0F41D2EE" w14:textId="77777777" w:rsidR="003A5833" w:rsidRDefault="003A5833" w:rsidP="00CB794B">
      <w:pPr>
        <w:spacing w:line="480" w:lineRule="auto"/>
        <w:rPr>
          <w:rFonts w:ascii="Arial" w:hAnsi="Arial" w:cs="Arial"/>
        </w:rPr>
      </w:pPr>
    </w:p>
    <w:p w14:paraId="2450A4CE" w14:textId="77777777" w:rsidR="003A5833" w:rsidRDefault="003A5833" w:rsidP="00CB794B">
      <w:pPr>
        <w:spacing w:line="480" w:lineRule="auto"/>
        <w:rPr>
          <w:rFonts w:ascii="Arial" w:hAnsi="Arial" w:cs="Arial"/>
        </w:rPr>
      </w:pPr>
    </w:p>
    <w:p w14:paraId="21932D32" w14:textId="77777777" w:rsidR="003A5833" w:rsidRDefault="003A5833" w:rsidP="00CB794B">
      <w:pPr>
        <w:spacing w:line="480" w:lineRule="auto"/>
        <w:rPr>
          <w:rFonts w:ascii="Arial" w:hAnsi="Arial" w:cs="Arial"/>
        </w:rPr>
      </w:pPr>
    </w:p>
    <w:p w14:paraId="79E59F3A" w14:textId="77777777" w:rsidR="003A5833" w:rsidRDefault="003A5833" w:rsidP="00CB794B">
      <w:pPr>
        <w:spacing w:line="480" w:lineRule="auto"/>
        <w:rPr>
          <w:rFonts w:ascii="Arial" w:hAnsi="Arial" w:cs="Arial"/>
        </w:rPr>
      </w:pPr>
    </w:p>
    <w:p w14:paraId="588E8B0F" w14:textId="3125094A" w:rsidR="00C13BE1" w:rsidRPr="00FD0D68" w:rsidRDefault="00C13BE1" w:rsidP="00CB794B">
      <w:pPr>
        <w:spacing w:line="480" w:lineRule="auto"/>
        <w:rPr>
          <w:rFonts w:ascii="Arial" w:hAnsi="Arial" w:cs="Arial"/>
        </w:rPr>
      </w:pPr>
    </w:p>
    <w:p w14:paraId="4490CFB5" w14:textId="46D872E7" w:rsidR="00CB794B" w:rsidRPr="00B60289" w:rsidRDefault="00CB794B" w:rsidP="00CB794B">
      <w:pPr>
        <w:spacing w:line="480" w:lineRule="auto"/>
        <w:rPr>
          <w:rFonts w:ascii="Arial" w:hAnsi="Arial" w:cs="Arial"/>
          <w:b/>
          <w:sz w:val="26"/>
          <w:szCs w:val="26"/>
        </w:rPr>
      </w:pPr>
      <w:r w:rsidRPr="00B60289">
        <w:rPr>
          <w:rFonts w:ascii="Arial" w:hAnsi="Arial" w:cs="Arial"/>
          <w:b/>
          <w:sz w:val="26"/>
          <w:szCs w:val="26"/>
        </w:rPr>
        <w:lastRenderedPageBreak/>
        <w:t>REFERENCES:</w:t>
      </w:r>
    </w:p>
    <w:p w14:paraId="665F6809" w14:textId="38F252F9" w:rsidR="00CB794B" w:rsidRDefault="00CB794B" w:rsidP="004A375B">
      <w:pPr>
        <w:pStyle w:val="ListParagraph"/>
        <w:numPr>
          <w:ilvl w:val="0"/>
          <w:numId w:val="2"/>
        </w:numPr>
        <w:spacing w:line="480" w:lineRule="auto"/>
        <w:rPr>
          <w:rFonts w:ascii="Arial" w:hAnsi="Arial" w:cs="Arial"/>
          <w:color w:val="000000"/>
        </w:rPr>
      </w:pPr>
      <w:r w:rsidRPr="00B60289">
        <w:rPr>
          <w:rFonts w:ascii="Arial" w:hAnsi="Arial" w:cs="Arial"/>
          <w:color w:val="000000"/>
        </w:rPr>
        <w:t xml:space="preserve">Anon, 2008. </w:t>
      </w:r>
      <w:r w:rsidRPr="00B60289">
        <w:rPr>
          <w:rFonts w:ascii="Arial" w:hAnsi="Arial" w:cs="Arial"/>
          <w:i/>
          <w:color w:val="000000"/>
        </w:rPr>
        <w:t>Ashen sky; the letters of Pliny the Younger on the eruption of Vesuvius.</w:t>
      </w:r>
      <w:r w:rsidRPr="00B60289">
        <w:rPr>
          <w:rFonts w:ascii="Arial" w:hAnsi="Arial" w:cs="Arial"/>
          <w:color w:val="000000"/>
        </w:rPr>
        <w:t xml:space="preserve"> </w:t>
      </w:r>
      <w:r w:rsidRPr="00B60289">
        <w:rPr>
          <w:rFonts w:ascii="Arial" w:hAnsi="Arial" w:cs="Arial"/>
          <w:i/>
          <w:iCs/>
          <w:color w:val="000000"/>
          <w:bdr w:val="none" w:sz="0" w:space="0" w:color="auto" w:frame="1"/>
        </w:rPr>
        <w:t>Reference and Research Book News</w:t>
      </w:r>
      <w:r w:rsidRPr="00B60289">
        <w:rPr>
          <w:rFonts w:ascii="Arial" w:hAnsi="Arial" w:cs="Arial"/>
          <w:color w:val="000000"/>
        </w:rPr>
        <w:t>, 23(1), pp.Reference and Research Book News, Feb 2008, Vol.23(1).</w:t>
      </w:r>
    </w:p>
    <w:p w14:paraId="4224DDAD" w14:textId="3D3795C7" w:rsidR="00FF3CAB" w:rsidRPr="00FF3CAB" w:rsidRDefault="00FF3CAB" w:rsidP="004A375B">
      <w:pPr>
        <w:pStyle w:val="ListParagraph"/>
        <w:numPr>
          <w:ilvl w:val="0"/>
          <w:numId w:val="2"/>
        </w:numPr>
        <w:spacing w:line="480" w:lineRule="auto"/>
        <w:rPr>
          <w:rFonts w:ascii="Arial" w:hAnsi="Arial" w:cs="Arial"/>
        </w:rPr>
      </w:pPr>
      <w:r w:rsidRPr="00FF3CAB">
        <w:rPr>
          <w:rFonts w:ascii="Arial" w:hAnsi="Arial" w:cs="Arial"/>
          <w:lang w:val="en-US"/>
        </w:rPr>
        <w:t xml:space="preserve">Bulleid, A., 1949. </w:t>
      </w:r>
      <w:r w:rsidRPr="00FF3CAB">
        <w:rPr>
          <w:rFonts w:ascii="Arial" w:hAnsi="Arial" w:cs="Arial"/>
          <w:i/>
          <w:iCs/>
          <w:lang w:val="en-US"/>
        </w:rPr>
        <w:t>The lake-villages of Somerset</w:t>
      </w:r>
      <w:r w:rsidRPr="00FF3CAB">
        <w:rPr>
          <w:rFonts w:ascii="Arial" w:hAnsi="Arial" w:cs="Arial"/>
          <w:lang w:val="en-US"/>
        </w:rPr>
        <w:t xml:space="preserve"> 4th ed., revised by the author., Glastonbury: Glastonbury Antiquarian Society.</w:t>
      </w:r>
    </w:p>
    <w:p w14:paraId="06E2933F" w14:textId="726F61D2" w:rsidR="00FF3CAB" w:rsidRPr="00FF3CAB" w:rsidRDefault="00FF3CAB" w:rsidP="004A375B">
      <w:pPr>
        <w:pStyle w:val="ListParagraph"/>
        <w:numPr>
          <w:ilvl w:val="0"/>
          <w:numId w:val="2"/>
        </w:numPr>
        <w:spacing w:line="480" w:lineRule="auto"/>
        <w:rPr>
          <w:rFonts w:ascii="Arial" w:hAnsi="Arial" w:cs="Arial"/>
        </w:rPr>
      </w:pPr>
      <w:r w:rsidRPr="00FF3CAB">
        <w:rPr>
          <w:rFonts w:ascii="Arial" w:hAnsi="Arial" w:cs="Arial"/>
          <w:lang w:val="en-US"/>
        </w:rPr>
        <w:t xml:space="preserve">Coles, J.M. et al., 1995. </w:t>
      </w:r>
      <w:r w:rsidRPr="00FF3CAB">
        <w:rPr>
          <w:rFonts w:ascii="Arial" w:hAnsi="Arial" w:cs="Arial"/>
          <w:i/>
          <w:iCs/>
          <w:lang w:val="en-US"/>
        </w:rPr>
        <w:t>"Industrious and fairly civilized" : the Glastonbury Lake Village</w:t>
      </w:r>
      <w:r w:rsidRPr="00FF3CAB">
        <w:rPr>
          <w:rFonts w:ascii="Arial" w:hAnsi="Arial" w:cs="Arial"/>
          <w:lang w:val="en-US"/>
        </w:rPr>
        <w:t>, Somerset]: Somerset Levels Project and Somerset County Council Museums Service.</w:t>
      </w:r>
    </w:p>
    <w:p w14:paraId="0A959FF2" w14:textId="6F89C7A6" w:rsidR="000149BD" w:rsidRPr="00B60289" w:rsidRDefault="000149BD" w:rsidP="004A375B">
      <w:pPr>
        <w:pStyle w:val="ListParagraph"/>
        <w:numPr>
          <w:ilvl w:val="0"/>
          <w:numId w:val="2"/>
        </w:numPr>
        <w:spacing w:line="480" w:lineRule="auto"/>
        <w:rPr>
          <w:rFonts w:ascii="Arial" w:hAnsi="Arial" w:cs="Arial"/>
          <w:lang w:val="en-US"/>
        </w:rPr>
      </w:pPr>
      <w:r w:rsidRPr="00B60289">
        <w:rPr>
          <w:rFonts w:ascii="Arial" w:hAnsi="Arial" w:cs="Arial"/>
          <w:lang w:val="en-US"/>
        </w:rPr>
        <w:t xml:space="preserve">Cooley, A., 2003. </w:t>
      </w:r>
      <w:r w:rsidRPr="00B60289">
        <w:rPr>
          <w:rFonts w:ascii="Arial" w:hAnsi="Arial" w:cs="Arial"/>
          <w:i/>
          <w:iCs/>
          <w:lang w:val="en-US"/>
        </w:rPr>
        <w:t>Pompeii: A Sourcebook</w:t>
      </w:r>
      <w:r w:rsidRPr="00B60289">
        <w:rPr>
          <w:rFonts w:ascii="Arial" w:hAnsi="Arial" w:cs="Arial"/>
          <w:lang w:val="en-US"/>
        </w:rPr>
        <w:t>, London: Duckworth.</w:t>
      </w:r>
    </w:p>
    <w:p w14:paraId="084FCCFA" w14:textId="1A61A329" w:rsidR="00FF3CAB" w:rsidRPr="00FF3CAB" w:rsidRDefault="0030152D" w:rsidP="00FF3CAB">
      <w:pPr>
        <w:pStyle w:val="ListParagraph"/>
        <w:numPr>
          <w:ilvl w:val="0"/>
          <w:numId w:val="2"/>
        </w:numPr>
        <w:spacing w:line="480" w:lineRule="auto"/>
        <w:rPr>
          <w:rFonts w:ascii="Arial" w:hAnsi="Arial" w:cs="Arial"/>
        </w:rPr>
      </w:pPr>
      <w:r w:rsidRPr="00B60289">
        <w:rPr>
          <w:rFonts w:ascii="Arial" w:hAnsi="Arial" w:cs="Arial"/>
        </w:rPr>
        <w:t xml:space="preserve">Dating Methods in Archaeology [ONLINE]. Available at: </w:t>
      </w:r>
      <w:hyperlink r:id="rId13" w:history="1">
        <w:r w:rsidRPr="00B60289">
          <w:rPr>
            <w:rStyle w:val="Hyperlink"/>
            <w:rFonts w:ascii="Arial" w:hAnsi="Arial" w:cs="Arial"/>
            <w:color w:val="auto"/>
          </w:rPr>
          <w:t>http://www.oocities.org/in2ourpast/Dating.htm</w:t>
        </w:r>
      </w:hyperlink>
      <w:r w:rsidRPr="00B60289">
        <w:rPr>
          <w:rFonts w:ascii="Arial" w:hAnsi="Arial" w:cs="Arial"/>
        </w:rPr>
        <w:t xml:space="preserve"> (accessed – 11/12/17)</w:t>
      </w:r>
    </w:p>
    <w:p w14:paraId="163B0E6B" w14:textId="0B2E0E53" w:rsidR="002B506A" w:rsidRPr="002B506A" w:rsidRDefault="002B506A" w:rsidP="004A375B">
      <w:pPr>
        <w:pStyle w:val="ListParagraph"/>
        <w:numPr>
          <w:ilvl w:val="0"/>
          <w:numId w:val="2"/>
        </w:numPr>
        <w:spacing w:line="480" w:lineRule="auto"/>
        <w:rPr>
          <w:rFonts w:ascii="Arial" w:hAnsi="Arial" w:cs="Arial"/>
        </w:rPr>
      </w:pPr>
      <w:r w:rsidRPr="002B506A">
        <w:rPr>
          <w:rFonts w:ascii="Arial" w:hAnsi="Arial" w:cs="Arial"/>
          <w:lang w:val="en-US"/>
        </w:rPr>
        <w:t xml:space="preserve">Evans, O'Connor &amp; O'Connor, T. P., 1999. </w:t>
      </w:r>
      <w:r w:rsidRPr="002B506A">
        <w:rPr>
          <w:rFonts w:ascii="Arial" w:hAnsi="Arial" w:cs="Arial"/>
          <w:i/>
          <w:iCs/>
          <w:lang w:val="en-US"/>
        </w:rPr>
        <w:t>Environmental archaeology : principles and methods</w:t>
      </w:r>
      <w:r w:rsidRPr="002B506A">
        <w:rPr>
          <w:rFonts w:ascii="Arial" w:hAnsi="Arial" w:cs="Arial"/>
          <w:lang w:val="en-US"/>
        </w:rPr>
        <w:t>, Stroud: Sutton.</w:t>
      </w:r>
      <w:r>
        <w:rPr>
          <w:rFonts w:ascii="Arial" w:hAnsi="Arial" w:cs="Arial"/>
          <w:lang w:val="en-US"/>
        </w:rPr>
        <w:t xml:space="preserve"> Part I + III</w:t>
      </w:r>
    </w:p>
    <w:p w14:paraId="54CE54BC" w14:textId="73C4E42E" w:rsidR="000149BD" w:rsidRDefault="000149BD" w:rsidP="004A375B">
      <w:pPr>
        <w:pStyle w:val="ListParagraph"/>
        <w:numPr>
          <w:ilvl w:val="0"/>
          <w:numId w:val="2"/>
        </w:numPr>
        <w:spacing w:line="480" w:lineRule="auto"/>
        <w:rPr>
          <w:rFonts w:ascii="Arial" w:hAnsi="Arial" w:cs="Arial"/>
        </w:rPr>
      </w:pPr>
      <w:r w:rsidRPr="00B60289">
        <w:rPr>
          <w:rFonts w:ascii="Arial" w:hAnsi="Arial" w:cs="Arial"/>
        </w:rPr>
        <w:t xml:space="preserve">Fattahi, M. September 2003. </w:t>
      </w:r>
      <w:r w:rsidRPr="00B60289">
        <w:rPr>
          <w:rFonts w:ascii="Arial" w:hAnsi="Arial" w:cs="Arial"/>
          <w:i/>
        </w:rPr>
        <w:t xml:space="preserve">Dating volcanic and related sediments by luminescence methods: a review. </w:t>
      </w:r>
      <w:r w:rsidRPr="00B60289">
        <w:rPr>
          <w:rFonts w:ascii="Arial" w:hAnsi="Arial" w:cs="Arial"/>
        </w:rPr>
        <w:t xml:space="preserve">Earth-Science Reviews, </w:t>
      </w:r>
      <w:hyperlink r:id="rId14" w:tooltip="Go to table of contents for this volume/issue" w:history="1">
        <w:r w:rsidRPr="00B60289">
          <w:rPr>
            <w:rStyle w:val="Hyperlink"/>
            <w:rFonts w:ascii="Arial" w:hAnsi="Arial" w:cs="Arial"/>
            <w:color w:val="auto"/>
            <w:u w:val="none"/>
          </w:rPr>
          <w:t>Volume 62, Issues 3–4</w:t>
        </w:r>
      </w:hyperlink>
      <w:r w:rsidRPr="00B60289">
        <w:rPr>
          <w:rFonts w:ascii="Arial" w:hAnsi="Arial" w:cs="Arial"/>
        </w:rPr>
        <w:t>, Pages 29-264.</w:t>
      </w:r>
    </w:p>
    <w:p w14:paraId="28C2F9A0" w14:textId="312FEA44" w:rsidR="002B506A" w:rsidRPr="002B506A" w:rsidRDefault="002B506A" w:rsidP="004A375B">
      <w:pPr>
        <w:pStyle w:val="ListParagraph"/>
        <w:numPr>
          <w:ilvl w:val="0"/>
          <w:numId w:val="2"/>
        </w:numPr>
        <w:spacing w:line="480" w:lineRule="auto"/>
        <w:rPr>
          <w:rFonts w:ascii="Arial" w:hAnsi="Arial" w:cs="Arial"/>
        </w:rPr>
      </w:pPr>
      <w:r w:rsidRPr="002B506A">
        <w:rPr>
          <w:rFonts w:ascii="Arial" w:hAnsi="Arial" w:cs="Arial"/>
          <w:lang w:val="en-US"/>
        </w:rPr>
        <w:t xml:space="preserve">Goldberg, Macphail &amp; Macphail, Richard, 2006. </w:t>
      </w:r>
      <w:r w:rsidRPr="002B506A">
        <w:rPr>
          <w:rFonts w:ascii="Arial" w:hAnsi="Arial" w:cs="Arial"/>
          <w:i/>
          <w:iCs/>
          <w:lang w:val="en-US"/>
        </w:rPr>
        <w:t>Practical and theoretical geoarchaeology</w:t>
      </w:r>
      <w:r>
        <w:rPr>
          <w:rFonts w:ascii="Arial" w:hAnsi="Arial" w:cs="Arial"/>
          <w:lang w:val="en-US"/>
        </w:rPr>
        <w:t>, Malden, Mass</w:t>
      </w:r>
      <w:r w:rsidRPr="002B506A">
        <w:rPr>
          <w:rFonts w:ascii="Arial" w:hAnsi="Arial" w:cs="Arial"/>
          <w:lang w:val="en-US"/>
        </w:rPr>
        <w:t>; Oxford: Blackwell Science.</w:t>
      </w:r>
      <w:r>
        <w:rPr>
          <w:rFonts w:ascii="Arial" w:hAnsi="Arial" w:cs="Arial"/>
          <w:lang w:val="en-US"/>
        </w:rPr>
        <w:t xml:space="preserve"> Ch 1, 2, 3 + 5.</w:t>
      </w:r>
    </w:p>
    <w:p w14:paraId="47ACC6F9" w14:textId="5EE12D54" w:rsidR="00AB2353" w:rsidRPr="00B60289" w:rsidRDefault="00AB2353" w:rsidP="00AB2353">
      <w:pPr>
        <w:pStyle w:val="ListParagraph"/>
        <w:numPr>
          <w:ilvl w:val="0"/>
          <w:numId w:val="2"/>
        </w:numPr>
        <w:spacing w:line="480" w:lineRule="auto"/>
        <w:rPr>
          <w:rFonts w:ascii="Arial" w:hAnsi="Arial" w:cs="Arial"/>
        </w:rPr>
      </w:pPr>
      <w:r w:rsidRPr="00B60289">
        <w:rPr>
          <w:rFonts w:ascii="Arial" w:hAnsi="Arial" w:cs="Arial"/>
        </w:rPr>
        <w:t>Kibblewhite.M, Toth.G, Hermann.T, 1</w:t>
      </w:r>
      <w:r w:rsidRPr="00B60289">
        <w:rPr>
          <w:rFonts w:ascii="Arial" w:hAnsi="Arial" w:cs="Arial"/>
          <w:vertAlign w:val="superscript"/>
        </w:rPr>
        <w:t>st</w:t>
      </w:r>
      <w:r w:rsidRPr="00B60289">
        <w:rPr>
          <w:rFonts w:ascii="Arial" w:hAnsi="Arial" w:cs="Arial"/>
        </w:rPr>
        <w:t xml:space="preserve"> of December 2015, “</w:t>
      </w:r>
      <w:r w:rsidRPr="00B60289">
        <w:rPr>
          <w:rFonts w:ascii="Arial" w:hAnsi="Arial" w:cs="Arial"/>
          <w:i/>
        </w:rPr>
        <w:t>Predicting the preservation of cultural artefacts and buried materials in soil”</w:t>
      </w:r>
      <w:r w:rsidRPr="00B60289">
        <w:rPr>
          <w:rFonts w:ascii="Arial" w:hAnsi="Arial" w:cs="Arial"/>
        </w:rPr>
        <w:t>, Science of the Total Environment [JOURNAL], Volume 529, P249-263</w:t>
      </w:r>
    </w:p>
    <w:p w14:paraId="0F8AE07D" w14:textId="3F482B23" w:rsidR="004D049D" w:rsidRPr="00B60289" w:rsidRDefault="006F5AB7" w:rsidP="004D049D">
      <w:pPr>
        <w:pStyle w:val="ListParagraph"/>
        <w:numPr>
          <w:ilvl w:val="0"/>
          <w:numId w:val="2"/>
        </w:numPr>
        <w:spacing w:line="480" w:lineRule="auto"/>
        <w:rPr>
          <w:rFonts w:ascii="Arial" w:hAnsi="Arial" w:cs="Arial"/>
        </w:rPr>
      </w:pPr>
      <w:r w:rsidRPr="00B60289">
        <w:rPr>
          <w:rFonts w:ascii="Arial" w:hAnsi="Arial" w:cs="Arial"/>
          <w:color w:val="000000"/>
        </w:rPr>
        <w:t xml:space="preserve">Lane et al., 2017. Advancing tephrochronology as a global dating tool: Applications in volcanology, archaeology, and palaeoclimatic research. </w:t>
      </w:r>
      <w:r w:rsidRPr="00B60289">
        <w:rPr>
          <w:rFonts w:ascii="Arial" w:hAnsi="Arial" w:cs="Arial"/>
          <w:i/>
          <w:iCs/>
          <w:color w:val="000000"/>
          <w:bdr w:val="none" w:sz="0" w:space="0" w:color="auto" w:frame="1"/>
        </w:rPr>
        <w:t>Quaternary Geochronology</w:t>
      </w:r>
      <w:r w:rsidRPr="00B60289">
        <w:rPr>
          <w:rFonts w:ascii="Arial" w:hAnsi="Arial" w:cs="Arial"/>
          <w:color w:val="000000"/>
        </w:rPr>
        <w:t>, 40, pp.1–7.</w:t>
      </w:r>
    </w:p>
    <w:p w14:paraId="16278EDA" w14:textId="185EE1C5" w:rsidR="004D049D" w:rsidRDefault="004D049D" w:rsidP="00AC6358">
      <w:pPr>
        <w:pStyle w:val="ListParagraph"/>
        <w:numPr>
          <w:ilvl w:val="0"/>
          <w:numId w:val="2"/>
        </w:numPr>
        <w:spacing w:line="480" w:lineRule="auto"/>
        <w:rPr>
          <w:rFonts w:ascii="Arial" w:hAnsi="Arial" w:cs="Arial"/>
        </w:rPr>
      </w:pPr>
      <w:r w:rsidRPr="00B60289">
        <w:rPr>
          <w:rFonts w:ascii="Arial" w:hAnsi="Arial" w:cs="Arial"/>
        </w:rPr>
        <w:t xml:space="preserve">Lazer. E, 2008. Resurrecting Pompeii, London, </w:t>
      </w:r>
      <w:r w:rsidR="00AC6358" w:rsidRPr="00B60289">
        <w:rPr>
          <w:rFonts w:ascii="Arial" w:hAnsi="Arial" w:cs="Arial"/>
        </w:rPr>
        <w:t>Routledge</w:t>
      </w:r>
    </w:p>
    <w:p w14:paraId="1D5927C3" w14:textId="14E6D002" w:rsidR="00FF3CAB" w:rsidRPr="00FF3CAB" w:rsidRDefault="00FF3CAB" w:rsidP="00AC6358">
      <w:pPr>
        <w:pStyle w:val="ListParagraph"/>
        <w:numPr>
          <w:ilvl w:val="0"/>
          <w:numId w:val="2"/>
        </w:numPr>
        <w:spacing w:line="480" w:lineRule="auto"/>
        <w:rPr>
          <w:rFonts w:ascii="Arial" w:hAnsi="Arial" w:cs="Arial"/>
        </w:rPr>
      </w:pPr>
      <w:r w:rsidRPr="00FF3CAB">
        <w:rPr>
          <w:rFonts w:ascii="Arial" w:hAnsi="Arial" w:cs="Arial"/>
          <w:lang w:val="en-US"/>
        </w:rPr>
        <w:t xml:space="preserve">Lowe, J.J. &amp; Walker, M.J.C., 1997. </w:t>
      </w:r>
      <w:r w:rsidRPr="00FF3CAB">
        <w:rPr>
          <w:rFonts w:ascii="Arial" w:hAnsi="Arial" w:cs="Arial"/>
          <w:i/>
          <w:iCs/>
          <w:lang w:val="en-US"/>
        </w:rPr>
        <w:t>Reconstructing quaternary environments</w:t>
      </w:r>
      <w:r w:rsidRPr="00FF3CAB">
        <w:rPr>
          <w:rFonts w:ascii="Arial" w:hAnsi="Arial" w:cs="Arial"/>
          <w:lang w:val="en-US"/>
        </w:rPr>
        <w:t xml:space="preserve"> 2nd ed., Harlow: Addison-Wesley Longman.</w:t>
      </w:r>
    </w:p>
    <w:p w14:paraId="14982941" w14:textId="364E4C31" w:rsidR="00CB794B" w:rsidRPr="00B60289" w:rsidRDefault="00CB794B" w:rsidP="004A375B">
      <w:pPr>
        <w:pStyle w:val="ListParagraph"/>
        <w:numPr>
          <w:ilvl w:val="0"/>
          <w:numId w:val="2"/>
        </w:numPr>
        <w:spacing w:line="480" w:lineRule="auto"/>
        <w:rPr>
          <w:rFonts w:ascii="Arial" w:hAnsi="Arial" w:cs="Arial"/>
          <w:lang w:val="en-US"/>
        </w:rPr>
      </w:pPr>
      <w:r w:rsidRPr="00B60289">
        <w:rPr>
          <w:rFonts w:ascii="Arial" w:hAnsi="Arial" w:cs="Arial"/>
          <w:lang w:val="en-US"/>
        </w:rPr>
        <w:lastRenderedPageBreak/>
        <w:t xml:space="preserve">Nitecki, Nitecki, Doris V &amp; Nitecki, Matthew H, 1994. </w:t>
      </w:r>
      <w:r w:rsidRPr="00B60289">
        <w:rPr>
          <w:rFonts w:ascii="Arial" w:hAnsi="Arial" w:cs="Arial"/>
          <w:i/>
          <w:iCs/>
          <w:lang w:val="en-US"/>
        </w:rPr>
        <w:t>Origins of anatomically modern humans</w:t>
      </w:r>
      <w:r w:rsidRPr="00B60289">
        <w:rPr>
          <w:rFonts w:ascii="Arial" w:hAnsi="Arial" w:cs="Arial"/>
          <w:lang w:val="en-US"/>
        </w:rPr>
        <w:t>, New York: Plenum Press. CH1</w:t>
      </w:r>
    </w:p>
    <w:p w14:paraId="26C39847" w14:textId="2E24FF00" w:rsidR="00794454" w:rsidRPr="00B60289" w:rsidRDefault="00794454" w:rsidP="004A375B">
      <w:pPr>
        <w:pStyle w:val="ListParagraph"/>
        <w:numPr>
          <w:ilvl w:val="0"/>
          <w:numId w:val="2"/>
        </w:numPr>
        <w:spacing w:line="480" w:lineRule="auto"/>
        <w:rPr>
          <w:rFonts w:ascii="Arial" w:hAnsi="Arial" w:cs="Arial"/>
          <w:i/>
        </w:rPr>
      </w:pPr>
      <w:r w:rsidRPr="00B60289">
        <w:rPr>
          <w:rFonts w:ascii="Arial" w:hAnsi="Arial" w:cs="Arial"/>
        </w:rPr>
        <w:t>School of Archaeology, University of Oxford Website</w:t>
      </w:r>
      <w:r w:rsidR="00595165" w:rsidRPr="00B60289">
        <w:rPr>
          <w:rFonts w:ascii="Arial" w:hAnsi="Arial" w:cs="Arial"/>
        </w:rPr>
        <w:t xml:space="preserve">. </w:t>
      </w:r>
      <w:r w:rsidR="00595165" w:rsidRPr="00B60289">
        <w:rPr>
          <w:rFonts w:ascii="Arial" w:hAnsi="Arial" w:cs="Arial"/>
          <w:i/>
        </w:rPr>
        <w:t xml:space="preserve">“Pompeii: The Environmental Archaeology of Pompeii and Herculaneum” [ONLINE]. Available at: </w:t>
      </w:r>
      <w:hyperlink r:id="rId15" w:history="1">
        <w:r w:rsidR="00595165" w:rsidRPr="00B60289">
          <w:rPr>
            <w:rStyle w:val="Hyperlink"/>
            <w:rFonts w:ascii="Arial" w:hAnsi="Arial" w:cs="Arial"/>
            <w:i/>
          </w:rPr>
          <w:t>http://www.arch.ox.ac.uk/EAPH.html</w:t>
        </w:r>
      </w:hyperlink>
      <w:r w:rsidR="00595165" w:rsidRPr="00B60289">
        <w:rPr>
          <w:rFonts w:ascii="Arial" w:hAnsi="Arial" w:cs="Arial"/>
          <w:i/>
        </w:rPr>
        <w:t>. (accessed – 20/12/17)</w:t>
      </w:r>
    </w:p>
    <w:p w14:paraId="5B2F0D51" w14:textId="05C91042" w:rsidR="004A375B" w:rsidRPr="00B60289" w:rsidRDefault="004A375B" w:rsidP="004A375B">
      <w:pPr>
        <w:pStyle w:val="ListParagraph"/>
        <w:numPr>
          <w:ilvl w:val="0"/>
          <w:numId w:val="2"/>
        </w:numPr>
        <w:spacing w:line="480" w:lineRule="auto"/>
        <w:rPr>
          <w:rFonts w:ascii="Arial" w:hAnsi="Arial" w:cs="Arial"/>
          <w:i/>
        </w:rPr>
      </w:pPr>
      <w:r w:rsidRPr="00B60289">
        <w:rPr>
          <w:rFonts w:ascii="Arial" w:hAnsi="Arial" w:cs="Arial"/>
        </w:rPr>
        <w:t xml:space="preserve">Somers.G.F, Asian Perspectives, 1991, </w:t>
      </w:r>
      <w:r w:rsidRPr="00B60289">
        <w:rPr>
          <w:rFonts w:ascii="Arial" w:hAnsi="Arial" w:cs="Arial"/>
          <w:i/>
        </w:rPr>
        <w:t xml:space="preserve">“The Effects of Rapid Geological Change on Archaeology in Hawai’I” </w:t>
      </w:r>
      <w:r w:rsidRPr="00B60289">
        <w:rPr>
          <w:rFonts w:ascii="Arial" w:hAnsi="Arial" w:cs="Arial"/>
        </w:rPr>
        <w:t xml:space="preserve">[ONLINE], Available at: </w:t>
      </w:r>
      <w:hyperlink r:id="rId16" w:history="1">
        <w:r w:rsidRPr="00B60289">
          <w:rPr>
            <w:rStyle w:val="Hyperlink"/>
            <w:rFonts w:ascii="Arial" w:hAnsi="Arial" w:cs="Arial"/>
          </w:rPr>
          <w:t>http://hl-128-171-57-22.library.manoa.hawaii.edu/bitstream/10125/19260/1/AP-v30n1-133-145.pdf</w:t>
        </w:r>
      </w:hyperlink>
      <w:r w:rsidRPr="00B60289">
        <w:rPr>
          <w:rFonts w:ascii="Arial" w:hAnsi="Arial" w:cs="Arial"/>
        </w:rPr>
        <w:t xml:space="preserve"> (accessed 26/12/17)</w:t>
      </w:r>
    </w:p>
    <w:p w14:paraId="2C735B56" w14:textId="6FBC1406" w:rsidR="00CB794B" w:rsidRPr="00B60289" w:rsidRDefault="00FF3CAB" w:rsidP="004A375B">
      <w:pPr>
        <w:pStyle w:val="ListParagraph"/>
        <w:numPr>
          <w:ilvl w:val="0"/>
          <w:numId w:val="2"/>
        </w:numPr>
        <w:spacing w:line="480" w:lineRule="auto"/>
        <w:rPr>
          <w:rFonts w:ascii="Arial" w:hAnsi="Arial" w:cs="Arial"/>
          <w:lang w:val="en-US"/>
        </w:rPr>
      </w:pPr>
      <w:r>
        <w:rPr>
          <w:rFonts w:ascii="Arial" w:hAnsi="Arial" w:cs="Arial"/>
          <w:lang w:val="en-US"/>
        </w:rPr>
        <w:t>Walker, M.J.C</w:t>
      </w:r>
      <w:r w:rsidR="00CB794B" w:rsidRPr="00B60289">
        <w:rPr>
          <w:rFonts w:ascii="Arial" w:hAnsi="Arial" w:cs="Arial"/>
          <w:lang w:val="en-US"/>
        </w:rPr>
        <w:t>,</w:t>
      </w:r>
      <w:r>
        <w:rPr>
          <w:rFonts w:ascii="Arial" w:hAnsi="Arial" w:cs="Arial"/>
          <w:lang w:val="en-US"/>
        </w:rPr>
        <w:t xml:space="preserve"> Bell.M,</w:t>
      </w:r>
      <w:r w:rsidR="00CB794B" w:rsidRPr="00B60289">
        <w:rPr>
          <w:rFonts w:ascii="Arial" w:hAnsi="Arial" w:cs="Arial"/>
          <w:lang w:val="en-US"/>
        </w:rPr>
        <w:t xml:space="preserve"> 2005. </w:t>
      </w:r>
      <w:r w:rsidR="00CB794B" w:rsidRPr="00B60289">
        <w:rPr>
          <w:rFonts w:ascii="Arial" w:hAnsi="Arial" w:cs="Arial"/>
          <w:i/>
          <w:iCs/>
          <w:lang w:val="en-US"/>
        </w:rPr>
        <w:t>Quaternary dating methods</w:t>
      </w:r>
      <w:r w:rsidR="00CB794B" w:rsidRPr="00B60289">
        <w:rPr>
          <w:rFonts w:ascii="Arial" w:hAnsi="Arial" w:cs="Arial"/>
          <w:lang w:val="en-US"/>
        </w:rPr>
        <w:t>, Chichester: Wiley. CH1.</w:t>
      </w:r>
    </w:p>
    <w:sectPr w:rsidR="00CB794B" w:rsidRPr="00B602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EAC3D02" w14:textId="77777777" w:rsidR="00005952" w:rsidRDefault="00005952" w:rsidP="00641D22">
      <w:pPr>
        <w:spacing w:after="0" w:line="240" w:lineRule="auto"/>
      </w:pPr>
      <w:r>
        <w:separator/>
      </w:r>
    </w:p>
  </w:endnote>
  <w:endnote w:type="continuationSeparator" w:id="0">
    <w:p w14:paraId="7A4FB4AB" w14:textId="77777777" w:rsidR="00005952" w:rsidRDefault="00005952" w:rsidP="00641D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3BC6B12" w14:textId="77777777" w:rsidR="00005952" w:rsidRDefault="00005952" w:rsidP="00641D22">
      <w:pPr>
        <w:spacing w:after="0" w:line="240" w:lineRule="auto"/>
      </w:pPr>
      <w:r>
        <w:separator/>
      </w:r>
    </w:p>
  </w:footnote>
  <w:footnote w:type="continuationSeparator" w:id="0">
    <w:p w14:paraId="7F442537" w14:textId="77777777" w:rsidR="00005952" w:rsidRDefault="00005952" w:rsidP="00641D2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1535F78"/>
    <w:multiLevelType w:val="hybridMultilevel"/>
    <w:tmpl w:val="91FCD8B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7612859"/>
    <w:multiLevelType w:val="hybridMultilevel"/>
    <w:tmpl w:val="196CA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622C23"/>
    <w:multiLevelType w:val="multilevel"/>
    <w:tmpl w:val="F1F88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2A39"/>
    <w:rsid w:val="00005952"/>
    <w:rsid w:val="000149BD"/>
    <w:rsid w:val="00046EA5"/>
    <w:rsid w:val="00166E4A"/>
    <w:rsid w:val="001A3A33"/>
    <w:rsid w:val="00207120"/>
    <w:rsid w:val="00223832"/>
    <w:rsid w:val="00281B64"/>
    <w:rsid w:val="002B506A"/>
    <w:rsid w:val="0030152D"/>
    <w:rsid w:val="00397F48"/>
    <w:rsid w:val="003A5833"/>
    <w:rsid w:val="003A7F46"/>
    <w:rsid w:val="003B6955"/>
    <w:rsid w:val="003C7AA3"/>
    <w:rsid w:val="003E2DC5"/>
    <w:rsid w:val="00410BB1"/>
    <w:rsid w:val="004A375B"/>
    <w:rsid w:val="004D049D"/>
    <w:rsid w:val="00584354"/>
    <w:rsid w:val="00595165"/>
    <w:rsid w:val="005F7E2B"/>
    <w:rsid w:val="00641D22"/>
    <w:rsid w:val="006426C7"/>
    <w:rsid w:val="00645B4E"/>
    <w:rsid w:val="00650DA2"/>
    <w:rsid w:val="006B3601"/>
    <w:rsid w:val="006F29B0"/>
    <w:rsid w:val="006F5AB7"/>
    <w:rsid w:val="00700FD4"/>
    <w:rsid w:val="00794454"/>
    <w:rsid w:val="007E73B9"/>
    <w:rsid w:val="007F3898"/>
    <w:rsid w:val="0080430D"/>
    <w:rsid w:val="008869C6"/>
    <w:rsid w:val="00914A39"/>
    <w:rsid w:val="009A2A39"/>
    <w:rsid w:val="00A11FB9"/>
    <w:rsid w:val="00A21158"/>
    <w:rsid w:val="00AB2353"/>
    <w:rsid w:val="00AC6358"/>
    <w:rsid w:val="00B57CD7"/>
    <w:rsid w:val="00B60289"/>
    <w:rsid w:val="00B765FF"/>
    <w:rsid w:val="00B8082E"/>
    <w:rsid w:val="00B8121B"/>
    <w:rsid w:val="00B8723D"/>
    <w:rsid w:val="00BD280F"/>
    <w:rsid w:val="00C119E0"/>
    <w:rsid w:val="00C13BE1"/>
    <w:rsid w:val="00C367A1"/>
    <w:rsid w:val="00C37628"/>
    <w:rsid w:val="00CB794B"/>
    <w:rsid w:val="00CC40DA"/>
    <w:rsid w:val="00CE5017"/>
    <w:rsid w:val="00CF5AE6"/>
    <w:rsid w:val="00E22462"/>
    <w:rsid w:val="00E807E5"/>
    <w:rsid w:val="00E90059"/>
    <w:rsid w:val="00ED4BBD"/>
    <w:rsid w:val="00F01E7C"/>
    <w:rsid w:val="00FB727A"/>
    <w:rsid w:val="00FB7F28"/>
    <w:rsid w:val="00FD0D68"/>
    <w:rsid w:val="00FF3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DFF4F"/>
  <w15:chartTrackingRefBased/>
  <w15:docId w15:val="{6DF911A0-8139-4CF1-A535-EC0445828E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B794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3601"/>
    <w:pPr>
      <w:ind w:left="720"/>
      <w:contextualSpacing/>
    </w:pPr>
  </w:style>
  <w:style w:type="character" w:styleId="Hyperlink">
    <w:name w:val="Hyperlink"/>
    <w:basedOn w:val="DefaultParagraphFont"/>
    <w:uiPriority w:val="99"/>
    <w:unhideWhenUsed/>
    <w:rsid w:val="000149BD"/>
    <w:rPr>
      <w:color w:val="0000FF"/>
      <w:u w:val="single"/>
    </w:rPr>
  </w:style>
  <w:style w:type="character" w:customStyle="1" w:styleId="UnresolvedMention">
    <w:name w:val="Unresolved Mention"/>
    <w:basedOn w:val="DefaultParagraphFont"/>
    <w:uiPriority w:val="99"/>
    <w:semiHidden/>
    <w:unhideWhenUsed/>
    <w:rsid w:val="006F5AB7"/>
    <w:rPr>
      <w:color w:val="808080"/>
      <w:shd w:val="clear" w:color="auto" w:fill="E6E6E6"/>
    </w:rPr>
  </w:style>
  <w:style w:type="paragraph" w:styleId="Header">
    <w:name w:val="header"/>
    <w:basedOn w:val="Normal"/>
    <w:link w:val="HeaderChar"/>
    <w:uiPriority w:val="99"/>
    <w:unhideWhenUsed/>
    <w:rsid w:val="00641D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1D22"/>
  </w:style>
  <w:style w:type="paragraph" w:styleId="Footer">
    <w:name w:val="footer"/>
    <w:basedOn w:val="Normal"/>
    <w:link w:val="FooterChar"/>
    <w:uiPriority w:val="99"/>
    <w:unhideWhenUsed/>
    <w:rsid w:val="00641D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1D22"/>
  </w:style>
  <w:style w:type="character" w:styleId="Strong">
    <w:name w:val="Strong"/>
    <w:basedOn w:val="DefaultParagraphFont"/>
    <w:uiPriority w:val="22"/>
    <w:qFormat/>
    <w:rsid w:val="004D049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3073110">
      <w:bodyDiv w:val="1"/>
      <w:marLeft w:val="0"/>
      <w:marRight w:val="0"/>
      <w:marTop w:val="0"/>
      <w:marBottom w:val="0"/>
      <w:divBdr>
        <w:top w:val="none" w:sz="0" w:space="0" w:color="auto"/>
        <w:left w:val="none" w:sz="0" w:space="0" w:color="auto"/>
        <w:bottom w:val="none" w:sz="0" w:space="0" w:color="auto"/>
        <w:right w:val="none" w:sz="0" w:space="0" w:color="auto"/>
      </w:divBdr>
      <w:divsChild>
        <w:div w:id="502355155">
          <w:marLeft w:val="0"/>
          <w:marRight w:val="0"/>
          <w:marTop w:val="19"/>
          <w:marBottom w:val="0"/>
          <w:divBdr>
            <w:top w:val="none" w:sz="0" w:space="0" w:color="auto"/>
            <w:left w:val="none" w:sz="0" w:space="0" w:color="auto"/>
            <w:bottom w:val="none" w:sz="0" w:space="0" w:color="auto"/>
            <w:right w:val="single" w:sz="6" w:space="0" w:color="E1E1E1"/>
          </w:divBdr>
          <w:divsChild>
            <w:div w:id="819420681">
              <w:marLeft w:val="0"/>
              <w:marRight w:val="0"/>
              <w:marTop w:val="0"/>
              <w:marBottom w:val="0"/>
              <w:divBdr>
                <w:top w:val="none" w:sz="0" w:space="0" w:color="auto"/>
                <w:left w:val="none" w:sz="0" w:space="0" w:color="auto"/>
                <w:bottom w:val="none" w:sz="0" w:space="0" w:color="auto"/>
                <w:right w:val="none" w:sz="0" w:space="0" w:color="auto"/>
              </w:divBdr>
            </w:div>
          </w:divsChild>
        </w:div>
        <w:div w:id="1015303114">
          <w:marLeft w:val="0"/>
          <w:marRight w:val="0"/>
          <w:marTop w:val="19"/>
          <w:marBottom w:val="0"/>
          <w:divBdr>
            <w:top w:val="none" w:sz="0" w:space="0" w:color="auto"/>
            <w:left w:val="none" w:sz="0" w:space="0" w:color="auto"/>
            <w:bottom w:val="none" w:sz="0" w:space="0" w:color="auto"/>
            <w:right w:val="none" w:sz="0" w:space="0" w:color="auto"/>
          </w:divBdr>
          <w:divsChild>
            <w:div w:id="1727335867">
              <w:marLeft w:val="0"/>
              <w:marRight w:val="0"/>
              <w:marTop w:val="0"/>
              <w:marBottom w:val="0"/>
              <w:divBdr>
                <w:top w:val="none" w:sz="0" w:space="0" w:color="auto"/>
                <w:left w:val="none" w:sz="0" w:space="0" w:color="auto"/>
                <w:bottom w:val="none" w:sz="0" w:space="0" w:color="auto"/>
                <w:right w:val="none" w:sz="0" w:space="0" w:color="auto"/>
              </w:divBdr>
              <w:divsChild>
                <w:div w:id="1357123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www.oocities.org/in2ourpast/Dating.htm"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hl-128-171-57-22.library.manoa.hawaii.edu/bitstream/10125/19260/1/AP-v30n1-133-145.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jpeg"/><Relationship Id="rId5" Type="http://schemas.openxmlformats.org/officeDocument/2006/relationships/footnotes" Target="footnotes.xml"/><Relationship Id="rId15" Type="http://schemas.openxmlformats.org/officeDocument/2006/relationships/hyperlink" Target="http://www.arch.ox.ac.uk/EAPH.html" TargetMode="External"/><Relationship Id="rId10" Type="http://schemas.openxmlformats.org/officeDocument/2006/relationships/hyperlink" Target="https://www.sciencedirect.com/science/article/pii/S0048969715004854"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ciencedirect-com.ezproxy.uwtsd.ac.uk/science/journal/00128252/6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2150</Words>
  <Characters>12256</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14378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Hawys Jones (1602168)</dc:creator>
  <cp:keywords/>
  <dc:description/>
  <cp:lastModifiedBy>Hawys Jones (1602168)</cp:lastModifiedBy>
  <cp:revision>4</cp:revision>
  <dcterms:created xsi:type="dcterms:W3CDTF">2018-01-09T20:25:00Z</dcterms:created>
  <dcterms:modified xsi:type="dcterms:W3CDTF">2018-01-09T20:25:00Z</dcterms:modified>
</cp:coreProperties>
</file>