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B2D9F" w14:textId="77777777" w:rsidR="00987202" w:rsidRPr="00EE5BC3" w:rsidRDefault="00987202" w:rsidP="00987202">
      <w:pPr>
        <w:jc w:val="center"/>
        <w:rPr>
          <w:b/>
          <w:sz w:val="28"/>
          <w:szCs w:val="28"/>
        </w:rPr>
      </w:pPr>
      <w:r w:rsidRPr="00EE5BC3">
        <w:rPr>
          <w:b/>
          <w:sz w:val="28"/>
          <w:szCs w:val="28"/>
        </w:rPr>
        <w:t>Task 4</w:t>
      </w:r>
    </w:p>
    <w:p w14:paraId="1E61FDB0" w14:textId="77777777" w:rsidR="00987202" w:rsidRPr="00EE5BC3" w:rsidRDefault="00987202" w:rsidP="00987202">
      <w:pPr>
        <w:jc w:val="center"/>
        <w:rPr>
          <w:b/>
          <w:sz w:val="28"/>
          <w:szCs w:val="28"/>
        </w:rPr>
      </w:pPr>
    </w:p>
    <w:p w14:paraId="304E0302" w14:textId="77777777" w:rsidR="00987202" w:rsidRPr="00EE5BC3" w:rsidRDefault="00987202" w:rsidP="00987202">
      <w:pPr>
        <w:jc w:val="center"/>
        <w:rPr>
          <w:b/>
          <w:sz w:val="28"/>
          <w:szCs w:val="28"/>
        </w:rPr>
      </w:pPr>
      <w:r w:rsidRPr="00EE5BC3">
        <w:rPr>
          <w:b/>
          <w:sz w:val="28"/>
          <w:szCs w:val="28"/>
        </w:rPr>
        <w:t>Safeguarding</w:t>
      </w:r>
      <w:r>
        <w:rPr>
          <w:b/>
          <w:sz w:val="28"/>
          <w:szCs w:val="28"/>
        </w:rPr>
        <w:t xml:space="preserve"> in an area which is not your main area of work</w:t>
      </w:r>
    </w:p>
    <w:p w14:paraId="3BD634CD" w14:textId="77777777" w:rsidR="00987202" w:rsidRPr="008B28E7" w:rsidRDefault="00987202" w:rsidP="00987202">
      <w:pPr>
        <w:jc w:val="both"/>
        <w:rPr>
          <w:b/>
          <w:sz w:val="24"/>
          <w:szCs w:val="24"/>
        </w:rPr>
      </w:pPr>
    </w:p>
    <w:p w14:paraId="23B4647B" w14:textId="77777777" w:rsidR="00987202" w:rsidRPr="00EE5BC3" w:rsidRDefault="00987202" w:rsidP="00987202">
      <w:pPr>
        <w:ind w:left="-90"/>
        <w:jc w:val="both"/>
        <w:rPr>
          <w:b/>
          <w:i/>
          <w:sz w:val="24"/>
          <w:szCs w:val="24"/>
        </w:rPr>
      </w:pPr>
      <w:r w:rsidRPr="00EE5BC3">
        <w:rPr>
          <w:b/>
          <w:i/>
          <w:sz w:val="24"/>
          <w:szCs w:val="24"/>
        </w:rPr>
        <w:t xml:space="preserve">Guidance: </w:t>
      </w:r>
    </w:p>
    <w:p w14:paraId="5A7F8B83" w14:textId="77777777" w:rsidR="00987202" w:rsidRPr="00706BB5" w:rsidRDefault="00987202" w:rsidP="00987202">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6A180FB5" w14:textId="77777777" w:rsidR="00987202" w:rsidRPr="008B28E7" w:rsidRDefault="00987202" w:rsidP="00987202">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87202" w:rsidRPr="008B28E7" w14:paraId="6F2632C1" w14:textId="77777777" w:rsidTr="00390984">
        <w:tc>
          <w:tcPr>
            <w:tcW w:w="10188" w:type="dxa"/>
            <w:shd w:val="clear" w:color="auto" w:fill="auto"/>
          </w:tcPr>
          <w:p w14:paraId="381F7AE8" w14:textId="77777777" w:rsidR="00987202" w:rsidRPr="00EB695F" w:rsidRDefault="00987202" w:rsidP="00390984">
            <w:pPr>
              <w:jc w:val="both"/>
              <w:rPr>
                <w:b/>
                <w:sz w:val="24"/>
                <w:szCs w:val="24"/>
              </w:rPr>
            </w:pPr>
            <w:r w:rsidRPr="00EB695F">
              <w:rPr>
                <w:b/>
                <w:sz w:val="24"/>
                <w:szCs w:val="24"/>
              </w:rPr>
              <w:t>Question</w:t>
            </w:r>
            <w:r>
              <w:rPr>
                <w:b/>
                <w:sz w:val="24"/>
                <w:szCs w:val="24"/>
              </w:rPr>
              <w:t xml:space="preserve"> a:</w:t>
            </w:r>
          </w:p>
          <w:p w14:paraId="2ABADC31" w14:textId="77777777" w:rsidR="00987202" w:rsidRDefault="00987202" w:rsidP="00390984">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5D9E0955" w14:textId="77777777" w:rsidR="00987202" w:rsidRDefault="00987202" w:rsidP="00390984">
            <w:pPr>
              <w:jc w:val="both"/>
              <w:rPr>
                <w:sz w:val="24"/>
                <w:szCs w:val="24"/>
              </w:rPr>
            </w:pPr>
          </w:p>
          <w:p w14:paraId="12D8F14D" w14:textId="77777777" w:rsidR="00CF1C29" w:rsidRDefault="002959AD" w:rsidP="00005768">
            <w:pPr>
              <w:jc w:val="both"/>
              <w:rPr>
                <w:color w:val="auto"/>
                <w:sz w:val="24"/>
                <w:szCs w:val="24"/>
              </w:rPr>
            </w:pPr>
            <w:r>
              <w:rPr>
                <w:sz w:val="24"/>
                <w:szCs w:val="24"/>
              </w:rPr>
              <w:t>In adult safeguarding t</w:t>
            </w:r>
            <w:r w:rsidR="00005768" w:rsidRPr="00005768">
              <w:rPr>
                <w:sz w:val="24"/>
                <w:szCs w:val="24"/>
              </w:rPr>
              <w:t xml:space="preserve">he </w:t>
            </w:r>
            <w:r w:rsidR="00005768">
              <w:rPr>
                <w:sz w:val="24"/>
                <w:szCs w:val="24"/>
              </w:rPr>
              <w:t>Social Services and Well-Being</w:t>
            </w:r>
            <w:r w:rsidR="00005768" w:rsidRPr="00005768">
              <w:rPr>
                <w:sz w:val="24"/>
                <w:szCs w:val="24"/>
              </w:rPr>
              <w:t xml:space="preserve"> </w:t>
            </w:r>
            <w:r w:rsidR="00562249">
              <w:rPr>
                <w:sz w:val="24"/>
                <w:szCs w:val="24"/>
              </w:rPr>
              <w:t>Act (</w:t>
            </w:r>
            <w:r w:rsidR="00DA3F58">
              <w:rPr>
                <w:sz w:val="24"/>
                <w:szCs w:val="24"/>
              </w:rPr>
              <w:t>2014</w:t>
            </w:r>
            <w:r w:rsidR="00562249">
              <w:rPr>
                <w:sz w:val="24"/>
                <w:szCs w:val="24"/>
              </w:rPr>
              <w:t xml:space="preserve">) </w:t>
            </w:r>
            <w:r w:rsidR="003E39D0">
              <w:rPr>
                <w:sz w:val="24"/>
                <w:szCs w:val="24"/>
              </w:rPr>
              <w:t>and the</w:t>
            </w:r>
            <w:r w:rsidR="008F319F">
              <w:rPr>
                <w:sz w:val="24"/>
                <w:szCs w:val="24"/>
              </w:rPr>
              <w:t xml:space="preserve"> Wales Safeguarding Procedures (Welsh Government, 2015) </w:t>
            </w:r>
            <w:r w:rsidR="00005768" w:rsidRPr="00005768">
              <w:rPr>
                <w:sz w:val="24"/>
                <w:szCs w:val="24"/>
              </w:rPr>
              <w:t xml:space="preserve">are the essential legislation in Wales for the promotion </w:t>
            </w:r>
            <w:r w:rsidR="00005768" w:rsidRPr="00562249">
              <w:rPr>
                <w:color w:val="auto"/>
                <w:sz w:val="24"/>
                <w:szCs w:val="24"/>
              </w:rPr>
              <w:t>of</w:t>
            </w:r>
            <w:r w:rsidR="00562249" w:rsidRPr="00562249">
              <w:rPr>
                <w:color w:val="auto"/>
                <w:sz w:val="24"/>
                <w:szCs w:val="24"/>
              </w:rPr>
              <w:t xml:space="preserve"> both adult and</w:t>
            </w:r>
            <w:r w:rsidR="00005768" w:rsidRPr="00562249">
              <w:rPr>
                <w:color w:val="auto"/>
                <w:sz w:val="24"/>
                <w:szCs w:val="24"/>
              </w:rPr>
              <w:t xml:space="preserve"> children’s rights and welfare. </w:t>
            </w:r>
          </w:p>
          <w:p w14:paraId="27ADCE46" w14:textId="77777777" w:rsidR="00CF1C29" w:rsidRDefault="00562249" w:rsidP="00005768">
            <w:pPr>
              <w:jc w:val="both"/>
              <w:rPr>
                <w:i/>
                <w:color w:val="auto"/>
                <w:sz w:val="24"/>
                <w:szCs w:val="24"/>
              </w:rPr>
            </w:pPr>
            <w:r>
              <w:rPr>
                <w:color w:val="auto"/>
                <w:sz w:val="24"/>
                <w:szCs w:val="24"/>
              </w:rPr>
              <w:t xml:space="preserve">This legislation provides a </w:t>
            </w:r>
            <w:r w:rsidR="00C2573E">
              <w:rPr>
                <w:color w:val="auto"/>
                <w:sz w:val="24"/>
                <w:szCs w:val="24"/>
              </w:rPr>
              <w:t>safeguarding framework for</w:t>
            </w:r>
            <w:r>
              <w:rPr>
                <w:color w:val="auto"/>
                <w:sz w:val="24"/>
                <w:szCs w:val="24"/>
              </w:rPr>
              <w:t xml:space="preserve"> Wales and </w:t>
            </w:r>
            <w:r w:rsidR="00DA3F58">
              <w:rPr>
                <w:color w:val="auto"/>
                <w:sz w:val="24"/>
                <w:szCs w:val="24"/>
              </w:rPr>
              <w:t>its</w:t>
            </w:r>
            <w:r>
              <w:rPr>
                <w:color w:val="auto"/>
                <w:sz w:val="24"/>
                <w:szCs w:val="24"/>
              </w:rPr>
              <w:t xml:space="preserve"> counties- such as</w:t>
            </w:r>
            <w:r w:rsidR="00005768" w:rsidRPr="00562249">
              <w:rPr>
                <w:color w:val="auto"/>
                <w:sz w:val="24"/>
                <w:szCs w:val="24"/>
              </w:rPr>
              <w:t xml:space="preserve"> </w:t>
            </w:r>
            <w:r w:rsidR="007E2DC4" w:rsidRPr="00DA3F58">
              <w:rPr>
                <w:color w:val="auto"/>
                <w:sz w:val="24"/>
                <w:szCs w:val="24"/>
              </w:rPr>
              <w:t xml:space="preserve">identifying and </w:t>
            </w:r>
            <w:r w:rsidR="00B108D9" w:rsidRPr="00DA3F58">
              <w:rPr>
                <w:color w:val="auto"/>
                <w:sz w:val="24"/>
                <w:szCs w:val="24"/>
              </w:rPr>
              <w:t>defining</w:t>
            </w:r>
            <w:r w:rsidR="007E2DC4" w:rsidRPr="00DA3F58">
              <w:rPr>
                <w:color w:val="auto"/>
                <w:sz w:val="24"/>
                <w:szCs w:val="24"/>
              </w:rPr>
              <w:t xml:space="preserve"> what is an adult at risk of abuse and neglect, and the duty to </w:t>
            </w:r>
            <w:r w:rsidR="007E2DC4" w:rsidRPr="00E550CF">
              <w:rPr>
                <w:color w:val="auto"/>
                <w:sz w:val="24"/>
                <w:szCs w:val="24"/>
              </w:rPr>
              <w:t>report.</w:t>
            </w:r>
            <w:r w:rsidR="00B108D9" w:rsidRPr="00E550CF">
              <w:rPr>
                <w:color w:val="auto"/>
                <w:sz w:val="24"/>
                <w:szCs w:val="24"/>
              </w:rPr>
              <w:t xml:space="preserve"> An ‘adult at risk’ is </w:t>
            </w:r>
            <w:r w:rsidR="00CD5CB0" w:rsidRPr="00E550CF">
              <w:rPr>
                <w:color w:val="auto"/>
                <w:sz w:val="24"/>
                <w:szCs w:val="24"/>
              </w:rPr>
              <w:t>defined</w:t>
            </w:r>
            <w:r w:rsidR="00B108D9" w:rsidRPr="00E550CF">
              <w:rPr>
                <w:color w:val="auto"/>
                <w:sz w:val="24"/>
                <w:szCs w:val="24"/>
              </w:rPr>
              <w:t xml:space="preserve"> clearly as</w:t>
            </w:r>
            <w:r w:rsidR="00B108D9" w:rsidRPr="00E550CF">
              <w:rPr>
                <w:i/>
                <w:color w:val="auto"/>
                <w:sz w:val="24"/>
                <w:szCs w:val="24"/>
              </w:rPr>
              <w:t xml:space="preserve"> </w:t>
            </w:r>
            <w:r w:rsidR="00DA3F58" w:rsidRPr="00E550CF">
              <w:rPr>
                <w:i/>
                <w:color w:val="auto"/>
                <w:sz w:val="24"/>
                <w:szCs w:val="24"/>
              </w:rPr>
              <w:t>‘</w:t>
            </w:r>
            <w:r w:rsidR="00B108D9" w:rsidRPr="00E550CF">
              <w:rPr>
                <w:i/>
                <w:color w:val="auto"/>
                <w:sz w:val="24"/>
                <w:szCs w:val="24"/>
              </w:rPr>
              <w:t>an adult experiencing or is at risk of abuse or neglect; has needs for care and support (whether or not the authority is meeting any of those needs); and as a result of those needs is unable to protect himself or herself against the abuse or neglect or the risk of it</w:t>
            </w:r>
            <w:r w:rsidR="00385CF6">
              <w:rPr>
                <w:i/>
                <w:color w:val="auto"/>
                <w:sz w:val="24"/>
                <w:szCs w:val="24"/>
              </w:rPr>
              <w:t>’</w:t>
            </w:r>
            <w:r w:rsidR="00B108D9" w:rsidRPr="00E550CF">
              <w:rPr>
                <w:color w:val="auto"/>
                <w:sz w:val="24"/>
                <w:szCs w:val="24"/>
              </w:rPr>
              <w:t>.</w:t>
            </w:r>
            <w:r w:rsidR="007E2DC4" w:rsidRPr="00E550CF">
              <w:rPr>
                <w:color w:val="auto"/>
                <w:sz w:val="24"/>
                <w:szCs w:val="24"/>
              </w:rPr>
              <w:t xml:space="preserve"> </w:t>
            </w:r>
            <w:r w:rsidR="00CD5CB0" w:rsidRPr="00E550CF">
              <w:rPr>
                <w:color w:val="auto"/>
                <w:sz w:val="24"/>
                <w:szCs w:val="24"/>
              </w:rPr>
              <w:t xml:space="preserve">The </w:t>
            </w:r>
            <w:r w:rsidR="00220B22">
              <w:rPr>
                <w:color w:val="auto"/>
                <w:sz w:val="24"/>
                <w:szCs w:val="24"/>
              </w:rPr>
              <w:t>statutory</w:t>
            </w:r>
            <w:r w:rsidR="00220B22" w:rsidRPr="00E550CF">
              <w:rPr>
                <w:color w:val="auto"/>
                <w:sz w:val="24"/>
                <w:szCs w:val="24"/>
              </w:rPr>
              <w:t xml:space="preserve"> duty</w:t>
            </w:r>
            <w:r w:rsidR="00CD5CB0" w:rsidRPr="00E550CF">
              <w:rPr>
                <w:color w:val="auto"/>
                <w:sz w:val="24"/>
                <w:szCs w:val="24"/>
              </w:rPr>
              <w:t xml:space="preserve"> to report guidance within the SSWB (2014) states that ‘</w:t>
            </w:r>
            <w:r w:rsidR="00E550CF" w:rsidRPr="00385CF6">
              <w:rPr>
                <w:i/>
                <w:color w:val="auto"/>
                <w:sz w:val="24"/>
                <w:szCs w:val="24"/>
              </w:rPr>
              <w:t>i</w:t>
            </w:r>
            <w:r w:rsidR="00CD5CB0" w:rsidRPr="00E550CF">
              <w:rPr>
                <w:i/>
                <w:color w:val="auto"/>
                <w:sz w:val="24"/>
                <w:szCs w:val="24"/>
              </w:rPr>
              <w:t>f a relevant partner of a local authority has reasonable cause to suspect that a person is an adult at risk and appears to be within the authority's area, it must inform the local authority of that fact</w:t>
            </w:r>
            <w:r w:rsidR="00385CF6">
              <w:rPr>
                <w:i/>
                <w:color w:val="auto"/>
                <w:sz w:val="24"/>
                <w:szCs w:val="24"/>
              </w:rPr>
              <w:t>’</w:t>
            </w:r>
            <w:r w:rsidR="00CD5CB0" w:rsidRPr="00E550CF">
              <w:rPr>
                <w:i/>
                <w:color w:val="auto"/>
                <w:sz w:val="24"/>
                <w:szCs w:val="24"/>
              </w:rPr>
              <w:t xml:space="preserve">. </w:t>
            </w:r>
          </w:p>
          <w:p w14:paraId="51CF08DA" w14:textId="77777777" w:rsidR="00E550CF" w:rsidRPr="00CF1C29" w:rsidRDefault="00E550CF" w:rsidP="00005768">
            <w:pPr>
              <w:jc w:val="both"/>
              <w:rPr>
                <w:i/>
                <w:color w:val="FF0000"/>
                <w:sz w:val="24"/>
                <w:szCs w:val="24"/>
              </w:rPr>
            </w:pPr>
          </w:p>
          <w:p w14:paraId="0E938098" w14:textId="77777777" w:rsidR="00220B22" w:rsidRDefault="00220B22" w:rsidP="00005768">
            <w:pPr>
              <w:jc w:val="both"/>
              <w:rPr>
                <w:color w:val="auto"/>
                <w:sz w:val="24"/>
                <w:szCs w:val="24"/>
              </w:rPr>
            </w:pPr>
            <w:r>
              <w:rPr>
                <w:color w:val="auto"/>
                <w:sz w:val="24"/>
                <w:szCs w:val="24"/>
              </w:rPr>
              <w:t>A report</w:t>
            </w:r>
            <w:r w:rsidR="00F2772B">
              <w:rPr>
                <w:color w:val="auto"/>
                <w:sz w:val="24"/>
                <w:szCs w:val="24"/>
              </w:rPr>
              <w:t xml:space="preserve"> is then sent to the</w:t>
            </w:r>
            <w:r>
              <w:rPr>
                <w:color w:val="auto"/>
                <w:sz w:val="24"/>
                <w:szCs w:val="24"/>
              </w:rPr>
              <w:t xml:space="preserve"> </w:t>
            </w:r>
            <w:r w:rsidR="00C2573E">
              <w:rPr>
                <w:color w:val="auto"/>
                <w:sz w:val="24"/>
                <w:szCs w:val="24"/>
              </w:rPr>
              <w:t xml:space="preserve">Regional </w:t>
            </w:r>
            <w:r>
              <w:rPr>
                <w:color w:val="auto"/>
                <w:sz w:val="24"/>
                <w:szCs w:val="24"/>
              </w:rPr>
              <w:t xml:space="preserve">Safeguarding Board which </w:t>
            </w:r>
            <w:r w:rsidRPr="00220B22">
              <w:rPr>
                <w:color w:val="auto"/>
                <w:sz w:val="24"/>
                <w:szCs w:val="24"/>
              </w:rPr>
              <w:t xml:space="preserve">is a </w:t>
            </w:r>
            <w:r>
              <w:rPr>
                <w:color w:val="auto"/>
                <w:sz w:val="24"/>
                <w:szCs w:val="24"/>
              </w:rPr>
              <w:t>‘</w:t>
            </w:r>
            <w:r w:rsidRPr="008034B7">
              <w:rPr>
                <w:i/>
                <w:color w:val="auto"/>
                <w:sz w:val="24"/>
                <w:szCs w:val="24"/>
              </w:rPr>
              <w:t>statutory body which co-ordinates, monitors and challenges its partner agencies in Safeguarding Children an</w:t>
            </w:r>
            <w:r w:rsidR="003E39D0">
              <w:rPr>
                <w:i/>
                <w:color w:val="auto"/>
                <w:sz w:val="24"/>
                <w:szCs w:val="24"/>
              </w:rPr>
              <w:t>d Adults at Risk</w:t>
            </w:r>
            <w:r w:rsidRPr="008034B7">
              <w:rPr>
                <w:i/>
                <w:color w:val="auto"/>
                <w:sz w:val="24"/>
                <w:szCs w:val="24"/>
              </w:rPr>
              <w:t>’</w:t>
            </w:r>
            <w:r w:rsidR="00C2573E">
              <w:rPr>
                <w:color w:val="auto"/>
                <w:sz w:val="24"/>
                <w:szCs w:val="24"/>
              </w:rPr>
              <w:t xml:space="preserve"> (</w:t>
            </w:r>
            <w:r>
              <w:rPr>
                <w:color w:val="auto"/>
                <w:sz w:val="24"/>
                <w:szCs w:val="24"/>
              </w:rPr>
              <w:t>SB, 2020)</w:t>
            </w:r>
            <w:r w:rsidR="002D2B43">
              <w:rPr>
                <w:color w:val="auto"/>
                <w:sz w:val="24"/>
                <w:szCs w:val="24"/>
              </w:rPr>
              <w:t>.</w:t>
            </w:r>
          </w:p>
          <w:p w14:paraId="4BB90230" w14:textId="77777777" w:rsidR="00B3169C" w:rsidRDefault="00220B22" w:rsidP="00005768">
            <w:pPr>
              <w:jc w:val="both"/>
              <w:rPr>
                <w:color w:val="FF0000"/>
                <w:sz w:val="24"/>
                <w:szCs w:val="24"/>
              </w:rPr>
            </w:pPr>
            <w:r>
              <w:rPr>
                <w:color w:val="auto"/>
                <w:sz w:val="24"/>
                <w:szCs w:val="24"/>
              </w:rPr>
              <w:t>Throughout any safeguarding procedure, maintaining a person-centred approach is key. G</w:t>
            </w:r>
            <w:r w:rsidR="00015460">
              <w:rPr>
                <w:color w:val="auto"/>
                <w:sz w:val="24"/>
                <w:szCs w:val="24"/>
              </w:rPr>
              <w:t>aining consent from the adu</w:t>
            </w:r>
            <w:r w:rsidR="002D2B43">
              <w:rPr>
                <w:color w:val="auto"/>
                <w:sz w:val="24"/>
                <w:szCs w:val="24"/>
              </w:rPr>
              <w:t xml:space="preserve">lt at risk should be paramount </w:t>
            </w:r>
            <w:r w:rsidR="00015460">
              <w:rPr>
                <w:color w:val="auto"/>
                <w:sz w:val="24"/>
                <w:szCs w:val="24"/>
              </w:rPr>
              <w:t xml:space="preserve">where possible. This helps to provide a person-centred response in </w:t>
            </w:r>
            <w:r w:rsidR="00B3169C">
              <w:rPr>
                <w:color w:val="auto"/>
                <w:sz w:val="24"/>
                <w:szCs w:val="24"/>
              </w:rPr>
              <w:t xml:space="preserve">order to support engagement </w:t>
            </w:r>
            <w:r w:rsidR="00C2573E">
              <w:rPr>
                <w:color w:val="auto"/>
                <w:sz w:val="24"/>
                <w:szCs w:val="24"/>
              </w:rPr>
              <w:t>(</w:t>
            </w:r>
            <w:r w:rsidR="00B3169C" w:rsidRPr="00385CF6">
              <w:rPr>
                <w:color w:val="auto"/>
                <w:sz w:val="24"/>
                <w:szCs w:val="24"/>
              </w:rPr>
              <w:t>SB, 2020)</w:t>
            </w:r>
            <w:r w:rsidR="002D2B43" w:rsidRPr="00385CF6">
              <w:rPr>
                <w:color w:val="auto"/>
                <w:sz w:val="24"/>
                <w:szCs w:val="24"/>
              </w:rPr>
              <w:t>.</w:t>
            </w:r>
            <w:r w:rsidRPr="00385CF6">
              <w:rPr>
                <w:color w:val="auto"/>
                <w:sz w:val="24"/>
                <w:szCs w:val="24"/>
              </w:rPr>
              <w:t xml:space="preserve"> </w:t>
            </w:r>
            <w:r w:rsidR="002D2B43">
              <w:rPr>
                <w:color w:val="auto"/>
                <w:sz w:val="24"/>
                <w:szCs w:val="24"/>
              </w:rPr>
              <w:t>In addition to this, w</w:t>
            </w:r>
            <w:r w:rsidRPr="00220B22">
              <w:rPr>
                <w:color w:val="auto"/>
                <w:sz w:val="24"/>
                <w:szCs w:val="24"/>
              </w:rPr>
              <w:t xml:space="preserve">ithin </w:t>
            </w:r>
            <w:r>
              <w:rPr>
                <w:color w:val="auto"/>
                <w:sz w:val="24"/>
                <w:szCs w:val="24"/>
              </w:rPr>
              <w:t>the SSWBA (2014) the need for advocacy is linked with safeguarding, it is deemed as a legal duty to consider the pers</w:t>
            </w:r>
            <w:r w:rsidR="002959AD">
              <w:rPr>
                <w:color w:val="auto"/>
                <w:sz w:val="24"/>
                <w:szCs w:val="24"/>
              </w:rPr>
              <w:t>ons need for advocacy (</w:t>
            </w:r>
            <w:r w:rsidR="007A7305">
              <w:rPr>
                <w:color w:val="auto"/>
                <w:sz w:val="24"/>
                <w:szCs w:val="24"/>
              </w:rPr>
              <w:t>Code of Professional Practice, Social Care Wales 2017</w:t>
            </w:r>
            <w:r>
              <w:rPr>
                <w:color w:val="auto"/>
                <w:sz w:val="24"/>
                <w:szCs w:val="24"/>
              </w:rPr>
              <w:t xml:space="preserve">). </w:t>
            </w:r>
          </w:p>
          <w:p w14:paraId="1395C368" w14:textId="77777777" w:rsidR="00CF1C29" w:rsidRDefault="003D21BD" w:rsidP="00005768">
            <w:pPr>
              <w:jc w:val="both"/>
              <w:rPr>
                <w:color w:val="0070C0"/>
                <w:sz w:val="24"/>
                <w:szCs w:val="24"/>
              </w:rPr>
            </w:pPr>
            <w:r>
              <w:rPr>
                <w:color w:val="0070C0"/>
                <w:sz w:val="24"/>
                <w:szCs w:val="24"/>
              </w:rPr>
              <w:t xml:space="preserve"> </w:t>
            </w:r>
          </w:p>
          <w:p w14:paraId="737629B2" w14:textId="77777777" w:rsidR="00C42680" w:rsidRDefault="00CF1C29" w:rsidP="00C42680">
            <w:pPr>
              <w:jc w:val="both"/>
              <w:rPr>
                <w:color w:val="auto"/>
                <w:sz w:val="24"/>
                <w:szCs w:val="24"/>
              </w:rPr>
            </w:pPr>
            <w:r w:rsidRPr="00E550CF">
              <w:rPr>
                <w:color w:val="auto"/>
                <w:sz w:val="24"/>
                <w:szCs w:val="24"/>
              </w:rPr>
              <w:t>Following this enquiry a few outcomes can become of the report – no further action,</w:t>
            </w:r>
            <w:r w:rsidR="00220B22">
              <w:rPr>
                <w:color w:val="auto"/>
                <w:sz w:val="24"/>
                <w:szCs w:val="24"/>
              </w:rPr>
              <w:t xml:space="preserve"> further</w:t>
            </w:r>
            <w:r w:rsidR="00E550CF" w:rsidRPr="00E550CF">
              <w:rPr>
                <w:color w:val="auto"/>
                <w:sz w:val="24"/>
                <w:szCs w:val="24"/>
              </w:rPr>
              <w:t xml:space="preserve"> </w:t>
            </w:r>
            <w:r w:rsidR="0019621E" w:rsidRPr="00E550CF">
              <w:rPr>
                <w:color w:val="auto"/>
                <w:sz w:val="24"/>
                <w:szCs w:val="24"/>
              </w:rPr>
              <w:t>enquiries</w:t>
            </w:r>
            <w:r w:rsidR="00E550CF" w:rsidRPr="00E550CF">
              <w:rPr>
                <w:color w:val="auto"/>
                <w:sz w:val="24"/>
                <w:szCs w:val="24"/>
              </w:rPr>
              <w:t xml:space="preserve"> are required due to reasonable cause to suspect an adult is at </w:t>
            </w:r>
            <w:r w:rsidR="0019621E" w:rsidRPr="00E550CF">
              <w:rPr>
                <w:color w:val="auto"/>
                <w:sz w:val="24"/>
                <w:szCs w:val="24"/>
              </w:rPr>
              <w:t>risk or</w:t>
            </w:r>
            <w:r w:rsidR="00E550CF" w:rsidRPr="00E550CF">
              <w:rPr>
                <w:color w:val="auto"/>
                <w:sz w:val="24"/>
                <w:szCs w:val="24"/>
              </w:rPr>
              <w:t xml:space="preserve"> that an adult has needs for care and support</w:t>
            </w:r>
            <w:r w:rsidR="0086020B">
              <w:rPr>
                <w:color w:val="auto"/>
                <w:sz w:val="24"/>
                <w:szCs w:val="24"/>
              </w:rPr>
              <w:t xml:space="preserve"> plan</w:t>
            </w:r>
            <w:r w:rsidR="00E550CF" w:rsidRPr="00E550CF">
              <w:rPr>
                <w:color w:val="auto"/>
                <w:sz w:val="24"/>
                <w:szCs w:val="24"/>
              </w:rPr>
              <w:t>.</w:t>
            </w:r>
            <w:r w:rsidRPr="00E550CF">
              <w:rPr>
                <w:color w:val="auto"/>
                <w:sz w:val="24"/>
                <w:szCs w:val="24"/>
              </w:rPr>
              <w:t xml:space="preserve"> </w:t>
            </w:r>
            <w:r w:rsidR="00E550CF" w:rsidRPr="00E550CF">
              <w:rPr>
                <w:color w:val="auto"/>
                <w:sz w:val="24"/>
                <w:szCs w:val="24"/>
              </w:rPr>
              <w:t xml:space="preserve">In regards to the enquiries, an </w:t>
            </w:r>
            <w:r w:rsidRPr="00E550CF">
              <w:rPr>
                <w:color w:val="auto"/>
                <w:sz w:val="24"/>
                <w:szCs w:val="24"/>
              </w:rPr>
              <w:t>application for an adult protection support order may be don</w:t>
            </w:r>
            <w:r w:rsidR="0019621E">
              <w:rPr>
                <w:color w:val="auto"/>
                <w:sz w:val="24"/>
                <w:szCs w:val="24"/>
              </w:rPr>
              <w:t>e. This order allows the office</w:t>
            </w:r>
            <w:r w:rsidRPr="00E550CF">
              <w:rPr>
                <w:color w:val="auto"/>
                <w:sz w:val="24"/>
                <w:szCs w:val="24"/>
              </w:rPr>
              <w:t>r to speak in private with the individua</w:t>
            </w:r>
            <w:r w:rsidR="00C42680">
              <w:rPr>
                <w:color w:val="auto"/>
                <w:sz w:val="24"/>
                <w:szCs w:val="24"/>
              </w:rPr>
              <w:t xml:space="preserve">l suspected of being at risk without a carer present. </w:t>
            </w:r>
          </w:p>
          <w:p w14:paraId="172A855B" w14:textId="77777777" w:rsidR="00C42680" w:rsidRDefault="00C42680" w:rsidP="00C42680">
            <w:pPr>
              <w:jc w:val="both"/>
              <w:rPr>
                <w:color w:val="FF0000"/>
                <w:sz w:val="24"/>
                <w:szCs w:val="24"/>
              </w:rPr>
            </w:pPr>
          </w:p>
          <w:p w14:paraId="554AB8EB" w14:textId="77777777" w:rsidR="00C42680" w:rsidRDefault="006136D6" w:rsidP="00C42680">
            <w:pPr>
              <w:jc w:val="both"/>
              <w:rPr>
                <w:color w:val="FF0000"/>
                <w:sz w:val="24"/>
                <w:szCs w:val="24"/>
              </w:rPr>
            </w:pPr>
            <w:r w:rsidRPr="00F33324">
              <w:rPr>
                <w:color w:val="auto"/>
                <w:sz w:val="24"/>
                <w:szCs w:val="24"/>
              </w:rPr>
              <w:t xml:space="preserve">Creating an adult protection plan should be developed with the adult at risk at centre of the plan, in addition to using a </w:t>
            </w:r>
            <w:r w:rsidR="00C42680" w:rsidRPr="00091357">
              <w:rPr>
                <w:color w:val="auto"/>
                <w:sz w:val="24"/>
                <w:szCs w:val="24"/>
              </w:rPr>
              <w:t xml:space="preserve">multi-agency working </w:t>
            </w:r>
            <w:r>
              <w:rPr>
                <w:color w:val="auto"/>
                <w:sz w:val="24"/>
                <w:szCs w:val="24"/>
              </w:rPr>
              <w:t>approach</w:t>
            </w:r>
            <w:r w:rsidR="00F33324">
              <w:rPr>
                <w:color w:val="auto"/>
                <w:sz w:val="24"/>
                <w:szCs w:val="24"/>
              </w:rPr>
              <w:t>. ‘</w:t>
            </w:r>
            <w:r w:rsidR="00F33324" w:rsidRPr="00F33324">
              <w:rPr>
                <w:i/>
                <w:color w:val="auto"/>
                <w:sz w:val="24"/>
                <w:szCs w:val="24"/>
              </w:rPr>
              <w:t xml:space="preserve">The local authority </w:t>
            </w:r>
            <w:r w:rsidR="00F33324" w:rsidRPr="00F33324">
              <w:rPr>
                <w:i/>
                <w:color w:val="auto"/>
                <w:sz w:val="24"/>
                <w:szCs w:val="24"/>
              </w:rPr>
              <w:lastRenderedPageBreak/>
              <w:t>should take responsibility for organising and co-ordinating the preparation of the ca</w:t>
            </w:r>
            <w:r w:rsidR="00756A1D">
              <w:rPr>
                <w:i/>
                <w:color w:val="auto"/>
                <w:sz w:val="24"/>
                <w:szCs w:val="24"/>
              </w:rPr>
              <w:t xml:space="preserve">re and support protection plan </w:t>
            </w:r>
            <w:r w:rsidR="00F33324">
              <w:rPr>
                <w:color w:val="auto"/>
                <w:sz w:val="24"/>
                <w:szCs w:val="24"/>
              </w:rPr>
              <w:t>(Wales</w:t>
            </w:r>
            <w:r w:rsidR="00385CF6">
              <w:rPr>
                <w:color w:val="auto"/>
                <w:sz w:val="24"/>
                <w:szCs w:val="24"/>
              </w:rPr>
              <w:t xml:space="preserve"> Safeguarding Procedures, 2022).</w:t>
            </w:r>
          </w:p>
          <w:p w14:paraId="2EA4E670" w14:textId="77777777" w:rsidR="00987202" w:rsidRDefault="00987202" w:rsidP="00390984">
            <w:pPr>
              <w:jc w:val="both"/>
              <w:rPr>
                <w:sz w:val="24"/>
                <w:szCs w:val="24"/>
              </w:rPr>
            </w:pPr>
          </w:p>
          <w:p w14:paraId="07293314" w14:textId="6D7DD813" w:rsidR="005475B3" w:rsidRPr="005475B3" w:rsidRDefault="00220B22" w:rsidP="00220B22">
            <w:pPr>
              <w:jc w:val="both"/>
              <w:rPr>
                <w:sz w:val="24"/>
              </w:rPr>
            </w:pPr>
            <w:r>
              <w:rPr>
                <w:sz w:val="24"/>
                <w:szCs w:val="24"/>
              </w:rPr>
              <w:t xml:space="preserve">Some </w:t>
            </w:r>
            <w:r w:rsidR="00A66898">
              <w:rPr>
                <w:sz w:val="24"/>
                <w:szCs w:val="24"/>
              </w:rPr>
              <w:t>other</w:t>
            </w:r>
            <w:r>
              <w:rPr>
                <w:sz w:val="24"/>
                <w:szCs w:val="24"/>
              </w:rPr>
              <w:t xml:space="preserve"> national legislation that are </w:t>
            </w:r>
            <w:r w:rsidR="00A66898">
              <w:rPr>
                <w:sz w:val="24"/>
                <w:szCs w:val="24"/>
              </w:rPr>
              <w:t>rel</w:t>
            </w:r>
            <w:r w:rsidR="006A5ADF">
              <w:rPr>
                <w:sz w:val="24"/>
                <w:szCs w:val="24"/>
              </w:rPr>
              <w:t xml:space="preserve">evant </w:t>
            </w:r>
            <w:r w:rsidR="00A66898">
              <w:rPr>
                <w:sz w:val="24"/>
                <w:szCs w:val="24"/>
              </w:rPr>
              <w:t>fo</w:t>
            </w:r>
            <w:r w:rsidR="006A5ADF">
              <w:rPr>
                <w:sz w:val="24"/>
                <w:szCs w:val="24"/>
              </w:rPr>
              <w:t xml:space="preserve">r adult safeguarding </w:t>
            </w:r>
            <w:r w:rsidR="00A66898">
              <w:rPr>
                <w:sz w:val="24"/>
                <w:szCs w:val="24"/>
              </w:rPr>
              <w:t>include</w:t>
            </w:r>
            <w:r>
              <w:rPr>
                <w:sz w:val="24"/>
                <w:szCs w:val="24"/>
              </w:rPr>
              <w:t xml:space="preserve"> </w:t>
            </w:r>
            <w:r w:rsidR="002959AD">
              <w:rPr>
                <w:sz w:val="24"/>
                <w:szCs w:val="24"/>
              </w:rPr>
              <w:t xml:space="preserve">the </w:t>
            </w:r>
            <w:r w:rsidRPr="00220B22">
              <w:rPr>
                <w:sz w:val="24"/>
                <w:szCs w:val="24"/>
              </w:rPr>
              <w:t>Violence against Wo</w:t>
            </w:r>
            <w:r w:rsidR="00F33324">
              <w:rPr>
                <w:sz w:val="24"/>
                <w:szCs w:val="24"/>
              </w:rPr>
              <w:t xml:space="preserve">men, Domestic Abuse and Sexual </w:t>
            </w:r>
            <w:r w:rsidRPr="00220B22">
              <w:rPr>
                <w:sz w:val="24"/>
                <w:szCs w:val="24"/>
              </w:rPr>
              <w:t>Violence (Wales) Act 2015</w:t>
            </w:r>
            <w:r>
              <w:rPr>
                <w:sz w:val="24"/>
                <w:szCs w:val="24"/>
              </w:rPr>
              <w:t xml:space="preserve">, </w:t>
            </w:r>
            <w:bookmarkStart w:id="0" w:name="_Hlk128384268"/>
            <w:r w:rsidRPr="00220B22">
              <w:rPr>
                <w:sz w:val="22"/>
              </w:rPr>
              <w:t>F</w:t>
            </w:r>
            <w:r w:rsidRPr="00220B22">
              <w:rPr>
                <w:sz w:val="24"/>
              </w:rPr>
              <w:t>emale Genita</w:t>
            </w:r>
            <w:r w:rsidR="00AD262A">
              <w:rPr>
                <w:sz w:val="24"/>
              </w:rPr>
              <w:t>l Mutilation Act (2003</w:t>
            </w:r>
            <w:bookmarkEnd w:id="0"/>
            <w:r w:rsidR="00AD262A">
              <w:rPr>
                <w:sz w:val="24"/>
              </w:rPr>
              <w:t xml:space="preserve">), </w:t>
            </w:r>
            <w:bookmarkStart w:id="1" w:name="_Hlk128384215"/>
            <w:r w:rsidRPr="00220B22">
              <w:rPr>
                <w:sz w:val="24"/>
              </w:rPr>
              <w:t xml:space="preserve">Modern Slavery Act </w:t>
            </w:r>
            <w:r w:rsidR="002D2B43">
              <w:rPr>
                <w:sz w:val="24"/>
              </w:rPr>
              <w:t xml:space="preserve">(2015) </w:t>
            </w:r>
            <w:bookmarkEnd w:id="1"/>
            <w:r w:rsidR="002D2B43">
              <w:rPr>
                <w:sz w:val="24"/>
              </w:rPr>
              <w:t>a</w:t>
            </w:r>
            <w:r w:rsidR="00AD262A">
              <w:rPr>
                <w:sz w:val="24"/>
              </w:rPr>
              <w:t>nd the H</w:t>
            </w:r>
            <w:bookmarkStart w:id="2" w:name="_Hlk128384317"/>
            <w:r w:rsidR="00AD262A">
              <w:rPr>
                <w:sz w:val="24"/>
              </w:rPr>
              <w:t>umans Right Act</w:t>
            </w:r>
            <w:r w:rsidR="007C08CE">
              <w:rPr>
                <w:sz w:val="24"/>
              </w:rPr>
              <w:t xml:space="preserve"> HRA</w:t>
            </w:r>
            <w:r w:rsidR="00AD262A">
              <w:rPr>
                <w:sz w:val="24"/>
              </w:rPr>
              <w:t xml:space="preserve"> (</w:t>
            </w:r>
            <w:r w:rsidR="007C08CE">
              <w:rPr>
                <w:sz w:val="24"/>
              </w:rPr>
              <w:t>1998</w:t>
            </w:r>
            <w:r w:rsidR="00AD262A">
              <w:rPr>
                <w:sz w:val="24"/>
              </w:rPr>
              <w:t xml:space="preserve">). </w:t>
            </w:r>
            <w:bookmarkEnd w:id="2"/>
            <w:r w:rsidR="00AD262A">
              <w:rPr>
                <w:sz w:val="24"/>
              </w:rPr>
              <w:t xml:space="preserve">The Humans Right Act deems that </w:t>
            </w:r>
            <w:r w:rsidR="007C08CE">
              <w:rPr>
                <w:sz w:val="24"/>
              </w:rPr>
              <w:t>every individual has a set of human rights,</w:t>
            </w:r>
            <w:r w:rsidR="002D2B43">
              <w:rPr>
                <w:sz w:val="24"/>
              </w:rPr>
              <w:t xml:space="preserve"> </w:t>
            </w:r>
            <w:r w:rsidR="007C08CE">
              <w:rPr>
                <w:sz w:val="24"/>
              </w:rPr>
              <w:t xml:space="preserve">with some specifically linked to safeguarding such as </w:t>
            </w:r>
            <w:r w:rsidR="007C08CE" w:rsidRPr="007C08CE">
              <w:rPr>
                <w:i/>
                <w:sz w:val="24"/>
              </w:rPr>
              <w:t>'No-one shall be subjected to torture, or inhuman or degrading treatment or punishment</w:t>
            </w:r>
            <w:r w:rsidR="007C08CE">
              <w:rPr>
                <w:sz w:val="24"/>
              </w:rPr>
              <w:t>’ (Article 3, HRA)</w:t>
            </w:r>
            <w:r w:rsidR="005475B3">
              <w:rPr>
                <w:sz w:val="24"/>
              </w:rPr>
              <w:t>. The Deprivation of Liberty Safeguards (</w:t>
            </w:r>
            <w:r w:rsidR="00A130AF">
              <w:rPr>
                <w:sz w:val="24"/>
              </w:rPr>
              <w:t>MCA</w:t>
            </w:r>
            <w:r w:rsidR="005475B3">
              <w:rPr>
                <w:sz w:val="24"/>
              </w:rPr>
              <w:t>, 20</w:t>
            </w:r>
            <w:r w:rsidR="00A130AF">
              <w:rPr>
                <w:sz w:val="24"/>
              </w:rPr>
              <w:t>005</w:t>
            </w:r>
            <w:r w:rsidR="005475B3">
              <w:rPr>
                <w:sz w:val="24"/>
              </w:rPr>
              <w:t xml:space="preserve">) were created to </w:t>
            </w:r>
            <w:r w:rsidR="008034B7">
              <w:rPr>
                <w:sz w:val="24"/>
              </w:rPr>
              <w:t xml:space="preserve">further </w:t>
            </w:r>
            <w:r w:rsidR="005475B3">
              <w:rPr>
                <w:sz w:val="24"/>
              </w:rPr>
              <w:t xml:space="preserve">protect the human rights of vulnerable adults </w:t>
            </w:r>
            <w:r w:rsidR="002959AD">
              <w:rPr>
                <w:sz w:val="24"/>
                <w:szCs w:val="24"/>
              </w:rPr>
              <w:t>who lack capacity to c</w:t>
            </w:r>
            <w:r w:rsidR="005475B3" w:rsidRPr="005475B3">
              <w:rPr>
                <w:sz w:val="24"/>
                <w:szCs w:val="24"/>
              </w:rPr>
              <w:t>onsent to care or treatment in a hospital or registered care home</w:t>
            </w:r>
            <w:r w:rsidR="005475B3">
              <w:rPr>
                <w:sz w:val="24"/>
                <w:szCs w:val="24"/>
              </w:rPr>
              <w:t>.</w:t>
            </w:r>
            <w:r w:rsidR="002D2B43">
              <w:rPr>
                <w:sz w:val="24"/>
                <w:szCs w:val="24"/>
              </w:rPr>
              <w:t xml:space="preserve"> The two aspects which would constitute as a DOLs within these cases would be whether the person is free to leave, and whether the person is under continuous supervision and control. </w:t>
            </w:r>
          </w:p>
          <w:p w14:paraId="52993851" w14:textId="77777777" w:rsidR="00987202" w:rsidRDefault="00987202" w:rsidP="00390984">
            <w:pPr>
              <w:jc w:val="both"/>
              <w:rPr>
                <w:sz w:val="24"/>
                <w:szCs w:val="24"/>
              </w:rPr>
            </w:pPr>
          </w:p>
          <w:p w14:paraId="5B126227" w14:textId="77777777" w:rsidR="00987202" w:rsidRDefault="00987202" w:rsidP="00390984">
            <w:pPr>
              <w:jc w:val="both"/>
              <w:rPr>
                <w:sz w:val="24"/>
                <w:szCs w:val="24"/>
              </w:rPr>
            </w:pPr>
          </w:p>
          <w:p w14:paraId="6B4C4D21" w14:textId="77777777" w:rsidR="00987202" w:rsidRDefault="00987202" w:rsidP="00390984">
            <w:pPr>
              <w:jc w:val="both"/>
              <w:rPr>
                <w:sz w:val="24"/>
                <w:szCs w:val="24"/>
              </w:rPr>
            </w:pPr>
          </w:p>
          <w:p w14:paraId="6937D875" w14:textId="77777777" w:rsidR="00987202" w:rsidRPr="006108C9" w:rsidRDefault="00F2772B" w:rsidP="00390984">
            <w:pPr>
              <w:jc w:val="both"/>
              <w:rPr>
                <w:sz w:val="24"/>
                <w:szCs w:val="24"/>
              </w:rPr>
            </w:pPr>
            <w:r>
              <w:rPr>
                <w:sz w:val="24"/>
                <w:szCs w:val="24"/>
              </w:rPr>
              <w:t>548</w:t>
            </w:r>
          </w:p>
          <w:p w14:paraId="1E77E8E2" w14:textId="77777777" w:rsidR="00987202" w:rsidRDefault="00987202" w:rsidP="00390984">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92DDA8C" w14:textId="77777777" w:rsidR="00987202" w:rsidRPr="008B28E7" w:rsidRDefault="00987202" w:rsidP="00390984">
            <w:pPr>
              <w:jc w:val="both"/>
              <w:rPr>
                <w:b/>
                <w:sz w:val="24"/>
                <w:szCs w:val="24"/>
              </w:rPr>
            </w:pPr>
          </w:p>
        </w:tc>
      </w:tr>
    </w:tbl>
    <w:p w14:paraId="277606BB" w14:textId="77777777" w:rsidR="00987202" w:rsidRPr="008B28E7" w:rsidRDefault="00987202" w:rsidP="00987202">
      <w:pPr>
        <w:jc w:val="both"/>
        <w:rPr>
          <w:sz w:val="24"/>
          <w:szCs w:val="24"/>
        </w:rPr>
      </w:pPr>
    </w:p>
    <w:p w14:paraId="75ED0E12" w14:textId="77777777" w:rsidR="00987202" w:rsidRPr="008B28E7" w:rsidRDefault="00987202" w:rsidP="00987202">
      <w:pPr>
        <w:jc w:val="both"/>
        <w:rPr>
          <w:sz w:val="24"/>
          <w:szCs w:val="24"/>
        </w:rPr>
      </w:pPr>
    </w:p>
    <w:p w14:paraId="2241B616" w14:textId="77777777" w:rsidR="00987202" w:rsidRDefault="00987202" w:rsidP="00987202">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87202" w:rsidRPr="008B28E7" w14:paraId="4B752709" w14:textId="77777777" w:rsidTr="00390984">
        <w:tc>
          <w:tcPr>
            <w:tcW w:w="10278" w:type="dxa"/>
            <w:shd w:val="clear" w:color="auto" w:fill="auto"/>
          </w:tcPr>
          <w:p w14:paraId="4DF3330C" w14:textId="77777777" w:rsidR="00987202" w:rsidRPr="00EB695F" w:rsidRDefault="00987202" w:rsidP="0039098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05FA3106" w14:textId="77777777" w:rsidR="00987202" w:rsidRDefault="00987202" w:rsidP="00390984">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6A37689A" w14:textId="77777777" w:rsidR="00471A6C" w:rsidRDefault="00471A6C" w:rsidP="00390984">
            <w:pPr>
              <w:jc w:val="both"/>
              <w:rPr>
                <w:sz w:val="24"/>
                <w:szCs w:val="24"/>
              </w:rPr>
            </w:pPr>
          </w:p>
          <w:p w14:paraId="6AB4C957" w14:textId="77777777" w:rsidR="00987202" w:rsidRDefault="00987202" w:rsidP="00390984">
            <w:pPr>
              <w:jc w:val="both"/>
              <w:rPr>
                <w:sz w:val="24"/>
                <w:szCs w:val="24"/>
              </w:rPr>
            </w:pPr>
          </w:p>
          <w:p w14:paraId="349CEFF0" w14:textId="77777777" w:rsidR="00270C86" w:rsidRDefault="00270C86" w:rsidP="00390984">
            <w:pPr>
              <w:jc w:val="both"/>
              <w:rPr>
                <w:sz w:val="24"/>
                <w:szCs w:val="24"/>
              </w:rPr>
            </w:pPr>
            <w:r>
              <w:rPr>
                <w:sz w:val="24"/>
                <w:szCs w:val="24"/>
              </w:rPr>
              <w:t>T</w:t>
            </w:r>
            <w:r w:rsidR="00AD6A91">
              <w:rPr>
                <w:sz w:val="24"/>
                <w:szCs w:val="24"/>
              </w:rPr>
              <w:t>here are argua</w:t>
            </w:r>
            <w:r w:rsidR="0070665C">
              <w:rPr>
                <w:sz w:val="24"/>
                <w:szCs w:val="24"/>
              </w:rPr>
              <w:t xml:space="preserve">bly many similarities within </w:t>
            </w:r>
            <w:r w:rsidR="00AD6A91">
              <w:rPr>
                <w:sz w:val="24"/>
                <w:szCs w:val="24"/>
              </w:rPr>
              <w:t xml:space="preserve">children’s and adults </w:t>
            </w:r>
            <w:r w:rsidR="0070665C">
              <w:rPr>
                <w:sz w:val="24"/>
                <w:szCs w:val="24"/>
              </w:rPr>
              <w:t>safeguarding procedures</w:t>
            </w:r>
            <w:r w:rsidR="00C42680">
              <w:rPr>
                <w:sz w:val="24"/>
                <w:szCs w:val="24"/>
              </w:rPr>
              <w:t xml:space="preserve"> such as that safeguarding is everyone’s duty</w:t>
            </w:r>
            <w:r>
              <w:rPr>
                <w:sz w:val="24"/>
                <w:szCs w:val="24"/>
              </w:rPr>
              <w:t xml:space="preserve"> (SSWB, 2014)</w:t>
            </w:r>
            <w:r w:rsidR="008E305D">
              <w:rPr>
                <w:sz w:val="24"/>
                <w:szCs w:val="24"/>
              </w:rPr>
              <w:t>.</w:t>
            </w:r>
          </w:p>
          <w:p w14:paraId="03ADA228" w14:textId="35DC0FE0" w:rsidR="00BF5489" w:rsidRDefault="00385CF6" w:rsidP="00037A0F">
            <w:pPr>
              <w:jc w:val="both"/>
              <w:rPr>
                <w:sz w:val="24"/>
                <w:szCs w:val="24"/>
              </w:rPr>
            </w:pPr>
            <w:r>
              <w:rPr>
                <w:sz w:val="24"/>
                <w:szCs w:val="24"/>
              </w:rPr>
              <w:t>T</w:t>
            </w:r>
            <w:r w:rsidR="00270C86">
              <w:rPr>
                <w:sz w:val="24"/>
                <w:szCs w:val="24"/>
              </w:rPr>
              <w:t xml:space="preserve">here are </w:t>
            </w:r>
            <w:r>
              <w:rPr>
                <w:sz w:val="24"/>
                <w:szCs w:val="24"/>
              </w:rPr>
              <w:t>also</w:t>
            </w:r>
            <w:r w:rsidR="00270C86">
              <w:rPr>
                <w:sz w:val="24"/>
                <w:szCs w:val="24"/>
              </w:rPr>
              <w:t xml:space="preserve"> differences to note</w:t>
            </w:r>
            <w:r w:rsidR="00604C55">
              <w:rPr>
                <w:sz w:val="24"/>
                <w:szCs w:val="24"/>
              </w:rPr>
              <w:t xml:space="preserve"> such as the types of abuse they can experience and the context of that abuse or risk of abuse</w:t>
            </w:r>
            <w:r w:rsidR="00270C86">
              <w:rPr>
                <w:sz w:val="24"/>
                <w:szCs w:val="24"/>
              </w:rPr>
              <w:t>. T</w:t>
            </w:r>
            <w:r w:rsidR="0070665C">
              <w:rPr>
                <w:sz w:val="24"/>
                <w:szCs w:val="24"/>
              </w:rPr>
              <w:t>he main</w:t>
            </w:r>
            <w:r w:rsidR="00C41206">
              <w:rPr>
                <w:sz w:val="24"/>
                <w:szCs w:val="24"/>
              </w:rPr>
              <w:t xml:space="preserve"> </w:t>
            </w:r>
            <w:r w:rsidR="007C5E38">
              <w:rPr>
                <w:sz w:val="24"/>
                <w:szCs w:val="24"/>
              </w:rPr>
              <w:t>difference</w:t>
            </w:r>
            <w:r w:rsidR="00C41206">
              <w:rPr>
                <w:sz w:val="24"/>
                <w:szCs w:val="24"/>
              </w:rPr>
              <w:t>s</w:t>
            </w:r>
            <w:r w:rsidR="007C5E38">
              <w:rPr>
                <w:sz w:val="24"/>
                <w:szCs w:val="24"/>
              </w:rPr>
              <w:t xml:space="preserve"> I would identify </w:t>
            </w:r>
            <w:r w:rsidR="0070665C">
              <w:rPr>
                <w:sz w:val="24"/>
                <w:szCs w:val="24"/>
              </w:rPr>
              <w:t>are</w:t>
            </w:r>
            <w:r w:rsidR="007C5E38">
              <w:rPr>
                <w:sz w:val="24"/>
                <w:szCs w:val="24"/>
              </w:rPr>
              <w:t xml:space="preserve"> linked with an </w:t>
            </w:r>
            <w:r w:rsidR="008F319F">
              <w:rPr>
                <w:sz w:val="24"/>
                <w:szCs w:val="24"/>
              </w:rPr>
              <w:t>individual’s</w:t>
            </w:r>
            <w:r w:rsidR="00C41206">
              <w:rPr>
                <w:sz w:val="24"/>
                <w:szCs w:val="24"/>
              </w:rPr>
              <w:t xml:space="preserve"> ability to consent and </w:t>
            </w:r>
            <w:r w:rsidR="0070665C">
              <w:rPr>
                <w:sz w:val="24"/>
                <w:szCs w:val="24"/>
              </w:rPr>
              <w:t>the</w:t>
            </w:r>
            <w:r w:rsidR="00C41206">
              <w:rPr>
                <w:sz w:val="24"/>
                <w:szCs w:val="24"/>
              </w:rPr>
              <w:t xml:space="preserve"> capacity to do so</w:t>
            </w:r>
            <w:r w:rsidR="007C5E38">
              <w:rPr>
                <w:sz w:val="24"/>
                <w:szCs w:val="24"/>
              </w:rPr>
              <w:t>.</w:t>
            </w:r>
            <w:r w:rsidR="00787CC0">
              <w:rPr>
                <w:sz w:val="24"/>
                <w:szCs w:val="24"/>
              </w:rPr>
              <w:t xml:space="preserve"> </w:t>
            </w:r>
          </w:p>
          <w:p w14:paraId="37329573" w14:textId="3D9073C5" w:rsidR="00D33C40" w:rsidRPr="00037A0F" w:rsidRDefault="00C41206" w:rsidP="00037A0F">
            <w:pPr>
              <w:jc w:val="both"/>
              <w:rPr>
                <w:color w:val="0070C0"/>
                <w:sz w:val="24"/>
                <w:szCs w:val="24"/>
              </w:rPr>
            </w:pPr>
            <w:r>
              <w:rPr>
                <w:sz w:val="24"/>
                <w:szCs w:val="24"/>
              </w:rPr>
              <w:t xml:space="preserve"> Within </w:t>
            </w:r>
            <w:r w:rsidR="0070665C">
              <w:rPr>
                <w:sz w:val="24"/>
                <w:szCs w:val="24"/>
              </w:rPr>
              <w:t>children’s</w:t>
            </w:r>
            <w:r>
              <w:rPr>
                <w:sz w:val="24"/>
                <w:szCs w:val="24"/>
              </w:rPr>
              <w:t xml:space="preserve"> legislation consent and capacity is primarily linked with age</w:t>
            </w:r>
            <w:r w:rsidR="00A675AC">
              <w:rPr>
                <w:sz w:val="24"/>
                <w:szCs w:val="24"/>
              </w:rPr>
              <w:t xml:space="preserve"> and</w:t>
            </w:r>
            <w:r w:rsidR="00CD3F7E">
              <w:rPr>
                <w:sz w:val="24"/>
                <w:szCs w:val="24"/>
              </w:rPr>
              <w:t xml:space="preserve"> the</w:t>
            </w:r>
            <w:r w:rsidR="00A675AC">
              <w:rPr>
                <w:sz w:val="24"/>
                <w:szCs w:val="24"/>
              </w:rPr>
              <w:t xml:space="preserve"> overriding parental responsibility over the child</w:t>
            </w:r>
            <w:r w:rsidR="00D33C40">
              <w:rPr>
                <w:sz w:val="24"/>
                <w:szCs w:val="24"/>
              </w:rPr>
              <w:t xml:space="preserve">. Trust (2020) explains that </w:t>
            </w:r>
            <w:r w:rsidR="00D33C40" w:rsidRPr="00D33C40">
              <w:rPr>
                <w:color w:val="auto"/>
                <w:sz w:val="24"/>
                <w:szCs w:val="24"/>
              </w:rPr>
              <w:t>children are deemed not to have the capacity to make the decision in regards to safeguarding, however it is just as important to seek their thoughts and feelings on what is happening to ensure a person-centred approach r</w:t>
            </w:r>
            <w:r w:rsidR="00BE1F50">
              <w:rPr>
                <w:color w:val="auto"/>
                <w:sz w:val="24"/>
                <w:szCs w:val="24"/>
              </w:rPr>
              <w:t>egardless of age (Trust, 2020). T</w:t>
            </w:r>
            <w:r w:rsidR="00CF42AA">
              <w:rPr>
                <w:color w:val="auto"/>
                <w:sz w:val="24"/>
                <w:szCs w:val="24"/>
              </w:rPr>
              <w:t>he Gi</w:t>
            </w:r>
            <w:r w:rsidR="00BE327A">
              <w:rPr>
                <w:color w:val="auto"/>
                <w:sz w:val="24"/>
                <w:szCs w:val="24"/>
              </w:rPr>
              <w:t>llic</w:t>
            </w:r>
            <w:r w:rsidR="00CF42AA">
              <w:rPr>
                <w:color w:val="auto"/>
                <w:sz w:val="24"/>
                <w:szCs w:val="24"/>
              </w:rPr>
              <w:t>k</w:t>
            </w:r>
            <w:r w:rsidR="00BE327A">
              <w:rPr>
                <w:color w:val="auto"/>
                <w:sz w:val="24"/>
                <w:szCs w:val="24"/>
              </w:rPr>
              <w:t xml:space="preserve"> Competence and F</w:t>
            </w:r>
            <w:r w:rsidR="008E305D">
              <w:rPr>
                <w:color w:val="auto"/>
                <w:sz w:val="24"/>
                <w:szCs w:val="24"/>
              </w:rPr>
              <w:t>raser Guidelines</w:t>
            </w:r>
            <w:r w:rsidR="00BF5489">
              <w:rPr>
                <w:color w:val="auto"/>
                <w:sz w:val="24"/>
                <w:szCs w:val="24"/>
              </w:rPr>
              <w:t xml:space="preserve"> are</w:t>
            </w:r>
            <w:r w:rsidR="00BE1F50">
              <w:rPr>
                <w:color w:val="auto"/>
                <w:sz w:val="24"/>
                <w:szCs w:val="24"/>
              </w:rPr>
              <w:t xml:space="preserve"> factors to consider for children’s safeguarding </w:t>
            </w:r>
            <w:r w:rsidR="00385CF6">
              <w:rPr>
                <w:color w:val="auto"/>
                <w:sz w:val="24"/>
                <w:szCs w:val="24"/>
              </w:rPr>
              <w:t>in regards to consent and capacity</w:t>
            </w:r>
            <w:r w:rsidR="008E305D">
              <w:rPr>
                <w:color w:val="auto"/>
                <w:sz w:val="24"/>
                <w:szCs w:val="24"/>
              </w:rPr>
              <w:t>.</w:t>
            </w:r>
            <w:r w:rsidR="00037A0F">
              <w:rPr>
                <w:color w:val="auto"/>
                <w:sz w:val="24"/>
                <w:szCs w:val="24"/>
              </w:rPr>
              <w:t xml:space="preserve"> </w:t>
            </w:r>
            <w:r w:rsidR="00037A0F" w:rsidRPr="00385CF6">
              <w:rPr>
                <w:color w:val="auto"/>
                <w:sz w:val="24"/>
                <w:szCs w:val="24"/>
              </w:rPr>
              <w:t xml:space="preserve">Medical professionals </w:t>
            </w:r>
            <w:r w:rsidR="00385CF6" w:rsidRPr="00385CF6">
              <w:rPr>
                <w:color w:val="auto"/>
                <w:sz w:val="24"/>
                <w:szCs w:val="24"/>
              </w:rPr>
              <w:t xml:space="preserve">in particular </w:t>
            </w:r>
            <w:r w:rsidR="00037A0F" w:rsidRPr="00385CF6">
              <w:rPr>
                <w:color w:val="auto"/>
                <w:sz w:val="24"/>
                <w:szCs w:val="24"/>
              </w:rPr>
              <w:t>need to consider</w:t>
            </w:r>
            <w:r w:rsidR="00385CF6" w:rsidRPr="00385CF6">
              <w:rPr>
                <w:color w:val="auto"/>
                <w:sz w:val="24"/>
                <w:szCs w:val="24"/>
              </w:rPr>
              <w:t xml:space="preserve"> the</w:t>
            </w:r>
            <w:r w:rsidR="00037A0F" w:rsidRPr="00385CF6">
              <w:rPr>
                <w:color w:val="auto"/>
                <w:sz w:val="24"/>
                <w:szCs w:val="24"/>
              </w:rPr>
              <w:t xml:space="preserve"> Gillick competency if a young person under the age of 16 wishes to receive treatment without their parents' or carers' consent or</w:t>
            </w:r>
            <w:r w:rsidR="00385CF6" w:rsidRPr="00385CF6">
              <w:rPr>
                <w:color w:val="auto"/>
                <w:sz w:val="24"/>
                <w:szCs w:val="24"/>
              </w:rPr>
              <w:t xml:space="preserve"> </w:t>
            </w:r>
            <w:r w:rsidR="00037A0F" w:rsidRPr="00385CF6">
              <w:rPr>
                <w:color w:val="auto"/>
                <w:sz w:val="24"/>
                <w:szCs w:val="24"/>
              </w:rPr>
              <w:t>knowledge.</w:t>
            </w:r>
            <w:r w:rsidR="006016C0" w:rsidRPr="00385CF6">
              <w:rPr>
                <w:color w:val="auto"/>
                <w:sz w:val="24"/>
                <w:szCs w:val="24"/>
              </w:rPr>
              <w:t xml:space="preserve"> Within the Gillick v West Norfolk case  (1984) the judg</w:t>
            </w:r>
            <w:r w:rsidR="00BE1F50">
              <w:rPr>
                <w:color w:val="auto"/>
                <w:sz w:val="24"/>
                <w:szCs w:val="24"/>
              </w:rPr>
              <w:t>e ruled that consent needs to show that-</w:t>
            </w:r>
            <w:r w:rsidR="006016C0" w:rsidRPr="00385CF6">
              <w:rPr>
                <w:color w:val="auto"/>
                <w:sz w:val="24"/>
                <w:szCs w:val="24"/>
              </w:rPr>
              <w:t xml:space="preserve"> ‘</w:t>
            </w:r>
            <w:r w:rsidR="006016C0" w:rsidRPr="00385CF6">
              <w:rPr>
                <w:i/>
                <w:color w:val="auto"/>
                <w:sz w:val="24"/>
                <w:szCs w:val="24"/>
              </w:rPr>
              <w:t>The child must be capable of making a reasonable assessment of the advantages and disadvantages of the treatment proposed, so the consent, if given, can be properly and fairly described as true consent’</w:t>
            </w:r>
            <w:r w:rsidR="00385CF6">
              <w:rPr>
                <w:color w:val="auto"/>
                <w:sz w:val="24"/>
                <w:szCs w:val="24"/>
              </w:rPr>
              <w:t xml:space="preserve">. Therefore, if a young person under 16 shows informed understanding then they are able to give consent for the medical treatment, it is important to note that the consent is not valid if a young person is being pressured or influenced by someone </w:t>
            </w:r>
            <w:r w:rsidR="00BF5489">
              <w:rPr>
                <w:color w:val="auto"/>
                <w:sz w:val="24"/>
                <w:szCs w:val="24"/>
              </w:rPr>
              <w:t xml:space="preserve">else such as if they are being exploited. </w:t>
            </w:r>
            <w:r w:rsidR="00385CF6">
              <w:rPr>
                <w:color w:val="auto"/>
                <w:sz w:val="24"/>
                <w:szCs w:val="24"/>
              </w:rPr>
              <w:t xml:space="preserve"> </w:t>
            </w:r>
          </w:p>
          <w:p w14:paraId="2A9C2A1B" w14:textId="77777777" w:rsidR="0052169E" w:rsidRDefault="0052169E" w:rsidP="00390984">
            <w:pPr>
              <w:jc w:val="both"/>
              <w:rPr>
                <w:sz w:val="24"/>
                <w:szCs w:val="24"/>
              </w:rPr>
            </w:pPr>
          </w:p>
          <w:p w14:paraId="440812AB" w14:textId="74E3C4CF" w:rsidR="00091357" w:rsidRDefault="00385CF6" w:rsidP="00390984">
            <w:pPr>
              <w:jc w:val="both"/>
              <w:rPr>
                <w:sz w:val="24"/>
                <w:szCs w:val="24"/>
              </w:rPr>
            </w:pPr>
            <w:r>
              <w:rPr>
                <w:sz w:val="24"/>
                <w:szCs w:val="24"/>
              </w:rPr>
              <w:lastRenderedPageBreak/>
              <w:t>A</w:t>
            </w:r>
            <w:r w:rsidR="008761E4">
              <w:rPr>
                <w:sz w:val="24"/>
                <w:szCs w:val="24"/>
              </w:rPr>
              <w:t xml:space="preserve">dults have the decision </w:t>
            </w:r>
            <w:r w:rsidR="00C41206">
              <w:rPr>
                <w:sz w:val="24"/>
                <w:szCs w:val="24"/>
              </w:rPr>
              <w:t>to refuse support</w:t>
            </w:r>
            <w:r w:rsidR="002D3D7D">
              <w:rPr>
                <w:sz w:val="24"/>
                <w:szCs w:val="24"/>
              </w:rPr>
              <w:t>- dependent on an individual’s capacity</w:t>
            </w:r>
            <w:r w:rsidR="00CD3F7E">
              <w:rPr>
                <w:sz w:val="24"/>
                <w:szCs w:val="24"/>
              </w:rPr>
              <w:t xml:space="preserve"> which can be linked to an individual’s self-determination</w:t>
            </w:r>
            <w:r w:rsidR="00C41206">
              <w:rPr>
                <w:sz w:val="24"/>
                <w:szCs w:val="24"/>
              </w:rPr>
              <w:t>. The Mental Capacity Act (</w:t>
            </w:r>
            <w:r w:rsidR="00E41ADB">
              <w:rPr>
                <w:sz w:val="24"/>
                <w:szCs w:val="24"/>
              </w:rPr>
              <w:t xml:space="preserve">MCA, </w:t>
            </w:r>
            <w:r w:rsidR="00C41206">
              <w:rPr>
                <w:sz w:val="24"/>
                <w:szCs w:val="24"/>
              </w:rPr>
              <w:t>2005) produce</w:t>
            </w:r>
            <w:r w:rsidR="00E41ADB">
              <w:rPr>
                <w:sz w:val="24"/>
                <w:szCs w:val="24"/>
              </w:rPr>
              <w:t>d</w:t>
            </w:r>
            <w:r w:rsidR="00C41206">
              <w:rPr>
                <w:sz w:val="24"/>
                <w:szCs w:val="24"/>
              </w:rPr>
              <w:t xml:space="preserve"> a framework</w:t>
            </w:r>
            <w:r w:rsidR="00E41ADB">
              <w:rPr>
                <w:sz w:val="24"/>
                <w:szCs w:val="24"/>
              </w:rPr>
              <w:t xml:space="preserve"> to assess whether</w:t>
            </w:r>
            <w:r w:rsidR="00C41206">
              <w:rPr>
                <w:sz w:val="24"/>
                <w:szCs w:val="24"/>
              </w:rPr>
              <w:t xml:space="preserve"> those over 16 </w:t>
            </w:r>
            <w:r w:rsidR="00E41ADB">
              <w:rPr>
                <w:sz w:val="24"/>
                <w:szCs w:val="24"/>
              </w:rPr>
              <w:t>have the capacity to make decisions, a vital principle linked to this is ‘</w:t>
            </w:r>
            <w:r w:rsidR="00E41ADB" w:rsidRPr="00A040FC">
              <w:rPr>
                <w:i/>
                <w:sz w:val="24"/>
                <w:szCs w:val="24"/>
              </w:rPr>
              <w:t>A person is not to be treated as unable to make a decision merely because he makes an unwise decision’</w:t>
            </w:r>
            <w:r w:rsidR="00E41ADB">
              <w:rPr>
                <w:sz w:val="24"/>
                <w:szCs w:val="24"/>
              </w:rPr>
              <w:t xml:space="preserve"> (MCA, 2005). </w:t>
            </w:r>
            <w:r w:rsidR="00091357">
              <w:rPr>
                <w:sz w:val="24"/>
                <w:szCs w:val="24"/>
              </w:rPr>
              <w:t>The act is designed to ensure that adults are empowered and protected (Carr and Goosey, 2017)</w:t>
            </w:r>
            <w:r w:rsidR="00CD3F7E">
              <w:rPr>
                <w:sz w:val="24"/>
                <w:szCs w:val="24"/>
              </w:rPr>
              <w:t xml:space="preserve">. Some adults may choose not to </w:t>
            </w:r>
            <w:r w:rsidR="00604C55">
              <w:rPr>
                <w:sz w:val="24"/>
                <w:szCs w:val="24"/>
              </w:rPr>
              <w:t>protect</w:t>
            </w:r>
            <w:r w:rsidR="00CD3F7E">
              <w:rPr>
                <w:sz w:val="24"/>
                <w:szCs w:val="24"/>
              </w:rPr>
              <w:t xml:space="preserve"> themselves, this can cause complexities. </w:t>
            </w:r>
          </w:p>
          <w:p w14:paraId="04C10131" w14:textId="77777777" w:rsidR="00BE1F50" w:rsidRDefault="00BE1F50" w:rsidP="0052169E">
            <w:pPr>
              <w:jc w:val="both"/>
              <w:rPr>
                <w:sz w:val="24"/>
                <w:szCs w:val="24"/>
              </w:rPr>
            </w:pPr>
          </w:p>
          <w:p w14:paraId="7B576AD2" w14:textId="114BC1D7" w:rsidR="00B803D5" w:rsidRPr="00B803D5" w:rsidRDefault="00C2573E" w:rsidP="0052169E">
            <w:pPr>
              <w:jc w:val="both"/>
              <w:rPr>
                <w:color w:val="FF0000"/>
                <w:sz w:val="24"/>
                <w:szCs w:val="24"/>
              </w:rPr>
            </w:pPr>
            <w:r>
              <w:rPr>
                <w:sz w:val="24"/>
                <w:szCs w:val="24"/>
              </w:rPr>
              <w:t>A particular element of adult safeguarding</w:t>
            </w:r>
            <w:r w:rsidR="00B803D5">
              <w:rPr>
                <w:sz w:val="24"/>
                <w:szCs w:val="24"/>
              </w:rPr>
              <w:t xml:space="preserve"> not linked with children’s safeguarding is self-neglect. Self-Neglect is included within safeguarding </w:t>
            </w:r>
            <w:r w:rsidR="00187629">
              <w:rPr>
                <w:sz w:val="24"/>
                <w:szCs w:val="24"/>
              </w:rPr>
              <w:t>definitions</w:t>
            </w:r>
            <w:r w:rsidR="00B803D5">
              <w:rPr>
                <w:sz w:val="24"/>
                <w:szCs w:val="24"/>
              </w:rPr>
              <w:t xml:space="preserve"> in statutory guidance within the </w:t>
            </w:r>
            <w:r w:rsidR="00050940">
              <w:rPr>
                <w:sz w:val="24"/>
                <w:szCs w:val="24"/>
              </w:rPr>
              <w:t xml:space="preserve">Wales </w:t>
            </w:r>
            <w:r w:rsidR="00B803D5">
              <w:rPr>
                <w:sz w:val="24"/>
                <w:szCs w:val="24"/>
              </w:rPr>
              <w:t xml:space="preserve">Safeguarding </w:t>
            </w:r>
            <w:r w:rsidR="00050940">
              <w:rPr>
                <w:sz w:val="24"/>
                <w:szCs w:val="24"/>
              </w:rPr>
              <w:t>Procedures</w:t>
            </w:r>
            <w:r w:rsidR="00B803D5">
              <w:rPr>
                <w:sz w:val="24"/>
                <w:szCs w:val="24"/>
              </w:rPr>
              <w:t xml:space="preserve"> (2016), </w:t>
            </w:r>
            <w:r w:rsidR="00B803D5" w:rsidRPr="00B803D5">
              <w:rPr>
                <w:sz w:val="24"/>
                <w:szCs w:val="24"/>
              </w:rPr>
              <w:t>“</w:t>
            </w:r>
            <w:r w:rsidR="00B803D5" w:rsidRPr="00385CF6">
              <w:rPr>
                <w:i/>
                <w:sz w:val="24"/>
                <w:szCs w:val="24"/>
              </w:rPr>
              <w:t>neglecting to care for one’s personal hygiene, health or surroundings and includes behaviour such as hording</w:t>
            </w:r>
            <w:r w:rsidR="0052169E" w:rsidRPr="00385CF6">
              <w:rPr>
                <w:i/>
                <w:sz w:val="24"/>
                <w:szCs w:val="24"/>
              </w:rPr>
              <w:t>’</w:t>
            </w:r>
            <w:r w:rsidR="00B803D5">
              <w:rPr>
                <w:sz w:val="24"/>
                <w:szCs w:val="24"/>
              </w:rPr>
              <w:t>.</w:t>
            </w:r>
            <w:r w:rsidR="00187629">
              <w:rPr>
                <w:sz w:val="24"/>
                <w:szCs w:val="24"/>
              </w:rPr>
              <w:t xml:space="preserve"> Self-neglect safeguarding is a balance of respecting the </w:t>
            </w:r>
            <w:r w:rsidR="00BA64A0">
              <w:rPr>
                <w:sz w:val="24"/>
                <w:szCs w:val="24"/>
              </w:rPr>
              <w:t>individual’s</w:t>
            </w:r>
            <w:r w:rsidR="00187629">
              <w:rPr>
                <w:sz w:val="24"/>
                <w:szCs w:val="24"/>
              </w:rPr>
              <w:t xml:space="preserve"> right and the statutory duties and responsibilities.  </w:t>
            </w:r>
            <w:r w:rsidR="00B803D5">
              <w:rPr>
                <w:sz w:val="24"/>
                <w:szCs w:val="24"/>
              </w:rPr>
              <w:t xml:space="preserve"> </w:t>
            </w:r>
          </w:p>
          <w:p w14:paraId="63A9F911" w14:textId="77777777" w:rsidR="00FC7BA7" w:rsidRDefault="00FC7BA7" w:rsidP="00390984">
            <w:pPr>
              <w:jc w:val="both"/>
              <w:rPr>
                <w:sz w:val="24"/>
                <w:szCs w:val="24"/>
              </w:rPr>
            </w:pPr>
          </w:p>
          <w:p w14:paraId="0AC4E7E8" w14:textId="77777777" w:rsidR="00FC7BA7" w:rsidRDefault="00FC7BA7" w:rsidP="00390984">
            <w:pPr>
              <w:jc w:val="both"/>
              <w:rPr>
                <w:sz w:val="24"/>
                <w:szCs w:val="24"/>
              </w:rPr>
            </w:pPr>
          </w:p>
          <w:p w14:paraId="3F0163E2" w14:textId="77777777" w:rsidR="008F319F" w:rsidRDefault="008F319F" w:rsidP="00390984">
            <w:pPr>
              <w:jc w:val="both"/>
              <w:rPr>
                <w:sz w:val="24"/>
                <w:szCs w:val="24"/>
              </w:rPr>
            </w:pPr>
          </w:p>
          <w:p w14:paraId="33619C36" w14:textId="77777777" w:rsidR="00987202" w:rsidRDefault="00987202" w:rsidP="00390984">
            <w:pPr>
              <w:jc w:val="both"/>
              <w:rPr>
                <w:sz w:val="24"/>
                <w:szCs w:val="24"/>
              </w:rPr>
            </w:pPr>
          </w:p>
          <w:p w14:paraId="42B2858E" w14:textId="77777777" w:rsidR="00987202" w:rsidRDefault="00987202" w:rsidP="00390984">
            <w:pPr>
              <w:jc w:val="both"/>
              <w:rPr>
                <w:sz w:val="24"/>
                <w:szCs w:val="24"/>
              </w:rPr>
            </w:pPr>
          </w:p>
          <w:p w14:paraId="55BA6C6E" w14:textId="77777777" w:rsidR="00987202" w:rsidRDefault="00987202" w:rsidP="00390984">
            <w:pPr>
              <w:jc w:val="both"/>
              <w:rPr>
                <w:sz w:val="24"/>
                <w:szCs w:val="24"/>
              </w:rPr>
            </w:pPr>
          </w:p>
          <w:p w14:paraId="2A44BA11" w14:textId="7C4BB679" w:rsidR="00A130AF" w:rsidRPr="006108C9" w:rsidRDefault="00C2573E" w:rsidP="00390984">
            <w:pPr>
              <w:jc w:val="both"/>
              <w:rPr>
                <w:sz w:val="24"/>
                <w:szCs w:val="24"/>
              </w:rPr>
            </w:pPr>
            <w:r>
              <w:rPr>
                <w:sz w:val="24"/>
                <w:szCs w:val="24"/>
              </w:rPr>
              <w:t>4</w:t>
            </w:r>
            <w:r w:rsidR="00AF25C4">
              <w:rPr>
                <w:sz w:val="24"/>
                <w:szCs w:val="24"/>
              </w:rPr>
              <w:t>39</w:t>
            </w:r>
          </w:p>
          <w:p w14:paraId="5604C634" w14:textId="77777777" w:rsidR="00987202" w:rsidRDefault="00987202" w:rsidP="0039098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0348F96" w14:textId="77777777" w:rsidR="00987202" w:rsidRPr="006108C9" w:rsidRDefault="00987202" w:rsidP="00390984">
            <w:pPr>
              <w:jc w:val="both"/>
              <w:rPr>
                <w:sz w:val="24"/>
                <w:szCs w:val="24"/>
              </w:rPr>
            </w:pPr>
          </w:p>
        </w:tc>
      </w:tr>
    </w:tbl>
    <w:p w14:paraId="6867714A" w14:textId="77777777" w:rsidR="00A60CF7" w:rsidRDefault="00A60CF7"/>
    <w:p w14:paraId="637208BC" w14:textId="77777777" w:rsidR="00B3169C" w:rsidRDefault="00B3169C"/>
    <w:p w14:paraId="28C600DF" w14:textId="77777777" w:rsidR="00B3169C" w:rsidRDefault="00B3169C"/>
    <w:p w14:paraId="4F1C260E" w14:textId="77777777" w:rsidR="00B3169C" w:rsidRDefault="00B3169C"/>
    <w:p w14:paraId="655679E4" w14:textId="6EFD18B9" w:rsidR="00B3169C" w:rsidRDefault="00B3169C"/>
    <w:sectPr w:rsidR="00B31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7202"/>
    <w:rsid w:val="00005768"/>
    <w:rsid w:val="00015460"/>
    <w:rsid w:val="00037A0F"/>
    <w:rsid w:val="00050940"/>
    <w:rsid w:val="00091357"/>
    <w:rsid w:val="00102CDC"/>
    <w:rsid w:val="00187629"/>
    <w:rsid w:val="0019621E"/>
    <w:rsid w:val="001B4EC9"/>
    <w:rsid w:val="002145EB"/>
    <w:rsid w:val="00220B22"/>
    <w:rsid w:val="00223804"/>
    <w:rsid w:val="00270C86"/>
    <w:rsid w:val="002959AD"/>
    <w:rsid w:val="002D2B43"/>
    <w:rsid w:val="002D3D7D"/>
    <w:rsid w:val="00385CF6"/>
    <w:rsid w:val="003D21BD"/>
    <w:rsid w:val="003E39D0"/>
    <w:rsid w:val="00471A6C"/>
    <w:rsid w:val="00491100"/>
    <w:rsid w:val="0052169E"/>
    <w:rsid w:val="005475B3"/>
    <w:rsid w:val="00552BB6"/>
    <w:rsid w:val="00562249"/>
    <w:rsid w:val="006016C0"/>
    <w:rsid w:val="00604C55"/>
    <w:rsid w:val="006136D6"/>
    <w:rsid w:val="0061594D"/>
    <w:rsid w:val="006A5ADF"/>
    <w:rsid w:val="0070665C"/>
    <w:rsid w:val="00756A1D"/>
    <w:rsid w:val="00787CC0"/>
    <w:rsid w:val="007A7305"/>
    <w:rsid w:val="007C08CE"/>
    <w:rsid w:val="007C5E38"/>
    <w:rsid w:val="007E2DC4"/>
    <w:rsid w:val="008034B7"/>
    <w:rsid w:val="0086020B"/>
    <w:rsid w:val="008761E4"/>
    <w:rsid w:val="008E305D"/>
    <w:rsid w:val="008F319F"/>
    <w:rsid w:val="009259F3"/>
    <w:rsid w:val="00987202"/>
    <w:rsid w:val="00A040FC"/>
    <w:rsid w:val="00A130AF"/>
    <w:rsid w:val="00A45520"/>
    <w:rsid w:val="00A60CF7"/>
    <w:rsid w:val="00A66898"/>
    <w:rsid w:val="00A675AC"/>
    <w:rsid w:val="00A67B86"/>
    <w:rsid w:val="00AD262A"/>
    <w:rsid w:val="00AD6A91"/>
    <w:rsid w:val="00AE2508"/>
    <w:rsid w:val="00AF25C4"/>
    <w:rsid w:val="00B108D9"/>
    <w:rsid w:val="00B3169C"/>
    <w:rsid w:val="00B803D5"/>
    <w:rsid w:val="00B9708A"/>
    <w:rsid w:val="00BA64A0"/>
    <w:rsid w:val="00BE1F50"/>
    <w:rsid w:val="00BE327A"/>
    <w:rsid w:val="00BF5489"/>
    <w:rsid w:val="00C2573E"/>
    <w:rsid w:val="00C41206"/>
    <w:rsid w:val="00C42680"/>
    <w:rsid w:val="00CD3F7E"/>
    <w:rsid w:val="00CD5CB0"/>
    <w:rsid w:val="00CF1C29"/>
    <w:rsid w:val="00CF42AA"/>
    <w:rsid w:val="00D33C40"/>
    <w:rsid w:val="00DA3F58"/>
    <w:rsid w:val="00DD0A62"/>
    <w:rsid w:val="00E41ADB"/>
    <w:rsid w:val="00E550CF"/>
    <w:rsid w:val="00E72792"/>
    <w:rsid w:val="00E7335E"/>
    <w:rsid w:val="00EC3EC5"/>
    <w:rsid w:val="00F06E31"/>
    <w:rsid w:val="00F2772B"/>
    <w:rsid w:val="00F33324"/>
    <w:rsid w:val="00FA550E"/>
    <w:rsid w:val="00FC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A1BBB"/>
  <w15:chartTrackingRefBased/>
  <w15:docId w15:val="{54F7F356-607C-42A7-84FA-668D98038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20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44005">
      <w:bodyDiv w:val="1"/>
      <w:marLeft w:val="0"/>
      <w:marRight w:val="0"/>
      <w:marTop w:val="0"/>
      <w:marBottom w:val="0"/>
      <w:divBdr>
        <w:top w:val="none" w:sz="0" w:space="0" w:color="auto"/>
        <w:left w:val="none" w:sz="0" w:space="0" w:color="auto"/>
        <w:bottom w:val="none" w:sz="0" w:space="0" w:color="auto"/>
        <w:right w:val="none" w:sz="0" w:space="0" w:color="auto"/>
      </w:divBdr>
    </w:div>
    <w:div w:id="33426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1135</TotalTime>
  <Pages>3</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Ireland</dc:creator>
  <cp:keywords/>
  <dc:description/>
  <cp:lastModifiedBy>Heledd Ireland</cp:lastModifiedBy>
  <cp:revision>61</cp:revision>
  <dcterms:created xsi:type="dcterms:W3CDTF">2022-08-24T10:13:00Z</dcterms:created>
  <dcterms:modified xsi:type="dcterms:W3CDTF">2023-02-27T10:16:00Z</dcterms:modified>
</cp:coreProperties>
</file>