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89C9D" w14:textId="77777777" w:rsidR="00EA5D52" w:rsidRPr="003D4954" w:rsidRDefault="00000000" w:rsidP="003D4954">
      <w:pPr>
        <w:pStyle w:val="Heading1"/>
        <w:rPr>
          <w:rFonts w:ascii="Calibri" w:hAnsi="Calibri" w:cs="Calibri"/>
        </w:rPr>
      </w:pPr>
      <w:r w:rsidRPr="003D4954">
        <w:rPr>
          <w:rFonts w:ascii="Calibri" w:hAnsi="Calibri" w:cs="Calibri"/>
        </w:rPr>
        <w:t>Project Proposal</w:t>
      </w:r>
    </w:p>
    <w:p w14:paraId="25AD0DC6" w14:textId="77777777" w:rsidR="00EA5D52" w:rsidRPr="003D4954" w:rsidRDefault="00000000" w:rsidP="003D4954">
      <w:pPr>
        <w:spacing w:after="60"/>
        <w:jc w:val="center"/>
        <w:rPr>
          <w:rFonts w:ascii="Calibri" w:hAnsi="Calibri" w:cs="Calibri"/>
        </w:rPr>
      </w:pPr>
      <w:r w:rsidRPr="003D4954">
        <w:rPr>
          <w:rFonts w:ascii="Calibri" w:hAnsi="Calibri" w:cs="Calibri"/>
        </w:rPr>
        <w:t>Comparing the Incomparable: A Reassessment of Katherine Cross’s</w:t>
      </w:r>
    </w:p>
    <w:p w14:paraId="7AF63D7E" w14:textId="77777777" w:rsidR="00EA5D52" w:rsidRPr="003D4954" w:rsidRDefault="00000000" w:rsidP="003D4954">
      <w:pPr>
        <w:spacing w:after="60"/>
        <w:jc w:val="center"/>
        <w:rPr>
          <w:rFonts w:ascii="Calibri" w:hAnsi="Calibri" w:cs="Calibri"/>
        </w:rPr>
      </w:pPr>
      <w:r w:rsidRPr="003D4954">
        <w:rPr>
          <w:rFonts w:ascii="Calibri" w:hAnsi="Calibri" w:cs="Calibri"/>
        </w:rPr>
        <w:t xml:space="preserve">England-Normandy Comparison in </w:t>
      </w:r>
      <w:r w:rsidRPr="003D4954">
        <w:rPr>
          <w:rFonts w:ascii="Calibri" w:hAnsi="Calibri" w:cs="Calibri"/>
          <w:i/>
          <w:iCs/>
        </w:rPr>
        <w:t>Heirs of the Vikings</w:t>
      </w:r>
    </w:p>
    <w:p w14:paraId="08D13E7D" w14:textId="77777777" w:rsidR="00EA5D52" w:rsidRPr="003D4954" w:rsidRDefault="00000000" w:rsidP="003D4954">
      <w:pPr>
        <w:pStyle w:val="Heading2"/>
        <w:rPr>
          <w:rFonts w:ascii="Calibri" w:hAnsi="Calibri" w:cs="Calibri"/>
        </w:rPr>
      </w:pPr>
      <w:r w:rsidRPr="003D4954">
        <w:rPr>
          <w:rFonts w:ascii="Calibri" w:hAnsi="Calibri" w:cs="Calibri"/>
        </w:rPr>
        <w:t>Introduction / Motivation</w:t>
      </w:r>
    </w:p>
    <w:p w14:paraId="5E56E9DF" w14:textId="56709E73" w:rsidR="00EA5D52" w:rsidRPr="003D4954" w:rsidRDefault="00000000" w:rsidP="003D4954">
      <w:pPr>
        <w:spacing w:after="200"/>
        <w:jc w:val="both"/>
        <w:rPr>
          <w:rFonts w:ascii="Calibri" w:hAnsi="Calibri" w:cs="Calibri"/>
        </w:rPr>
      </w:pPr>
      <w:r w:rsidRPr="003D4954">
        <w:rPr>
          <w:rFonts w:ascii="Calibri" w:hAnsi="Calibri" w:cs="Calibri"/>
        </w:rPr>
        <w:t xml:space="preserve">Katherine Cross’s </w:t>
      </w:r>
      <w:r w:rsidRPr="003D4954">
        <w:rPr>
          <w:rFonts w:ascii="Calibri" w:hAnsi="Calibri" w:cs="Calibri"/>
          <w:i/>
          <w:iCs/>
        </w:rPr>
        <w:t>Heirs of the Vikings</w:t>
      </w:r>
      <w:r w:rsidRPr="003D4954">
        <w:rPr>
          <w:rFonts w:ascii="Calibri" w:hAnsi="Calibri" w:cs="Calibri"/>
        </w:rPr>
        <w:t xml:space="preserve"> (York Medieval Press, 2018) is a carefully argued and impressive book</w:t>
      </w:r>
      <w:r w:rsidR="003D4954" w:rsidRPr="003D4954">
        <w:rPr>
          <w:rFonts w:ascii="Calibri" w:hAnsi="Calibri" w:cs="Calibri"/>
        </w:rPr>
        <w:t xml:space="preserve">, </w:t>
      </w:r>
      <w:r w:rsidRPr="003D4954">
        <w:rPr>
          <w:rFonts w:ascii="Calibri" w:hAnsi="Calibri" w:cs="Calibri"/>
        </w:rPr>
        <w:t xml:space="preserve">but it has a structural problem at its centre. Cross sets out to explain why Viking Age Scandinavian identity developed so differently in England and Normandy: why Normandy produced a coherent Norman ethnic consciousness while the Danish-settled north and east of England produced </w:t>
      </w:r>
      <w:r w:rsidR="003D4954" w:rsidRPr="003D4954">
        <w:rPr>
          <w:rFonts w:ascii="Calibri" w:hAnsi="Calibri" w:cs="Calibri"/>
        </w:rPr>
        <w:t>a very different environment</w:t>
      </w:r>
      <w:r w:rsidRPr="003D4954">
        <w:rPr>
          <w:rFonts w:ascii="Calibri" w:hAnsi="Calibri" w:cs="Calibri"/>
        </w:rPr>
        <w:t>. Her answer is that this divergence was engineered from above by ruling elites using ethnic narratives as instruments of political power. Drawing on Rogers Brubaker’s concept of ‘ethnicity without groups’, she frames both the Norman dukes and the West Saxon kings as ‘ethno-political entrepreneurs’, and the identities of their subjects as products of that entrepreneurship.</w:t>
      </w:r>
    </w:p>
    <w:p w14:paraId="4756ED26" w14:textId="62C920B1" w:rsidR="00EA5D52" w:rsidRPr="003D4954" w:rsidRDefault="00000000" w:rsidP="003D4954">
      <w:pPr>
        <w:spacing w:after="200"/>
        <w:jc w:val="both"/>
        <w:rPr>
          <w:rFonts w:ascii="Calibri" w:hAnsi="Calibri" w:cs="Calibri"/>
        </w:rPr>
      </w:pPr>
      <w:r w:rsidRPr="003D4954">
        <w:rPr>
          <w:rFonts w:ascii="Calibri" w:hAnsi="Calibri" w:cs="Calibri"/>
        </w:rPr>
        <w:t xml:space="preserve">The comparison between England and Normandy drives the whole argument. The two regions look like </w:t>
      </w:r>
      <w:r w:rsidR="003D4954" w:rsidRPr="003D4954">
        <w:rPr>
          <w:rFonts w:ascii="Calibri" w:hAnsi="Calibri" w:cs="Calibri"/>
        </w:rPr>
        <w:t>corresponding</w:t>
      </w:r>
      <w:r w:rsidRPr="003D4954">
        <w:rPr>
          <w:rFonts w:ascii="Calibri" w:hAnsi="Calibri" w:cs="Calibri"/>
        </w:rPr>
        <w:t xml:space="preserve"> cases</w:t>
      </w:r>
      <w:r w:rsidR="003D4954" w:rsidRPr="003D4954">
        <w:rPr>
          <w:rFonts w:ascii="Calibri" w:hAnsi="Calibri" w:cs="Calibri"/>
        </w:rPr>
        <w:t>, as</w:t>
      </w:r>
      <w:r w:rsidRPr="003D4954">
        <w:rPr>
          <w:rFonts w:ascii="Calibri" w:hAnsi="Calibri" w:cs="Calibri"/>
        </w:rPr>
        <w:t xml:space="preserve"> both experienced Scandinavian settlement, both were unified under a single ruling dynasty by the mid-tenth century, </w:t>
      </w:r>
      <w:r w:rsidR="003D4954" w:rsidRPr="003D4954">
        <w:rPr>
          <w:rFonts w:ascii="Calibri" w:hAnsi="Calibri" w:cs="Calibri"/>
        </w:rPr>
        <w:t xml:space="preserve">and </w:t>
      </w:r>
      <w:r w:rsidRPr="003D4954">
        <w:rPr>
          <w:rFonts w:ascii="Calibri" w:hAnsi="Calibri" w:cs="Calibri"/>
        </w:rPr>
        <w:t>both produced written sources engaging with the Viking past</w:t>
      </w:r>
      <w:r w:rsidR="003D4954" w:rsidRPr="003D4954">
        <w:rPr>
          <w:rFonts w:ascii="Calibri" w:hAnsi="Calibri" w:cs="Calibri"/>
        </w:rPr>
        <w:t xml:space="preserve">, </w:t>
      </w:r>
      <w:r w:rsidRPr="003D4954">
        <w:rPr>
          <w:rFonts w:ascii="Calibri" w:hAnsi="Calibri" w:cs="Calibri"/>
        </w:rPr>
        <w:t>and it is precisely the divergence between them that Cross’s top-down model is designed to explain.</w:t>
      </w:r>
    </w:p>
    <w:p w14:paraId="6CD49C2D" w14:textId="24E0F7CB" w:rsidR="00EA5D52" w:rsidRPr="003D4954" w:rsidRDefault="00000000" w:rsidP="003D4954">
      <w:pPr>
        <w:spacing w:after="200"/>
        <w:jc w:val="both"/>
        <w:rPr>
          <w:rFonts w:ascii="Calibri" w:hAnsi="Calibri" w:cs="Calibri"/>
        </w:rPr>
      </w:pPr>
      <w:r w:rsidRPr="003D4954">
        <w:rPr>
          <w:rFonts w:ascii="Calibri" w:hAnsi="Calibri" w:cs="Calibri"/>
        </w:rPr>
        <w:t xml:space="preserve">This essay argues that the </w:t>
      </w:r>
      <w:r w:rsidR="003D4954" w:rsidRPr="003D4954">
        <w:rPr>
          <w:rFonts w:ascii="Calibri" w:hAnsi="Calibri" w:cs="Calibri"/>
        </w:rPr>
        <w:t xml:space="preserve">basis of this </w:t>
      </w:r>
      <w:r w:rsidRPr="003D4954">
        <w:rPr>
          <w:rFonts w:ascii="Calibri" w:hAnsi="Calibri" w:cs="Calibri"/>
        </w:rPr>
        <w:t xml:space="preserve">analogy does not hold. Normandy and the Danelaw were not comparable situations with different outcomes; they were different situations that naturally produced different outcomes. Normandy was a newly created territory with a single continuous </w:t>
      </w:r>
      <w:r w:rsidR="003D4954" w:rsidRPr="003D4954">
        <w:rPr>
          <w:rFonts w:ascii="Calibri" w:hAnsi="Calibri" w:cs="Calibri"/>
        </w:rPr>
        <w:t>Viking</w:t>
      </w:r>
      <w:r w:rsidRPr="003D4954">
        <w:rPr>
          <w:rFonts w:ascii="Calibri" w:hAnsi="Calibri" w:cs="Calibri"/>
        </w:rPr>
        <w:t xml:space="preserve"> dynasty and no pre-existing institutional identity; the Norman dukes needed an ethnic narrative directed outward, to define their people against the Franks. The Danelaw, by contrast, was a collection of Scandinavian-settled regions absorbed into an ancient kingdom with its own deep legal and ecclesiastical structures. If the Danelaw produced no literary ethnic identity of the Norman kind, that may simply be because its communities expressed their distinctiveness through different media: through law, custom, and territorial designation. Cross is looking for hagiographies and genealogies and find</w:t>
      </w:r>
      <w:r w:rsidR="003D4954" w:rsidRPr="003D4954">
        <w:rPr>
          <w:rFonts w:ascii="Calibri" w:hAnsi="Calibri" w:cs="Calibri"/>
        </w:rPr>
        <w:t>s</w:t>
      </w:r>
      <w:r w:rsidRPr="003D4954">
        <w:rPr>
          <w:rFonts w:ascii="Calibri" w:hAnsi="Calibri" w:cs="Calibri"/>
        </w:rPr>
        <w:t xml:space="preserve"> nothing</w:t>
      </w:r>
      <w:r w:rsidR="003D4954" w:rsidRPr="003D4954">
        <w:rPr>
          <w:rFonts w:ascii="Calibri" w:hAnsi="Calibri" w:cs="Calibri"/>
        </w:rPr>
        <w:t xml:space="preserve">, however </w:t>
      </w:r>
      <w:r w:rsidRPr="003D4954">
        <w:rPr>
          <w:rFonts w:ascii="Calibri" w:hAnsi="Calibri" w:cs="Calibri"/>
        </w:rPr>
        <w:t xml:space="preserve">that absence is not the absence of identity. It is the absence of one </w:t>
      </w:r>
      <w:r w:rsidR="003D4954" w:rsidRPr="003D4954">
        <w:rPr>
          <w:rFonts w:ascii="Calibri" w:hAnsi="Calibri" w:cs="Calibri"/>
        </w:rPr>
        <w:t>form</w:t>
      </w:r>
      <w:r w:rsidRPr="003D4954">
        <w:rPr>
          <w:rFonts w:ascii="Calibri" w:hAnsi="Calibri" w:cs="Calibri"/>
        </w:rPr>
        <w:t xml:space="preserve"> of identity.</w:t>
      </w:r>
    </w:p>
    <w:p w14:paraId="33784E3A" w14:textId="414107C1" w:rsidR="00EA5D52" w:rsidRPr="003D4954" w:rsidRDefault="00000000" w:rsidP="003D4954">
      <w:pPr>
        <w:spacing w:after="200"/>
        <w:jc w:val="both"/>
        <w:rPr>
          <w:rFonts w:ascii="Calibri" w:hAnsi="Calibri" w:cs="Calibri"/>
        </w:rPr>
      </w:pPr>
      <w:r w:rsidRPr="003D4954">
        <w:rPr>
          <w:rFonts w:ascii="Calibri" w:hAnsi="Calibri" w:cs="Calibri"/>
        </w:rPr>
        <w:t xml:space="preserve">The </w:t>
      </w:r>
      <w:r w:rsidR="003D4954" w:rsidRPr="003D4954">
        <w:rPr>
          <w:rFonts w:ascii="Calibri" w:hAnsi="Calibri" w:cs="Calibri"/>
        </w:rPr>
        <w:t>argument</w:t>
      </w:r>
      <w:r w:rsidRPr="003D4954">
        <w:rPr>
          <w:rFonts w:ascii="Calibri" w:hAnsi="Calibri" w:cs="Calibri"/>
        </w:rPr>
        <w:t xml:space="preserve"> here </w:t>
      </w:r>
      <w:proofErr w:type="gramStart"/>
      <w:r w:rsidRPr="003D4954">
        <w:rPr>
          <w:rFonts w:ascii="Calibri" w:hAnsi="Calibri" w:cs="Calibri"/>
        </w:rPr>
        <w:t>go</w:t>
      </w:r>
      <w:proofErr w:type="gramEnd"/>
      <w:r w:rsidRPr="003D4954">
        <w:rPr>
          <w:rFonts w:ascii="Calibri" w:hAnsi="Calibri" w:cs="Calibri"/>
        </w:rPr>
        <w:t xml:space="preserve"> beyond Cross’s book</w:t>
      </w:r>
      <w:r w:rsidR="003D4954" w:rsidRPr="003D4954">
        <w:rPr>
          <w:rFonts w:ascii="Calibri" w:hAnsi="Calibri" w:cs="Calibri"/>
        </w:rPr>
        <w:t xml:space="preserve"> and have a wider impact on the reading of the entire period</w:t>
      </w:r>
      <w:r w:rsidRPr="003D4954">
        <w:rPr>
          <w:rFonts w:ascii="Calibri" w:hAnsi="Calibri" w:cs="Calibri"/>
        </w:rPr>
        <w:t>. How Viking Age ethnic identities formed and found expression is contested ground in early medieval studies, touching on the legacies of Scandinavian settlement, the relationship between political power and cultural identity, and whether our written sources can tell us anything reliable about what ordinary people believed about themselves. Cross’s framework, if accepted, dissolves all identity claims into political strategy. That may be solving the wrong problem.</w:t>
      </w:r>
    </w:p>
    <w:p w14:paraId="295DE5DB" w14:textId="77777777" w:rsidR="00EA5D52" w:rsidRPr="003D4954" w:rsidRDefault="00000000" w:rsidP="003D4954">
      <w:pPr>
        <w:pStyle w:val="Heading2"/>
        <w:rPr>
          <w:rFonts w:ascii="Calibri" w:hAnsi="Calibri" w:cs="Calibri"/>
        </w:rPr>
      </w:pPr>
      <w:r w:rsidRPr="003D4954">
        <w:rPr>
          <w:rFonts w:ascii="Calibri" w:hAnsi="Calibri" w:cs="Calibri"/>
        </w:rPr>
        <w:t>Data Section</w:t>
      </w:r>
    </w:p>
    <w:p w14:paraId="1247D3C9" w14:textId="3F19E5BA" w:rsidR="00EA5D52" w:rsidRPr="003D4954" w:rsidRDefault="00000000" w:rsidP="003D4954">
      <w:pPr>
        <w:spacing w:after="200"/>
        <w:jc w:val="both"/>
        <w:rPr>
          <w:rFonts w:ascii="Calibri" w:hAnsi="Calibri" w:cs="Calibri"/>
        </w:rPr>
      </w:pPr>
      <w:r w:rsidRPr="003D4954">
        <w:rPr>
          <w:rFonts w:ascii="Calibri" w:hAnsi="Calibri" w:cs="Calibri"/>
        </w:rPr>
        <w:lastRenderedPageBreak/>
        <w:t xml:space="preserve">The sources for this investigation are largely the same </w:t>
      </w:r>
      <w:r w:rsidR="003D4954" w:rsidRPr="003D4954">
        <w:rPr>
          <w:rFonts w:ascii="Calibri" w:hAnsi="Calibri" w:cs="Calibri"/>
        </w:rPr>
        <w:t>as</w:t>
      </w:r>
      <w:r w:rsidRPr="003D4954">
        <w:rPr>
          <w:rFonts w:ascii="Calibri" w:hAnsi="Calibri" w:cs="Calibri"/>
        </w:rPr>
        <w:t xml:space="preserve"> Cross uses. For Normandy, these centre on Dudo of Saint-Quentin’s </w:t>
      </w:r>
      <w:r w:rsidRPr="003D4954">
        <w:rPr>
          <w:rFonts w:ascii="Calibri" w:hAnsi="Calibri" w:cs="Calibri"/>
          <w:i/>
          <w:iCs/>
        </w:rPr>
        <w:t xml:space="preserve">De </w:t>
      </w:r>
      <w:proofErr w:type="spellStart"/>
      <w:r w:rsidRPr="003D4954">
        <w:rPr>
          <w:rFonts w:ascii="Calibri" w:hAnsi="Calibri" w:cs="Calibri"/>
          <w:i/>
          <w:iCs/>
        </w:rPr>
        <w:t>moribus</w:t>
      </w:r>
      <w:proofErr w:type="spellEnd"/>
      <w:r w:rsidRPr="003D4954">
        <w:rPr>
          <w:rFonts w:ascii="Calibri" w:hAnsi="Calibri" w:cs="Calibri"/>
          <w:i/>
          <w:iCs/>
        </w:rPr>
        <w:t xml:space="preserve"> et </w:t>
      </w:r>
      <w:proofErr w:type="spellStart"/>
      <w:r w:rsidRPr="003D4954">
        <w:rPr>
          <w:rFonts w:ascii="Calibri" w:hAnsi="Calibri" w:cs="Calibri"/>
          <w:i/>
          <w:iCs/>
        </w:rPr>
        <w:t>actis</w:t>
      </w:r>
      <w:proofErr w:type="spellEnd"/>
      <w:r w:rsidRPr="003D4954">
        <w:rPr>
          <w:rFonts w:ascii="Calibri" w:hAnsi="Calibri" w:cs="Calibri"/>
          <w:i/>
          <w:iCs/>
        </w:rPr>
        <w:t xml:space="preserve"> </w:t>
      </w:r>
      <w:proofErr w:type="spellStart"/>
      <w:r w:rsidRPr="003D4954">
        <w:rPr>
          <w:rFonts w:ascii="Calibri" w:hAnsi="Calibri" w:cs="Calibri"/>
          <w:i/>
          <w:iCs/>
        </w:rPr>
        <w:t>primorum</w:t>
      </w:r>
      <w:proofErr w:type="spellEnd"/>
      <w:r w:rsidRPr="003D4954">
        <w:rPr>
          <w:rFonts w:ascii="Calibri" w:hAnsi="Calibri" w:cs="Calibri"/>
          <w:i/>
          <w:iCs/>
        </w:rPr>
        <w:t xml:space="preserve"> Normanniae </w:t>
      </w:r>
      <w:proofErr w:type="spellStart"/>
      <w:r w:rsidRPr="003D4954">
        <w:rPr>
          <w:rFonts w:ascii="Calibri" w:hAnsi="Calibri" w:cs="Calibri"/>
          <w:i/>
          <w:iCs/>
        </w:rPr>
        <w:t>ducum</w:t>
      </w:r>
      <w:proofErr w:type="spellEnd"/>
      <w:r w:rsidRPr="003D4954">
        <w:rPr>
          <w:rFonts w:ascii="Calibri" w:hAnsi="Calibri" w:cs="Calibri"/>
        </w:rPr>
        <w:t xml:space="preserve">, the foundational Norman dynastic history. For England, the key material includes the </w:t>
      </w:r>
      <w:r w:rsidRPr="003D4954">
        <w:rPr>
          <w:rFonts w:ascii="Calibri" w:hAnsi="Calibri" w:cs="Calibri"/>
          <w:i/>
          <w:iCs/>
        </w:rPr>
        <w:t xml:space="preserve">Historia de Sancto </w:t>
      </w:r>
      <w:proofErr w:type="spellStart"/>
      <w:r w:rsidRPr="003D4954">
        <w:rPr>
          <w:rFonts w:ascii="Calibri" w:hAnsi="Calibri" w:cs="Calibri"/>
          <w:i/>
          <w:iCs/>
        </w:rPr>
        <w:t>Cuthberto</w:t>
      </w:r>
      <w:proofErr w:type="spellEnd"/>
      <w:r w:rsidRPr="003D4954">
        <w:rPr>
          <w:rFonts w:ascii="Calibri" w:hAnsi="Calibri" w:cs="Calibri"/>
        </w:rPr>
        <w:t>, a cluster of hagiographies and saints’ lives, and the legal writings associated with Archbishop Wulfstan II of York. These are well-edited texts with good modern translations and commentary.</w:t>
      </w:r>
    </w:p>
    <w:p w14:paraId="68947599" w14:textId="47A945A0" w:rsidR="00EA5D52" w:rsidRPr="003D4954" w:rsidRDefault="00000000" w:rsidP="003D4954">
      <w:pPr>
        <w:spacing w:after="200"/>
        <w:jc w:val="both"/>
        <w:rPr>
          <w:rFonts w:ascii="Calibri" w:hAnsi="Calibri" w:cs="Calibri"/>
        </w:rPr>
      </w:pPr>
      <w:r w:rsidRPr="003D4954">
        <w:rPr>
          <w:rFonts w:ascii="Calibri" w:hAnsi="Calibri" w:cs="Calibri"/>
        </w:rPr>
        <w:t xml:space="preserve">The significant addition is the legal record of the Danelaw itself: the terminology of </w:t>
      </w:r>
      <w:r w:rsidRPr="003D4954">
        <w:rPr>
          <w:rFonts w:ascii="Calibri" w:hAnsi="Calibri" w:cs="Calibri"/>
          <w:i/>
          <w:iCs/>
        </w:rPr>
        <w:t xml:space="preserve">Dena </w:t>
      </w:r>
      <w:proofErr w:type="spellStart"/>
      <w:r w:rsidRPr="003D4954">
        <w:rPr>
          <w:rFonts w:ascii="Calibri" w:hAnsi="Calibri" w:cs="Calibri"/>
          <w:i/>
          <w:iCs/>
        </w:rPr>
        <w:t>laga</w:t>
      </w:r>
      <w:proofErr w:type="spellEnd"/>
      <w:r w:rsidRPr="003D4954">
        <w:rPr>
          <w:rFonts w:ascii="Calibri" w:hAnsi="Calibri" w:cs="Calibri"/>
        </w:rPr>
        <w:t xml:space="preserve"> (Danish law), the institutional structures of the Five Boroughs, and the charters that record regional distinctions within England. Cross discusses Wulfstan’s law codes in Chapter 5 but treats their ethnic content as largely derivative of West Saxon political priorities </w:t>
      </w:r>
      <w:r w:rsidR="003D4954" w:rsidRPr="003D4954">
        <w:rPr>
          <w:rFonts w:ascii="Calibri" w:hAnsi="Calibri" w:cs="Calibri"/>
        </w:rPr>
        <w:t>(</w:t>
      </w:r>
      <w:r w:rsidRPr="003D4954">
        <w:rPr>
          <w:rFonts w:ascii="Calibri" w:hAnsi="Calibri" w:cs="Calibri"/>
        </w:rPr>
        <w:t>a reading this project will push back on</w:t>
      </w:r>
      <w:r w:rsidR="003D4954" w:rsidRPr="003D4954">
        <w:rPr>
          <w:rFonts w:ascii="Calibri" w:hAnsi="Calibri" w:cs="Calibri"/>
        </w:rPr>
        <w:t>)</w:t>
      </w:r>
      <w:r w:rsidRPr="003D4954">
        <w:rPr>
          <w:rFonts w:ascii="Calibri" w:hAnsi="Calibri" w:cs="Calibri"/>
        </w:rPr>
        <w:t>. Those texts document a functioning legal tradition with Scandinavian roots, not a West Saxon narrative about Scandinavian heritag</w:t>
      </w:r>
      <w:r w:rsidR="003D4954" w:rsidRPr="003D4954">
        <w:rPr>
          <w:rFonts w:ascii="Calibri" w:hAnsi="Calibri" w:cs="Calibri"/>
        </w:rPr>
        <w:t xml:space="preserve">e, and I believe that </w:t>
      </w:r>
      <w:r w:rsidRPr="003D4954">
        <w:rPr>
          <w:rFonts w:ascii="Calibri" w:hAnsi="Calibri" w:cs="Calibri"/>
        </w:rPr>
        <w:t xml:space="preserve">difference </w:t>
      </w:r>
      <w:r w:rsidR="003D4954" w:rsidRPr="003D4954">
        <w:rPr>
          <w:rFonts w:ascii="Calibri" w:hAnsi="Calibri" w:cs="Calibri"/>
        </w:rPr>
        <w:t>is key</w:t>
      </w:r>
      <w:r w:rsidRPr="003D4954">
        <w:rPr>
          <w:rFonts w:ascii="Calibri" w:hAnsi="Calibri" w:cs="Calibri"/>
        </w:rPr>
        <w:t>.</w:t>
      </w:r>
    </w:p>
    <w:p w14:paraId="22705589" w14:textId="34D866C1" w:rsidR="00EA5D52" w:rsidRPr="003D4954" w:rsidRDefault="00000000" w:rsidP="003D4954">
      <w:pPr>
        <w:spacing w:after="200"/>
        <w:jc w:val="both"/>
        <w:rPr>
          <w:rFonts w:ascii="Calibri" w:hAnsi="Calibri" w:cs="Calibri"/>
        </w:rPr>
      </w:pPr>
      <w:r w:rsidRPr="003D4954">
        <w:rPr>
          <w:rFonts w:ascii="Calibri" w:hAnsi="Calibri" w:cs="Calibri"/>
        </w:rPr>
        <w:t xml:space="preserve">Secondary sources include the established scholarship Cross draws on directly </w:t>
      </w:r>
      <w:r w:rsidR="003D4954" w:rsidRPr="003D4954">
        <w:rPr>
          <w:rFonts w:ascii="Calibri" w:hAnsi="Calibri" w:cs="Calibri"/>
        </w:rPr>
        <w:t>including</w:t>
      </w:r>
      <w:r w:rsidRPr="003D4954">
        <w:rPr>
          <w:rFonts w:ascii="Calibri" w:hAnsi="Calibri" w:cs="Calibri"/>
        </w:rPr>
        <w:t xml:space="preserve"> David Bates on </w:t>
      </w:r>
      <w:r w:rsidRPr="003D4954">
        <w:rPr>
          <w:rFonts w:ascii="Calibri" w:hAnsi="Calibri" w:cs="Calibri"/>
          <w:i/>
          <w:iCs/>
        </w:rPr>
        <w:t>Normandy Before 1066</w:t>
      </w:r>
      <w:r w:rsidRPr="003D4954">
        <w:rPr>
          <w:rFonts w:ascii="Calibri" w:hAnsi="Calibri" w:cs="Calibri"/>
        </w:rPr>
        <w:t xml:space="preserve">, Lesley Abrams on early Normandy, </w:t>
      </w:r>
      <w:r w:rsidR="003D4954" w:rsidRPr="003D4954">
        <w:rPr>
          <w:rFonts w:ascii="Calibri" w:hAnsi="Calibri" w:cs="Calibri"/>
        </w:rPr>
        <w:t xml:space="preserve">and </w:t>
      </w:r>
      <w:r w:rsidRPr="003D4954">
        <w:rPr>
          <w:rFonts w:ascii="Calibri" w:hAnsi="Calibri" w:cs="Calibri"/>
        </w:rPr>
        <w:t>Dawn Hadley on the Vikings in England</w:t>
      </w:r>
      <w:r w:rsidR="003D4954" w:rsidRPr="003D4954">
        <w:rPr>
          <w:rFonts w:ascii="Calibri" w:hAnsi="Calibri" w:cs="Calibri"/>
        </w:rPr>
        <w:t xml:space="preserve">, </w:t>
      </w:r>
      <w:r w:rsidRPr="003D4954">
        <w:rPr>
          <w:rFonts w:ascii="Calibri" w:hAnsi="Calibri" w:cs="Calibri"/>
        </w:rPr>
        <w:t>alongside works she engages with more briefly</w:t>
      </w:r>
      <w:r w:rsidR="003D4954" w:rsidRPr="003D4954">
        <w:rPr>
          <w:rFonts w:ascii="Calibri" w:hAnsi="Calibri" w:cs="Calibri"/>
        </w:rPr>
        <w:t xml:space="preserve"> such as</w:t>
      </w:r>
      <w:r w:rsidRPr="003D4954">
        <w:rPr>
          <w:rFonts w:ascii="Calibri" w:hAnsi="Calibri" w:cs="Calibri"/>
        </w:rPr>
        <w:t xml:space="preserve"> Patrick Wormald on the making of English law, Clare Downham on Viking kingship in Britain and Ireland, and Eleanor Searle on Norman predatory kinship. Chris Wickham’s reflections on comparative historical method will provide the framework for the core methodological critique.</w:t>
      </w:r>
    </w:p>
    <w:p w14:paraId="4A8E3246" w14:textId="77777777" w:rsidR="00EA5D52" w:rsidRPr="003D4954" w:rsidRDefault="00000000" w:rsidP="003D4954">
      <w:pPr>
        <w:pStyle w:val="Heading2"/>
        <w:rPr>
          <w:rFonts w:ascii="Calibri" w:hAnsi="Calibri" w:cs="Calibri"/>
        </w:rPr>
      </w:pPr>
      <w:r w:rsidRPr="003D4954">
        <w:rPr>
          <w:rFonts w:ascii="Calibri" w:hAnsi="Calibri" w:cs="Calibri"/>
        </w:rPr>
        <w:t>Methodology</w:t>
      </w:r>
    </w:p>
    <w:p w14:paraId="4C2B8889" w14:textId="6DFC4FBD" w:rsidR="00EA5D52" w:rsidRPr="003D4954" w:rsidRDefault="00000000" w:rsidP="003D4954">
      <w:pPr>
        <w:spacing w:after="200"/>
        <w:jc w:val="both"/>
        <w:rPr>
          <w:rFonts w:ascii="Calibri" w:hAnsi="Calibri" w:cs="Calibri"/>
        </w:rPr>
      </w:pPr>
      <w:r w:rsidRPr="003D4954">
        <w:rPr>
          <w:rFonts w:ascii="Calibri" w:hAnsi="Calibri" w:cs="Calibri"/>
        </w:rPr>
        <w:t>The method is immanent critique: working through Cross’s own argument and evidence to find where the comparison breaks down, rather than importing a different theoretical framework. The essay will not claim her sources are wrong or her use of Brubaker</w:t>
      </w:r>
      <w:r w:rsidR="003D4954" w:rsidRPr="003D4954">
        <w:rPr>
          <w:rFonts w:ascii="Calibri" w:hAnsi="Calibri" w:cs="Calibri"/>
        </w:rPr>
        <w:t xml:space="preserve"> is incorrect</w:t>
      </w:r>
      <w:r w:rsidRPr="003D4954">
        <w:rPr>
          <w:rFonts w:ascii="Calibri" w:hAnsi="Calibri" w:cs="Calibri"/>
        </w:rPr>
        <w:t>. It will argue that the comparison she builds on them is doing more work than the evidence supports.</w:t>
      </w:r>
    </w:p>
    <w:p w14:paraId="3D21D932" w14:textId="73DE5426" w:rsidR="00EA5D52" w:rsidRPr="003D4954" w:rsidRDefault="00000000" w:rsidP="003D4954">
      <w:pPr>
        <w:spacing w:after="200"/>
        <w:jc w:val="both"/>
        <w:rPr>
          <w:rFonts w:ascii="Calibri" w:hAnsi="Calibri" w:cs="Calibri"/>
        </w:rPr>
      </w:pPr>
      <w:r w:rsidRPr="003D4954">
        <w:rPr>
          <w:rFonts w:ascii="Calibri" w:hAnsi="Calibri" w:cs="Calibri"/>
        </w:rPr>
        <w:t>The argument starts with the structural differences between Normandy and the Danelaw that Cross acknowledges but treats as incidental variations</w:t>
      </w:r>
      <w:r w:rsidR="003D4954" w:rsidRPr="003D4954">
        <w:rPr>
          <w:rFonts w:ascii="Calibri" w:hAnsi="Calibri" w:cs="Calibri"/>
        </w:rPr>
        <w:t xml:space="preserve">, which I disagree with. </w:t>
      </w:r>
      <w:proofErr w:type="spellStart"/>
      <w:r w:rsidRPr="003D4954">
        <w:rPr>
          <w:rFonts w:ascii="Calibri" w:hAnsi="Calibri" w:cs="Calibri"/>
        </w:rPr>
        <w:t>The</w:t>
      </w:r>
      <w:proofErr w:type="spellEnd"/>
      <w:r w:rsidRPr="003D4954">
        <w:rPr>
          <w:rFonts w:ascii="Calibri" w:hAnsi="Calibri" w:cs="Calibri"/>
        </w:rPr>
        <w:t xml:space="preserve"> Norman dukes were building an ethnic identity outward, against the Franks, as a way of asserting independence from the French crown. The West Saxon kings were managing identity inward</w:t>
      </w:r>
      <w:r w:rsidR="003D4954" w:rsidRPr="003D4954">
        <w:rPr>
          <w:rFonts w:ascii="Calibri" w:hAnsi="Calibri" w:cs="Calibri"/>
        </w:rPr>
        <w:t>;</w:t>
      </w:r>
      <w:r w:rsidRPr="003D4954">
        <w:rPr>
          <w:rFonts w:ascii="Calibri" w:hAnsi="Calibri" w:cs="Calibri"/>
        </w:rPr>
        <w:t xml:space="preserve"> trying to absorb Scandinavian-settled regions into a unified realm whose legitimacy rested on its Anglo-Saxon past. These are different political problems, producing different kinds of texts, for different audiences. The comparison Cross draws between them </w:t>
      </w:r>
      <w:proofErr w:type="gramStart"/>
      <w:r w:rsidRPr="003D4954">
        <w:rPr>
          <w:rFonts w:ascii="Calibri" w:hAnsi="Calibri" w:cs="Calibri"/>
        </w:rPr>
        <w:t>is</w:t>
      </w:r>
      <w:proofErr w:type="gramEnd"/>
      <w:r w:rsidRPr="003D4954">
        <w:rPr>
          <w:rFonts w:ascii="Calibri" w:hAnsi="Calibri" w:cs="Calibri"/>
        </w:rPr>
        <w:t xml:space="preserve"> suggestive but fragile.</w:t>
      </w:r>
    </w:p>
    <w:p w14:paraId="56961C71" w14:textId="3E885BD2" w:rsidR="00EA5D52" w:rsidRPr="003D4954" w:rsidRDefault="00000000" w:rsidP="003D4954">
      <w:pPr>
        <w:spacing w:after="200"/>
        <w:jc w:val="both"/>
        <w:rPr>
          <w:rFonts w:ascii="Calibri" w:hAnsi="Calibri" w:cs="Calibri"/>
        </w:rPr>
      </w:pPr>
      <w:r w:rsidRPr="003D4954">
        <w:rPr>
          <w:rFonts w:ascii="Calibri" w:hAnsi="Calibri" w:cs="Calibri"/>
        </w:rPr>
        <w:t xml:space="preserve">The second part of the argument looks at how Danelaw identity was </w:t>
      </w:r>
      <w:proofErr w:type="gramStart"/>
      <w:r w:rsidRPr="003D4954">
        <w:rPr>
          <w:rFonts w:ascii="Calibri" w:hAnsi="Calibri" w:cs="Calibri"/>
        </w:rPr>
        <w:t>actually expressed</w:t>
      </w:r>
      <w:proofErr w:type="gramEnd"/>
      <w:r w:rsidRPr="003D4954">
        <w:rPr>
          <w:rFonts w:ascii="Calibri" w:hAnsi="Calibri" w:cs="Calibri"/>
        </w:rPr>
        <w:t xml:space="preserve">. The evidence from Wormald, Stenton, and the legal record suggests that the terminology of Danish law and the institutional structures of the Five Boroughs were genuine markers of Scandinavian-derived identity </w:t>
      </w:r>
      <w:r w:rsidR="003D4954" w:rsidRPr="003D4954">
        <w:rPr>
          <w:rFonts w:ascii="Calibri" w:hAnsi="Calibri" w:cs="Calibri"/>
        </w:rPr>
        <w:t>in such that they were</w:t>
      </w:r>
      <w:r w:rsidRPr="003D4954">
        <w:rPr>
          <w:rFonts w:ascii="Calibri" w:hAnsi="Calibri" w:cs="Calibri"/>
        </w:rPr>
        <w:t xml:space="preserve"> not administrative shorthand but a distinct legal inheritance that real communities maintained and defended. Cross’s framework struggles to account for this, because she is looking for identity in the genre of texts where the Normans expressed it, not in the forms that made sense to Danelaw communities.</w:t>
      </w:r>
    </w:p>
    <w:p w14:paraId="57CE0D9D" w14:textId="536C2404" w:rsidR="00EA5D52" w:rsidRPr="003D4954" w:rsidRDefault="00000000" w:rsidP="003D4954">
      <w:pPr>
        <w:spacing w:after="200"/>
        <w:jc w:val="both"/>
        <w:rPr>
          <w:rFonts w:ascii="Calibri" w:hAnsi="Calibri" w:cs="Calibri"/>
        </w:rPr>
      </w:pPr>
      <w:r w:rsidRPr="003D4954">
        <w:rPr>
          <w:rFonts w:ascii="Calibri" w:hAnsi="Calibri" w:cs="Calibri"/>
        </w:rPr>
        <w:t>From there, the implications follow. If Danelaw communities did maintain an ethnic identity</w:t>
      </w:r>
      <w:r w:rsidR="003D4954" w:rsidRPr="003D4954">
        <w:rPr>
          <w:rFonts w:ascii="Calibri" w:hAnsi="Calibri" w:cs="Calibri"/>
        </w:rPr>
        <w:t>, albeit</w:t>
      </w:r>
      <w:r w:rsidRPr="003D4954">
        <w:rPr>
          <w:rFonts w:ascii="Calibri" w:hAnsi="Calibri" w:cs="Calibri"/>
        </w:rPr>
        <w:t xml:space="preserve"> expressed through legal custom rather than Latin hagiography</w:t>
      </w:r>
      <w:r w:rsidR="003D4954" w:rsidRPr="003D4954">
        <w:rPr>
          <w:rFonts w:ascii="Calibri" w:hAnsi="Calibri" w:cs="Calibri"/>
        </w:rPr>
        <w:t>,</w:t>
      </w:r>
      <w:r w:rsidRPr="003D4954">
        <w:rPr>
          <w:rFonts w:ascii="Calibri" w:hAnsi="Calibri" w:cs="Calibri"/>
        </w:rPr>
        <w:t xml:space="preserve"> then the divergence between England and Normandy is less dramatic than Cross claims, and her top-down elite-</w:t>
      </w:r>
      <w:r w:rsidRPr="003D4954">
        <w:rPr>
          <w:rFonts w:ascii="Calibri" w:hAnsi="Calibri" w:cs="Calibri"/>
        </w:rPr>
        <w:lastRenderedPageBreak/>
        <w:t>manipulation model explains correspondingly less. The investigation draws on existing editions and secondary scholarship; no original archival work is undertaken.</w:t>
      </w:r>
    </w:p>
    <w:p w14:paraId="16ED35D3" w14:textId="77777777" w:rsidR="00EA5D52" w:rsidRPr="003D4954" w:rsidRDefault="00000000" w:rsidP="003D4954">
      <w:pPr>
        <w:pStyle w:val="Heading2"/>
        <w:rPr>
          <w:rFonts w:ascii="Calibri" w:hAnsi="Calibri" w:cs="Calibri"/>
        </w:rPr>
      </w:pPr>
      <w:r w:rsidRPr="003D4954">
        <w:rPr>
          <w:rFonts w:ascii="Calibri" w:hAnsi="Calibri" w:cs="Calibri"/>
        </w:rPr>
        <w:t>References</w:t>
      </w:r>
    </w:p>
    <w:p w14:paraId="2536A7CF"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Abrams, L. ‘Early Normandy’, Anglo-Norman Studies 35 (2013), 45–64.</w:t>
      </w:r>
    </w:p>
    <w:p w14:paraId="3CD086F7"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Bates, D. Normandy Before 1066. London: Longman, 1982.</w:t>
      </w:r>
    </w:p>
    <w:p w14:paraId="26D6989C"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Brubaker, R. Ethnicity Without Groups. Cambridge, MA: Harvard University Press, 2004.</w:t>
      </w:r>
    </w:p>
    <w:p w14:paraId="11A95B36"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Cross, K. Heirs of the Vikings: History and Identity in Normandy and England, c.950–c.1015. York: York Medieval Press, 2018.</w:t>
      </w:r>
    </w:p>
    <w:p w14:paraId="291CE57C"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 xml:space="preserve">Downham, C. Viking Kings of Britain and Ireland: The Dynasty of </w:t>
      </w:r>
      <w:proofErr w:type="spellStart"/>
      <w:r w:rsidRPr="003D4954">
        <w:rPr>
          <w:rFonts w:ascii="Calibri" w:hAnsi="Calibri" w:cs="Calibri"/>
          <w:sz w:val="22"/>
          <w:szCs w:val="22"/>
        </w:rPr>
        <w:t>Ívarr</w:t>
      </w:r>
      <w:proofErr w:type="spellEnd"/>
      <w:r w:rsidRPr="003D4954">
        <w:rPr>
          <w:rFonts w:ascii="Calibri" w:hAnsi="Calibri" w:cs="Calibri"/>
          <w:sz w:val="22"/>
          <w:szCs w:val="22"/>
        </w:rPr>
        <w:t xml:space="preserve"> to AD 1014. Edinburgh: Dunedin Academic Press, 2007.</w:t>
      </w:r>
    </w:p>
    <w:p w14:paraId="549C88BB"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Hadley, D. The Vikings in England: Settlement, Society and Culture. Manchester: Manchester University Press, 2006.</w:t>
      </w:r>
    </w:p>
    <w:p w14:paraId="1436611A"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Searle, E. Predatory Kinship and the Creation of Norman Power, 840–1066. Berkeley: University of California Press, 1988.</w:t>
      </w:r>
    </w:p>
    <w:p w14:paraId="0537DCE5"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 xml:space="preserve">Stenton, F. Anglo-Saxon England. 3rd </w:t>
      </w:r>
      <w:proofErr w:type="spellStart"/>
      <w:r w:rsidRPr="003D4954">
        <w:rPr>
          <w:rFonts w:ascii="Calibri" w:hAnsi="Calibri" w:cs="Calibri"/>
          <w:sz w:val="22"/>
          <w:szCs w:val="22"/>
        </w:rPr>
        <w:t>edn</w:t>
      </w:r>
      <w:proofErr w:type="spellEnd"/>
      <w:r w:rsidRPr="003D4954">
        <w:rPr>
          <w:rFonts w:ascii="Calibri" w:hAnsi="Calibri" w:cs="Calibri"/>
          <w:sz w:val="22"/>
          <w:szCs w:val="22"/>
        </w:rPr>
        <w:t>. Oxford: Oxford University Press, 1971.</w:t>
      </w:r>
    </w:p>
    <w:p w14:paraId="4B21E461"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Thomas, H. M. The English and the Normans: Ethnic Hostility, Assimilation and Identity, 1066–c.1220. Oxford: Oxford University Press, 2003.</w:t>
      </w:r>
    </w:p>
    <w:p w14:paraId="6E433700"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Wickham, C. Problems in Doing Comparative History. Southampton: University of Southampton, 2005.</w:t>
      </w:r>
    </w:p>
    <w:p w14:paraId="23A1EC12" w14:textId="77777777" w:rsidR="00EA5D52" w:rsidRPr="003D4954" w:rsidRDefault="00000000" w:rsidP="003D4954">
      <w:pPr>
        <w:spacing w:after="140"/>
        <w:ind w:left="720" w:hanging="720"/>
        <w:rPr>
          <w:rFonts w:ascii="Calibri" w:hAnsi="Calibri" w:cs="Calibri"/>
        </w:rPr>
      </w:pPr>
      <w:r w:rsidRPr="003D4954">
        <w:rPr>
          <w:rFonts w:ascii="Calibri" w:hAnsi="Calibri" w:cs="Calibri"/>
          <w:sz w:val="22"/>
          <w:szCs w:val="22"/>
        </w:rPr>
        <w:t>Wormald, P. The Making of English Law: King Alfred to the Twelfth Century. Oxford: Blackwell, 1999.</w:t>
      </w:r>
    </w:p>
    <w:sectPr w:rsidR="00EA5D52" w:rsidRPr="003D4954">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F9FC8" w14:textId="77777777" w:rsidR="00980BF2" w:rsidRDefault="00980BF2">
      <w:r>
        <w:separator/>
      </w:r>
    </w:p>
  </w:endnote>
  <w:endnote w:type="continuationSeparator" w:id="0">
    <w:p w14:paraId="365465CA" w14:textId="77777777" w:rsidR="00980BF2" w:rsidRDefault="00980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892BC" w14:textId="77777777" w:rsidR="00980BF2" w:rsidRDefault="00980BF2">
      <w:r>
        <w:separator/>
      </w:r>
    </w:p>
  </w:footnote>
  <w:footnote w:type="continuationSeparator" w:id="0">
    <w:p w14:paraId="0C821027" w14:textId="77777777" w:rsidR="00980BF2" w:rsidRDefault="00980B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2ECC"/>
    <w:multiLevelType w:val="hybridMultilevel"/>
    <w:tmpl w:val="1B1A3D84"/>
    <w:lvl w:ilvl="0" w:tplc="437447C0">
      <w:start w:val="1"/>
      <w:numFmt w:val="bullet"/>
      <w:lvlText w:val="●"/>
      <w:lvlJc w:val="left"/>
      <w:pPr>
        <w:ind w:left="720" w:hanging="360"/>
      </w:pPr>
    </w:lvl>
    <w:lvl w:ilvl="1" w:tplc="ED80C5E6">
      <w:start w:val="1"/>
      <w:numFmt w:val="bullet"/>
      <w:lvlText w:val="○"/>
      <w:lvlJc w:val="left"/>
      <w:pPr>
        <w:ind w:left="1440" w:hanging="360"/>
      </w:pPr>
    </w:lvl>
    <w:lvl w:ilvl="2" w:tplc="940299DC">
      <w:start w:val="1"/>
      <w:numFmt w:val="bullet"/>
      <w:lvlText w:val="■"/>
      <w:lvlJc w:val="left"/>
      <w:pPr>
        <w:ind w:left="2160" w:hanging="360"/>
      </w:pPr>
    </w:lvl>
    <w:lvl w:ilvl="3" w:tplc="35CC580C">
      <w:start w:val="1"/>
      <w:numFmt w:val="bullet"/>
      <w:lvlText w:val="●"/>
      <w:lvlJc w:val="left"/>
      <w:pPr>
        <w:ind w:left="2880" w:hanging="360"/>
      </w:pPr>
    </w:lvl>
    <w:lvl w:ilvl="4" w:tplc="59C0A35A">
      <w:start w:val="1"/>
      <w:numFmt w:val="bullet"/>
      <w:lvlText w:val="○"/>
      <w:lvlJc w:val="left"/>
      <w:pPr>
        <w:ind w:left="3600" w:hanging="360"/>
      </w:pPr>
    </w:lvl>
    <w:lvl w:ilvl="5" w:tplc="6018ED6C">
      <w:start w:val="1"/>
      <w:numFmt w:val="bullet"/>
      <w:lvlText w:val="■"/>
      <w:lvlJc w:val="left"/>
      <w:pPr>
        <w:ind w:left="4320" w:hanging="360"/>
      </w:pPr>
    </w:lvl>
    <w:lvl w:ilvl="6" w:tplc="FF7A8F4C">
      <w:start w:val="1"/>
      <w:numFmt w:val="bullet"/>
      <w:lvlText w:val="●"/>
      <w:lvlJc w:val="left"/>
      <w:pPr>
        <w:ind w:left="5040" w:hanging="360"/>
      </w:pPr>
    </w:lvl>
    <w:lvl w:ilvl="7" w:tplc="C18ED63C">
      <w:start w:val="1"/>
      <w:numFmt w:val="bullet"/>
      <w:lvlText w:val="●"/>
      <w:lvlJc w:val="left"/>
      <w:pPr>
        <w:ind w:left="5760" w:hanging="360"/>
      </w:pPr>
    </w:lvl>
    <w:lvl w:ilvl="8" w:tplc="36408B1A">
      <w:start w:val="1"/>
      <w:numFmt w:val="bullet"/>
      <w:lvlText w:val="●"/>
      <w:lvlJc w:val="left"/>
      <w:pPr>
        <w:ind w:left="6480" w:hanging="360"/>
      </w:pPr>
    </w:lvl>
  </w:abstractNum>
  <w:num w:numId="1" w16cid:durableId="19609102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D52"/>
    <w:rsid w:val="003D4954"/>
    <w:rsid w:val="006311AF"/>
    <w:rsid w:val="00980BF2"/>
    <w:rsid w:val="00DA1F3E"/>
    <w:rsid w:val="00EA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566CD6"/>
  <w15:docId w15:val="{30A9BD89-E614-3A4A-80FD-0C2EE7FC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after="80"/>
      <w:jc w:val="center"/>
      <w:outlineLvl w:val="0"/>
    </w:pPr>
    <w:rPr>
      <w:b/>
      <w:bCs/>
      <w:sz w:val="32"/>
      <w:szCs w:val="32"/>
    </w:rPr>
  </w:style>
  <w:style w:type="paragraph" w:styleId="Heading2">
    <w:name w:val="heading 2"/>
    <w:uiPriority w:val="9"/>
    <w:unhideWhenUsed/>
    <w:qFormat/>
    <w:pPr>
      <w:spacing w:before="300" w:after="120"/>
      <w:outlineLvl w:val="1"/>
    </w:pPr>
    <w:rPr>
      <w:b/>
      <w:bCs/>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D4954"/>
    <w:pPr>
      <w:tabs>
        <w:tab w:val="center" w:pos="4513"/>
        <w:tab w:val="right" w:pos="9026"/>
      </w:tabs>
    </w:pPr>
  </w:style>
  <w:style w:type="character" w:customStyle="1" w:styleId="HeaderChar">
    <w:name w:val="Header Char"/>
    <w:basedOn w:val="DefaultParagraphFont"/>
    <w:link w:val="Header"/>
    <w:uiPriority w:val="99"/>
    <w:rsid w:val="003D4954"/>
  </w:style>
  <w:style w:type="paragraph" w:styleId="Footer">
    <w:name w:val="footer"/>
    <w:basedOn w:val="Normal"/>
    <w:link w:val="FooterChar"/>
    <w:uiPriority w:val="99"/>
    <w:unhideWhenUsed/>
    <w:rsid w:val="003D4954"/>
    <w:pPr>
      <w:tabs>
        <w:tab w:val="center" w:pos="4513"/>
        <w:tab w:val="right" w:pos="9026"/>
      </w:tabs>
    </w:pPr>
  </w:style>
  <w:style w:type="character" w:customStyle="1" w:styleId="FooterChar">
    <w:name w:val="Footer Char"/>
    <w:basedOn w:val="DefaultParagraphFont"/>
    <w:link w:val="Footer"/>
    <w:uiPriority w:val="99"/>
    <w:rsid w:val="003D4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1153</Words>
  <Characters>6574</Characters>
  <Application>Microsoft Office Word</Application>
  <DocSecurity>0</DocSecurity>
  <Lines>54</Lines>
  <Paragraphs>15</Paragraphs>
  <ScaleCrop>false</ScaleCrop>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Kate Love (2321358)</cp:lastModifiedBy>
  <cp:revision>2</cp:revision>
  <dcterms:created xsi:type="dcterms:W3CDTF">2026-04-22T13:18:00Z</dcterms:created>
  <dcterms:modified xsi:type="dcterms:W3CDTF">2026-04-22T13:18:00Z</dcterms:modified>
</cp:coreProperties>
</file>