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A3FDD1F" w14:textId="3CAFB0DE" w:rsidR="00D07524" w:rsidRDefault="000D7CFB">
      <w:pPr>
        <w:rPr>
          <w:rFonts w:ascii="Times New Roman" w:hAnsi="Times New Roman"/>
          <w:sz w:val="24"/>
          <w:szCs w:val="24"/>
        </w:rPr>
      </w:pPr>
      <w:r>
        <w:rPr>
          <w:rFonts w:ascii="Times New Roman" w:hAnsi="Times New Roman"/>
          <w:sz w:val="24"/>
          <w:szCs w:val="24"/>
        </w:rPr>
        <w:t>Janine Dixon_1600982</w:t>
      </w:r>
    </w:p>
    <w:p w14:paraId="3B2103C6" w14:textId="7E20B489" w:rsidR="000D7CFB" w:rsidRDefault="000D7CFB" w:rsidP="000D7CFB">
      <w:pPr>
        <w:jc w:val="center"/>
        <w:rPr>
          <w:rFonts w:ascii="Times New Roman" w:hAnsi="Times New Roman"/>
          <w:sz w:val="24"/>
          <w:szCs w:val="24"/>
        </w:rPr>
      </w:pPr>
      <w:r w:rsidRPr="000D7CFB">
        <w:rPr>
          <w:rFonts w:ascii="Times New Roman" w:hAnsi="Times New Roman"/>
          <w:sz w:val="24"/>
          <w:szCs w:val="24"/>
        </w:rPr>
        <w:t>‘Islam does not permit the representation of human figures’</w:t>
      </w:r>
      <w:r>
        <w:rPr>
          <w:rFonts w:ascii="Times New Roman" w:hAnsi="Times New Roman"/>
          <w:sz w:val="24"/>
          <w:szCs w:val="24"/>
        </w:rPr>
        <w:t xml:space="preserve"> is this statement true? Give your answer by referring to examples of Islamic art you have studied.</w:t>
      </w:r>
    </w:p>
    <w:p w14:paraId="47BAE06F" w14:textId="200DDE4E" w:rsidR="003607C0" w:rsidRDefault="003607C0" w:rsidP="003607C0">
      <w:pPr>
        <w:jc w:val="left"/>
        <w:rPr>
          <w:rFonts w:ascii="Times New Roman" w:hAnsi="Times New Roman"/>
          <w:sz w:val="24"/>
          <w:szCs w:val="24"/>
        </w:rPr>
      </w:pPr>
    </w:p>
    <w:p w14:paraId="39E29CFF" w14:textId="04D38642" w:rsidR="006D070A" w:rsidRDefault="003607C0" w:rsidP="003607C0">
      <w:pPr>
        <w:jc w:val="left"/>
        <w:rPr>
          <w:rFonts w:ascii="Times New Roman" w:hAnsi="Times New Roman"/>
          <w:sz w:val="24"/>
          <w:szCs w:val="24"/>
        </w:rPr>
      </w:pPr>
      <w:r>
        <w:rPr>
          <w:rFonts w:ascii="Times New Roman" w:hAnsi="Times New Roman"/>
          <w:sz w:val="24"/>
          <w:szCs w:val="24"/>
        </w:rPr>
        <w:t>Islamic art is not a non-figurative artform although many Islamic artists avoid using figures in their art because of misleading conceptions of the art and conflicting views held by Islamic scholars. Generally, Muslims believe that the creation pf living beings is unique to Allah, which results in the creation of figurative art controversial. The Quran does not prohib</w:t>
      </w:r>
      <w:r w:rsidR="00112BD0">
        <w:rPr>
          <w:rFonts w:ascii="Times New Roman" w:hAnsi="Times New Roman"/>
          <w:sz w:val="24"/>
          <w:szCs w:val="24"/>
        </w:rPr>
        <w:t xml:space="preserve">it the depiction of human </w:t>
      </w:r>
      <w:r w:rsidR="00813A6E">
        <w:rPr>
          <w:rFonts w:ascii="Times New Roman" w:hAnsi="Times New Roman"/>
          <w:sz w:val="24"/>
          <w:szCs w:val="24"/>
        </w:rPr>
        <w:t xml:space="preserve">figures but condemns idolatry. Within a hadith, Muhammad reportedly said ‘whoever makes a picture will be punished by Allah til he puts life in it, and he will never be able to do that.’ </w:t>
      </w:r>
      <w:r w:rsidR="00E7145A">
        <w:rPr>
          <w:rFonts w:ascii="Times New Roman" w:hAnsi="Times New Roman"/>
          <w:sz w:val="24"/>
          <w:szCs w:val="24"/>
        </w:rPr>
        <w:t>This is understood to mean that attempting to create a new being is usurping Allah’s role, which is impossible to do.</w:t>
      </w:r>
      <w:r w:rsidR="006136B2">
        <w:rPr>
          <w:rFonts w:ascii="Times New Roman" w:hAnsi="Times New Roman"/>
          <w:sz w:val="24"/>
          <w:szCs w:val="24"/>
        </w:rPr>
        <w:t xml:space="preserve"> This text is often cited in the </w:t>
      </w:r>
      <w:r w:rsidR="00E55ED0">
        <w:rPr>
          <w:rFonts w:ascii="Times New Roman" w:hAnsi="Times New Roman"/>
          <w:sz w:val="24"/>
          <w:szCs w:val="24"/>
        </w:rPr>
        <w:t>defence</w:t>
      </w:r>
      <w:r w:rsidR="006136B2">
        <w:rPr>
          <w:rFonts w:ascii="Times New Roman" w:hAnsi="Times New Roman"/>
          <w:sz w:val="24"/>
          <w:szCs w:val="24"/>
        </w:rPr>
        <w:t xml:space="preserve"> of a ban of figurative art, especially by Sunni Muslims. In contrast, Shia Islam is more open to the depiction of human beings in art.</w:t>
      </w:r>
      <w:r w:rsidR="0036357E">
        <w:rPr>
          <w:rFonts w:ascii="Times New Roman" w:hAnsi="Times New Roman"/>
          <w:sz w:val="24"/>
          <w:szCs w:val="24"/>
        </w:rPr>
        <w:t xml:space="preserve"> </w:t>
      </w:r>
      <w:r w:rsidR="00E55ED0">
        <w:rPr>
          <w:rFonts w:ascii="Times New Roman" w:hAnsi="Times New Roman"/>
          <w:sz w:val="24"/>
          <w:szCs w:val="24"/>
        </w:rPr>
        <w:t>Because of</w:t>
      </w:r>
      <w:r w:rsidR="0036357E">
        <w:rPr>
          <w:rFonts w:ascii="Times New Roman" w:hAnsi="Times New Roman"/>
          <w:sz w:val="24"/>
          <w:szCs w:val="24"/>
        </w:rPr>
        <w:t xml:space="preserve"> this </w:t>
      </w:r>
      <w:r w:rsidR="00E55ED0">
        <w:rPr>
          <w:rFonts w:ascii="Times New Roman" w:hAnsi="Times New Roman"/>
          <w:sz w:val="24"/>
          <w:szCs w:val="24"/>
        </w:rPr>
        <w:t>religious</w:t>
      </w:r>
      <w:r w:rsidR="0036357E">
        <w:rPr>
          <w:rFonts w:ascii="Times New Roman" w:hAnsi="Times New Roman"/>
          <w:sz w:val="24"/>
          <w:szCs w:val="24"/>
        </w:rPr>
        <w:t xml:space="preserve"> sentiment, the human figure in art was often adapted and stylised. </w:t>
      </w:r>
      <w:r w:rsidR="00A34379">
        <w:rPr>
          <w:rFonts w:ascii="Times New Roman" w:hAnsi="Times New Roman"/>
          <w:sz w:val="24"/>
          <w:szCs w:val="24"/>
        </w:rPr>
        <w:t xml:space="preserve">Islamic objection to figurative art can be place within </w:t>
      </w:r>
      <w:r w:rsidR="006D070A">
        <w:rPr>
          <w:rFonts w:ascii="Times New Roman" w:hAnsi="Times New Roman"/>
          <w:sz w:val="24"/>
          <w:szCs w:val="24"/>
        </w:rPr>
        <w:t>a larger context by considering it alongside the Iconoclasm during the Byzantine period.</w:t>
      </w:r>
    </w:p>
    <w:p w14:paraId="382D1650" w14:textId="77777777" w:rsidR="00343BD3" w:rsidRDefault="006D070A" w:rsidP="003607C0">
      <w:pPr>
        <w:jc w:val="left"/>
        <w:rPr>
          <w:rFonts w:ascii="Times New Roman" w:hAnsi="Times New Roman"/>
          <w:sz w:val="24"/>
          <w:szCs w:val="24"/>
        </w:rPr>
      </w:pPr>
      <w:r>
        <w:rPr>
          <w:rFonts w:ascii="Times New Roman" w:hAnsi="Times New Roman"/>
          <w:sz w:val="24"/>
          <w:szCs w:val="24"/>
        </w:rPr>
        <w:t xml:space="preserve">During the Byzantine Iconoclastic Controversy in the eighth and ninth centuries there was a dispute over the use of icons which resulted in tremendous political, social and cultural upheaval. </w:t>
      </w:r>
      <w:r w:rsidR="00343BD3">
        <w:rPr>
          <w:rFonts w:ascii="Times New Roman" w:hAnsi="Times New Roman"/>
          <w:sz w:val="24"/>
          <w:szCs w:val="24"/>
        </w:rPr>
        <w:t>The Iconoclasts opposed the use of religious images because of the possibility of idolatry and, also, the Ten Commandments prohibits icon veneration,</w:t>
      </w:r>
    </w:p>
    <w:p w14:paraId="4F160EAE" w14:textId="0A3930B7" w:rsidR="003607C0" w:rsidRDefault="003629B9" w:rsidP="00061582">
      <w:pPr>
        <w:spacing w:line="240" w:lineRule="auto"/>
        <w:ind w:left="204" w:firstLine="0"/>
        <w:jc w:val="left"/>
        <w:rPr>
          <w:rFonts w:ascii="Times New Roman" w:hAnsi="Times New Roman"/>
          <w:sz w:val="24"/>
          <w:szCs w:val="24"/>
        </w:rPr>
      </w:pPr>
      <w:r>
        <w:rPr>
          <w:rFonts w:ascii="Times New Roman" w:hAnsi="Times New Roman"/>
          <w:sz w:val="24"/>
          <w:szCs w:val="24"/>
        </w:rPr>
        <w:t xml:space="preserve">You shall have no other gods before me. You shall not make for yourself a carved </w:t>
      </w:r>
      <w:r w:rsidR="00061582">
        <w:rPr>
          <w:rFonts w:ascii="Times New Roman" w:hAnsi="Times New Roman"/>
          <w:sz w:val="24"/>
          <w:szCs w:val="24"/>
        </w:rPr>
        <w:t xml:space="preserve">    </w:t>
      </w:r>
      <w:r>
        <w:rPr>
          <w:rFonts w:ascii="Times New Roman" w:hAnsi="Times New Roman"/>
          <w:sz w:val="24"/>
          <w:szCs w:val="24"/>
        </w:rPr>
        <w:t xml:space="preserve">image- any likeness of anything that is in heaven above, or in the earth beneath, or </w:t>
      </w:r>
      <w:r w:rsidR="00061582">
        <w:rPr>
          <w:rFonts w:ascii="Times New Roman" w:hAnsi="Times New Roman"/>
          <w:sz w:val="24"/>
          <w:szCs w:val="24"/>
        </w:rPr>
        <w:t xml:space="preserve">        </w:t>
      </w:r>
      <w:r>
        <w:rPr>
          <w:rFonts w:ascii="Times New Roman" w:hAnsi="Times New Roman"/>
          <w:sz w:val="24"/>
          <w:szCs w:val="24"/>
        </w:rPr>
        <w:t>that is in the waters under the earth. You shall not adore them, nor serve them.</w:t>
      </w:r>
      <w:r w:rsidR="00061582">
        <w:rPr>
          <w:rFonts w:ascii="Times New Roman" w:hAnsi="Times New Roman"/>
          <w:sz w:val="24"/>
          <w:szCs w:val="24"/>
        </w:rPr>
        <w:t xml:space="preserve">        </w:t>
      </w:r>
      <w:r>
        <w:rPr>
          <w:rFonts w:ascii="Times New Roman" w:hAnsi="Times New Roman"/>
          <w:sz w:val="24"/>
          <w:szCs w:val="24"/>
        </w:rPr>
        <w:t xml:space="preserve"> (Exodus 20:3-5)</w:t>
      </w:r>
      <w:r w:rsidR="00813A6E">
        <w:rPr>
          <w:rFonts w:ascii="Times New Roman" w:hAnsi="Times New Roman"/>
          <w:sz w:val="24"/>
          <w:szCs w:val="24"/>
        </w:rPr>
        <w:t xml:space="preserve"> </w:t>
      </w:r>
    </w:p>
    <w:p w14:paraId="4F0E9966" w14:textId="146CEABF" w:rsidR="009C1AEC" w:rsidRDefault="009C1AEC" w:rsidP="009C1AEC">
      <w:pPr>
        <w:jc w:val="left"/>
        <w:rPr>
          <w:rFonts w:ascii="Times New Roman" w:hAnsi="Times New Roman"/>
          <w:sz w:val="24"/>
          <w:szCs w:val="24"/>
        </w:rPr>
      </w:pPr>
    </w:p>
    <w:p w14:paraId="060988E1" w14:textId="4121265A" w:rsidR="003C1DF3" w:rsidRDefault="009C1AEC" w:rsidP="003C1DF3">
      <w:pPr>
        <w:jc w:val="left"/>
        <w:rPr>
          <w:rFonts w:ascii="Times New Roman" w:hAnsi="Times New Roman"/>
          <w:sz w:val="24"/>
          <w:szCs w:val="24"/>
        </w:rPr>
      </w:pPr>
      <w:r>
        <w:rPr>
          <w:rFonts w:ascii="Times New Roman" w:hAnsi="Times New Roman"/>
          <w:sz w:val="24"/>
          <w:szCs w:val="24"/>
        </w:rPr>
        <w:t xml:space="preserve">Although there was great opposition to the </w:t>
      </w:r>
      <w:r w:rsidR="00DA027F">
        <w:rPr>
          <w:rFonts w:ascii="Times New Roman" w:hAnsi="Times New Roman"/>
          <w:sz w:val="24"/>
          <w:szCs w:val="24"/>
        </w:rPr>
        <w:t>creation and veneration of portraits of Christ and the Saints in the early period of the church, the use of icons gained popularity especially in the Eastern areas of the Roman Empire.</w:t>
      </w:r>
      <w:r w:rsidR="003C1DF3" w:rsidRPr="003C1DF3">
        <w:rPr>
          <w:rFonts w:ascii="Times New Roman" w:hAnsi="Times New Roman"/>
          <w:sz w:val="24"/>
          <w:szCs w:val="24"/>
        </w:rPr>
        <w:t xml:space="preserve"> The Byzantine government began to use Christian images more frequently on items such as coins, notably, in 695, Justinian II’s government </w:t>
      </w:r>
      <w:r w:rsidR="003C1DF3" w:rsidRPr="003C1DF3">
        <w:rPr>
          <w:rFonts w:ascii="Times New Roman" w:hAnsi="Times New Roman"/>
          <w:sz w:val="24"/>
          <w:szCs w:val="24"/>
        </w:rPr>
        <w:lastRenderedPageBreak/>
        <w:t>added an image of Christ to the obverse of imperial gold coins</w:t>
      </w:r>
      <w:r w:rsidR="003C1DF3">
        <w:rPr>
          <w:rFonts w:ascii="Times New Roman" w:hAnsi="Times New Roman"/>
          <w:sz w:val="24"/>
          <w:szCs w:val="24"/>
        </w:rPr>
        <w:t>, fig 1.</w:t>
      </w:r>
      <w:r w:rsidR="003C1DF3">
        <w:rPr>
          <w:rFonts w:ascii="Times New Roman" w:hAnsi="Times New Roman"/>
          <w:noProof/>
          <w:sz w:val="24"/>
          <w:szCs w:val="24"/>
        </w:rPr>
        <w:drawing>
          <wp:inline distT="0" distB="0" distL="0" distR="0" wp14:anchorId="2FC93518" wp14:editId="59DE38BE">
            <wp:extent cx="5133474" cy="219456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a-solidus-of-justinian-ii-from-the-dumbarton-oaks-collection.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5133474" cy="2194560"/>
                    </a:xfrm>
                    <a:prstGeom prst="rect">
                      <a:avLst/>
                    </a:prstGeom>
                  </pic:spPr>
                </pic:pic>
              </a:graphicData>
            </a:graphic>
          </wp:inline>
        </w:drawing>
      </w:r>
    </w:p>
    <w:p w14:paraId="30D4D49A" w14:textId="77777777" w:rsidR="003C1DF3" w:rsidRDefault="003C1DF3" w:rsidP="003C1DF3">
      <w:pPr>
        <w:ind w:firstLine="0"/>
        <w:jc w:val="left"/>
        <w:rPr>
          <w:rFonts w:ascii="Times New Roman" w:hAnsi="Times New Roman"/>
          <w:sz w:val="24"/>
          <w:szCs w:val="24"/>
        </w:rPr>
      </w:pPr>
      <w:r>
        <w:rPr>
          <w:rFonts w:ascii="Times New Roman" w:hAnsi="Times New Roman"/>
          <w:sz w:val="24"/>
          <w:szCs w:val="24"/>
        </w:rPr>
        <w:t>Fig 1,</w:t>
      </w:r>
    </w:p>
    <w:p w14:paraId="648ED890" w14:textId="4918C5BE" w:rsidR="00FB4AF2" w:rsidRDefault="004508DC" w:rsidP="003C1DF3">
      <w:pPr>
        <w:ind w:firstLine="0"/>
        <w:jc w:val="left"/>
        <w:rPr>
          <w:rFonts w:ascii="Times New Roman" w:hAnsi="Times New Roman"/>
          <w:sz w:val="24"/>
          <w:szCs w:val="24"/>
        </w:rPr>
      </w:pPr>
      <w:r>
        <w:rPr>
          <w:rFonts w:ascii="Times New Roman" w:hAnsi="Times New Roman"/>
          <w:sz w:val="24"/>
          <w:szCs w:val="24"/>
        </w:rPr>
        <w:t xml:space="preserve"> However, in 726, the Byzantine emperor Leo III </w:t>
      </w:r>
      <w:r w:rsidR="00E55ED0">
        <w:rPr>
          <w:rFonts w:ascii="Times New Roman" w:hAnsi="Times New Roman"/>
          <w:sz w:val="24"/>
          <w:szCs w:val="24"/>
        </w:rPr>
        <w:t>publicly</w:t>
      </w:r>
      <w:r>
        <w:rPr>
          <w:rFonts w:ascii="Times New Roman" w:hAnsi="Times New Roman"/>
          <w:sz w:val="24"/>
          <w:szCs w:val="24"/>
        </w:rPr>
        <w:t xml:space="preserve"> condemned the worship of icons. </w:t>
      </w:r>
      <w:r w:rsidR="00FD42D0">
        <w:rPr>
          <w:rFonts w:ascii="Times New Roman" w:hAnsi="Times New Roman"/>
          <w:sz w:val="24"/>
          <w:szCs w:val="24"/>
        </w:rPr>
        <w:t>This resulted in them being removed from churches and destroyed. Leo III officially banned there use in 730</w:t>
      </w:r>
      <w:r w:rsidR="00BC7DF5">
        <w:rPr>
          <w:rFonts w:ascii="Times New Roman" w:hAnsi="Times New Roman"/>
          <w:sz w:val="24"/>
          <w:szCs w:val="24"/>
        </w:rPr>
        <w:t xml:space="preserve"> which resulted in severe persecution of icon venerators during his successor, Constantine V’s reign.</w:t>
      </w:r>
      <w:r w:rsidR="005A649C">
        <w:rPr>
          <w:rFonts w:ascii="Times New Roman" w:hAnsi="Times New Roman"/>
          <w:sz w:val="24"/>
          <w:szCs w:val="24"/>
        </w:rPr>
        <w:t xml:space="preserve"> However, the use of these images was </w:t>
      </w:r>
      <w:r w:rsidR="00E55ED0">
        <w:rPr>
          <w:rFonts w:ascii="Times New Roman" w:hAnsi="Times New Roman"/>
          <w:sz w:val="24"/>
          <w:szCs w:val="24"/>
        </w:rPr>
        <w:t>re-established</w:t>
      </w:r>
      <w:r w:rsidR="005A649C">
        <w:rPr>
          <w:rFonts w:ascii="Times New Roman" w:hAnsi="Times New Roman"/>
          <w:sz w:val="24"/>
          <w:szCs w:val="24"/>
        </w:rPr>
        <w:t xml:space="preserve"> in 787 by the empress Irene and the Ecurnenical council at Nicaea. </w:t>
      </w:r>
      <w:r w:rsidR="00AA6F36">
        <w:rPr>
          <w:rFonts w:ascii="Times New Roman" w:hAnsi="Times New Roman"/>
          <w:sz w:val="24"/>
          <w:szCs w:val="24"/>
        </w:rPr>
        <w:t>The use of icons was forbidden again in 815 until the death of Theophilus in 842, when his widow restored icon veneration.</w:t>
      </w:r>
      <w:r w:rsidR="006E5DFA">
        <w:rPr>
          <w:rFonts w:ascii="Times New Roman" w:hAnsi="Times New Roman"/>
          <w:sz w:val="24"/>
          <w:szCs w:val="24"/>
        </w:rPr>
        <w:t xml:space="preserve">it is the belief of some historians that </w:t>
      </w:r>
      <w:r w:rsidR="00EF246C">
        <w:rPr>
          <w:rFonts w:ascii="Times New Roman" w:hAnsi="Times New Roman"/>
          <w:sz w:val="24"/>
          <w:szCs w:val="24"/>
        </w:rPr>
        <w:t>the prohibition of icons was a way of emperor</w:t>
      </w:r>
      <w:r w:rsidR="00AA5055">
        <w:rPr>
          <w:rFonts w:ascii="Times New Roman" w:hAnsi="Times New Roman"/>
          <w:sz w:val="24"/>
          <w:szCs w:val="24"/>
        </w:rPr>
        <w:t xml:space="preserve"> Leo III</w:t>
      </w:r>
      <w:r w:rsidR="00EF246C">
        <w:rPr>
          <w:rFonts w:ascii="Times New Roman" w:hAnsi="Times New Roman"/>
          <w:sz w:val="24"/>
          <w:szCs w:val="24"/>
        </w:rPr>
        <w:t xml:space="preserve"> to </w:t>
      </w:r>
      <w:r w:rsidR="00E55ED0">
        <w:rPr>
          <w:rFonts w:ascii="Times New Roman" w:hAnsi="Times New Roman"/>
          <w:sz w:val="24"/>
          <w:szCs w:val="24"/>
        </w:rPr>
        <w:t>integrate</w:t>
      </w:r>
      <w:r w:rsidR="00EF246C">
        <w:rPr>
          <w:rFonts w:ascii="Times New Roman" w:hAnsi="Times New Roman"/>
          <w:sz w:val="24"/>
          <w:szCs w:val="24"/>
        </w:rPr>
        <w:t xml:space="preserve"> the Muslim and Jewish populations into Byzantine society.</w:t>
      </w:r>
      <w:r w:rsidR="007B7B85">
        <w:rPr>
          <w:rFonts w:ascii="Times New Roman" w:hAnsi="Times New Roman"/>
          <w:sz w:val="24"/>
          <w:szCs w:val="24"/>
        </w:rPr>
        <w:t xml:space="preserve"> Other historians suggest that the motive was to restrain </w:t>
      </w:r>
      <w:r w:rsidR="00FD79D5">
        <w:rPr>
          <w:rFonts w:ascii="Times New Roman" w:hAnsi="Times New Roman"/>
          <w:sz w:val="24"/>
          <w:szCs w:val="24"/>
        </w:rPr>
        <w:t>the</w:t>
      </w:r>
      <w:r w:rsidR="007B7B85">
        <w:rPr>
          <w:rFonts w:ascii="Times New Roman" w:hAnsi="Times New Roman"/>
          <w:sz w:val="24"/>
          <w:szCs w:val="24"/>
        </w:rPr>
        <w:t xml:space="preserve"> growing wealth and power of the monasteries who produced the icons.</w:t>
      </w:r>
      <w:r w:rsidR="00AA5055">
        <w:rPr>
          <w:rFonts w:ascii="Times New Roman" w:hAnsi="Times New Roman"/>
          <w:sz w:val="24"/>
          <w:szCs w:val="24"/>
        </w:rPr>
        <w:t xml:space="preserve"> However, </w:t>
      </w:r>
      <w:r w:rsidR="006414EA">
        <w:rPr>
          <w:rFonts w:ascii="Times New Roman" w:hAnsi="Times New Roman"/>
          <w:sz w:val="24"/>
          <w:szCs w:val="24"/>
        </w:rPr>
        <w:t xml:space="preserve">Leo III’s move to prohibit icons could have been </w:t>
      </w:r>
      <w:r w:rsidR="00FD79D5">
        <w:rPr>
          <w:rFonts w:ascii="Times New Roman" w:hAnsi="Times New Roman"/>
          <w:sz w:val="24"/>
          <w:szCs w:val="24"/>
        </w:rPr>
        <w:t>because of</w:t>
      </w:r>
      <w:r w:rsidR="006414EA">
        <w:rPr>
          <w:rFonts w:ascii="Times New Roman" w:hAnsi="Times New Roman"/>
          <w:sz w:val="24"/>
          <w:szCs w:val="24"/>
        </w:rPr>
        <w:t xml:space="preserve"> interpreting the volcanic eruption in the Aegean Sea in 726 as a sign of God’s anger over the worship of icons.</w:t>
      </w:r>
      <w:r w:rsidR="007366C6">
        <w:rPr>
          <w:rFonts w:ascii="Times New Roman" w:hAnsi="Times New Roman"/>
          <w:sz w:val="24"/>
          <w:szCs w:val="24"/>
        </w:rPr>
        <w:t xml:space="preserve"> </w:t>
      </w:r>
      <w:r w:rsidR="00FF6F5F">
        <w:rPr>
          <w:rFonts w:ascii="Times New Roman" w:hAnsi="Times New Roman"/>
          <w:sz w:val="24"/>
          <w:szCs w:val="24"/>
        </w:rPr>
        <w:t xml:space="preserve">It is difficult to determine the true reasoning behind the </w:t>
      </w:r>
      <w:r w:rsidR="00F35E18">
        <w:rPr>
          <w:rFonts w:ascii="Times New Roman" w:hAnsi="Times New Roman"/>
          <w:sz w:val="24"/>
          <w:szCs w:val="24"/>
        </w:rPr>
        <w:t>prohibition;</w:t>
      </w:r>
      <w:r w:rsidR="00FF6F5F">
        <w:rPr>
          <w:rFonts w:ascii="Times New Roman" w:hAnsi="Times New Roman"/>
          <w:sz w:val="24"/>
          <w:szCs w:val="24"/>
        </w:rPr>
        <w:t xml:space="preserve"> however, it is evident that political and economic divisions occurred in Byzantine society </w:t>
      </w:r>
      <w:r w:rsidR="00F35E18">
        <w:rPr>
          <w:rFonts w:ascii="Times New Roman" w:hAnsi="Times New Roman"/>
          <w:sz w:val="24"/>
          <w:szCs w:val="24"/>
        </w:rPr>
        <w:t>because of</w:t>
      </w:r>
      <w:r w:rsidR="00FF6F5F">
        <w:rPr>
          <w:rFonts w:ascii="Times New Roman" w:hAnsi="Times New Roman"/>
          <w:sz w:val="24"/>
          <w:szCs w:val="24"/>
        </w:rPr>
        <w:t xml:space="preserve"> the religious conflict.</w:t>
      </w:r>
      <w:r w:rsidR="005616E8">
        <w:rPr>
          <w:rFonts w:ascii="Times New Roman" w:hAnsi="Times New Roman"/>
          <w:sz w:val="24"/>
          <w:szCs w:val="24"/>
        </w:rPr>
        <w:t xml:space="preserve"> The wealthier Greeks of </w:t>
      </w:r>
      <w:r w:rsidR="00F35E18">
        <w:rPr>
          <w:rFonts w:ascii="Times New Roman" w:hAnsi="Times New Roman"/>
          <w:sz w:val="24"/>
          <w:szCs w:val="24"/>
        </w:rPr>
        <w:t>Constantinople</w:t>
      </w:r>
      <w:r w:rsidR="005616E8">
        <w:rPr>
          <w:rFonts w:ascii="Times New Roman" w:hAnsi="Times New Roman"/>
          <w:sz w:val="24"/>
          <w:szCs w:val="24"/>
        </w:rPr>
        <w:t xml:space="preserve"> and the people within the Italian and Balkan territories opposed iconoclasm, </w:t>
      </w:r>
      <w:r w:rsidR="00F35E18">
        <w:rPr>
          <w:rFonts w:ascii="Times New Roman" w:hAnsi="Times New Roman"/>
          <w:sz w:val="24"/>
          <w:szCs w:val="24"/>
        </w:rPr>
        <w:t>whereas</w:t>
      </w:r>
      <w:r w:rsidR="005616E8">
        <w:rPr>
          <w:rFonts w:ascii="Times New Roman" w:hAnsi="Times New Roman"/>
          <w:sz w:val="24"/>
          <w:szCs w:val="24"/>
        </w:rPr>
        <w:t xml:space="preserve">, the people in the eastern </w:t>
      </w:r>
      <w:r w:rsidR="00F35E18">
        <w:rPr>
          <w:rFonts w:ascii="Times New Roman" w:hAnsi="Times New Roman"/>
          <w:sz w:val="24"/>
          <w:szCs w:val="24"/>
        </w:rPr>
        <w:t>provinces</w:t>
      </w:r>
      <w:r w:rsidR="005616E8">
        <w:rPr>
          <w:rFonts w:ascii="Times New Roman" w:hAnsi="Times New Roman"/>
          <w:sz w:val="24"/>
          <w:szCs w:val="24"/>
        </w:rPr>
        <w:t xml:space="preserve"> where generally in support of it.</w:t>
      </w:r>
      <w:r w:rsidR="00FB4AF2">
        <w:rPr>
          <w:rFonts w:ascii="Times New Roman" w:hAnsi="Times New Roman"/>
          <w:sz w:val="24"/>
          <w:szCs w:val="24"/>
        </w:rPr>
        <w:t xml:space="preserve"> </w:t>
      </w:r>
    </w:p>
    <w:p w14:paraId="4381ABBE" w14:textId="628095B7" w:rsidR="00BA5D9D" w:rsidRPr="00602B25" w:rsidRDefault="00CF30B1" w:rsidP="003C1DF3">
      <w:pPr>
        <w:ind w:firstLine="0"/>
        <w:jc w:val="left"/>
        <w:rPr>
          <w:rFonts w:ascii="Times New Roman" w:hAnsi="Times New Roman"/>
          <w:sz w:val="24"/>
          <w:szCs w:val="24"/>
        </w:rPr>
      </w:pPr>
      <w:r>
        <w:rPr>
          <w:rFonts w:ascii="Times New Roman" w:hAnsi="Times New Roman"/>
          <w:sz w:val="24"/>
          <w:szCs w:val="24"/>
        </w:rPr>
        <w:t>In the fifty years following the death of the Prophet Muhammad</w:t>
      </w:r>
      <w:r w:rsidR="007C34F4">
        <w:rPr>
          <w:rFonts w:ascii="Times New Roman" w:hAnsi="Times New Roman"/>
          <w:sz w:val="24"/>
          <w:szCs w:val="24"/>
        </w:rPr>
        <w:t>, the Middle East transformed due to the spread of Islam</w:t>
      </w:r>
      <w:r w:rsidR="00254681">
        <w:rPr>
          <w:rFonts w:ascii="Times New Roman" w:hAnsi="Times New Roman"/>
          <w:sz w:val="24"/>
          <w:szCs w:val="24"/>
        </w:rPr>
        <w:t xml:space="preserve"> through the conquering of Egypt, Syria, Iraq and Iran by the Arabian armies. </w:t>
      </w:r>
      <w:r w:rsidR="005E35C9">
        <w:rPr>
          <w:rFonts w:ascii="Times New Roman" w:hAnsi="Times New Roman"/>
          <w:sz w:val="24"/>
          <w:szCs w:val="24"/>
        </w:rPr>
        <w:t xml:space="preserve">In the mid-960s, Damascus was turning into the capital of the Islamic empire, although the people of Damascus may not have understood this as a permanent change because they were still using the coins of the Byzantine </w:t>
      </w:r>
      <w:r w:rsidR="003F4184">
        <w:rPr>
          <w:rFonts w:ascii="Times New Roman" w:hAnsi="Times New Roman"/>
          <w:sz w:val="24"/>
          <w:szCs w:val="24"/>
        </w:rPr>
        <w:t>Emperors</w:t>
      </w:r>
      <w:r w:rsidR="005E35C9">
        <w:rPr>
          <w:rFonts w:ascii="Times New Roman" w:hAnsi="Times New Roman"/>
          <w:sz w:val="24"/>
          <w:szCs w:val="24"/>
        </w:rPr>
        <w:t xml:space="preserve"> which contained Christian symbolism.</w:t>
      </w:r>
      <w:r w:rsidR="007F0436" w:rsidRPr="007F0436">
        <w:t xml:space="preserve"> </w:t>
      </w:r>
      <w:r w:rsidR="00602B25">
        <w:rPr>
          <w:rFonts w:ascii="Times New Roman" w:hAnsi="Times New Roman"/>
          <w:sz w:val="24"/>
          <w:szCs w:val="24"/>
        </w:rPr>
        <w:t>However, Caliph Abd al- Malik brought about a coinage reform between 685-705 AD,</w:t>
      </w:r>
    </w:p>
    <w:p w14:paraId="5666E3DD" w14:textId="2C0864A3" w:rsidR="00CF30B1" w:rsidRPr="00CF755F" w:rsidRDefault="007F0436" w:rsidP="00602B25">
      <w:pPr>
        <w:spacing w:line="240" w:lineRule="auto"/>
        <w:ind w:left="720" w:firstLine="0"/>
        <w:jc w:val="left"/>
        <w:rPr>
          <w:rFonts w:ascii="Times New Roman" w:hAnsi="Times New Roman"/>
          <w:sz w:val="24"/>
          <w:szCs w:val="24"/>
        </w:rPr>
      </w:pPr>
      <w:r w:rsidRPr="00CF755F">
        <w:rPr>
          <w:rFonts w:ascii="Times New Roman" w:hAnsi="Times New Roman"/>
          <w:sz w:val="24"/>
          <w:szCs w:val="24"/>
        </w:rPr>
        <w:lastRenderedPageBreak/>
        <w:t xml:space="preserve">When Abd al-Malik saw fit to use the mint to protect against fraud the two </w:t>
      </w:r>
      <w:r w:rsidR="00602B25" w:rsidRPr="00CF755F">
        <w:rPr>
          <w:rFonts w:ascii="Times New Roman" w:hAnsi="Times New Roman"/>
          <w:sz w:val="24"/>
          <w:szCs w:val="24"/>
        </w:rPr>
        <w:t xml:space="preserve">           </w:t>
      </w:r>
      <w:r w:rsidRPr="00CF755F">
        <w:rPr>
          <w:rFonts w:ascii="Times New Roman" w:hAnsi="Times New Roman"/>
          <w:sz w:val="24"/>
          <w:szCs w:val="24"/>
        </w:rPr>
        <w:t xml:space="preserve">coins (the gold dinar and the silver dirham) that were current in Muslims </w:t>
      </w:r>
      <w:r w:rsidR="00602B25" w:rsidRPr="00CF755F">
        <w:rPr>
          <w:rFonts w:ascii="Times New Roman" w:hAnsi="Times New Roman"/>
          <w:sz w:val="24"/>
          <w:szCs w:val="24"/>
        </w:rPr>
        <w:t xml:space="preserve">  </w:t>
      </w:r>
      <w:r w:rsidRPr="00CF755F">
        <w:rPr>
          <w:rFonts w:ascii="Times New Roman" w:hAnsi="Times New Roman"/>
          <w:sz w:val="24"/>
          <w:szCs w:val="24"/>
        </w:rPr>
        <w:t xml:space="preserve">transactions, he determined their values as what they had been in the time of </w:t>
      </w:r>
      <w:r w:rsidR="00602B25" w:rsidRPr="00CF755F">
        <w:rPr>
          <w:rFonts w:ascii="Times New Roman" w:hAnsi="Times New Roman"/>
          <w:sz w:val="24"/>
          <w:szCs w:val="24"/>
        </w:rPr>
        <w:t xml:space="preserve">           </w:t>
      </w:r>
      <w:r w:rsidRPr="00CF755F">
        <w:rPr>
          <w:rFonts w:ascii="Times New Roman" w:hAnsi="Times New Roman"/>
          <w:sz w:val="24"/>
          <w:szCs w:val="24"/>
        </w:rPr>
        <w:t xml:space="preserve">the [Caliph] Umar. He used the iron stamp, but engraved words on it, rather </w:t>
      </w:r>
      <w:r w:rsidR="00602B25" w:rsidRPr="00CF755F">
        <w:rPr>
          <w:rFonts w:ascii="Times New Roman" w:hAnsi="Times New Roman"/>
          <w:sz w:val="24"/>
          <w:szCs w:val="24"/>
        </w:rPr>
        <w:t xml:space="preserve">         </w:t>
      </w:r>
      <w:r w:rsidRPr="00CF755F">
        <w:rPr>
          <w:rFonts w:ascii="Times New Roman" w:hAnsi="Times New Roman"/>
          <w:sz w:val="24"/>
          <w:szCs w:val="24"/>
        </w:rPr>
        <w:t>than pictures, because eloquent words were obviously more congenial to the</w:t>
      </w:r>
      <w:r w:rsidR="003C1AB8" w:rsidRPr="00CF755F">
        <w:rPr>
          <w:rFonts w:ascii="Times New Roman" w:hAnsi="Times New Roman"/>
          <w:sz w:val="24"/>
          <w:szCs w:val="24"/>
        </w:rPr>
        <w:t xml:space="preserve"> </w:t>
      </w:r>
      <w:r w:rsidR="00FE08FE" w:rsidRPr="00CF755F">
        <w:rPr>
          <w:rFonts w:ascii="Times New Roman" w:hAnsi="Times New Roman"/>
          <w:sz w:val="24"/>
          <w:szCs w:val="24"/>
        </w:rPr>
        <w:t xml:space="preserve">     </w:t>
      </w:r>
      <w:r w:rsidR="003C1AB8" w:rsidRPr="00CF755F">
        <w:rPr>
          <w:rFonts w:ascii="Times New Roman" w:hAnsi="Times New Roman"/>
          <w:sz w:val="24"/>
          <w:szCs w:val="24"/>
        </w:rPr>
        <w:t>Arabs. Moreover, the religious law forbids pictures.</w:t>
      </w:r>
      <w:r w:rsidR="003C1AB8" w:rsidRPr="00CF755F">
        <w:rPr>
          <w:rStyle w:val="FootnoteReference"/>
          <w:rFonts w:ascii="Times New Roman" w:hAnsi="Times New Roman"/>
          <w:sz w:val="24"/>
          <w:szCs w:val="24"/>
        </w:rPr>
        <w:footnoteReference w:id="1"/>
      </w:r>
    </w:p>
    <w:p w14:paraId="5909985B" w14:textId="43C217F5" w:rsidR="006A70AF" w:rsidRPr="00CF755F" w:rsidRDefault="006A70AF" w:rsidP="00602B25">
      <w:pPr>
        <w:spacing w:line="240" w:lineRule="auto"/>
        <w:ind w:left="720" w:firstLine="0"/>
        <w:jc w:val="left"/>
        <w:rPr>
          <w:rFonts w:ascii="Times New Roman" w:hAnsi="Times New Roman"/>
          <w:sz w:val="24"/>
          <w:szCs w:val="24"/>
        </w:rPr>
      </w:pPr>
    </w:p>
    <w:p w14:paraId="4E0E5DE3" w14:textId="5B0FDE82" w:rsidR="00D14673" w:rsidRDefault="00566DD8" w:rsidP="006A70AF">
      <w:pPr>
        <w:ind w:left="0" w:firstLine="0"/>
        <w:jc w:val="left"/>
        <w:rPr>
          <w:rFonts w:ascii="Times New Roman" w:hAnsi="Times New Roman"/>
          <w:sz w:val="24"/>
          <w:szCs w:val="24"/>
        </w:rPr>
      </w:pPr>
      <w:r w:rsidRPr="00CF755F">
        <w:rPr>
          <w:rFonts w:ascii="Times New Roman" w:hAnsi="Times New Roman"/>
          <w:sz w:val="24"/>
          <w:szCs w:val="24"/>
        </w:rPr>
        <w:t xml:space="preserve">The </w:t>
      </w:r>
      <w:r w:rsidR="003F4184" w:rsidRPr="00CF755F">
        <w:rPr>
          <w:rFonts w:ascii="Times New Roman" w:hAnsi="Times New Roman"/>
          <w:sz w:val="24"/>
          <w:szCs w:val="24"/>
        </w:rPr>
        <w:t>caliph’s</w:t>
      </w:r>
      <w:r w:rsidRPr="00CF755F">
        <w:rPr>
          <w:rFonts w:ascii="Times New Roman" w:hAnsi="Times New Roman"/>
          <w:sz w:val="24"/>
          <w:szCs w:val="24"/>
        </w:rPr>
        <w:t xml:space="preserve"> coinage reform began by adding Arabic to the existing coins </w:t>
      </w:r>
      <w:r w:rsidR="003F4184" w:rsidRPr="00CF755F">
        <w:rPr>
          <w:rFonts w:ascii="Times New Roman" w:hAnsi="Times New Roman"/>
          <w:sz w:val="24"/>
          <w:szCs w:val="24"/>
        </w:rPr>
        <w:t>to</w:t>
      </w:r>
      <w:r w:rsidRPr="00CF755F">
        <w:rPr>
          <w:rFonts w:ascii="Times New Roman" w:hAnsi="Times New Roman"/>
          <w:sz w:val="24"/>
          <w:szCs w:val="24"/>
        </w:rPr>
        <w:t xml:space="preserve"> state that they were Arabic coins and at the end of the reform the coins only contained </w:t>
      </w:r>
      <w:r w:rsidR="003F4184" w:rsidRPr="00CF755F">
        <w:rPr>
          <w:rFonts w:ascii="Times New Roman" w:hAnsi="Times New Roman"/>
          <w:sz w:val="24"/>
          <w:szCs w:val="24"/>
        </w:rPr>
        <w:t>Arabic</w:t>
      </w:r>
      <w:r w:rsidRPr="00CF755F">
        <w:rPr>
          <w:rFonts w:ascii="Times New Roman" w:hAnsi="Times New Roman"/>
          <w:sz w:val="24"/>
          <w:szCs w:val="24"/>
        </w:rPr>
        <w:t xml:space="preserve"> script</w:t>
      </w:r>
      <w:r w:rsidR="00D14673">
        <w:rPr>
          <w:rFonts w:ascii="Times New Roman" w:hAnsi="Times New Roman"/>
          <w:sz w:val="24"/>
          <w:szCs w:val="24"/>
        </w:rPr>
        <w:t>, fig 2.</w:t>
      </w:r>
      <w:r w:rsidR="00D14673">
        <w:rPr>
          <w:rFonts w:ascii="Times New Roman" w:hAnsi="Times New Roman"/>
          <w:noProof/>
          <w:sz w:val="24"/>
          <w:szCs w:val="24"/>
        </w:rPr>
        <w:drawing>
          <wp:inline distT="0" distB="0" distL="0" distR="0" wp14:anchorId="7CF1D752" wp14:editId="3ADB3176">
            <wp:extent cx="5731510" cy="322389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abd-al-malik-coin.jpg"/>
                    <pic:cNvPicPr/>
                  </pic:nvPicPr>
                  <pic:blipFill>
                    <a:blip r:embed="rId8">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0FB58F8" w14:textId="77777777" w:rsidR="00D14673" w:rsidRDefault="00D14673" w:rsidP="006A70AF">
      <w:pPr>
        <w:ind w:left="0" w:firstLine="0"/>
        <w:jc w:val="left"/>
        <w:rPr>
          <w:rFonts w:ascii="Times New Roman" w:hAnsi="Times New Roman"/>
          <w:sz w:val="24"/>
          <w:szCs w:val="24"/>
        </w:rPr>
      </w:pPr>
      <w:r>
        <w:rPr>
          <w:rFonts w:ascii="Times New Roman" w:hAnsi="Times New Roman"/>
          <w:sz w:val="24"/>
          <w:szCs w:val="24"/>
        </w:rPr>
        <w:t>Fig 2.</w:t>
      </w:r>
    </w:p>
    <w:p w14:paraId="081DE793" w14:textId="08E43C52" w:rsidR="006A70AF" w:rsidRDefault="00CF755F" w:rsidP="006A70AF">
      <w:pPr>
        <w:ind w:left="0" w:firstLine="0"/>
        <w:jc w:val="left"/>
        <w:rPr>
          <w:rFonts w:ascii="Times New Roman" w:hAnsi="Times New Roman"/>
          <w:sz w:val="24"/>
          <w:szCs w:val="24"/>
        </w:rPr>
      </w:pPr>
      <w:r>
        <w:rPr>
          <w:rFonts w:ascii="Times New Roman" w:hAnsi="Times New Roman"/>
          <w:sz w:val="24"/>
          <w:szCs w:val="24"/>
        </w:rPr>
        <w:t xml:space="preserve"> This can be interpreted as a form of propaganda to establish the new Islamic regime </w:t>
      </w:r>
      <w:r w:rsidR="003F4184">
        <w:rPr>
          <w:rFonts w:ascii="Times New Roman" w:hAnsi="Times New Roman"/>
          <w:sz w:val="24"/>
          <w:szCs w:val="24"/>
        </w:rPr>
        <w:t>and</w:t>
      </w:r>
      <w:r>
        <w:rPr>
          <w:rFonts w:ascii="Times New Roman" w:hAnsi="Times New Roman"/>
          <w:sz w:val="24"/>
          <w:szCs w:val="24"/>
        </w:rPr>
        <w:t xml:space="preserve"> as an act of Iconoclasm against the religious images that were on the Byzantine co</w:t>
      </w:r>
      <w:r w:rsidR="006553BF">
        <w:rPr>
          <w:rFonts w:ascii="Times New Roman" w:hAnsi="Times New Roman"/>
          <w:sz w:val="24"/>
          <w:szCs w:val="24"/>
        </w:rPr>
        <w:t>ins.</w:t>
      </w:r>
    </w:p>
    <w:p w14:paraId="785E6B33" w14:textId="39B910CF" w:rsidR="006553BF" w:rsidRDefault="006553BF" w:rsidP="006A70AF">
      <w:pPr>
        <w:ind w:left="0" w:firstLine="0"/>
        <w:jc w:val="left"/>
        <w:rPr>
          <w:rFonts w:ascii="Times New Roman" w:hAnsi="Times New Roman"/>
          <w:sz w:val="24"/>
          <w:szCs w:val="24"/>
        </w:rPr>
      </w:pPr>
    </w:p>
    <w:p w14:paraId="0BC69D49" w14:textId="1C5195B6" w:rsidR="00B521AE" w:rsidRDefault="003F4184" w:rsidP="006A70AF">
      <w:pPr>
        <w:ind w:left="0" w:firstLine="0"/>
        <w:jc w:val="left"/>
        <w:rPr>
          <w:rFonts w:ascii="Times New Roman" w:hAnsi="Times New Roman"/>
          <w:sz w:val="24"/>
          <w:szCs w:val="24"/>
        </w:rPr>
      </w:pPr>
      <w:r>
        <w:rPr>
          <w:rFonts w:ascii="Times New Roman" w:hAnsi="Times New Roman"/>
          <w:sz w:val="24"/>
          <w:szCs w:val="24"/>
        </w:rPr>
        <w:t>Most</w:t>
      </w:r>
      <w:r w:rsidR="00B521AE">
        <w:rPr>
          <w:rFonts w:ascii="Times New Roman" w:hAnsi="Times New Roman"/>
          <w:sz w:val="24"/>
          <w:szCs w:val="24"/>
        </w:rPr>
        <w:t xml:space="preserve"> mosques contain no </w:t>
      </w:r>
      <w:r>
        <w:rPr>
          <w:rFonts w:ascii="Times New Roman" w:hAnsi="Times New Roman"/>
          <w:sz w:val="24"/>
          <w:szCs w:val="24"/>
        </w:rPr>
        <w:t>figurative images. An example of this can be seen in the mosaics in the great Mosque in Damascus which contain no living creatures.</w:t>
      </w:r>
      <w:r w:rsidR="00067018">
        <w:rPr>
          <w:rFonts w:ascii="Times New Roman" w:hAnsi="Times New Roman"/>
          <w:sz w:val="24"/>
          <w:szCs w:val="24"/>
        </w:rPr>
        <w:t xml:space="preserve"> The largest of these </w:t>
      </w:r>
      <w:r w:rsidR="00EB1DAE">
        <w:rPr>
          <w:rFonts w:ascii="Times New Roman" w:hAnsi="Times New Roman"/>
          <w:sz w:val="24"/>
          <w:szCs w:val="24"/>
        </w:rPr>
        <w:t>panels</w:t>
      </w:r>
      <w:r w:rsidR="00067018">
        <w:rPr>
          <w:rFonts w:ascii="Times New Roman" w:hAnsi="Times New Roman"/>
          <w:sz w:val="24"/>
          <w:szCs w:val="24"/>
        </w:rPr>
        <w:t xml:space="preserve"> is the ‘Barada’ which is named after the river that runs through Damascus, fig 3.</w:t>
      </w:r>
    </w:p>
    <w:p w14:paraId="5E7E46EE" w14:textId="527505E1" w:rsidR="00067018" w:rsidRDefault="00067018" w:rsidP="006A70AF">
      <w:pPr>
        <w:ind w:left="0" w:firstLine="0"/>
        <w:jc w:val="left"/>
        <w:rPr>
          <w:rFonts w:ascii="Times New Roman" w:hAnsi="Times New Roman"/>
          <w:sz w:val="24"/>
          <w:szCs w:val="24"/>
        </w:rPr>
      </w:pPr>
      <w:r>
        <w:rPr>
          <w:rFonts w:ascii="Times New Roman" w:hAnsi="Times New Roman"/>
          <w:noProof/>
          <w:sz w:val="24"/>
          <w:szCs w:val="24"/>
        </w:rPr>
        <w:lastRenderedPageBreak/>
        <w:drawing>
          <wp:inline distT="0" distB="0" distL="0" distR="0" wp14:anchorId="035F23C3" wp14:editId="0E53B243">
            <wp:extent cx="5238750" cy="42862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Barada1JG.jpg"/>
                    <pic:cNvPicPr/>
                  </pic:nvPicPr>
                  <pic:blipFill>
                    <a:blip r:embed="rId9">
                      <a:extLst>
                        <a:ext uri="{28A0092B-C50C-407E-A947-70E740481C1C}">
                          <a14:useLocalDpi xmlns:a14="http://schemas.microsoft.com/office/drawing/2010/main" val="0"/>
                        </a:ext>
                      </a:extLst>
                    </a:blip>
                    <a:stretch>
                      <a:fillRect/>
                    </a:stretch>
                  </pic:blipFill>
                  <pic:spPr>
                    <a:xfrm>
                      <a:off x="0" y="0"/>
                      <a:ext cx="5239277" cy="4286681"/>
                    </a:xfrm>
                    <a:prstGeom prst="rect">
                      <a:avLst/>
                    </a:prstGeom>
                  </pic:spPr>
                </pic:pic>
              </a:graphicData>
            </a:graphic>
          </wp:inline>
        </w:drawing>
      </w:r>
    </w:p>
    <w:p w14:paraId="6E6F65A6" w14:textId="40E51080" w:rsidR="00067018" w:rsidRDefault="00067018" w:rsidP="006A70AF">
      <w:pPr>
        <w:ind w:left="0" w:firstLine="0"/>
        <w:jc w:val="left"/>
        <w:rPr>
          <w:rFonts w:ascii="Times New Roman" w:hAnsi="Times New Roman"/>
          <w:sz w:val="24"/>
          <w:szCs w:val="24"/>
        </w:rPr>
      </w:pPr>
      <w:r>
        <w:rPr>
          <w:rFonts w:ascii="Times New Roman" w:hAnsi="Times New Roman"/>
          <w:sz w:val="24"/>
          <w:szCs w:val="24"/>
        </w:rPr>
        <w:t>Fig 3.</w:t>
      </w:r>
    </w:p>
    <w:p w14:paraId="75EE797B" w14:textId="6E9AD589" w:rsidR="00FD25FA" w:rsidRDefault="009973B8" w:rsidP="006A70AF">
      <w:pPr>
        <w:ind w:left="0" w:firstLine="0"/>
        <w:jc w:val="left"/>
        <w:rPr>
          <w:rFonts w:ascii="Times New Roman" w:hAnsi="Times New Roman"/>
          <w:sz w:val="24"/>
          <w:szCs w:val="24"/>
        </w:rPr>
      </w:pPr>
      <w:r>
        <w:rPr>
          <w:rFonts w:ascii="Times New Roman" w:hAnsi="Times New Roman"/>
          <w:sz w:val="24"/>
          <w:szCs w:val="24"/>
        </w:rPr>
        <w:t>The mosaics within the mosque are believed of convey a vision of paradise</w:t>
      </w:r>
      <w:r w:rsidR="001101A1">
        <w:rPr>
          <w:rFonts w:ascii="Times New Roman" w:hAnsi="Times New Roman"/>
          <w:sz w:val="24"/>
          <w:szCs w:val="24"/>
        </w:rPr>
        <w:t>, ‘their golden ground contributes the impression of an airless world- a vacuum uninhabitable by the spectator who views them.’</w:t>
      </w:r>
      <w:r w:rsidR="00BC358C">
        <w:rPr>
          <w:rStyle w:val="FootnoteReference"/>
          <w:rFonts w:ascii="Times New Roman" w:hAnsi="Times New Roman"/>
          <w:sz w:val="24"/>
          <w:szCs w:val="24"/>
        </w:rPr>
        <w:footnoteReference w:id="2"/>
      </w:r>
      <w:r w:rsidR="000F0947">
        <w:rPr>
          <w:rFonts w:ascii="Times New Roman" w:hAnsi="Times New Roman"/>
          <w:sz w:val="24"/>
          <w:szCs w:val="24"/>
        </w:rPr>
        <w:t xml:space="preserve"> The river is seen as the dividing line between the world of the viewer and the world beyond. </w:t>
      </w:r>
      <w:r w:rsidR="00FD25FA">
        <w:rPr>
          <w:rFonts w:ascii="Times New Roman" w:hAnsi="Times New Roman"/>
          <w:sz w:val="24"/>
          <w:szCs w:val="24"/>
        </w:rPr>
        <w:t xml:space="preserve">The buildings depicted within the mosaics are often interpreted as the ‘lofty chambers of paradise’ as described in the Quran, </w:t>
      </w:r>
    </w:p>
    <w:p w14:paraId="44FEE454" w14:textId="075903D7" w:rsidR="00FD25FA" w:rsidRDefault="00CE26CE" w:rsidP="00CE26CE">
      <w:pPr>
        <w:spacing w:line="240" w:lineRule="auto"/>
        <w:ind w:left="720" w:firstLine="0"/>
        <w:jc w:val="left"/>
        <w:rPr>
          <w:rFonts w:ascii="Times New Roman" w:hAnsi="Times New Roman"/>
          <w:sz w:val="24"/>
          <w:szCs w:val="24"/>
        </w:rPr>
      </w:pPr>
      <w:r>
        <w:rPr>
          <w:rFonts w:ascii="Times New Roman" w:hAnsi="Times New Roman"/>
          <w:sz w:val="24"/>
          <w:szCs w:val="24"/>
        </w:rPr>
        <w:t>And those who believe, and do righteous deeds, we shall surely lodge in the           lofty chambers of Paradise, underneath which rivers flow, there in dwelling   forever… (</w:t>
      </w:r>
      <w:r w:rsidR="00E266B9">
        <w:rPr>
          <w:rFonts w:ascii="Times New Roman" w:hAnsi="Times New Roman"/>
          <w:sz w:val="24"/>
          <w:szCs w:val="24"/>
        </w:rPr>
        <w:t>Quran 29, al ‘Ankabut)</w:t>
      </w:r>
    </w:p>
    <w:p w14:paraId="5058E300" w14:textId="68671D84" w:rsidR="007A55DD" w:rsidRDefault="00914620" w:rsidP="003651B0">
      <w:pPr>
        <w:ind w:left="0" w:firstLine="0"/>
        <w:jc w:val="left"/>
        <w:rPr>
          <w:rFonts w:ascii="Times New Roman" w:hAnsi="Times New Roman"/>
          <w:sz w:val="24"/>
          <w:szCs w:val="24"/>
        </w:rPr>
      </w:pPr>
      <w:r>
        <w:rPr>
          <w:rFonts w:ascii="Times New Roman" w:hAnsi="Times New Roman"/>
          <w:sz w:val="24"/>
          <w:szCs w:val="24"/>
        </w:rPr>
        <w:t>The depiction of Paradise within mosques enables worshippers to view a visual representation of the reward they can get for being a believer of the Islamic religion and acting according to its teachings.</w:t>
      </w:r>
      <w:r w:rsidR="002C0BDF">
        <w:rPr>
          <w:rFonts w:ascii="Times New Roman" w:hAnsi="Times New Roman"/>
          <w:sz w:val="24"/>
          <w:szCs w:val="24"/>
        </w:rPr>
        <w:t xml:space="preserve"> </w:t>
      </w:r>
      <w:r w:rsidR="007A55DD">
        <w:rPr>
          <w:rFonts w:ascii="Times New Roman" w:hAnsi="Times New Roman"/>
          <w:sz w:val="24"/>
          <w:szCs w:val="24"/>
        </w:rPr>
        <w:t xml:space="preserve">The ibn Tulun mosque in Cairo is one of the few mosques to contain </w:t>
      </w:r>
      <w:r w:rsidR="00393C8C">
        <w:rPr>
          <w:rFonts w:ascii="Times New Roman" w:hAnsi="Times New Roman"/>
          <w:sz w:val="24"/>
          <w:szCs w:val="24"/>
        </w:rPr>
        <w:t>representations</w:t>
      </w:r>
      <w:r w:rsidR="007A55DD">
        <w:rPr>
          <w:rFonts w:ascii="Times New Roman" w:hAnsi="Times New Roman"/>
          <w:sz w:val="24"/>
          <w:szCs w:val="24"/>
        </w:rPr>
        <w:t xml:space="preserve"> of the human figure. </w:t>
      </w:r>
      <w:r w:rsidR="007A55DD" w:rsidRPr="007A55DD">
        <w:rPr>
          <w:rFonts w:ascii="Times New Roman" w:hAnsi="Times New Roman"/>
          <w:sz w:val="24"/>
          <w:szCs w:val="24"/>
        </w:rPr>
        <w:t xml:space="preserve">The external walls of the Mosque </w:t>
      </w:r>
      <w:r w:rsidR="007A55DD">
        <w:rPr>
          <w:rFonts w:ascii="Times New Roman" w:hAnsi="Times New Roman"/>
          <w:sz w:val="24"/>
          <w:szCs w:val="24"/>
        </w:rPr>
        <w:t>are</w:t>
      </w:r>
      <w:r w:rsidR="007A55DD" w:rsidRPr="007A55DD">
        <w:rPr>
          <w:rFonts w:ascii="Times New Roman" w:hAnsi="Times New Roman"/>
          <w:sz w:val="24"/>
          <w:szCs w:val="24"/>
        </w:rPr>
        <w:t xml:space="preserve"> crowned with ornamental battlements in the form of a chain </w:t>
      </w:r>
      <w:r w:rsidR="00393C8C" w:rsidRPr="007A55DD">
        <w:rPr>
          <w:rFonts w:ascii="Times New Roman" w:hAnsi="Times New Roman"/>
          <w:sz w:val="24"/>
          <w:szCs w:val="24"/>
        </w:rPr>
        <w:t>of human</w:t>
      </w:r>
      <w:r w:rsidR="007A55DD" w:rsidRPr="007A55DD">
        <w:rPr>
          <w:rFonts w:ascii="Times New Roman" w:hAnsi="Times New Roman"/>
          <w:sz w:val="24"/>
          <w:szCs w:val="24"/>
        </w:rPr>
        <w:t xml:space="preserve"> figures defending the roof</w:t>
      </w:r>
      <w:r w:rsidR="007A55DD">
        <w:rPr>
          <w:rFonts w:ascii="Times New Roman" w:hAnsi="Times New Roman"/>
          <w:sz w:val="24"/>
          <w:szCs w:val="24"/>
        </w:rPr>
        <w:t>, fig 4.</w:t>
      </w:r>
    </w:p>
    <w:p w14:paraId="5C1C125B" w14:textId="77777777" w:rsidR="007A55DD" w:rsidRDefault="007A55DD" w:rsidP="003651B0">
      <w:pPr>
        <w:ind w:left="0" w:firstLine="0"/>
        <w:jc w:val="left"/>
        <w:rPr>
          <w:rFonts w:ascii="Times New Roman" w:hAnsi="Times New Roman"/>
          <w:sz w:val="24"/>
          <w:szCs w:val="24"/>
        </w:rPr>
      </w:pPr>
      <w:r>
        <w:rPr>
          <w:rFonts w:ascii="Times New Roman" w:hAnsi="Times New Roman"/>
          <w:noProof/>
          <w:sz w:val="24"/>
          <w:szCs w:val="24"/>
        </w:rPr>
        <w:lastRenderedPageBreak/>
        <w:drawing>
          <wp:inline distT="0" distB="0" distL="0" distR="0" wp14:anchorId="6DE85F6D" wp14:editId="1D2E5B36">
            <wp:extent cx="5762625" cy="244792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bn tulin mosque.jpg"/>
                    <pic:cNvPicPr/>
                  </pic:nvPicPr>
                  <pic:blipFill>
                    <a:blip r:embed="rId10">
                      <a:extLst>
                        <a:ext uri="{28A0092B-C50C-407E-A947-70E740481C1C}">
                          <a14:useLocalDpi xmlns:a14="http://schemas.microsoft.com/office/drawing/2010/main" val="0"/>
                        </a:ext>
                      </a:extLst>
                    </a:blip>
                    <a:stretch>
                      <a:fillRect/>
                    </a:stretch>
                  </pic:blipFill>
                  <pic:spPr>
                    <a:xfrm>
                      <a:off x="0" y="0"/>
                      <a:ext cx="5763377" cy="2448244"/>
                    </a:xfrm>
                    <a:prstGeom prst="rect">
                      <a:avLst/>
                    </a:prstGeom>
                  </pic:spPr>
                </pic:pic>
              </a:graphicData>
            </a:graphic>
          </wp:inline>
        </w:drawing>
      </w:r>
    </w:p>
    <w:p w14:paraId="6B9480A6" w14:textId="77777777" w:rsidR="007A55DD" w:rsidRDefault="007A55DD" w:rsidP="003651B0">
      <w:pPr>
        <w:ind w:left="0" w:firstLine="0"/>
        <w:jc w:val="left"/>
        <w:rPr>
          <w:rFonts w:ascii="Times New Roman" w:hAnsi="Times New Roman"/>
          <w:sz w:val="24"/>
          <w:szCs w:val="24"/>
        </w:rPr>
      </w:pPr>
      <w:r>
        <w:rPr>
          <w:rFonts w:ascii="Times New Roman" w:hAnsi="Times New Roman"/>
          <w:sz w:val="24"/>
          <w:szCs w:val="24"/>
        </w:rPr>
        <w:t>Fig 4.</w:t>
      </w:r>
    </w:p>
    <w:p w14:paraId="1BBE2A5C" w14:textId="2726CB8B" w:rsidR="00CF755F" w:rsidRDefault="00EB1DAE" w:rsidP="006A70AF">
      <w:pPr>
        <w:ind w:left="0" w:firstLine="0"/>
        <w:jc w:val="left"/>
        <w:rPr>
          <w:rFonts w:ascii="Times New Roman" w:hAnsi="Times New Roman"/>
          <w:sz w:val="24"/>
          <w:szCs w:val="24"/>
        </w:rPr>
      </w:pPr>
      <w:r>
        <w:rPr>
          <w:rFonts w:ascii="Times New Roman" w:hAnsi="Times New Roman"/>
          <w:sz w:val="24"/>
          <w:szCs w:val="24"/>
        </w:rPr>
        <w:t xml:space="preserve">Although, it is unusual for mosques to contain </w:t>
      </w:r>
      <w:r w:rsidR="00393C8C">
        <w:rPr>
          <w:rFonts w:ascii="Times New Roman" w:hAnsi="Times New Roman"/>
          <w:sz w:val="24"/>
          <w:szCs w:val="24"/>
        </w:rPr>
        <w:t>representations</w:t>
      </w:r>
      <w:r>
        <w:rPr>
          <w:rFonts w:ascii="Times New Roman" w:hAnsi="Times New Roman"/>
          <w:sz w:val="24"/>
          <w:szCs w:val="24"/>
        </w:rPr>
        <w:t xml:space="preserve"> of human figures, it is not unheard of. Another example can be found at the mosque of Uskaf banni junayd which is the only mosque to contain stucco panels with humanistic images on.</w:t>
      </w:r>
    </w:p>
    <w:p w14:paraId="165B5E94" w14:textId="63917B2B" w:rsidR="00393C8C" w:rsidRDefault="00393C8C" w:rsidP="006A70AF">
      <w:pPr>
        <w:ind w:left="0" w:firstLine="0"/>
        <w:jc w:val="left"/>
        <w:rPr>
          <w:rFonts w:ascii="Times New Roman" w:hAnsi="Times New Roman"/>
          <w:sz w:val="24"/>
          <w:szCs w:val="24"/>
        </w:rPr>
      </w:pPr>
    </w:p>
    <w:p w14:paraId="42AC3597" w14:textId="77777777" w:rsidR="00C44BBD" w:rsidRDefault="00393C8C" w:rsidP="006A70AF">
      <w:pPr>
        <w:ind w:left="0" w:firstLine="0"/>
        <w:jc w:val="left"/>
        <w:rPr>
          <w:rFonts w:ascii="Times New Roman" w:hAnsi="Times New Roman"/>
          <w:sz w:val="24"/>
          <w:szCs w:val="24"/>
        </w:rPr>
      </w:pPr>
      <w:r>
        <w:rPr>
          <w:rFonts w:ascii="Times New Roman" w:hAnsi="Times New Roman"/>
          <w:sz w:val="24"/>
          <w:szCs w:val="24"/>
        </w:rPr>
        <w:t xml:space="preserve">There is a great deal of tension within Islamic culture regarding the </w:t>
      </w:r>
      <w:r w:rsidR="002E5475">
        <w:rPr>
          <w:rFonts w:ascii="Times New Roman" w:hAnsi="Times New Roman"/>
          <w:sz w:val="24"/>
          <w:szCs w:val="24"/>
        </w:rPr>
        <w:t>representation</w:t>
      </w:r>
      <w:r>
        <w:rPr>
          <w:rFonts w:ascii="Times New Roman" w:hAnsi="Times New Roman"/>
          <w:sz w:val="24"/>
          <w:szCs w:val="24"/>
        </w:rPr>
        <w:t xml:space="preserve"> of human figures within Islamic art. Whilst some artists avoid depicting the human form, opting for geometric designs, calligraphy and arabesques, there are examples of artists using the human form within Islamic art and architecture.</w:t>
      </w:r>
      <w:r w:rsidR="002E5475">
        <w:rPr>
          <w:rFonts w:ascii="Times New Roman" w:hAnsi="Times New Roman"/>
          <w:sz w:val="24"/>
          <w:szCs w:val="24"/>
        </w:rPr>
        <w:t xml:space="preserve"> </w:t>
      </w:r>
      <w:r w:rsidR="005F451C">
        <w:rPr>
          <w:rFonts w:ascii="Times New Roman" w:hAnsi="Times New Roman"/>
          <w:sz w:val="24"/>
          <w:szCs w:val="24"/>
        </w:rPr>
        <w:t xml:space="preserve">Furthermore, the </w:t>
      </w:r>
      <w:r w:rsidR="00896AC4">
        <w:rPr>
          <w:rFonts w:ascii="Times New Roman" w:hAnsi="Times New Roman"/>
          <w:sz w:val="24"/>
          <w:szCs w:val="24"/>
        </w:rPr>
        <w:t>Quran</w:t>
      </w:r>
      <w:r w:rsidR="005F451C">
        <w:rPr>
          <w:rFonts w:ascii="Times New Roman" w:hAnsi="Times New Roman"/>
          <w:sz w:val="24"/>
          <w:szCs w:val="24"/>
        </w:rPr>
        <w:t xml:space="preserve"> does not prohibit the </w:t>
      </w:r>
      <w:r w:rsidR="00896AC4">
        <w:rPr>
          <w:rFonts w:ascii="Times New Roman" w:hAnsi="Times New Roman"/>
          <w:sz w:val="24"/>
          <w:szCs w:val="24"/>
        </w:rPr>
        <w:t>two-dimensional depiction of human figures, it prohibits idolatry.</w:t>
      </w:r>
    </w:p>
    <w:p w14:paraId="5772E391" w14:textId="77777777" w:rsidR="00C44BBD" w:rsidRDefault="00C44BBD" w:rsidP="006A70AF">
      <w:pPr>
        <w:ind w:left="0" w:firstLine="0"/>
        <w:jc w:val="left"/>
        <w:rPr>
          <w:rFonts w:ascii="Times New Roman" w:hAnsi="Times New Roman"/>
          <w:sz w:val="24"/>
          <w:szCs w:val="24"/>
        </w:rPr>
      </w:pPr>
    </w:p>
    <w:p w14:paraId="5F2F1848" w14:textId="01D04ADA" w:rsidR="00393C8C" w:rsidRDefault="00C44BBD" w:rsidP="00C44BBD">
      <w:pPr>
        <w:ind w:left="0" w:firstLine="0"/>
        <w:jc w:val="center"/>
        <w:rPr>
          <w:rFonts w:ascii="Times New Roman" w:hAnsi="Times New Roman"/>
          <w:sz w:val="24"/>
          <w:szCs w:val="24"/>
        </w:rPr>
      </w:pPr>
      <w:r>
        <w:rPr>
          <w:rFonts w:ascii="Times New Roman" w:hAnsi="Times New Roman"/>
          <w:sz w:val="24"/>
          <w:szCs w:val="24"/>
        </w:rPr>
        <w:t>Bibliography</w:t>
      </w:r>
    </w:p>
    <w:p w14:paraId="2ED4489D" w14:textId="3C35A89F" w:rsidR="00C44BBD" w:rsidRDefault="00C44BBD" w:rsidP="00C44BBD">
      <w:pPr>
        <w:ind w:left="0" w:firstLine="0"/>
        <w:jc w:val="left"/>
        <w:rPr>
          <w:rFonts w:ascii="Times New Roman" w:hAnsi="Times New Roman"/>
          <w:sz w:val="24"/>
          <w:szCs w:val="24"/>
        </w:rPr>
      </w:pPr>
      <w:r>
        <w:rPr>
          <w:rFonts w:ascii="Times New Roman" w:hAnsi="Times New Roman"/>
          <w:sz w:val="24"/>
          <w:szCs w:val="24"/>
        </w:rPr>
        <w:t xml:space="preserve">Brend. B, </w:t>
      </w:r>
      <w:r w:rsidRPr="00C44BBD">
        <w:rPr>
          <w:rFonts w:ascii="Times New Roman" w:hAnsi="Times New Roman"/>
          <w:i/>
          <w:sz w:val="24"/>
          <w:szCs w:val="24"/>
        </w:rPr>
        <w:t>Islamic Art</w:t>
      </w:r>
      <w:r>
        <w:rPr>
          <w:rFonts w:ascii="Times New Roman" w:hAnsi="Times New Roman"/>
          <w:sz w:val="24"/>
          <w:szCs w:val="24"/>
        </w:rPr>
        <w:t>, (London: British Museum Press, 1991)</w:t>
      </w:r>
    </w:p>
    <w:p w14:paraId="657E9F02" w14:textId="23CD4A4C" w:rsidR="00C44BBD" w:rsidRDefault="00C44BBD" w:rsidP="00C44BBD">
      <w:pPr>
        <w:ind w:left="0" w:firstLine="0"/>
        <w:jc w:val="left"/>
        <w:rPr>
          <w:rFonts w:ascii="Times New Roman" w:hAnsi="Times New Roman"/>
          <w:sz w:val="24"/>
          <w:szCs w:val="24"/>
        </w:rPr>
      </w:pPr>
      <w:r w:rsidRPr="00C44BBD">
        <w:rPr>
          <w:rFonts w:ascii="Times New Roman" w:hAnsi="Times New Roman"/>
          <w:sz w:val="24"/>
          <w:szCs w:val="24"/>
        </w:rPr>
        <w:t>Brisch. K, Iconography of the Mosaics in the Great Mosque at Damascus</w:t>
      </w:r>
      <w:r>
        <w:rPr>
          <w:rFonts w:ascii="Times New Roman" w:hAnsi="Times New Roman"/>
          <w:sz w:val="24"/>
          <w:szCs w:val="24"/>
        </w:rPr>
        <w:t>.</w:t>
      </w:r>
    </w:p>
    <w:p w14:paraId="2DD8ED01" w14:textId="25017F59" w:rsidR="00C44BBD" w:rsidRDefault="00C44BBD" w:rsidP="00C44BBD">
      <w:pPr>
        <w:ind w:left="0" w:firstLine="0"/>
        <w:jc w:val="left"/>
        <w:rPr>
          <w:rFonts w:ascii="Times New Roman" w:hAnsi="Times New Roman"/>
          <w:sz w:val="24"/>
          <w:szCs w:val="24"/>
        </w:rPr>
      </w:pPr>
      <w:r w:rsidRPr="00C44BBD">
        <w:rPr>
          <w:rFonts w:ascii="Times New Roman" w:hAnsi="Times New Roman"/>
          <w:sz w:val="24"/>
          <w:szCs w:val="24"/>
        </w:rPr>
        <w:t>Ibn Khaldun, The Muqaddimah: An Introduction to History, trans. Franz Rosenthal, ed. N. J. Dawood, 3 vols. (Princeton, N.J.: Princeton University Press, 1969)</w:t>
      </w:r>
      <w:r>
        <w:rPr>
          <w:rFonts w:ascii="Times New Roman" w:hAnsi="Times New Roman"/>
          <w:sz w:val="24"/>
          <w:szCs w:val="24"/>
        </w:rPr>
        <w:t>.</w:t>
      </w:r>
    </w:p>
    <w:p w14:paraId="457F3340" w14:textId="643CE103" w:rsidR="006108A0" w:rsidRDefault="006108A0" w:rsidP="00C44BBD">
      <w:pPr>
        <w:ind w:left="0" w:firstLine="0"/>
        <w:jc w:val="left"/>
        <w:rPr>
          <w:rFonts w:ascii="Times New Roman" w:hAnsi="Times New Roman"/>
          <w:sz w:val="24"/>
          <w:szCs w:val="24"/>
        </w:rPr>
      </w:pPr>
      <w:r w:rsidRPr="006108A0">
        <w:rPr>
          <w:rFonts w:ascii="Times New Roman" w:hAnsi="Times New Roman"/>
          <w:sz w:val="24"/>
          <w:szCs w:val="24"/>
        </w:rPr>
        <w:t xml:space="preserve">Modj-ta-ba Sadria. “Figural Representation in Islamic Art.” </w:t>
      </w:r>
      <w:r w:rsidRPr="006108A0">
        <w:rPr>
          <w:rFonts w:ascii="Times New Roman" w:hAnsi="Times New Roman"/>
          <w:i/>
          <w:iCs/>
          <w:sz w:val="24"/>
          <w:szCs w:val="24"/>
        </w:rPr>
        <w:t>Middle Eastern Studies</w:t>
      </w:r>
      <w:r w:rsidRPr="006108A0">
        <w:rPr>
          <w:rFonts w:ascii="Times New Roman" w:hAnsi="Times New Roman"/>
          <w:sz w:val="24"/>
          <w:szCs w:val="24"/>
        </w:rPr>
        <w:t xml:space="preserve">, vol. 20, no. 4, 1984, pp. 99–104. </w:t>
      </w:r>
      <w:r w:rsidRPr="006108A0">
        <w:rPr>
          <w:rFonts w:ascii="Times New Roman" w:hAnsi="Times New Roman"/>
          <w:i/>
          <w:iCs/>
          <w:sz w:val="24"/>
          <w:szCs w:val="24"/>
        </w:rPr>
        <w:t>JSTOR</w:t>
      </w:r>
      <w:r w:rsidRPr="006108A0">
        <w:rPr>
          <w:rFonts w:ascii="Times New Roman" w:hAnsi="Times New Roman"/>
          <w:sz w:val="24"/>
          <w:szCs w:val="24"/>
        </w:rPr>
        <w:t>, JSTOR, www.jstor.org/stable/4283032.</w:t>
      </w:r>
      <w:bookmarkStart w:id="1" w:name="_GoBack"/>
      <w:bookmarkEnd w:id="1"/>
    </w:p>
    <w:p w14:paraId="0C366359" w14:textId="77777777" w:rsidR="00C44BBD" w:rsidRPr="00CF755F" w:rsidRDefault="00C44BBD" w:rsidP="00C44BBD">
      <w:pPr>
        <w:ind w:left="0" w:firstLine="0"/>
        <w:jc w:val="center"/>
        <w:rPr>
          <w:rFonts w:ascii="Times New Roman" w:hAnsi="Times New Roman"/>
          <w:sz w:val="24"/>
          <w:szCs w:val="24"/>
        </w:rPr>
      </w:pPr>
    </w:p>
    <w:p w14:paraId="3F0E836D" w14:textId="77777777" w:rsidR="00FB4AF2" w:rsidRPr="00CF755F" w:rsidRDefault="00FB4AF2" w:rsidP="00602B25">
      <w:pPr>
        <w:ind w:left="720"/>
        <w:jc w:val="left"/>
        <w:rPr>
          <w:rFonts w:ascii="Times New Roman" w:hAnsi="Times New Roman"/>
          <w:sz w:val="24"/>
          <w:szCs w:val="24"/>
        </w:rPr>
      </w:pPr>
    </w:p>
    <w:p w14:paraId="31765B02" w14:textId="63A6667F" w:rsidR="009C1AEC" w:rsidRPr="000D7CFB" w:rsidRDefault="00AA5055" w:rsidP="00646134">
      <w:pPr>
        <w:ind w:left="0" w:firstLine="0"/>
        <w:jc w:val="left"/>
        <w:rPr>
          <w:rFonts w:ascii="Times New Roman" w:hAnsi="Times New Roman"/>
          <w:sz w:val="24"/>
          <w:szCs w:val="24"/>
        </w:rPr>
      </w:pPr>
      <w:r>
        <w:rPr>
          <w:rFonts w:ascii="Times New Roman" w:hAnsi="Times New Roman"/>
          <w:sz w:val="24"/>
          <w:szCs w:val="24"/>
        </w:rPr>
        <w:t xml:space="preserve"> </w:t>
      </w:r>
      <w:r w:rsidR="004508DC">
        <w:rPr>
          <w:rFonts w:ascii="Times New Roman" w:hAnsi="Times New Roman"/>
          <w:sz w:val="24"/>
          <w:szCs w:val="24"/>
        </w:rPr>
        <w:t xml:space="preserve"> </w:t>
      </w:r>
    </w:p>
    <w:sectPr w:rsidR="009C1AEC" w:rsidRPr="000D7CFB">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3ABE106" w14:textId="77777777" w:rsidR="00C57165" w:rsidRDefault="00C57165" w:rsidP="000D7CFB">
      <w:pPr>
        <w:spacing w:line="240" w:lineRule="auto"/>
      </w:pPr>
      <w:r>
        <w:separator/>
      </w:r>
    </w:p>
  </w:endnote>
  <w:endnote w:type="continuationSeparator" w:id="0">
    <w:p w14:paraId="1808B1C9" w14:textId="77777777" w:rsidR="00C57165" w:rsidRDefault="00C57165" w:rsidP="000D7CF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mic Sans MS">
    <w:panose1 w:val="030F0702030302020204"/>
    <w:charset w:val="00"/>
    <w:family w:val="script"/>
    <w:pitch w:val="variable"/>
    <w:sig w:usb0="00000287" w:usb1="00000013" w:usb2="00000000" w:usb3="00000000" w:csb0="0000009F"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1E6273F" w14:textId="77777777" w:rsidR="00C57165" w:rsidRDefault="00C57165" w:rsidP="000D7CFB">
      <w:pPr>
        <w:spacing w:line="240" w:lineRule="auto"/>
      </w:pPr>
      <w:r>
        <w:separator/>
      </w:r>
    </w:p>
  </w:footnote>
  <w:footnote w:type="continuationSeparator" w:id="0">
    <w:p w14:paraId="37FE75CB" w14:textId="77777777" w:rsidR="00C57165" w:rsidRDefault="00C57165" w:rsidP="000D7CFB">
      <w:pPr>
        <w:spacing w:line="240" w:lineRule="auto"/>
      </w:pPr>
      <w:r>
        <w:continuationSeparator/>
      </w:r>
    </w:p>
  </w:footnote>
  <w:footnote w:id="1">
    <w:p w14:paraId="06133001" w14:textId="2827DE79" w:rsidR="00EB1DAE" w:rsidRDefault="00EB1DAE">
      <w:pPr>
        <w:pStyle w:val="FootnoteText"/>
      </w:pPr>
      <w:r>
        <w:rPr>
          <w:rStyle w:val="FootnoteReference"/>
        </w:rPr>
        <w:footnoteRef/>
      </w:r>
      <w:r w:rsidRPr="00D06111">
        <w:rPr>
          <w:rFonts w:ascii="Times New Roman" w:hAnsi="Times New Roman"/>
        </w:rPr>
        <w:t>Ibn Khaldun, The Muqaddimah: An Introduction to History, trans. Franz Rosenthal, ed. N. J. Dawood, 3 vols. (Princeton, N.J.: Princeton University Press, 1969), 2:56-57.</w:t>
      </w:r>
    </w:p>
  </w:footnote>
  <w:footnote w:id="2">
    <w:p w14:paraId="08054E40" w14:textId="3532CDB5" w:rsidR="00EB1DAE" w:rsidRDefault="00EB1DAE">
      <w:pPr>
        <w:pStyle w:val="FootnoteText"/>
      </w:pPr>
      <w:r>
        <w:rPr>
          <w:rStyle w:val="FootnoteReference"/>
        </w:rPr>
        <w:footnoteRef/>
      </w:r>
      <w:r>
        <w:t xml:space="preserve"> </w:t>
      </w:r>
      <w:bookmarkStart w:id="0" w:name="_Hlk506328009"/>
      <w:r w:rsidRPr="00C44BBD">
        <w:rPr>
          <w:rFonts w:ascii="Times New Roman" w:hAnsi="Times New Roman"/>
        </w:rPr>
        <w:t>Brisch. K, Iconography of the Mosaics in the Great Mosque at Damascus, p.15</w:t>
      </w:r>
      <w:bookmarkEnd w:id="0"/>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34683318"/>
      <w:docPartObj>
        <w:docPartGallery w:val="Page Numbers (Top of Page)"/>
        <w:docPartUnique/>
      </w:docPartObj>
    </w:sdtPr>
    <w:sdtEndPr>
      <w:rPr>
        <w:noProof/>
      </w:rPr>
    </w:sdtEndPr>
    <w:sdtContent>
      <w:p w14:paraId="2AE9D49B" w14:textId="5D679521" w:rsidR="00EB1DAE" w:rsidRDefault="00EB1DAE">
        <w:pPr>
          <w:pStyle w:val="Header"/>
          <w:jc w:val="right"/>
        </w:pPr>
        <w:r>
          <w:fldChar w:fldCharType="begin"/>
        </w:r>
        <w:r>
          <w:instrText xml:space="preserve"> PAGE   \* MERGEFORMAT </w:instrText>
        </w:r>
        <w:r>
          <w:fldChar w:fldCharType="separate"/>
        </w:r>
        <w:r w:rsidR="00330078">
          <w:rPr>
            <w:noProof/>
          </w:rPr>
          <w:t>5</w:t>
        </w:r>
        <w:r>
          <w:rPr>
            <w:noProof/>
          </w:rPr>
          <w:fldChar w:fldCharType="end"/>
        </w:r>
      </w:p>
    </w:sdtContent>
  </w:sdt>
  <w:p w14:paraId="46A5DE76" w14:textId="77777777" w:rsidR="00EB1DAE" w:rsidRDefault="00EB1DA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7CFB"/>
    <w:rsid w:val="00061582"/>
    <w:rsid w:val="00067018"/>
    <w:rsid w:val="000D7CFB"/>
    <w:rsid w:val="000F0947"/>
    <w:rsid w:val="001101A1"/>
    <w:rsid w:val="00112BD0"/>
    <w:rsid w:val="00140D85"/>
    <w:rsid w:val="00183A57"/>
    <w:rsid w:val="00254681"/>
    <w:rsid w:val="002C0BDF"/>
    <w:rsid w:val="002E5475"/>
    <w:rsid w:val="00313D94"/>
    <w:rsid w:val="00330078"/>
    <w:rsid w:val="00343BD3"/>
    <w:rsid w:val="003607C0"/>
    <w:rsid w:val="003629B9"/>
    <w:rsid w:val="0036357E"/>
    <w:rsid w:val="003651B0"/>
    <w:rsid w:val="00393C8C"/>
    <w:rsid w:val="003C1AB8"/>
    <w:rsid w:val="003C1DF3"/>
    <w:rsid w:val="003F4184"/>
    <w:rsid w:val="004508DC"/>
    <w:rsid w:val="005616E8"/>
    <w:rsid w:val="00566DD8"/>
    <w:rsid w:val="005A649C"/>
    <w:rsid w:val="005E35C9"/>
    <w:rsid w:val="005F451C"/>
    <w:rsid w:val="00602B25"/>
    <w:rsid w:val="006108A0"/>
    <w:rsid w:val="006136B2"/>
    <w:rsid w:val="006414EA"/>
    <w:rsid w:val="00646134"/>
    <w:rsid w:val="006553BF"/>
    <w:rsid w:val="006A70AF"/>
    <w:rsid w:val="006D070A"/>
    <w:rsid w:val="006E16E1"/>
    <w:rsid w:val="006E5DFA"/>
    <w:rsid w:val="007366C6"/>
    <w:rsid w:val="00787451"/>
    <w:rsid w:val="007A55DD"/>
    <w:rsid w:val="007B7B85"/>
    <w:rsid w:val="007C34F4"/>
    <w:rsid w:val="007F0436"/>
    <w:rsid w:val="00813A6E"/>
    <w:rsid w:val="0083134D"/>
    <w:rsid w:val="00871D1E"/>
    <w:rsid w:val="00896AC4"/>
    <w:rsid w:val="00914620"/>
    <w:rsid w:val="009973B8"/>
    <w:rsid w:val="009C1AEC"/>
    <w:rsid w:val="009E194C"/>
    <w:rsid w:val="00A34379"/>
    <w:rsid w:val="00A83E57"/>
    <w:rsid w:val="00AA5055"/>
    <w:rsid w:val="00AA6F36"/>
    <w:rsid w:val="00B521AE"/>
    <w:rsid w:val="00BA5D9D"/>
    <w:rsid w:val="00BC358C"/>
    <w:rsid w:val="00BC7DF5"/>
    <w:rsid w:val="00C44BBD"/>
    <w:rsid w:val="00C57165"/>
    <w:rsid w:val="00CE26CE"/>
    <w:rsid w:val="00CF30B1"/>
    <w:rsid w:val="00CF755F"/>
    <w:rsid w:val="00D06111"/>
    <w:rsid w:val="00D07524"/>
    <w:rsid w:val="00D14673"/>
    <w:rsid w:val="00DA027F"/>
    <w:rsid w:val="00E266B9"/>
    <w:rsid w:val="00E55ED0"/>
    <w:rsid w:val="00E7145A"/>
    <w:rsid w:val="00EB1DAE"/>
    <w:rsid w:val="00EF246C"/>
    <w:rsid w:val="00F35E18"/>
    <w:rsid w:val="00FB4AF2"/>
    <w:rsid w:val="00FD25FA"/>
    <w:rsid w:val="00FD42D0"/>
    <w:rsid w:val="00FD79D5"/>
    <w:rsid w:val="00FE08FE"/>
    <w:rsid w:val="00FF6F5F"/>
    <w:rsid w:val="00FF70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4619A1"/>
  <w15:chartTrackingRefBased/>
  <w15:docId w15:val="{B5398428-C72F-4457-ADE4-4604857E03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omic Sans MS" w:eastAsiaTheme="minorHAnsi" w:hAnsi="Comic Sans MS" w:cs="Times New Roman"/>
        <w:color w:val="000000"/>
        <w:sz w:val="19"/>
        <w:szCs w:val="19"/>
        <w:lang w:val="en-GB" w:eastAsia="en-US" w:bidi="ar-SA"/>
      </w:rPr>
    </w:rPrDefault>
    <w:pPrDefault>
      <w:pPr>
        <w:spacing w:line="360" w:lineRule="auto"/>
        <w:ind w:left="23" w:right="23" w:firstLine="181"/>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D7CFB"/>
    <w:pPr>
      <w:tabs>
        <w:tab w:val="center" w:pos="4513"/>
        <w:tab w:val="right" w:pos="9026"/>
      </w:tabs>
      <w:spacing w:line="240" w:lineRule="auto"/>
    </w:pPr>
  </w:style>
  <w:style w:type="character" w:customStyle="1" w:styleId="HeaderChar">
    <w:name w:val="Header Char"/>
    <w:basedOn w:val="DefaultParagraphFont"/>
    <w:link w:val="Header"/>
    <w:uiPriority w:val="99"/>
    <w:rsid w:val="000D7CFB"/>
  </w:style>
  <w:style w:type="paragraph" w:styleId="Footer">
    <w:name w:val="footer"/>
    <w:basedOn w:val="Normal"/>
    <w:link w:val="FooterChar"/>
    <w:uiPriority w:val="99"/>
    <w:unhideWhenUsed/>
    <w:rsid w:val="000D7CFB"/>
    <w:pPr>
      <w:tabs>
        <w:tab w:val="center" w:pos="4513"/>
        <w:tab w:val="right" w:pos="9026"/>
      </w:tabs>
      <w:spacing w:line="240" w:lineRule="auto"/>
    </w:pPr>
  </w:style>
  <w:style w:type="character" w:customStyle="1" w:styleId="FooterChar">
    <w:name w:val="Footer Char"/>
    <w:basedOn w:val="DefaultParagraphFont"/>
    <w:link w:val="Footer"/>
    <w:uiPriority w:val="99"/>
    <w:rsid w:val="000D7CFB"/>
  </w:style>
  <w:style w:type="paragraph" w:styleId="FootnoteText">
    <w:name w:val="footnote text"/>
    <w:basedOn w:val="Normal"/>
    <w:link w:val="FootnoteTextChar"/>
    <w:uiPriority w:val="99"/>
    <w:semiHidden/>
    <w:unhideWhenUsed/>
    <w:rsid w:val="003C1AB8"/>
    <w:pPr>
      <w:spacing w:line="240" w:lineRule="auto"/>
    </w:pPr>
    <w:rPr>
      <w:sz w:val="20"/>
      <w:szCs w:val="20"/>
    </w:rPr>
  </w:style>
  <w:style w:type="character" w:customStyle="1" w:styleId="FootnoteTextChar">
    <w:name w:val="Footnote Text Char"/>
    <w:basedOn w:val="DefaultParagraphFont"/>
    <w:link w:val="FootnoteText"/>
    <w:uiPriority w:val="99"/>
    <w:semiHidden/>
    <w:rsid w:val="003C1AB8"/>
    <w:rPr>
      <w:sz w:val="20"/>
      <w:szCs w:val="20"/>
    </w:rPr>
  </w:style>
  <w:style w:type="character" w:styleId="FootnoteReference">
    <w:name w:val="footnote reference"/>
    <w:basedOn w:val="DefaultParagraphFont"/>
    <w:uiPriority w:val="99"/>
    <w:semiHidden/>
    <w:unhideWhenUsed/>
    <w:rsid w:val="003C1AB8"/>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image" Target="media/image4.jpg"/><Relationship Id="rId4" Type="http://schemas.openxmlformats.org/officeDocument/2006/relationships/webSettings" Target="webSettings.xml"/><Relationship Id="rId9" Type="http://schemas.openxmlformats.org/officeDocument/2006/relationships/image" Target="media/image3.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325214D-30D1-4643-9B1A-4ADC177CE3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201</TotalTime>
  <Pages>5</Pages>
  <Words>1143</Words>
  <Characters>6518</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Janine Dixon (1600982)</dc:creator>
  <cp:keywords/>
  <dc:description/>
  <cp:lastModifiedBy>Janine Dixon (1600982)</cp:lastModifiedBy>
  <cp:revision>66</cp:revision>
  <dcterms:created xsi:type="dcterms:W3CDTF">2018-02-13T20:14:00Z</dcterms:created>
  <dcterms:modified xsi:type="dcterms:W3CDTF">2018-02-13T23:36:00Z</dcterms:modified>
</cp:coreProperties>
</file>