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419E7" w14:textId="77777777" w:rsidR="007332B8" w:rsidRDefault="007332B8" w:rsidP="00472ED8">
      <w:pPr>
        <w:spacing w:line="360" w:lineRule="auto"/>
        <w:jc w:val="both"/>
        <w:rPr>
          <w:rFonts w:ascii="Arial" w:hAnsi="Arial" w:cs="Arial"/>
          <w:b/>
          <w:color w:val="000000" w:themeColor="text1"/>
        </w:rPr>
      </w:pPr>
    </w:p>
    <w:p w14:paraId="577D0FAC" w14:textId="2238EF61" w:rsidR="007332B8" w:rsidRDefault="007332B8" w:rsidP="007332B8">
      <w:pPr>
        <w:spacing w:line="360" w:lineRule="auto"/>
        <w:jc w:val="both"/>
        <w:rPr>
          <w:rFonts w:ascii="Arial" w:hAnsi="Arial" w:cs="Arial"/>
          <w:b/>
          <w:color w:val="000000" w:themeColor="text1"/>
        </w:rPr>
      </w:pPr>
      <w:r>
        <w:rPr>
          <w:rFonts w:ascii="Arial" w:hAnsi="Arial" w:cs="Arial"/>
          <w:b/>
          <w:color w:val="000000" w:themeColor="text1"/>
        </w:rPr>
        <w:br w:type="page"/>
      </w:r>
      <w:r w:rsidRPr="007332B8">
        <w:lastRenderedPageBreak/>
        <w:drawing>
          <wp:inline distT="0" distB="0" distL="0" distR="0" wp14:anchorId="66793059" wp14:editId="5B47C510">
            <wp:extent cx="5731510" cy="1837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837690"/>
                    </a:xfrm>
                    <a:prstGeom prst="rect">
                      <a:avLst/>
                    </a:prstGeom>
                    <a:noFill/>
                    <a:ln>
                      <a:noFill/>
                    </a:ln>
                  </pic:spPr>
                </pic:pic>
              </a:graphicData>
            </a:graphic>
          </wp:inline>
        </w:drawing>
      </w:r>
    </w:p>
    <w:p w14:paraId="73CF22AE" w14:textId="77777777" w:rsidR="007332B8" w:rsidRDefault="007332B8" w:rsidP="007332B8">
      <w:pPr>
        <w:spacing w:line="360" w:lineRule="auto"/>
        <w:jc w:val="both"/>
        <w:rPr>
          <w:rFonts w:ascii="Arial" w:hAnsi="Arial" w:cs="Arial"/>
          <w:b/>
          <w:color w:val="000000" w:themeColor="text1"/>
        </w:rPr>
      </w:pPr>
    </w:p>
    <w:p w14:paraId="6C726E4F" w14:textId="77777777" w:rsidR="007332B8" w:rsidRDefault="007332B8" w:rsidP="007332B8">
      <w:pPr>
        <w:spacing w:line="360" w:lineRule="auto"/>
        <w:jc w:val="both"/>
        <w:rPr>
          <w:rFonts w:ascii="Arial" w:hAnsi="Arial" w:cs="Arial"/>
          <w:b/>
          <w:color w:val="000000" w:themeColor="text1"/>
        </w:rPr>
      </w:pPr>
    </w:p>
    <w:p w14:paraId="7CFECBB3" w14:textId="77777777" w:rsidR="007332B8" w:rsidRDefault="007332B8" w:rsidP="007332B8">
      <w:pPr>
        <w:spacing w:line="360" w:lineRule="auto"/>
        <w:jc w:val="both"/>
        <w:rPr>
          <w:rFonts w:ascii="Arial" w:hAnsi="Arial" w:cs="Arial"/>
          <w:b/>
          <w:color w:val="000000" w:themeColor="text1"/>
        </w:rPr>
      </w:pPr>
    </w:p>
    <w:p w14:paraId="55D98DBC" w14:textId="77777777" w:rsidR="007332B8" w:rsidRPr="00515773" w:rsidRDefault="007332B8" w:rsidP="007332B8">
      <w:pPr>
        <w:spacing w:line="360" w:lineRule="auto"/>
        <w:jc w:val="both"/>
        <w:rPr>
          <w:rFonts w:ascii="Arial" w:hAnsi="Arial" w:cs="Arial"/>
          <w:b/>
          <w:color w:val="000000" w:themeColor="text1"/>
        </w:rPr>
      </w:pPr>
    </w:p>
    <w:p w14:paraId="2EB409AA" w14:textId="7CD19A03" w:rsidR="007332B8" w:rsidRDefault="007332B8">
      <w:pPr>
        <w:rPr>
          <w:rFonts w:ascii="Arial" w:hAnsi="Arial" w:cs="Arial"/>
          <w:b/>
          <w:color w:val="000000" w:themeColor="text1"/>
        </w:rPr>
      </w:pPr>
    </w:p>
    <w:p w14:paraId="3367B530" w14:textId="543274B4" w:rsidR="00857CAD" w:rsidRPr="00472ED8" w:rsidRDefault="00F268F3" w:rsidP="00472ED8">
      <w:pPr>
        <w:spacing w:line="360" w:lineRule="auto"/>
        <w:jc w:val="both"/>
        <w:rPr>
          <w:rFonts w:ascii="Arial" w:hAnsi="Arial" w:cs="Arial"/>
          <w:b/>
          <w:color w:val="000000" w:themeColor="text1"/>
        </w:rPr>
      </w:pPr>
      <w:r w:rsidRPr="00472ED8">
        <w:rPr>
          <w:rFonts w:ascii="Arial" w:hAnsi="Arial" w:cs="Arial"/>
          <w:b/>
          <w:color w:val="000000" w:themeColor="text1"/>
        </w:rPr>
        <w:t>The impact of loneliness and social isolation on the elderly population</w:t>
      </w:r>
    </w:p>
    <w:p w14:paraId="2C9ECEE7" w14:textId="77777777" w:rsidR="00860DEB" w:rsidRPr="00472ED8" w:rsidRDefault="00860DEB"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63742CF0" w14:textId="77777777" w:rsidR="00860DEB" w:rsidRPr="00472ED8" w:rsidRDefault="00860DEB"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7AECD5CA" w14:textId="77777777" w:rsidR="00860DEB" w:rsidRPr="00472ED8" w:rsidRDefault="00860DEB"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6AD2A815" w14:textId="77777777" w:rsidR="00860DEB" w:rsidRPr="00472ED8" w:rsidRDefault="00860DEB"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2E8717A7" w14:textId="77777777" w:rsidR="00860DEB" w:rsidRPr="00472ED8" w:rsidRDefault="00860DEB"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0FA33C69"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04513A5A"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3B3836A2"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7694B792"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42534A42"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1054A750"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1AA359AB"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07B3B20B"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13C1F6F6"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132C003B"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1A118824" w14:textId="77777777" w:rsidR="00254008" w:rsidRPr="00472ED8" w:rsidRDefault="00254008"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2DA0831A" w14:textId="77777777" w:rsidR="00860DEB" w:rsidRPr="00472ED8" w:rsidRDefault="00860DEB"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01D254DD" w14:textId="77777777" w:rsidR="008430BA" w:rsidRPr="00472ED8" w:rsidRDefault="008430BA" w:rsidP="00472ED8">
      <w:pPr>
        <w:pStyle w:val="NormalWeb"/>
        <w:shd w:val="clear" w:color="auto" w:fill="FFFFFF"/>
        <w:spacing w:before="0" w:beforeAutospacing="0" w:line="360" w:lineRule="auto"/>
        <w:jc w:val="both"/>
        <w:rPr>
          <w:rFonts w:ascii="Arial" w:hAnsi="Arial" w:cs="Arial"/>
          <w:color w:val="000000" w:themeColor="text1"/>
          <w:sz w:val="22"/>
          <w:szCs w:val="22"/>
        </w:rPr>
      </w:pPr>
    </w:p>
    <w:p w14:paraId="7D0E62A5" w14:textId="77777777" w:rsidR="008316C0" w:rsidRPr="00472ED8" w:rsidRDefault="008316C0" w:rsidP="00472ED8">
      <w:pPr>
        <w:spacing w:line="360" w:lineRule="auto"/>
        <w:jc w:val="both"/>
        <w:rPr>
          <w:rFonts w:ascii="Arial" w:eastAsia="Times New Roman" w:hAnsi="Arial" w:cs="Arial"/>
          <w:color w:val="000000" w:themeColor="text1"/>
          <w:lang w:eastAsia="en-GB"/>
        </w:rPr>
      </w:pPr>
    </w:p>
    <w:p w14:paraId="2BEB5546" w14:textId="77777777" w:rsidR="00835F21" w:rsidRPr="00472ED8" w:rsidRDefault="00835F21" w:rsidP="00472ED8">
      <w:pPr>
        <w:spacing w:line="360" w:lineRule="auto"/>
        <w:jc w:val="both"/>
        <w:rPr>
          <w:rFonts w:ascii="Arial" w:eastAsia="Times New Roman" w:hAnsi="Arial" w:cs="Arial"/>
          <w:color w:val="000000" w:themeColor="text1"/>
          <w:lang w:eastAsia="en-GB"/>
        </w:rPr>
      </w:pPr>
    </w:p>
    <w:p w14:paraId="7E33163F" w14:textId="77777777" w:rsidR="00FE304D" w:rsidRPr="00472ED8" w:rsidRDefault="00FE304D" w:rsidP="00472ED8">
      <w:pPr>
        <w:spacing w:line="360" w:lineRule="auto"/>
        <w:jc w:val="both"/>
        <w:rPr>
          <w:rFonts w:ascii="Arial" w:eastAsia="Times New Roman" w:hAnsi="Arial" w:cs="Arial"/>
          <w:color w:val="000000" w:themeColor="text1"/>
          <w:lang w:eastAsia="en-GB"/>
        </w:rPr>
      </w:pPr>
    </w:p>
    <w:sdt>
      <w:sdtPr>
        <w:rPr>
          <w:rFonts w:ascii="Arial" w:eastAsiaTheme="minorHAnsi" w:hAnsi="Arial" w:cs="Arial"/>
          <w:b w:val="0"/>
          <w:bCs w:val="0"/>
          <w:color w:val="auto"/>
          <w:sz w:val="22"/>
          <w:szCs w:val="22"/>
          <w:lang w:val="en-GB"/>
        </w:rPr>
        <w:id w:val="1546832"/>
        <w:docPartObj>
          <w:docPartGallery w:val="Table of Contents"/>
          <w:docPartUnique/>
        </w:docPartObj>
      </w:sdtPr>
      <w:sdtContent>
        <w:p w14:paraId="08E97B75" w14:textId="77777777" w:rsidR="002A525E" w:rsidRPr="00472ED8" w:rsidRDefault="002A525E" w:rsidP="00472ED8">
          <w:pPr>
            <w:pStyle w:val="TOCHeading"/>
            <w:spacing w:line="360" w:lineRule="auto"/>
            <w:rPr>
              <w:rFonts w:ascii="Arial" w:hAnsi="Arial" w:cs="Arial"/>
              <w:sz w:val="22"/>
              <w:szCs w:val="22"/>
            </w:rPr>
          </w:pPr>
          <w:r w:rsidRPr="00472ED8">
            <w:rPr>
              <w:rFonts w:ascii="Arial" w:hAnsi="Arial" w:cs="Arial"/>
              <w:sz w:val="22"/>
              <w:szCs w:val="22"/>
            </w:rPr>
            <w:t>Contents</w:t>
          </w:r>
        </w:p>
        <w:p w14:paraId="0031E1B1" w14:textId="77777777" w:rsidR="002A525E" w:rsidRPr="00472ED8" w:rsidRDefault="00D239BA" w:rsidP="00472ED8">
          <w:pPr>
            <w:pStyle w:val="TOC2"/>
            <w:tabs>
              <w:tab w:val="right" w:leader="dot" w:pos="9016"/>
            </w:tabs>
            <w:spacing w:line="360" w:lineRule="auto"/>
            <w:rPr>
              <w:rFonts w:ascii="Arial" w:eastAsiaTheme="minorEastAsia" w:hAnsi="Arial" w:cs="Arial"/>
              <w:noProof/>
              <w:lang w:eastAsia="en-GB"/>
            </w:rPr>
          </w:pPr>
          <w:r w:rsidRPr="00472ED8">
            <w:rPr>
              <w:rFonts w:ascii="Arial" w:hAnsi="Arial" w:cs="Arial"/>
            </w:rPr>
            <w:fldChar w:fldCharType="begin"/>
          </w:r>
          <w:r w:rsidR="002A525E" w:rsidRPr="00472ED8">
            <w:rPr>
              <w:rFonts w:ascii="Arial" w:hAnsi="Arial" w:cs="Arial"/>
            </w:rPr>
            <w:instrText xml:space="preserve"> TOC \o "1-3" \h \z \u </w:instrText>
          </w:r>
          <w:r w:rsidRPr="00472ED8">
            <w:rPr>
              <w:rFonts w:ascii="Arial" w:hAnsi="Arial" w:cs="Arial"/>
            </w:rPr>
            <w:fldChar w:fldCharType="separate"/>
          </w:r>
          <w:hyperlink w:anchor="_Toc112874158" w:history="1">
            <w:r w:rsidR="002A525E" w:rsidRPr="00472ED8">
              <w:rPr>
                <w:rStyle w:val="Hyperlink"/>
                <w:rFonts w:ascii="Arial" w:hAnsi="Arial" w:cs="Arial"/>
                <w:noProof/>
              </w:rPr>
              <w:t>What it means to be an elderly person in the UK and another country of your choice.</w:t>
            </w:r>
            <w:r w:rsidR="002A525E" w:rsidRPr="00472ED8">
              <w:rPr>
                <w:rFonts w:ascii="Arial" w:hAnsi="Arial" w:cs="Arial"/>
                <w:noProof/>
                <w:webHidden/>
              </w:rPr>
              <w:tab/>
            </w:r>
            <w:r w:rsidRPr="00472ED8">
              <w:rPr>
                <w:rFonts w:ascii="Arial" w:hAnsi="Arial" w:cs="Arial"/>
                <w:noProof/>
                <w:webHidden/>
              </w:rPr>
              <w:fldChar w:fldCharType="begin"/>
            </w:r>
            <w:r w:rsidR="002A525E" w:rsidRPr="00472ED8">
              <w:rPr>
                <w:rFonts w:ascii="Arial" w:hAnsi="Arial" w:cs="Arial"/>
                <w:noProof/>
                <w:webHidden/>
              </w:rPr>
              <w:instrText xml:space="preserve"> PAGEREF _Toc112874158 \h </w:instrText>
            </w:r>
            <w:r w:rsidRPr="00472ED8">
              <w:rPr>
                <w:rFonts w:ascii="Arial" w:hAnsi="Arial" w:cs="Arial"/>
                <w:noProof/>
                <w:webHidden/>
              </w:rPr>
            </w:r>
            <w:r w:rsidRPr="00472ED8">
              <w:rPr>
                <w:rFonts w:ascii="Arial" w:hAnsi="Arial" w:cs="Arial"/>
                <w:noProof/>
                <w:webHidden/>
              </w:rPr>
              <w:fldChar w:fldCharType="separate"/>
            </w:r>
            <w:r w:rsidR="002A525E" w:rsidRPr="00472ED8">
              <w:rPr>
                <w:rFonts w:ascii="Arial" w:hAnsi="Arial" w:cs="Arial"/>
                <w:noProof/>
                <w:webHidden/>
              </w:rPr>
              <w:t>3</w:t>
            </w:r>
            <w:r w:rsidRPr="00472ED8">
              <w:rPr>
                <w:rFonts w:ascii="Arial" w:hAnsi="Arial" w:cs="Arial"/>
                <w:noProof/>
                <w:webHidden/>
              </w:rPr>
              <w:fldChar w:fldCharType="end"/>
            </w:r>
          </w:hyperlink>
        </w:p>
        <w:p w14:paraId="14AC00E5"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59" w:history="1">
            <w:r w:rsidR="002A525E" w:rsidRPr="00472ED8">
              <w:rPr>
                <w:rStyle w:val="Hyperlink"/>
                <w:rFonts w:ascii="Arial" w:hAnsi="Arial" w:cs="Arial"/>
                <w:noProof/>
              </w:rPr>
              <w:t>Provide statistics on the ageing population and how these have changed in recent years.</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_Toc112874159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4</w:t>
            </w:r>
            <w:r w:rsidR="00D239BA" w:rsidRPr="00472ED8">
              <w:rPr>
                <w:rFonts w:ascii="Arial" w:hAnsi="Arial" w:cs="Arial"/>
                <w:noProof/>
                <w:webHidden/>
              </w:rPr>
              <w:fldChar w:fldCharType="end"/>
            </w:r>
          </w:hyperlink>
        </w:p>
        <w:p w14:paraId="25AB1082"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60" w:history="1">
            <w:r w:rsidR="002A525E" w:rsidRPr="00472ED8">
              <w:rPr>
                <w:rStyle w:val="Hyperlink"/>
                <w:rFonts w:ascii="Arial" w:hAnsi="Arial" w:cs="Arial"/>
                <w:noProof/>
              </w:rPr>
              <w:t>Discuss relevant theories of loneliness and isolation and explore the concepts associated with loneliness, alluded to in literature.</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_Toc112874160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5</w:t>
            </w:r>
            <w:r w:rsidR="00D239BA" w:rsidRPr="00472ED8">
              <w:rPr>
                <w:rFonts w:ascii="Arial" w:hAnsi="Arial" w:cs="Arial"/>
                <w:noProof/>
                <w:webHidden/>
              </w:rPr>
              <w:fldChar w:fldCharType="end"/>
            </w:r>
          </w:hyperlink>
        </w:p>
        <w:p w14:paraId="2EA51FBA"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61" w:history="1">
            <w:r w:rsidR="002A525E" w:rsidRPr="00472ED8">
              <w:rPr>
                <w:rStyle w:val="Hyperlink"/>
                <w:rFonts w:ascii="Arial" w:hAnsi="Arial" w:cs="Arial"/>
                <w:noProof/>
              </w:rPr>
              <w:t>Discuss the impact of loneliness and isolation on an older person living within a care setting.</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_Toc112874161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6</w:t>
            </w:r>
            <w:r w:rsidR="00D239BA" w:rsidRPr="00472ED8">
              <w:rPr>
                <w:rFonts w:ascii="Arial" w:hAnsi="Arial" w:cs="Arial"/>
                <w:noProof/>
                <w:webHidden/>
              </w:rPr>
              <w:fldChar w:fldCharType="end"/>
            </w:r>
          </w:hyperlink>
        </w:p>
        <w:p w14:paraId="0FBF0016"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62" w:history="1">
            <w:r w:rsidR="002A525E" w:rsidRPr="00472ED8">
              <w:rPr>
                <w:rStyle w:val="Hyperlink"/>
                <w:rFonts w:ascii="Arial" w:hAnsi="Arial" w:cs="Arial"/>
                <w:noProof/>
              </w:rPr>
              <w:t>Critically examine current legislation and policies that deal with or aim to raise awareness or reduce loneliness and isolation in the elderly population.</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_Toc112874162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7</w:t>
            </w:r>
            <w:r w:rsidR="00D239BA" w:rsidRPr="00472ED8">
              <w:rPr>
                <w:rFonts w:ascii="Arial" w:hAnsi="Arial" w:cs="Arial"/>
                <w:noProof/>
                <w:webHidden/>
              </w:rPr>
              <w:fldChar w:fldCharType="end"/>
            </w:r>
          </w:hyperlink>
        </w:p>
        <w:p w14:paraId="2D72F37B"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63" w:history="1">
            <w:r w:rsidR="002A525E" w:rsidRPr="00472ED8">
              <w:rPr>
                <w:rStyle w:val="Hyperlink"/>
                <w:rFonts w:ascii="Arial" w:hAnsi="Arial" w:cs="Arial"/>
                <w:noProof/>
              </w:rPr>
              <w:t>Critically evaluate and compare local, national and global provision of services for the older person in line with current initiatives and policy</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_Toc112874163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9</w:t>
            </w:r>
            <w:r w:rsidR="00D239BA" w:rsidRPr="00472ED8">
              <w:rPr>
                <w:rFonts w:ascii="Arial" w:hAnsi="Arial" w:cs="Arial"/>
                <w:noProof/>
                <w:webHidden/>
              </w:rPr>
              <w:fldChar w:fldCharType="end"/>
            </w:r>
          </w:hyperlink>
        </w:p>
        <w:p w14:paraId="2DF384F6"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64" w:history="1">
            <w:r w:rsidR="002A525E" w:rsidRPr="00472ED8">
              <w:rPr>
                <w:rStyle w:val="Hyperlink"/>
                <w:rFonts w:ascii="Arial" w:hAnsi="Arial" w:cs="Arial"/>
                <w:noProof/>
              </w:rPr>
              <w:t>Recommendations.</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_Toc112874164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10</w:t>
            </w:r>
            <w:r w:rsidR="00D239BA" w:rsidRPr="00472ED8">
              <w:rPr>
                <w:rFonts w:ascii="Arial" w:hAnsi="Arial" w:cs="Arial"/>
                <w:noProof/>
                <w:webHidden/>
              </w:rPr>
              <w:fldChar w:fldCharType="end"/>
            </w:r>
          </w:hyperlink>
        </w:p>
        <w:p w14:paraId="72408B95" w14:textId="77777777" w:rsidR="002A525E" w:rsidRPr="00472ED8" w:rsidRDefault="00000000" w:rsidP="00472ED8">
          <w:pPr>
            <w:pStyle w:val="TOC2"/>
            <w:tabs>
              <w:tab w:val="right" w:leader="dot" w:pos="9016"/>
            </w:tabs>
            <w:spacing w:line="360" w:lineRule="auto"/>
            <w:rPr>
              <w:rFonts w:ascii="Arial" w:eastAsiaTheme="minorEastAsia" w:hAnsi="Arial" w:cs="Arial"/>
              <w:noProof/>
              <w:lang w:eastAsia="en-GB"/>
            </w:rPr>
          </w:pPr>
          <w:hyperlink w:anchor="_Toc112874165" w:history="1">
            <w:r w:rsidR="002A525E" w:rsidRPr="00472ED8">
              <w:rPr>
                <w:rStyle w:val="Hyperlink"/>
                <w:rFonts w:ascii="Arial" w:hAnsi="Arial" w:cs="Arial"/>
                <w:noProof/>
              </w:rPr>
              <w:t>REFERENCES</w:t>
            </w:r>
            <w:r w:rsidR="002A525E" w:rsidRPr="00472ED8">
              <w:rPr>
                <w:rFonts w:ascii="Arial" w:hAnsi="Arial" w:cs="Arial"/>
                <w:noProof/>
                <w:webHidden/>
              </w:rPr>
              <w:tab/>
            </w:r>
            <w:r w:rsidR="00D239BA" w:rsidRPr="00472ED8">
              <w:rPr>
                <w:rFonts w:ascii="Arial" w:hAnsi="Arial" w:cs="Arial"/>
                <w:noProof/>
                <w:webHidden/>
              </w:rPr>
              <w:fldChar w:fldCharType="begin"/>
            </w:r>
            <w:r w:rsidR="002A525E" w:rsidRPr="00472ED8">
              <w:rPr>
                <w:rFonts w:ascii="Arial" w:hAnsi="Arial" w:cs="Arial"/>
                <w:noProof/>
                <w:webHidden/>
              </w:rPr>
              <w:instrText xml:space="preserve"> PAGEREF _Toc112874165 \h </w:instrText>
            </w:r>
            <w:r w:rsidR="00D239BA" w:rsidRPr="00472ED8">
              <w:rPr>
                <w:rFonts w:ascii="Arial" w:hAnsi="Arial" w:cs="Arial"/>
                <w:noProof/>
                <w:webHidden/>
              </w:rPr>
            </w:r>
            <w:r w:rsidR="00D239BA" w:rsidRPr="00472ED8">
              <w:rPr>
                <w:rFonts w:ascii="Arial" w:hAnsi="Arial" w:cs="Arial"/>
                <w:noProof/>
                <w:webHidden/>
              </w:rPr>
              <w:fldChar w:fldCharType="separate"/>
            </w:r>
            <w:r w:rsidR="002A525E" w:rsidRPr="00472ED8">
              <w:rPr>
                <w:rFonts w:ascii="Arial" w:hAnsi="Arial" w:cs="Arial"/>
                <w:noProof/>
                <w:webHidden/>
              </w:rPr>
              <w:t>12</w:t>
            </w:r>
            <w:r w:rsidR="00D239BA" w:rsidRPr="00472ED8">
              <w:rPr>
                <w:rFonts w:ascii="Arial" w:hAnsi="Arial" w:cs="Arial"/>
                <w:noProof/>
                <w:webHidden/>
              </w:rPr>
              <w:fldChar w:fldCharType="end"/>
            </w:r>
          </w:hyperlink>
        </w:p>
        <w:p w14:paraId="3137D881" w14:textId="77777777" w:rsidR="002A525E" w:rsidRPr="00472ED8" w:rsidRDefault="00D239BA" w:rsidP="00472ED8">
          <w:pPr>
            <w:spacing w:line="360" w:lineRule="auto"/>
            <w:rPr>
              <w:rFonts w:ascii="Arial" w:hAnsi="Arial" w:cs="Arial"/>
            </w:rPr>
          </w:pPr>
          <w:r w:rsidRPr="00472ED8">
            <w:rPr>
              <w:rFonts w:ascii="Arial" w:hAnsi="Arial" w:cs="Arial"/>
            </w:rPr>
            <w:fldChar w:fldCharType="end"/>
          </w:r>
        </w:p>
      </w:sdtContent>
    </w:sdt>
    <w:p w14:paraId="46798CA1"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4014C611"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77FF6240"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1B69168E"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29930F3E"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09BC8635"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20755A13"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510D54EE"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078019FD"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5871A51F"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1AD88888"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7FFA7CF4"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47989BA5" w14:textId="77777777" w:rsidR="00FE304D" w:rsidRPr="00472ED8" w:rsidRDefault="00FE304D" w:rsidP="00472ED8">
      <w:pPr>
        <w:spacing w:line="360" w:lineRule="auto"/>
        <w:jc w:val="both"/>
        <w:rPr>
          <w:rFonts w:ascii="Arial" w:eastAsia="Times New Roman" w:hAnsi="Arial" w:cs="Arial"/>
          <w:color w:val="000000" w:themeColor="text1"/>
          <w:lang w:eastAsia="en-GB"/>
        </w:rPr>
      </w:pPr>
    </w:p>
    <w:p w14:paraId="4497DE49" w14:textId="77777777" w:rsidR="002A525E" w:rsidRPr="00472ED8" w:rsidRDefault="002A525E" w:rsidP="00472ED8">
      <w:pPr>
        <w:pStyle w:val="Heading2"/>
        <w:spacing w:line="360" w:lineRule="auto"/>
        <w:rPr>
          <w:rFonts w:ascii="Arial" w:hAnsi="Arial" w:cs="Arial"/>
          <w:b w:val="0"/>
          <w:bCs w:val="0"/>
          <w:color w:val="000000" w:themeColor="text1"/>
          <w:sz w:val="22"/>
          <w:szCs w:val="22"/>
        </w:rPr>
      </w:pPr>
      <w:bookmarkStart w:id="0" w:name="_Toc112874158"/>
    </w:p>
    <w:p w14:paraId="11376C17" w14:textId="77777777" w:rsidR="008316C0" w:rsidRPr="00472ED8" w:rsidRDefault="00AE687A" w:rsidP="00472ED8">
      <w:pPr>
        <w:pStyle w:val="Heading2"/>
        <w:spacing w:line="360" w:lineRule="auto"/>
        <w:rPr>
          <w:rFonts w:ascii="Arial" w:hAnsi="Arial" w:cs="Arial"/>
          <w:sz w:val="22"/>
          <w:szCs w:val="22"/>
        </w:rPr>
      </w:pPr>
      <w:r w:rsidRPr="00472ED8">
        <w:rPr>
          <w:rFonts w:ascii="Arial" w:hAnsi="Arial" w:cs="Arial"/>
          <w:sz w:val="22"/>
          <w:szCs w:val="22"/>
        </w:rPr>
        <w:t>What it means to be an elderly person in the UK and another country of your choice.</w:t>
      </w:r>
      <w:bookmarkEnd w:id="0"/>
      <w:r w:rsidRPr="00472ED8">
        <w:rPr>
          <w:rFonts w:ascii="Arial" w:hAnsi="Arial" w:cs="Arial"/>
          <w:sz w:val="22"/>
          <w:szCs w:val="22"/>
        </w:rPr>
        <w:t xml:space="preserve"> </w:t>
      </w:r>
    </w:p>
    <w:p w14:paraId="163A7278" w14:textId="77777777" w:rsidR="009169AE" w:rsidRPr="00472ED8" w:rsidRDefault="009169AE" w:rsidP="00472ED8">
      <w:pPr>
        <w:pStyle w:val="NormalWeb"/>
        <w:shd w:val="clear" w:color="auto" w:fill="FFFFFF"/>
        <w:spacing w:after="36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Since it is the legal retirement age for males and the age at which they may begin collecting their State Pension, 65 has traditionally been regarded as the marker for old age in the United Kingdom.</w:t>
      </w:r>
    </w:p>
    <w:p w14:paraId="5B461D57" w14:textId="77777777" w:rsidR="009169AE" w:rsidRPr="00472ED8" w:rsidRDefault="009169AE" w:rsidP="00472ED8">
      <w:pPr>
        <w:pStyle w:val="NormalWeb"/>
        <w:shd w:val="clear" w:color="auto" w:fill="FFFFFF"/>
        <w:spacing w:before="0" w:beforeAutospacing="0" w:after="360" w:afterAutospacing="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In terms of working habits, 65 is no longer regarded the start of senior age. There is no longer a predetermined retirement age, the State Pension age is growing, and more individuals are working past their retirement age. People are also living longer and healthier lives. In 2018, a 65-year-old male may expect to live another 18.6 years, while a 65-year-old woman can expect to live another 21 years. As a result, women have a quarter of their lives left on average at 65, while men have just over a fifth.</w:t>
      </w:r>
    </w:p>
    <w:p w14:paraId="2BE071D7" w14:textId="77777777" w:rsidR="008540A8" w:rsidRPr="00472ED8" w:rsidRDefault="008540A8" w:rsidP="00472ED8">
      <w:pPr>
        <w:pStyle w:val="NormalWeb"/>
        <w:shd w:val="clear" w:color="auto" w:fill="FFFFFF"/>
        <w:spacing w:after="36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The fact that 65-year-olds now and 65-year-olds a century ago have distinct characteristics, particularly in terms of health and life expectancy, is another important issue to consider when considering the age of 65.</w:t>
      </w:r>
    </w:p>
    <w:p w14:paraId="5C7C19C6" w14:textId="77777777" w:rsidR="00F00765" w:rsidRPr="00472ED8" w:rsidRDefault="008540A8" w:rsidP="00472ED8">
      <w:pPr>
        <w:pStyle w:val="NormalWeb"/>
        <w:shd w:val="clear" w:color="auto" w:fill="FFFFFF"/>
        <w:spacing w:before="0" w:beforeAutospacing="0" w:after="360" w:afterAutospacing="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 xml:space="preserve">The United States is well-known for its obsession with youth. All media celebrates youth and beauty, and we are taught from an early age that "new things" are the best. People are </w:t>
      </w:r>
      <w:r w:rsidRPr="00472ED8">
        <w:rPr>
          <w:rFonts w:ascii="Arial" w:hAnsi="Arial" w:cs="Arial"/>
          <w:color w:val="000000" w:themeColor="text1"/>
          <w:sz w:val="22"/>
          <w:szCs w:val="22"/>
        </w:rPr>
        <w:lastRenderedPageBreak/>
        <w:t xml:space="preserve">obsessed with seeming much younger than they are. Plastic surgery for both men and women is at an all-time high. </w:t>
      </w:r>
      <w:r w:rsidR="000A4376" w:rsidRPr="00472ED8">
        <w:rPr>
          <w:rFonts w:ascii="Arial" w:hAnsi="Arial" w:cs="Arial"/>
          <w:color w:val="000000" w:themeColor="text1"/>
          <w:sz w:val="22"/>
          <w:szCs w:val="22"/>
        </w:rPr>
        <w:t>The vast majority of plastic surgery treatments are elective and conducted mostly for vanity and physical appearance. In Hollywood films, leading men are often muscular, fit, and virile, whereas only young women are frequently cast in main roles. Only young, beautiful, and trim ladies are featured on the covers of women's fashion magazines. Men's magazines do the same thing, but exclusively with male athletes, actors, and models. What messages are being sent? What effect does this have on our views toward aging, our self-image, and our self-esteem? What effect does this have on our impressions of the elderly and our own concerns about aging</w:t>
      </w:r>
    </w:p>
    <w:p w14:paraId="1FF5A483" w14:textId="77777777" w:rsidR="007C0CC5" w:rsidRPr="00472ED8" w:rsidRDefault="003D7C98" w:rsidP="00472ED8">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Despite the fact that the US population is aging, there is still a strong anti-aging prejudice and widespread fear of becoming old. Despite the fact that females have traditionally been the object of emphasis on youth and beauty, guys are increasingly displaying greater worry about aging and becoming old. People used to look up to and respect the old, valuing their wisdom and knowledge. As a result of changes in the political, social, and economic landscapes, the prestige and position of the elderly in society has diminished. With a growing feeling of autonomy and a growing worry about remaining youthful, older individuals have faced an increasing amount of indifference, contempt, and marginalization. These current social and cultural challenges have undeniable social and intellectual relevance, and they deserve considerably greater attention and applied action than they currently receive.</w:t>
      </w:r>
    </w:p>
    <w:p w14:paraId="2DB4F86D" w14:textId="77777777" w:rsidR="007B41B7" w:rsidRPr="00472ED8" w:rsidRDefault="00AE687A" w:rsidP="00472ED8">
      <w:pPr>
        <w:pStyle w:val="Heading2"/>
        <w:spacing w:line="360" w:lineRule="auto"/>
        <w:rPr>
          <w:rFonts w:ascii="Arial" w:hAnsi="Arial" w:cs="Arial"/>
          <w:sz w:val="22"/>
          <w:szCs w:val="22"/>
        </w:rPr>
      </w:pPr>
      <w:bookmarkStart w:id="1" w:name="_Toc112874159"/>
      <w:r w:rsidRPr="00472ED8">
        <w:rPr>
          <w:rFonts w:ascii="Arial" w:hAnsi="Arial" w:cs="Arial"/>
          <w:sz w:val="22"/>
          <w:szCs w:val="22"/>
        </w:rPr>
        <w:t>Provide statistics on the ageing population and how these have changed in recent years.</w:t>
      </w:r>
      <w:bookmarkEnd w:id="1"/>
      <w:r w:rsidRPr="00472ED8">
        <w:rPr>
          <w:rFonts w:ascii="Arial" w:hAnsi="Arial" w:cs="Arial"/>
          <w:sz w:val="22"/>
          <w:szCs w:val="22"/>
        </w:rPr>
        <w:t xml:space="preserve"> </w:t>
      </w:r>
    </w:p>
    <w:p w14:paraId="12AB4857" w14:textId="77777777" w:rsidR="007434D3" w:rsidRPr="00472ED8" w:rsidRDefault="007434D3" w:rsidP="00472ED8">
      <w:pPr>
        <w:pStyle w:val="NormalWeb"/>
        <w:spacing w:after="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t>The UK's aging population</w:t>
      </w:r>
    </w:p>
    <w:p w14:paraId="5002E3CF" w14:textId="77777777" w:rsidR="007434D3" w:rsidRPr="00472ED8" w:rsidRDefault="007434D3" w:rsidP="00472ED8">
      <w:pPr>
        <w:pStyle w:val="NormalWeb"/>
        <w:spacing w:after="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t>The UK's population is aging. Rising life expectancy and lower fertility are the primary causes of this.</w:t>
      </w:r>
    </w:p>
    <w:p w14:paraId="19EA4A80" w14:textId="77777777" w:rsidR="007434D3" w:rsidRPr="00472ED8" w:rsidRDefault="007434D3" w:rsidP="00472ED8">
      <w:pPr>
        <w:pStyle w:val="NormalWeb"/>
        <w:spacing w:after="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t>In 2019, 12.3 million people, or almost 19% of the UK population, were 65 or older. While the UK's general population increased by just 7% between 2009 and 2019, the number of persons in this age group increased by 23%.</w:t>
      </w:r>
    </w:p>
    <w:p w14:paraId="4C38E338" w14:textId="77777777" w:rsidR="007434D3" w:rsidRPr="00472ED8" w:rsidRDefault="007434D3" w:rsidP="00472ED8">
      <w:pPr>
        <w:pStyle w:val="NormalWeb"/>
        <w:spacing w:after="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t>According to predictions, the senior population in the United Kingdom will grow to 24% of the overall population by 2043. (17.4 million inhabitants). The proportion of persons 75 and older is expected to rise from 8% in 2018 to 13% in 2043, while the proportion of those 85 and older is expected to rise from 2% to 4%.</w:t>
      </w:r>
    </w:p>
    <w:p w14:paraId="3D71C990" w14:textId="77777777" w:rsidR="00821D88" w:rsidRPr="00472ED8" w:rsidRDefault="00821D88" w:rsidP="00472ED8">
      <w:pPr>
        <w:pStyle w:val="NormalWeb"/>
        <w:spacing w:after="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lastRenderedPageBreak/>
        <w:t>The United States' aging population</w:t>
      </w:r>
    </w:p>
    <w:p w14:paraId="514E7A92" w14:textId="77777777" w:rsidR="00821D88" w:rsidRPr="00472ED8" w:rsidRDefault="00821D88" w:rsidP="00472ED8">
      <w:pPr>
        <w:pStyle w:val="NormalWeb"/>
        <w:spacing w:after="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t>According to predictions, the number of Americans aged 65 and more will nearly double from 52 million in 2018 to 95 million by 2060, increasing their share of the total population from 16 percent to 23 percent.</w:t>
      </w:r>
    </w:p>
    <w:p w14:paraId="4AC10409" w14:textId="77777777" w:rsidR="00821D88" w:rsidRPr="00472ED8" w:rsidRDefault="00821D88" w:rsidP="00472ED8">
      <w:pPr>
        <w:pStyle w:val="NormalWeb"/>
        <w:spacing w:before="0" w:beforeAutospacing="0" w:after="0" w:afterAutospacing="0" w:line="360" w:lineRule="auto"/>
        <w:jc w:val="both"/>
        <w:textAlignment w:val="baseline"/>
        <w:rPr>
          <w:rFonts w:ascii="Arial" w:hAnsi="Arial" w:cs="Arial"/>
          <w:color w:val="000000" w:themeColor="text1"/>
          <w:sz w:val="22"/>
          <w:szCs w:val="22"/>
        </w:rPr>
      </w:pPr>
      <w:r w:rsidRPr="00472ED8">
        <w:rPr>
          <w:rFonts w:ascii="Arial" w:hAnsi="Arial" w:cs="Arial"/>
          <w:color w:val="000000" w:themeColor="text1"/>
          <w:sz w:val="22"/>
          <w:szCs w:val="22"/>
        </w:rPr>
        <w:t xml:space="preserve">The senior population is becoming more diverse in terms of </w:t>
      </w:r>
      <w:r w:rsidR="005F2429" w:rsidRPr="00472ED8">
        <w:rPr>
          <w:rFonts w:ascii="Arial" w:hAnsi="Arial" w:cs="Arial"/>
          <w:color w:val="000000" w:themeColor="text1"/>
          <w:sz w:val="22"/>
          <w:szCs w:val="22"/>
        </w:rPr>
        <w:t>colour</w:t>
      </w:r>
      <w:r w:rsidRPr="00472ED8">
        <w:rPr>
          <w:rFonts w:ascii="Arial" w:hAnsi="Arial" w:cs="Arial"/>
          <w:color w:val="000000" w:themeColor="text1"/>
          <w:sz w:val="22"/>
          <w:szCs w:val="22"/>
        </w:rPr>
        <w:t xml:space="preserve"> and ethnicity. Between 2018 and 2060, the percentage of senior individuals who are non-Hispanic white is predicted to fall from 77 percent to 55 percent.</w:t>
      </w:r>
    </w:p>
    <w:p w14:paraId="69C4B4AB" w14:textId="77777777" w:rsidR="00821D88" w:rsidRPr="00472ED8" w:rsidRDefault="00821D88" w:rsidP="00472ED8">
      <w:pPr>
        <w:pStyle w:val="NormalWeb"/>
        <w:spacing w:before="0" w:beforeAutospacing="0" w:after="0" w:afterAutospacing="0" w:line="360" w:lineRule="auto"/>
        <w:jc w:val="both"/>
        <w:textAlignment w:val="baseline"/>
        <w:rPr>
          <w:rFonts w:ascii="Arial" w:hAnsi="Arial" w:cs="Arial"/>
          <w:color w:val="000000" w:themeColor="text1"/>
          <w:sz w:val="22"/>
          <w:szCs w:val="22"/>
        </w:rPr>
      </w:pPr>
    </w:p>
    <w:p w14:paraId="3A53F770" w14:textId="77777777" w:rsidR="00821D88" w:rsidRPr="00472ED8" w:rsidRDefault="00821D88" w:rsidP="00472ED8">
      <w:pPr>
        <w:spacing w:line="360" w:lineRule="auto"/>
        <w:jc w:val="both"/>
        <w:rPr>
          <w:rFonts w:ascii="Arial" w:hAnsi="Arial" w:cs="Arial"/>
          <w:color w:val="000000" w:themeColor="text1"/>
        </w:rPr>
      </w:pPr>
      <w:r w:rsidRPr="00472ED8">
        <w:rPr>
          <w:rFonts w:ascii="Arial" w:hAnsi="Arial" w:cs="Arial"/>
          <w:color w:val="000000" w:themeColor="text1"/>
        </w:rPr>
        <w:t>Despite the fact that the older adult population is more varied, there remains a diversity gap among generations. This is due to the fact that the racial/ethnic makeup of the population under 18 is changing faster than that of the group over 65.</w:t>
      </w:r>
    </w:p>
    <w:p w14:paraId="42484C12" w14:textId="77777777" w:rsidR="00821D88" w:rsidRPr="00472ED8" w:rsidRDefault="00821D88" w:rsidP="00472ED8">
      <w:pPr>
        <w:spacing w:line="360" w:lineRule="auto"/>
        <w:jc w:val="both"/>
        <w:rPr>
          <w:rFonts w:ascii="Arial" w:hAnsi="Arial" w:cs="Arial"/>
          <w:color w:val="000000" w:themeColor="text1"/>
        </w:rPr>
      </w:pPr>
    </w:p>
    <w:p w14:paraId="6A9B13D8" w14:textId="77777777" w:rsidR="00821D88" w:rsidRPr="00472ED8" w:rsidRDefault="00821D88" w:rsidP="00472ED8">
      <w:pPr>
        <w:spacing w:line="360" w:lineRule="auto"/>
        <w:jc w:val="both"/>
        <w:rPr>
          <w:rFonts w:ascii="Arial" w:hAnsi="Arial" w:cs="Arial"/>
          <w:color w:val="000000" w:themeColor="text1"/>
        </w:rPr>
      </w:pPr>
      <w:r w:rsidRPr="00472ED8">
        <w:rPr>
          <w:rFonts w:ascii="Arial" w:hAnsi="Arial" w:cs="Arial"/>
          <w:color w:val="000000" w:themeColor="text1"/>
        </w:rPr>
        <w:t>Older workers are putting in greater hours. In 2018, 24% of males and 16% of females were 65 or older in the work force. These percentages are predicted to rise even further by 2026, hitting 26% for men and 18% for women.</w:t>
      </w:r>
    </w:p>
    <w:p w14:paraId="5A554658" w14:textId="77777777" w:rsidR="00821D88" w:rsidRPr="00472ED8" w:rsidRDefault="00821D88" w:rsidP="00472ED8">
      <w:pPr>
        <w:pStyle w:val="Heading2"/>
        <w:spacing w:line="360" w:lineRule="auto"/>
        <w:rPr>
          <w:rFonts w:ascii="Arial" w:hAnsi="Arial" w:cs="Arial"/>
          <w:b w:val="0"/>
          <w:sz w:val="22"/>
          <w:szCs w:val="22"/>
        </w:rPr>
      </w:pPr>
      <w:bookmarkStart w:id="2" w:name="_Toc112874160"/>
      <w:r w:rsidRPr="00472ED8">
        <w:rPr>
          <w:rFonts w:ascii="Arial" w:hAnsi="Arial" w:cs="Arial"/>
          <w:b w:val="0"/>
          <w:sz w:val="22"/>
          <w:szCs w:val="22"/>
        </w:rPr>
        <w:t>Countless counties in the rural Midwest and elsewhere in the country are aging in place as a result of big numbers of young people migrating away.</w:t>
      </w:r>
    </w:p>
    <w:p w14:paraId="147887FF" w14:textId="77777777" w:rsidR="00AE687A" w:rsidRPr="00472ED8" w:rsidRDefault="00AE687A" w:rsidP="00472ED8">
      <w:pPr>
        <w:pStyle w:val="Heading2"/>
        <w:spacing w:line="360" w:lineRule="auto"/>
        <w:rPr>
          <w:rFonts w:ascii="Arial" w:hAnsi="Arial" w:cs="Arial"/>
          <w:sz w:val="22"/>
          <w:szCs w:val="22"/>
        </w:rPr>
      </w:pPr>
      <w:r w:rsidRPr="00472ED8">
        <w:rPr>
          <w:rFonts w:ascii="Arial" w:hAnsi="Arial" w:cs="Arial"/>
          <w:sz w:val="22"/>
          <w:szCs w:val="22"/>
        </w:rPr>
        <w:t>Discuss relevant theories of loneliness and isolation and explore the concepts associated with loneliness, alluded to in literature.</w:t>
      </w:r>
      <w:bookmarkEnd w:id="2"/>
    </w:p>
    <w:p w14:paraId="6F05F5EF" w14:textId="77777777" w:rsidR="00211935" w:rsidRPr="00472ED8" w:rsidRDefault="00FF7D80" w:rsidP="00472ED8">
      <w:pPr>
        <w:pStyle w:val="Heading2"/>
        <w:spacing w:line="360" w:lineRule="auto"/>
        <w:jc w:val="both"/>
        <w:rPr>
          <w:rFonts w:ascii="Arial" w:hAnsi="Arial" w:cs="Arial"/>
          <w:b w:val="0"/>
          <w:sz w:val="22"/>
          <w:szCs w:val="22"/>
        </w:rPr>
      </w:pPr>
      <w:bookmarkStart w:id="3" w:name="_Toc112874161"/>
      <w:r w:rsidRPr="00FF7D80">
        <w:rPr>
          <w:rFonts w:ascii="Arial" w:hAnsi="Arial" w:cs="Arial"/>
          <w:b w:val="0"/>
          <w:sz w:val="22"/>
          <w:szCs w:val="22"/>
        </w:rPr>
        <w:t xml:space="preserve">According to cognitive theory, loneliness is characterized as a personal experience, a sense of a disconnect between one's ideal and actual relationships, and a perceived lack of social connections (Weiss, 1973; Perlman et al, 1998). Loneliness is a common occurrence as people age (Holmen et al, 1992; Van </w:t>
      </w:r>
      <w:proofErr w:type="spellStart"/>
      <w:r w:rsidRPr="00FF7D80">
        <w:rPr>
          <w:rFonts w:ascii="Arial" w:hAnsi="Arial" w:cs="Arial"/>
          <w:b w:val="0"/>
          <w:sz w:val="22"/>
          <w:szCs w:val="22"/>
        </w:rPr>
        <w:t>Baarsen</w:t>
      </w:r>
      <w:proofErr w:type="spellEnd"/>
      <w:r w:rsidRPr="00FF7D80">
        <w:rPr>
          <w:rFonts w:ascii="Arial" w:hAnsi="Arial" w:cs="Arial"/>
          <w:b w:val="0"/>
          <w:sz w:val="22"/>
          <w:szCs w:val="22"/>
        </w:rPr>
        <w:t xml:space="preserve">, 2001; Lauder et al, 2004; </w:t>
      </w:r>
      <w:proofErr w:type="spellStart"/>
      <w:r w:rsidRPr="00FF7D80">
        <w:rPr>
          <w:rFonts w:ascii="Arial" w:hAnsi="Arial" w:cs="Arial"/>
          <w:b w:val="0"/>
          <w:sz w:val="22"/>
          <w:szCs w:val="22"/>
        </w:rPr>
        <w:t>Savikko</w:t>
      </w:r>
      <w:proofErr w:type="spellEnd"/>
      <w:r w:rsidRPr="00FF7D80">
        <w:rPr>
          <w:rFonts w:ascii="Arial" w:hAnsi="Arial" w:cs="Arial"/>
          <w:b w:val="0"/>
          <w:sz w:val="22"/>
          <w:szCs w:val="22"/>
        </w:rPr>
        <w:t xml:space="preserve"> et al, 2005; Apart from being common, loneliness is a harmful condition:</w:t>
      </w:r>
      <w:r>
        <w:rPr>
          <w:rFonts w:ascii="Arial" w:hAnsi="Arial" w:cs="Arial"/>
          <w:b w:val="0"/>
          <w:sz w:val="22"/>
          <w:szCs w:val="22"/>
        </w:rPr>
        <w:t xml:space="preserve"> </w:t>
      </w:r>
      <w:r w:rsidRPr="00FF7D80">
        <w:rPr>
          <w:rFonts w:ascii="Arial" w:hAnsi="Arial" w:cs="Arial"/>
          <w:b w:val="0"/>
          <w:sz w:val="22"/>
          <w:szCs w:val="22"/>
        </w:rPr>
        <w:t>It is linked to, among other things, a higher risk of mortality (</w:t>
      </w:r>
      <w:proofErr w:type="spellStart"/>
      <w:r w:rsidRPr="00FF7D80">
        <w:rPr>
          <w:rFonts w:ascii="Arial" w:hAnsi="Arial" w:cs="Arial"/>
          <w:b w:val="0"/>
          <w:sz w:val="22"/>
          <w:szCs w:val="22"/>
        </w:rPr>
        <w:t>Tilvis</w:t>
      </w:r>
      <w:proofErr w:type="spellEnd"/>
      <w:r w:rsidRPr="00FF7D80">
        <w:rPr>
          <w:rFonts w:ascii="Arial" w:hAnsi="Arial" w:cs="Arial"/>
          <w:b w:val="0"/>
          <w:sz w:val="22"/>
          <w:szCs w:val="22"/>
        </w:rPr>
        <w:t xml:space="preserve"> et al., 2011; Luo et al., 2012), depression (Cacioppo et al., 2010), sleep issues (</w:t>
      </w:r>
      <w:proofErr w:type="spellStart"/>
      <w:r w:rsidRPr="00FF7D80">
        <w:rPr>
          <w:rFonts w:ascii="Arial" w:hAnsi="Arial" w:cs="Arial"/>
          <w:b w:val="0"/>
          <w:sz w:val="22"/>
          <w:szCs w:val="22"/>
        </w:rPr>
        <w:t>Hawkley</w:t>
      </w:r>
      <w:proofErr w:type="spellEnd"/>
      <w:r w:rsidRPr="00FF7D80">
        <w:rPr>
          <w:rFonts w:ascii="Arial" w:hAnsi="Arial" w:cs="Arial"/>
          <w:b w:val="0"/>
          <w:sz w:val="22"/>
          <w:szCs w:val="22"/>
        </w:rPr>
        <w:t xml:space="preserve"> et al., 2010a), deteriorated cognitive health (Wilson et al., 2007), increased vascular resistance (Cacioppo et al., 2002), hypertension (</w:t>
      </w:r>
      <w:proofErr w:type="spellStart"/>
      <w:r w:rsidRPr="00FF7D80">
        <w:rPr>
          <w:rFonts w:ascii="Arial" w:hAnsi="Arial" w:cs="Arial"/>
          <w:b w:val="0"/>
          <w:sz w:val="22"/>
          <w:szCs w:val="22"/>
        </w:rPr>
        <w:t>Hawkley</w:t>
      </w:r>
      <w:proofErr w:type="spellEnd"/>
      <w:r w:rsidRPr="00FF7D80">
        <w:rPr>
          <w:rFonts w:ascii="Arial" w:hAnsi="Arial" w:cs="Arial"/>
          <w:b w:val="0"/>
          <w:sz w:val="22"/>
          <w:szCs w:val="22"/>
        </w:rPr>
        <w:t xml:space="preserve"> et al (</w:t>
      </w:r>
      <w:proofErr w:type="spellStart"/>
      <w:r w:rsidRPr="00FF7D80">
        <w:rPr>
          <w:rFonts w:ascii="Arial" w:hAnsi="Arial" w:cs="Arial"/>
          <w:b w:val="0"/>
          <w:sz w:val="22"/>
          <w:szCs w:val="22"/>
        </w:rPr>
        <w:t>Zebhauser</w:t>
      </w:r>
      <w:proofErr w:type="spellEnd"/>
      <w:r w:rsidRPr="00FF7D80">
        <w:rPr>
          <w:rFonts w:ascii="Arial" w:hAnsi="Arial" w:cs="Arial"/>
          <w:b w:val="0"/>
          <w:sz w:val="22"/>
          <w:szCs w:val="22"/>
        </w:rPr>
        <w:t xml:space="preserve"> et al, 2014).</w:t>
      </w:r>
    </w:p>
    <w:p w14:paraId="52B8C9C9" w14:textId="77777777" w:rsidR="00211935" w:rsidRPr="00472ED8" w:rsidRDefault="00FF7D80" w:rsidP="00472ED8">
      <w:pPr>
        <w:pStyle w:val="Heading2"/>
        <w:spacing w:line="360" w:lineRule="auto"/>
        <w:jc w:val="both"/>
        <w:rPr>
          <w:rFonts w:ascii="Arial" w:hAnsi="Arial" w:cs="Arial"/>
          <w:b w:val="0"/>
          <w:sz w:val="22"/>
          <w:szCs w:val="22"/>
        </w:rPr>
      </w:pPr>
      <w:r w:rsidRPr="00FF7D80">
        <w:rPr>
          <w:rFonts w:ascii="Arial" w:hAnsi="Arial" w:cs="Arial"/>
          <w:b w:val="0"/>
          <w:sz w:val="22"/>
          <w:szCs w:val="22"/>
        </w:rPr>
        <w:t xml:space="preserve">Several studies have shown a variety of characteristics that increase the likelihood of loneliness in older life. Dahlberg and McKee (2014) found that in the United Kingdom (UK), being widowed, having poor self-esteem, connections with friends or family, social </w:t>
      </w:r>
      <w:r w:rsidRPr="00FF7D80">
        <w:rPr>
          <w:rFonts w:ascii="Arial" w:hAnsi="Arial" w:cs="Arial"/>
          <w:b w:val="0"/>
          <w:sz w:val="22"/>
          <w:szCs w:val="22"/>
        </w:rPr>
        <w:lastRenderedPageBreak/>
        <w:t xml:space="preserve">engagement, well-being, and income comfort; as well as having unmet social care requirements, are all related with loneliness in later life. (Regarding social involvement, additional research shows that the quality of encounters might be more significant than frequency, particularly in later life (Victor and Yang, op. cit.; </w:t>
      </w:r>
      <w:proofErr w:type="spellStart"/>
      <w:r w:rsidRPr="00FF7D80">
        <w:rPr>
          <w:rFonts w:ascii="Arial" w:hAnsi="Arial" w:cs="Arial"/>
          <w:b w:val="0"/>
          <w:sz w:val="22"/>
          <w:szCs w:val="22"/>
        </w:rPr>
        <w:t>Pinquart</w:t>
      </w:r>
      <w:proofErr w:type="spellEnd"/>
      <w:r w:rsidRPr="00FF7D80">
        <w:rPr>
          <w:rFonts w:ascii="Arial" w:hAnsi="Arial" w:cs="Arial"/>
          <w:b w:val="0"/>
          <w:sz w:val="22"/>
          <w:szCs w:val="22"/>
        </w:rPr>
        <w:t xml:space="preserve"> and </w:t>
      </w:r>
      <w:proofErr w:type="spellStart"/>
      <w:r w:rsidRPr="00FF7D80">
        <w:rPr>
          <w:rFonts w:ascii="Arial" w:hAnsi="Arial" w:cs="Arial"/>
          <w:b w:val="0"/>
          <w:sz w:val="22"/>
          <w:szCs w:val="22"/>
        </w:rPr>
        <w:t>Sörensen</w:t>
      </w:r>
      <w:proofErr w:type="spellEnd"/>
      <w:r w:rsidRPr="00FF7D80">
        <w:rPr>
          <w:rFonts w:ascii="Arial" w:hAnsi="Arial" w:cs="Arial"/>
          <w:b w:val="0"/>
          <w:sz w:val="22"/>
          <w:szCs w:val="22"/>
        </w:rPr>
        <w:t>, 2001).</w:t>
      </w:r>
      <w:r w:rsidRPr="00FF7D80">
        <w:t xml:space="preserve"> </w:t>
      </w:r>
      <w:r w:rsidRPr="00FF7D80">
        <w:rPr>
          <w:rFonts w:ascii="Arial" w:hAnsi="Arial" w:cs="Arial"/>
          <w:b w:val="0"/>
          <w:sz w:val="22"/>
          <w:szCs w:val="22"/>
        </w:rPr>
        <w:t xml:space="preserve">Living alone, widowhood, low income, retirement, age, ethnicity, sexual orientation, poor health, mobility restrictions, cognitive and sensory impairment, and material deprivation of area of residence are some risk factors that have been identified by the Campaign to End Loneliness, a campaigning network throughout Great </w:t>
      </w:r>
      <w:proofErr w:type="spellStart"/>
      <w:r w:rsidRPr="00FF7D80">
        <w:rPr>
          <w:rFonts w:ascii="Arial" w:hAnsi="Arial" w:cs="Arial"/>
          <w:b w:val="0"/>
          <w:sz w:val="22"/>
          <w:szCs w:val="22"/>
        </w:rPr>
        <w:t>Britainii</w:t>
      </w:r>
      <w:proofErr w:type="spellEnd"/>
      <w:r w:rsidRPr="00FF7D80">
        <w:rPr>
          <w:rFonts w:ascii="Arial" w:hAnsi="Arial" w:cs="Arial"/>
          <w:b w:val="0"/>
          <w:sz w:val="22"/>
          <w:szCs w:val="22"/>
        </w:rPr>
        <w:t xml:space="preserve"> (Goodman and Symons, 2013).</w:t>
      </w:r>
    </w:p>
    <w:p w14:paraId="1621F685" w14:textId="77777777" w:rsidR="00793F73" w:rsidRPr="00472ED8" w:rsidRDefault="00AE687A" w:rsidP="00472ED8">
      <w:pPr>
        <w:pStyle w:val="Heading2"/>
        <w:spacing w:line="360" w:lineRule="auto"/>
        <w:rPr>
          <w:rFonts w:ascii="Arial" w:hAnsi="Arial" w:cs="Arial"/>
          <w:sz w:val="22"/>
          <w:szCs w:val="22"/>
        </w:rPr>
      </w:pPr>
      <w:r w:rsidRPr="00472ED8">
        <w:rPr>
          <w:rFonts w:ascii="Arial" w:hAnsi="Arial" w:cs="Arial"/>
          <w:sz w:val="22"/>
          <w:szCs w:val="22"/>
        </w:rPr>
        <w:t>Discuss the impact of loneliness and isolation on an older person living within a care setting.</w:t>
      </w:r>
      <w:bookmarkEnd w:id="3"/>
    </w:p>
    <w:p w14:paraId="2FFAFF45" w14:textId="77777777" w:rsidR="00321151" w:rsidRPr="00472ED8" w:rsidRDefault="00321151" w:rsidP="00472ED8">
      <w:pPr>
        <w:spacing w:line="360" w:lineRule="auto"/>
        <w:jc w:val="both"/>
        <w:rPr>
          <w:rFonts w:ascii="Arial" w:hAnsi="Arial" w:cs="Arial"/>
          <w:color w:val="000000" w:themeColor="text1"/>
        </w:rPr>
      </w:pPr>
      <w:r w:rsidRPr="00472ED8">
        <w:rPr>
          <w:rFonts w:ascii="Arial" w:hAnsi="Arial" w:cs="Arial"/>
          <w:color w:val="000000" w:themeColor="text1"/>
        </w:rPr>
        <w:t>Loneliness and social isolation reduce longevity, health, and overall well-being. Because of social isolation and loneliness, the risks of cardiovascular disease, stroke, diabetes, cognitive decline, dementia, depression, anxiety, and suicide increase with age. Furthermore, they shorten lives and reduce quality of life. Older people are especially prone to life changes and disruptive events, which are more likely to affect them (such as retirement, the death of a spouse, partner, or friend, the relocation of children or the relocation of children to join their parents, disability or loss of mobility).</w:t>
      </w:r>
    </w:p>
    <w:p w14:paraId="4B1FC153" w14:textId="77777777" w:rsidR="00321151" w:rsidRPr="00472ED8" w:rsidRDefault="00321151" w:rsidP="00472ED8">
      <w:pPr>
        <w:spacing w:line="360" w:lineRule="auto"/>
        <w:jc w:val="both"/>
        <w:rPr>
          <w:rFonts w:ascii="Arial" w:hAnsi="Arial" w:cs="Arial"/>
          <w:color w:val="000000" w:themeColor="text1"/>
        </w:rPr>
      </w:pPr>
      <w:r w:rsidRPr="00472ED8">
        <w:rPr>
          <w:rFonts w:ascii="Arial" w:hAnsi="Arial" w:cs="Arial"/>
          <w:color w:val="000000" w:themeColor="text1"/>
        </w:rPr>
        <w:t>However, social isolation and loneliness, particularly among the elderly, were not previously recognized as key social determinants of health. In numerous countries, these concerns are now seen as serious public policy and public health issues. The COVID-19 epidemic and the ensuing physical segregation regulations have heightened the importance of these concerns. A connected society - for example, a strategy to combat loneliness was announced in 2018, and the UK government appointed a "loneliness minister." In 2020, the National Academies of Sciences, Engineering, and Medicine in the United States of America issued a consensus report titled "Social isolation and loneliness in older adults: possibilities for the health care system."</w:t>
      </w:r>
    </w:p>
    <w:p w14:paraId="1C485D07" w14:textId="77777777" w:rsidR="00321151" w:rsidRPr="00472ED8" w:rsidRDefault="00321151" w:rsidP="00472ED8">
      <w:pPr>
        <w:pStyle w:val="Heading2"/>
        <w:spacing w:line="360" w:lineRule="auto"/>
        <w:jc w:val="both"/>
        <w:rPr>
          <w:rFonts w:ascii="Arial" w:hAnsi="Arial" w:cs="Arial"/>
          <w:b w:val="0"/>
          <w:sz w:val="22"/>
          <w:szCs w:val="22"/>
        </w:rPr>
      </w:pPr>
      <w:bookmarkStart w:id="4" w:name="_Toc112874162"/>
      <w:r w:rsidRPr="00472ED8">
        <w:rPr>
          <w:rFonts w:ascii="Arial" w:hAnsi="Arial" w:cs="Arial"/>
          <w:b w:val="0"/>
          <w:sz w:val="22"/>
          <w:szCs w:val="22"/>
        </w:rPr>
        <w:t xml:space="preserve">Loneliness and social isolation are two distinct yet related concepts. A mismatch between one's desired and actual social contacts causes the unpleasant subjective experience known as "loneliness" or "social agony." "Social isolation" refers to the objective situation of having a limited network of family and non-kin ties and, as a result, having few or infrequent contacts with others. Several studies have shown only a fragile relationship between social isolation and loneliness. Neither situation, however, is ubiquitous. A person's expectations of relationships, as well as their culture, influence how lonely they feel. When it comes to some </w:t>
      </w:r>
      <w:r w:rsidRPr="00472ED8">
        <w:rPr>
          <w:rFonts w:ascii="Arial" w:hAnsi="Arial" w:cs="Arial"/>
          <w:b w:val="0"/>
          <w:sz w:val="22"/>
          <w:szCs w:val="22"/>
        </w:rPr>
        <w:lastRenderedPageBreak/>
        <w:t>characteristics of the issue, such as its extent, distribution, and prevalence, there is more evidence for loneliness than for social isolation.</w:t>
      </w:r>
    </w:p>
    <w:p w14:paraId="1F25A126" w14:textId="77777777" w:rsidR="00AE687A" w:rsidRPr="00472ED8" w:rsidRDefault="00AE687A" w:rsidP="00472ED8">
      <w:pPr>
        <w:pStyle w:val="Heading2"/>
        <w:spacing w:line="360" w:lineRule="auto"/>
        <w:rPr>
          <w:rFonts w:ascii="Arial" w:hAnsi="Arial" w:cs="Arial"/>
          <w:sz w:val="22"/>
          <w:szCs w:val="22"/>
        </w:rPr>
      </w:pPr>
      <w:r w:rsidRPr="00472ED8">
        <w:rPr>
          <w:rFonts w:ascii="Arial" w:hAnsi="Arial" w:cs="Arial"/>
          <w:sz w:val="22"/>
          <w:szCs w:val="22"/>
        </w:rPr>
        <w:t>Critically examine current legislation and policies that deal with or aim to raise awareness or reduce loneliness and isolation in the elderly population.</w:t>
      </w:r>
      <w:bookmarkEnd w:id="4"/>
    </w:p>
    <w:p w14:paraId="01A3ECD9" w14:textId="77777777" w:rsidR="00301F9C" w:rsidRPr="00472ED8" w:rsidRDefault="00301F9C" w:rsidP="00472ED8">
      <w:pPr>
        <w:spacing w:line="360" w:lineRule="auto"/>
        <w:jc w:val="both"/>
        <w:rPr>
          <w:rFonts w:ascii="Arial" w:hAnsi="Arial" w:cs="Arial"/>
          <w:b/>
          <w:color w:val="000000" w:themeColor="text1"/>
        </w:rPr>
      </w:pPr>
      <w:r w:rsidRPr="00472ED8">
        <w:rPr>
          <w:rFonts w:ascii="Arial" w:hAnsi="Arial" w:cs="Arial"/>
          <w:b/>
          <w:color w:val="000000" w:themeColor="text1"/>
        </w:rPr>
        <w:t>RESOLVING SOCIAL ISOLATION THROUGH IMPROVED PUBLIC POLICY</w:t>
      </w:r>
    </w:p>
    <w:p w14:paraId="08C20399" w14:textId="77777777" w:rsidR="00724939" w:rsidRPr="00472ED8" w:rsidRDefault="00724939" w:rsidP="00472ED8">
      <w:pPr>
        <w:spacing w:line="360" w:lineRule="auto"/>
        <w:jc w:val="both"/>
        <w:rPr>
          <w:rFonts w:ascii="Arial" w:hAnsi="Arial" w:cs="Arial"/>
          <w:color w:val="000000" w:themeColor="text1"/>
        </w:rPr>
      </w:pPr>
      <w:r w:rsidRPr="00472ED8">
        <w:rPr>
          <w:rFonts w:ascii="Arial" w:hAnsi="Arial" w:cs="Arial"/>
          <w:color w:val="000000" w:themeColor="text1"/>
        </w:rPr>
        <w:t>The most crucial recommendation was the urgent need to examine and expressly include social isolation among the socioeconomic determinants of health. In relation to this, the U.S. Social determinants of health are now recommended by the Department of Health and Human Services to be included in all electronic health records. However, the majority of health systems and clinicians have yet to implement this guideline, providing another chance to increase awareness and promote action.</w:t>
      </w:r>
    </w:p>
    <w:p w14:paraId="1610B1FE" w14:textId="77777777" w:rsidR="001B0CFA" w:rsidRPr="00472ED8" w:rsidRDefault="001B0CFA" w:rsidP="00472ED8">
      <w:pPr>
        <w:spacing w:line="360" w:lineRule="auto"/>
        <w:jc w:val="both"/>
        <w:rPr>
          <w:rFonts w:ascii="Arial" w:hAnsi="Arial" w:cs="Arial"/>
          <w:color w:val="000000" w:themeColor="text1"/>
        </w:rPr>
      </w:pPr>
      <w:r w:rsidRPr="00472ED8">
        <w:rPr>
          <w:rFonts w:ascii="Arial" w:hAnsi="Arial" w:cs="Arial"/>
          <w:color w:val="000000" w:themeColor="text1"/>
        </w:rPr>
        <w:t>According to health care participants, the upcoming Healthy People 2030 report should publicly address social isolation and loneliness. The report's emphasis on social isolation may serve to emphasize the problem's importance to the federal government as a whole, as well as raise public awareness of it. Participants also underlined the relevance of technology as a tool for preventing or minimizing social isolation among older individuals living in rural areas, and they advocated for more public policy attention in this area. Rural elders may utilize technology to communicate with friends and family, as well as to access services such as rides to medical appointments or activities.</w:t>
      </w:r>
    </w:p>
    <w:p w14:paraId="19891F1A" w14:textId="77777777" w:rsidR="001B0CFA" w:rsidRPr="00472ED8" w:rsidRDefault="00806BCD" w:rsidP="00472ED8">
      <w:pPr>
        <w:spacing w:line="360" w:lineRule="auto"/>
        <w:jc w:val="both"/>
        <w:rPr>
          <w:rFonts w:ascii="Arial" w:hAnsi="Arial" w:cs="Arial"/>
          <w:color w:val="000000" w:themeColor="text1"/>
        </w:rPr>
      </w:pPr>
      <w:r w:rsidRPr="00472ED8">
        <w:rPr>
          <w:rFonts w:ascii="Arial" w:hAnsi="Arial" w:cs="Arial"/>
          <w:color w:val="000000" w:themeColor="text1"/>
        </w:rPr>
        <w:t xml:space="preserve">But there are still issues with elders' technological knowledge and skills, not to mention the continued dearth of broadband infrastructure in rural areas. Participants also stressed the significance of prioritizing and carrying out strategies to use internet-based services for transportation, education, and health care in remote areas. Others stressed the need of understanding that not all elders are mobile and that many cannot leave their homes. Participants in the discussion underlined the need of seeing these people where they are and supporting measures that would broaden access to broadband for them. </w:t>
      </w:r>
    </w:p>
    <w:p w14:paraId="3C7ADEA8" w14:textId="77777777" w:rsidR="00552F26" w:rsidRPr="00472ED8" w:rsidRDefault="002024A1" w:rsidP="00472ED8">
      <w:pPr>
        <w:spacing w:line="360" w:lineRule="auto"/>
        <w:jc w:val="both"/>
        <w:rPr>
          <w:rFonts w:ascii="Arial" w:hAnsi="Arial" w:cs="Arial"/>
          <w:color w:val="000000" w:themeColor="text1"/>
        </w:rPr>
      </w:pPr>
      <w:r w:rsidRPr="00472ED8">
        <w:rPr>
          <w:rFonts w:ascii="Arial" w:hAnsi="Arial" w:cs="Arial"/>
          <w:color w:val="000000" w:themeColor="text1"/>
        </w:rPr>
        <w:t>Participants also underlined the need of seeking evidence-based solutions, researching the efficacy and quality implications of any proposed public policy changes, and examining cost savings. Some have observed that when therapies are aimed towards the truly lonely and isolated, they are often less effective and less cost-effective. These findings underscore the need of early identification and prevention. Finally, numerous participants advised that legislators prioritize funding for innovation and research toward scalable and successful social isolation remedies.</w:t>
      </w:r>
    </w:p>
    <w:p w14:paraId="50BCA9AF" w14:textId="77777777" w:rsidR="00552F26" w:rsidRPr="00472ED8" w:rsidRDefault="00552F26" w:rsidP="00472ED8">
      <w:pPr>
        <w:spacing w:line="360" w:lineRule="auto"/>
        <w:jc w:val="both"/>
        <w:rPr>
          <w:rFonts w:ascii="Arial" w:hAnsi="Arial" w:cs="Arial"/>
          <w:b/>
          <w:color w:val="000000" w:themeColor="text1"/>
        </w:rPr>
      </w:pPr>
      <w:r w:rsidRPr="00472ED8">
        <w:rPr>
          <w:rFonts w:ascii="Arial" w:hAnsi="Arial" w:cs="Arial"/>
          <w:b/>
          <w:color w:val="000000" w:themeColor="text1"/>
        </w:rPr>
        <w:lastRenderedPageBreak/>
        <w:t>CHANGING THE DELIVERY AND PAYMENT SYSTEMS FOR HEALTH CARE</w:t>
      </w:r>
    </w:p>
    <w:p w14:paraId="70C68E37" w14:textId="77777777" w:rsidR="00552F26" w:rsidRPr="00472ED8" w:rsidRDefault="002024A1" w:rsidP="00472ED8">
      <w:pPr>
        <w:spacing w:line="360" w:lineRule="auto"/>
        <w:jc w:val="both"/>
        <w:rPr>
          <w:rFonts w:ascii="Arial" w:hAnsi="Arial" w:cs="Arial"/>
          <w:color w:val="000000" w:themeColor="text1"/>
        </w:rPr>
      </w:pPr>
      <w:r w:rsidRPr="00472ED8">
        <w:rPr>
          <w:rFonts w:ascii="Arial" w:hAnsi="Arial" w:cs="Arial"/>
          <w:color w:val="000000" w:themeColor="text1"/>
        </w:rPr>
        <w:t>Participants also stressed the need of health-care financing and program reorganization. Participants stressed that improving rural health care infrastructure is a critical component of the discourse on social isolation among rural seniors. Participants noted BPC's recent report, "Reinventing Rural Health Care: A Case Study of Seven Upper Midwest States," which highlighted the challenges that rural areas confront in terms of manpower, technology, and reimbursement. The report specifically urged rural systems to interact in order to generate appropriate financial sources and put new ideas into action, which might include initiating global budgeting projects. Participants also noted that progress toward global budgeting will open up opportunities for non-clinical service reimbursement. This might include paying medical experts to connect socially isolated persons with community services or efforts that promote social engagement. Participants also urged that policymakers consider program changes outside of Medicare's traditional, fee-for-service paradigm.</w:t>
      </w:r>
    </w:p>
    <w:p w14:paraId="0C4AC68D" w14:textId="77777777" w:rsidR="002024A1" w:rsidRPr="00472ED8" w:rsidRDefault="002024A1" w:rsidP="00472ED8">
      <w:pPr>
        <w:pStyle w:val="Heading2"/>
        <w:spacing w:line="360" w:lineRule="auto"/>
        <w:jc w:val="both"/>
        <w:rPr>
          <w:rFonts w:ascii="Arial" w:hAnsi="Arial" w:cs="Arial"/>
          <w:b w:val="0"/>
          <w:sz w:val="22"/>
          <w:szCs w:val="22"/>
        </w:rPr>
      </w:pPr>
      <w:bookmarkStart w:id="5" w:name="_Toc112874163"/>
      <w:r w:rsidRPr="00472ED8">
        <w:rPr>
          <w:rFonts w:ascii="Arial" w:hAnsi="Arial" w:cs="Arial"/>
          <w:b w:val="0"/>
          <w:sz w:val="22"/>
          <w:szCs w:val="22"/>
        </w:rPr>
        <w:t xml:space="preserve">Participants also emphasized the potential influence Medicare Advantage (MA) plans may have on minimizing social isolation, as well as the payment structure flexibility of the programs. Others stated that looking at models that allow for state flexibility and creativity, such as Medicaid waivers or the CMS </w:t>
      </w:r>
      <w:r w:rsidR="005F2429" w:rsidRPr="00472ED8">
        <w:rPr>
          <w:rFonts w:ascii="Arial" w:hAnsi="Arial" w:cs="Arial"/>
          <w:b w:val="0"/>
          <w:sz w:val="22"/>
          <w:szCs w:val="22"/>
        </w:rPr>
        <w:t>Centre</w:t>
      </w:r>
      <w:r w:rsidRPr="00472ED8">
        <w:rPr>
          <w:rFonts w:ascii="Arial" w:hAnsi="Arial" w:cs="Arial"/>
          <w:b w:val="0"/>
          <w:sz w:val="22"/>
          <w:szCs w:val="22"/>
        </w:rPr>
        <w:t xml:space="preserve"> for Medicare and Medicaid Innovation, might hold substantial promise (CMMI). Participants underlined the need of developing a reliable approach for assessing elders for social isolation; they advised assessing seniors at yearly Medicare </w:t>
      </w:r>
      <w:proofErr w:type="spellStart"/>
      <w:r w:rsidRPr="00472ED8">
        <w:rPr>
          <w:rFonts w:ascii="Arial" w:hAnsi="Arial" w:cs="Arial"/>
          <w:b w:val="0"/>
          <w:sz w:val="22"/>
          <w:szCs w:val="22"/>
        </w:rPr>
        <w:t>checkups</w:t>
      </w:r>
      <w:proofErr w:type="spellEnd"/>
      <w:r w:rsidRPr="00472ED8">
        <w:rPr>
          <w:rFonts w:ascii="Arial" w:hAnsi="Arial" w:cs="Arial"/>
          <w:b w:val="0"/>
          <w:sz w:val="22"/>
          <w:szCs w:val="22"/>
        </w:rPr>
        <w:t xml:space="preserve"> and Welcome to Medicare prevention visits.</w:t>
      </w:r>
    </w:p>
    <w:p w14:paraId="2BAFB85C" w14:textId="77777777" w:rsidR="00AE687A" w:rsidRPr="00472ED8" w:rsidRDefault="00AE687A" w:rsidP="00472ED8">
      <w:pPr>
        <w:pStyle w:val="Heading2"/>
        <w:spacing w:line="360" w:lineRule="auto"/>
        <w:rPr>
          <w:rFonts w:ascii="Arial" w:hAnsi="Arial" w:cs="Arial"/>
          <w:sz w:val="22"/>
          <w:szCs w:val="22"/>
        </w:rPr>
      </w:pPr>
      <w:r w:rsidRPr="00472ED8">
        <w:rPr>
          <w:rFonts w:ascii="Arial" w:hAnsi="Arial" w:cs="Arial"/>
          <w:sz w:val="22"/>
          <w:szCs w:val="22"/>
        </w:rPr>
        <w:t>Critically evaluate and compare local, national and global provision of services for the older person in line with current initiatives and policy</w:t>
      </w:r>
      <w:bookmarkEnd w:id="5"/>
    </w:p>
    <w:p w14:paraId="0F40708D" w14:textId="77777777" w:rsidR="002024A1" w:rsidRPr="00472ED8" w:rsidRDefault="002024A1" w:rsidP="00472ED8">
      <w:pPr>
        <w:spacing w:line="360" w:lineRule="auto"/>
        <w:jc w:val="both"/>
        <w:rPr>
          <w:rFonts w:ascii="Arial" w:hAnsi="Arial" w:cs="Arial"/>
          <w:color w:val="000000" w:themeColor="text1"/>
        </w:rPr>
      </w:pPr>
    </w:p>
    <w:p w14:paraId="362A7D82" w14:textId="77777777" w:rsidR="002024A1" w:rsidRPr="00472ED8" w:rsidRDefault="002024A1" w:rsidP="00472ED8">
      <w:pPr>
        <w:spacing w:line="360" w:lineRule="auto"/>
        <w:jc w:val="both"/>
        <w:rPr>
          <w:rFonts w:ascii="Arial" w:hAnsi="Arial" w:cs="Arial"/>
          <w:color w:val="000000" w:themeColor="text1"/>
        </w:rPr>
      </w:pPr>
      <w:r w:rsidRPr="00472ED8">
        <w:rPr>
          <w:rFonts w:ascii="Arial" w:hAnsi="Arial" w:cs="Arial"/>
          <w:color w:val="000000" w:themeColor="text1"/>
        </w:rPr>
        <w:t xml:space="preserve">Considering that the increasing aging population is projected to have a substantial impact on sustainable development, planning for these effects is essential. The VNRs demonstrate how many nations are cognizant of the trend of an aging population. While some nations mention population ageing together with other developments like climate change and growing inequality, others express worry or draw attention to actions designed to solve problems brought on by population ageing. </w:t>
      </w:r>
    </w:p>
    <w:p w14:paraId="171DA51E" w14:textId="77777777" w:rsidR="002024A1" w:rsidRPr="00472ED8" w:rsidRDefault="002024A1" w:rsidP="00472ED8">
      <w:pPr>
        <w:spacing w:line="360" w:lineRule="auto"/>
        <w:jc w:val="both"/>
        <w:rPr>
          <w:rFonts w:ascii="Arial" w:hAnsi="Arial" w:cs="Arial"/>
          <w:color w:val="000000" w:themeColor="text1"/>
        </w:rPr>
      </w:pPr>
      <w:r w:rsidRPr="00472ED8">
        <w:rPr>
          <w:rFonts w:ascii="Arial" w:hAnsi="Arial" w:cs="Arial"/>
          <w:color w:val="000000" w:themeColor="text1"/>
        </w:rPr>
        <w:t xml:space="preserve">Many countries, including the Czech Republic, Denmark, Ireland, Japan, Latvia, Luxembourg, Malaysia, Malta, Norway, the Republic of Korea, Singapore, Slovakia, Slovenia, and Spain, highlight the aging population as a trend. Countries express a variety of concerns about this trend and hint to a variety of initiatives that might mitigate the impacts of </w:t>
      </w:r>
      <w:r w:rsidRPr="00472ED8">
        <w:rPr>
          <w:rFonts w:ascii="Arial" w:hAnsi="Arial" w:cs="Arial"/>
          <w:color w:val="000000" w:themeColor="text1"/>
        </w:rPr>
        <w:lastRenderedPageBreak/>
        <w:t>an aging population. The Czech Republic, for example, emphasizes the need of infrastructure that can accommodate an elderly population. Latvia is concerned about the effects of an aging population on rising inequality. Japan is attempting to implement the "Japan model" for a sustainable economy and society.</w:t>
      </w:r>
    </w:p>
    <w:p w14:paraId="67542EE9" w14:textId="77777777" w:rsidR="001A512E" w:rsidRPr="00472ED8" w:rsidRDefault="002024A1" w:rsidP="00472ED8">
      <w:pPr>
        <w:spacing w:line="360" w:lineRule="auto"/>
        <w:jc w:val="both"/>
        <w:rPr>
          <w:rFonts w:ascii="Arial" w:hAnsi="Arial" w:cs="Arial"/>
          <w:color w:val="000000" w:themeColor="text1"/>
        </w:rPr>
      </w:pPr>
      <w:r w:rsidRPr="00472ED8">
        <w:rPr>
          <w:rFonts w:ascii="Arial" w:hAnsi="Arial" w:cs="Arial"/>
          <w:color w:val="000000" w:themeColor="text1"/>
        </w:rPr>
        <w:t xml:space="preserve">According to Norway, the consequences include a greater demand for improved local government basic services and environments that are physically appropriate to the needs of elderly residents, such as the development of housing that </w:t>
      </w:r>
      <w:r w:rsidR="005F2429" w:rsidRPr="00472ED8">
        <w:rPr>
          <w:rFonts w:ascii="Arial" w:hAnsi="Arial" w:cs="Arial"/>
          <w:color w:val="000000" w:themeColor="text1"/>
        </w:rPr>
        <w:t>fulfils</w:t>
      </w:r>
      <w:r w:rsidRPr="00472ED8">
        <w:rPr>
          <w:rFonts w:ascii="Arial" w:hAnsi="Arial" w:cs="Arial"/>
          <w:color w:val="000000" w:themeColor="text1"/>
        </w:rPr>
        <w:t xml:space="preserve"> high building quality standards. Singapore refers to its long-term commitment to establish a "Nation for All Ages," which includes harnessing technology and restructuring workplaces and jobs to allow older people to work and be active. Slovakia emphasizes the need of supporting social services, notably in the healthcare and retirement sectors, as the population ages rapidly</w:t>
      </w:r>
      <w:r w:rsidR="0043175E" w:rsidRPr="00472ED8">
        <w:rPr>
          <w:rFonts w:ascii="Arial" w:hAnsi="Arial" w:cs="Arial"/>
          <w:color w:val="000000" w:themeColor="text1"/>
        </w:rPr>
        <w:t xml:space="preserve">. </w:t>
      </w:r>
      <w:r w:rsidRPr="00472ED8">
        <w:rPr>
          <w:rFonts w:ascii="Arial" w:hAnsi="Arial" w:cs="Arial"/>
          <w:color w:val="000000" w:themeColor="text1"/>
        </w:rPr>
        <w:t>As a result, Slovakia's primary goal is to shift away from an economy dependent on foreign investment, low wages, and high taxes and toward one based on knowledge. Spain is concerned about territorial imbalances and the elimination of municipalities as a result of a rapidly aging population and a high incidence of rural depopulation. It stresses how the possibility of poverty and social isolation has increased, particularly in metropolitan areas.</w:t>
      </w:r>
    </w:p>
    <w:p w14:paraId="239897A2" w14:textId="77777777" w:rsidR="002024A1" w:rsidRPr="00472ED8" w:rsidRDefault="002024A1" w:rsidP="00472ED8">
      <w:pPr>
        <w:spacing w:line="360" w:lineRule="auto"/>
        <w:jc w:val="both"/>
        <w:rPr>
          <w:rFonts w:ascii="Arial" w:hAnsi="Arial" w:cs="Arial"/>
          <w:color w:val="000000" w:themeColor="text1"/>
        </w:rPr>
      </w:pPr>
      <w:r w:rsidRPr="00472ED8">
        <w:rPr>
          <w:rFonts w:ascii="Arial" w:hAnsi="Arial" w:cs="Arial"/>
          <w:color w:val="000000" w:themeColor="text1"/>
        </w:rPr>
        <w:t>The elderly population need immediate attention. Policies that acknowledge the agency of older people and their human rights must be implemented in order to address the challenges connected with the existing population while also anticipating the rise of current generations as they age. Despite the need for rapid action, just a few countries, including Costa Rica, Jamaica, Malta, and Romania, report on national policies that specifically address aging challenges.</w:t>
      </w:r>
    </w:p>
    <w:p w14:paraId="2FFDE66A" w14:textId="77777777" w:rsidR="00550EBF" w:rsidRPr="00472ED8" w:rsidRDefault="00550EBF" w:rsidP="00472ED8">
      <w:pPr>
        <w:spacing w:line="360" w:lineRule="auto"/>
        <w:jc w:val="both"/>
        <w:rPr>
          <w:rFonts w:ascii="Arial" w:hAnsi="Arial" w:cs="Arial"/>
          <w:b/>
          <w:color w:val="000000" w:themeColor="text1"/>
        </w:rPr>
      </w:pPr>
      <w:r w:rsidRPr="00472ED8">
        <w:rPr>
          <w:rFonts w:ascii="Arial" w:hAnsi="Arial" w:cs="Arial"/>
          <w:b/>
          <w:color w:val="000000" w:themeColor="text1"/>
        </w:rPr>
        <w:t xml:space="preserve">Examine the </w:t>
      </w:r>
      <w:r w:rsidRPr="00472ED8">
        <w:rPr>
          <w:rStyle w:val="Heading2Char"/>
          <w:rFonts w:ascii="Arial" w:eastAsiaTheme="minorHAnsi" w:hAnsi="Arial" w:cs="Arial"/>
          <w:sz w:val="22"/>
          <w:szCs w:val="22"/>
        </w:rPr>
        <w:t>prospective future of the care of the older person</w:t>
      </w:r>
      <w:r w:rsidRPr="00472ED8">
        <w:rPr>
          <w:rFonts w:ascii="Arial" w:hAnsi="Arial" w:cs="Arial"/>
          <w:b/>
          <w:color w:val="000000" w:themeColor="text1"/>
        </w:rPr>
        <w:t>; examine what changes could be made to the programmes aimed at addressing the problem of loneliness among the elderly and how technology could be applied in the provision of care provision to lonely older persons.</w:t>
      </w:r>
    </w:p>
    <w:p w14:paraId="3A7D2BB4" w14:textId="77777777" w:rsidR="00010E73" w:rsidRPr="00472ED8" w:rsidRDefault="00010E73" w:rsidP="00472ED8">
      <w:pPr>
        <w:spacing w:line="360" w:lineRule="auto"/>
        <w:jc w:val="both"/>
        <w:rPr>
          <w:rFonts w:ascii="Arial" w:hAnsi="Arial" w:cs="Arial"/>
          <w:color w:val="000000" w:themeColor="text1"/>
          <w:shd w:val="clear" w:color="auto" w:fill="FFFFFF"/>
        </w:rPr>
      </w:pPr>
      <w:r w:rsidRPr="00472ED8">
        <w:rPr>
          <w:rFonts w:ascii="Arial" w:hAnsi="Arial" w:cs="Arial"/>
          <w:color w:val="000000" w:themeColor="text1"/>
          <w:shd w:val="clear" w:color="auto" w:fill="FFFFFF"/>
        </w:rPr>
        <w:t>Innovative technology solutions to improve social contact for this group are crucial. Mobile technologies can be beneficial because they alter how we interact, obtain information, use resources, and receive services. According to a recent survey, 72% of Chinese American older adults with low incomes and educational levels used WeChat, the most popular social media app in the Chinese community, and 92% had smart devices. According to anecdotal evidence and our own experience, Chinese Americans use social media tools like WeChat to establish remote connections with others in order to reduce social isolation.</w:t>
      </w:r>
    </w:p>
    <w:p w14:paraId="6F025EE5" w14:textId="77777777" w:rsidR="00010E73" w:rsidRPr="00472ED8" w:rsidRDefault="00010E73" w:rsidP="00472ED8">
      <w:pPr>
        <w:pStyle w:val="Heading2"/>
        <w:spacing w:line="360" w:lineRule="auto"/>
        <w:jc w:val="both"/>
        <w:rPr>
          <w:rFonts w:ascii="Arial" w:hAnsi="Arial" w:cs="Arial"/>
          <w:sz w:val="22"/>
          <w:szCs w:val="22"/>
        </w:rPr>
      </w:pPr>
      <w:bookmarkStart w:id="6" w:name="_Toc112874164"/>
      <w:r w:rsidRPr="00472ED8">
        <w:rPr>
          <w:rFonts w:ascii="Arial" w:hAnsi="Arial" w:cs="Arial"/>
          <w:b w:val="0"/>
          <w:sz w:val="22"/>
          <w:szCs w:val="22"/>
        </w:rPr>
        <w:lastRenderedPageBreak/>
        <w:t>With the assistance of older persons and their families, it is time to design more person-</w:t>
      </w:r>
      <w:r w:rsidR="005F2429" w:rsidRPr="00472ED8">
        <w:rPr>
          <w:rFonts w:ascii="Arial" w:hAnsi="Arial" w:cs="Arial"/>
          <w:b w:val="0"/>
          <w:sz w:val="22"/>
          <w:szCs w:val="22"/>
        </w:rPr>
        <w:t>cantered</w:t>
      </w:r>
      <w:r w:rsidRPr="00472ED8">
        <w:rPr>
          <w:rFonts w:ascii="Arial" w:hAnsi="Arial" w:cs="Arial"/>
          <w:b w:val="0"/>
          <w:sz w:val="22"/>
          <w:szCs w:val="22"/>
        </w:rPr>
        <w:t xml:space="preserve"> software. Existing evidence-based therapies for older people can serve as a basis for establishing the required social support through instant messaging apps or films. Peer support supplied through social media may boost the effects of evidence-based professional aid such as information resources, health promotion and </w:t>
      </w:r>
      <w:r w:rsidR="005F2429" w:rsidRPr="00472ED8">
        <w:rPr>
          <w:rFonts w:ascii="Arial" w:hAnsi="Arial" w:cs="Arial"/>
          <w:b w:val="0"/>
          <w:sz w:val="22"/>
          <w:szCs w:val="22"/>
        </w:rPr>
        <w:t>counselling</w:t>
      </w:r>
      <w:r w:rsidRPr="00472ED8">
        <w:rPr>
          <w:rFonts w:ascii="Arial" w:hAnsi="Arial" w:cs="Arial"/>
          <w:b w:val="0"/>
          <w:sz w:val="22"/>
          <w:szCs w:val="22"/>
        </w:rPr>
        <w:t>, and issue resolution. On the other hand, we must be aware that, as with other elements of health care, when technology is used in treatments for loneliness and isolation, ethical and legal considerations must be properly examined</w:t>
      </w:r>
      <w:r w:rsidRPr="00472ED8">
        <w:rPr>
          <w:rFonts w:ascii="Arial" w:hAnsi="Arial" w:cs="Arial"/>
          <w:sz w:val="22"/>
          <w:szCs w:val="22"/>
        </w:rPr>
        <w:t>.</w:t>
      </w:r>
    </w:p>
    <w:p w14:paraId="48FF7479" w14:textId="77777777" w:rsidR="00AE687A" w:rsidRPr="00472ED8" w:rsidRDefault="00971F6A" w:rsidP="00472ED8">
      <w:pPr>
        <w:pStyle w:val="Heading2"/>
        <w:spacing w:line="360" w:lineRule="auto"/>
        <w:rPr>
          <w:rFonts w:ascii="Arial" w:hAnsi="Arial" w:cs="Arial"/>
          <w:iCs/>
          <w:sz w:val="22"/>
          <w:szCs w:val="22"/>
          <w:shd w:val="clear" w:color="auto" w:fill="FFFFFF"/>
        </w:rPr>
      </w:pPr>
      <w:r w:rsidRPr="00472ED8">
        <w:rPr>
          <w:rFonts w:ascii="Arial" w:hAnsi="Arial" w:cs="Arial"/>
          <w:sz w:val="22"/>
          <w:szCs w:val="22"/>
        </w:rPr>
        <w:t>R</w:t>
      </w:r>
      <w:r w:rsidR="00550EBF" w:rsidRPr="00472ED8">
        <w:rPr>
          <w:rFonts w:ascii="Arial" w:hAnsi="Arial" w:cs="Arial"/>
          <w:sz w:val="22"/>
          <w:szCs w:val="22"/>
        </w:rPr>
        <w:t>ecommendations.</w:t>
      </w:r>
      <w:bookmarkEnd w:id="6"/>
    </w:p>
    <w:p w14:paraId="0B241469" w14:textId="77777777" w:rsidR="00542EC4" w:rsidRPr="00472ED8" w:rsidRDefault="00542EC4" w:rsidP="00472ED8">
      <w:pPr>
        <w:pStyle w:val="NormalWeb"/>
        <w:shd w:val="clear" w:color="auto" w:fill="FFFFFF"/>
        <w:spacing w:before="400" w:beforeAutospacing="0" w:after="400" w:afterAutospacing="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If the elderly lack the requisite abilities, do not want to use them, or cannot acquire them, none of these technology-based therapies will work. A crucial initial step is frequently getting assistance (and patience) from family, caretakers, or volunteers to set up technologies like video calling and instruct their senior loved one on how to use it. Companies like nursing homes or healthcare facilities could also offer support with managing online social calendars. For resident groups, they could plan online social events or ask a family member to video chat once a week at a certain time. Technology adoption may be increased while also lowering feelings of social isolation and loneliness thanks to social ties and community-based strategies (</w:t>
      </w:r>
      <w:proofErr w:type="spellStart"/>
      <w:r w:rsidRPr="00472ED8">
        <w:rPr>
          <w:rFonts w:ascii="Arial" w:hAnsi="Arial" w:cs="Arial"/>
          <w:color w:val="000000" w:themeColor="text1"/>
          <w:sz w:val="22"/>
          <w:szCs w:val="22"/>
        </w:rPr>
        <w:t>Barke</w:t>
      </w:r>
      <w:proofErr w:type="spellEnd"/>
      <w:r w:rsidRPr="00472ED8">
        <w:rPr>
          <w:rFonts w:ascii="Arial" w:hAnsi="Arial" w:cs="Arial"/>
          <w:color w:val="000000" w:themeColor="text1"/>
          <w:sz w:val="22"/>
          <w:szCs w:val="22"/>
        </w:rPr>
        <w:t>, 2017).</w:t>
      </w:r>
    </w:p>
    <w:p w14:paraId="022FBA71" w14:textId="77777777" w:rsidR="00542EC4" w:rsidRPr="00472ED8" w:rsidRDefault="00542EC4" w:rsidP="00472ED8">
      <w:pPr>
        <w:pStyle w:val="NormalWeb"/>
        <w:shd w:val="clear" w:color="auto" w:fill="FFFFFF"/>
        <w:spacing w:before="400" w:beforeAutospacing="0" w:after="400" w:afterAutospacing="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 xml:space="preserve">Since persons who live in poverty usually experience more COVID-19 loneliness and angst, access to technology like </w:t>
      </w:r>
      <w:proofErr w:type="spellStart"/>
      <w:r w:rsidRPr="00472ED8">
        <w:rPr>
          <w:rFonts w:ascii="Arial" w:hAnsi="Arial" w:cs="Arial"/>
          <w:color w:val="000000" w:themeColor="text1"/>
          <w:sz w:val="22"/>
          <w:szCs w:val="22"/>
        </w:rPr>
        <w:t>cellphones</w:t>
      </w:r>
      <w:proofErr w:type="spellEnd"/>
      <w:r w:rsidRPr="00472ED8">
        <w:rPr>
          <w:rFonts w:ascii="Arial" w:hAnsi="Arial" w:cs="Arial"/>
          <w:color w:val="000000" w:themeColor="text1"/>
          <w:sz w:val="22"/>
          <w:szCs w:val="22"/>
        </w:rPr>
        <w:t xml:space="preserve"> must be taken into account (Trad et al., 2020). A substantial section of the target group might be disregarded by concentrating on pricy loneliness therapy. Similar to this, a lot of current anti-loneliness technologies depend on power and the internet, namely a large bandwidth. It's likely that poor nations, especially in rural areas, lack the necessary infrastructure to allow video discussions via the internet. In these situations, loneliness treatments should be created taking into account the financial capability and available resources of the target group. For instance, it would be necessary to replicate some of the information and communication opportunities offered by applications and websites in traditional telephone calls.</w:t>
      </w:r>
    </w:p>
    <w:p w14:paraId="7C1040A9" w14:textId="77777777" w:rsidR="00971F6A" w:rsidRPr="00472ED8" w:rsidRDefault="00542EC4" w:rsidP="00472ED8">
      <w:pPr>
        <w:pStyle w:val="NormalWeb"/>
        <w:shd w:val="clear" w:color="auto" w:fill="FFFFFF"/>
        <w:spacing w:before="400" w:beforeAutospacing="0" w:after="400" w:afterAutospacing="0" w:line="360" w:lineRule="auto"/>
        <w:jc w:val="both"/>
        <w:rPr>
          <w:rFonts w:ascii="Arial" w:hAnsi="Arial" w:cs="Arial"/>
          <w:color w:val="000000" w:themeColor="text1"/>
          <w:sz w:val="22"/>
          <w:szCs w:val="22"/>
        </w:rPr>
      </w:pPr>
      <w:r w:rsidRPr="00472ED8">
        <w:rPr>
          <w:rFonts w:ascii="Arial" w:hAnsi="Arial" w:cs="Arial"/>
          <w:color w:val="000000" w:themeColor="text1"/>
          <w:sz w:val="22"/>
          <w:szCs w:val="22"/>
        </w:rPr>
        <w:t xml:space="preserve">Providing technology to the elderly through health insurance programs, public initiatives, or assisted living facilities is another way to remove the access barrier. For instance, if someone is diagnosed as being at risk for loneliness, they may be given </w:t>
      </w:r>
      <w:r w:rsidR="005F2429" w:rsidRPr="00472ED8">
        <w:rPr>
          <w:rFonts w:ascii="Arial" w:hAnsi="Arial" w:cs="Arial"/>
          <w:color w:val="000000" w:themeColor="text1"/>
          <w:sz w:val="22"/>
          <w:szCs w:val="22"/>
        </w:rPr>
        <w:t>cheap</w:t>
      </w:r>
      <w:r w:rsidRPr="00472ED8">
        <w:rPr>
          <w:rFonts w:ascii="Arial" w:hAnsi="Arial" w:cs="Arial"/>
          <w:color w:val="000000" w:themeColor="text1"/>
          <w:sz w:val="22"/>
          <w:szCs w:val="22"/>
        </w:rPr>
        <w:t xml:space="preserve"> video conferencing equipment. If such a gadget was created to be user-friendly and simple, with a limited number of applications like video conferencing and healthcare resource apps pre-</w:t>
      </w:r>
      <w:r w:rsidRPr="00472ED8">
        <w:rPr>
          <w:rFonts w:ascii="Arial" w:hAnsi="Arial" w:cs="Arial"/>
          <w:color w:val="000000" w:themeColor="text1"/>
          <w:sz w:val="22"/>
          <w:szCs w:val="22"/>
        </w:rPr>
        <w:lastRenderedPageBreak/>
        <w:t>loaded, the success of attempts to reach poor groups through these programs may be considerably increased. Of course, governments and healthcare providers may not be able to purchase such technology given the current financial burden of the epidemic. If they have a solid strategy in place and are faced with such difficult circumstances, organizations may look for financing to aid them in reducing elder loneliness.</w:t>
      </w:r>
    </w:p>
    <w:p w14:paraId="168D9BC5" w14:textId="77777777" w:rsidR="00971F6A" w:rsidRPr="00472ED8" w:rsidRDefault="00542EC4" w:rsidP="00472ED8">
      <w:pPr>
        <w:spacing w:line="360" w:lineRule="auto"/>
        <w:jc w:val="both"/>
        <w:rPr>
          <w:rFonts w:ascii="Arial" w:hAnsi="Arial" w:cs="Arial"/>
          <w:color w:val="000000" w:themeColor="text1"/>
        </w:rPr>
      </w:pPr>
      <w:r w:rsidRPr="00472ED8">
        <w:rPr>
          <w:rFonts w:ascii="Arial" w:hAnsi="Arial" w:cs="Arial"/>
          <w:color w:val="000000" w:themeColor="text1"/>
        </w:rPr>
        <w:t xml:space="preserve">Finally, advocacy is made for local or federal policy initiatives to provide ongoing and sustained treatment for those most severely affected by the epidemic. Including mental health services as a vital part of crisis communication and medical response, for instance. In order to better manage finances and resources, technology may also be used to </w:t>
      </w:r>
      <w:proofErr w:type="spellStart"/>
      <w:r w:rsidRPr="00472ED8">
        <w:rPr>
          <w:rFonts w:ascii="Arial" w:hAnsi="Arial" w:cs="Arial"/>
          <w:color w:val="000000" w:themeColor="text1"/>
        </w:rPr>
        <w:t>analyze</w:t>
      </w:r>
      <w:proofErr w:type="spellEnd"/>
      <w:r w:rsidRPr="00472ED8">
        <w:rPr>
          <w:rFonts w:ascii="Arial" w:hAnsi="Arial" w:cs="Arial"/>
          <w:color w:val="000000" w:themeColor="text1"/>
        </w:rPr>
        <w:t xml:space="preserve"> and identify high-risk populations; </w:t>
      </w:r>
      <w:r w:rsidR="005F2429" w:rsidRPr="00472ED8">
        <w:rPr>
          <w:rFonts w:ascii="Arial" w:hAnsi="Arial" w:cs="Arial"/>
          <w:color w:val="000000" w:themeColor="text1"/>
        </w:rPr>
        <w:t>modelling</w:t>
      </w:r>
      <w:r w:rsidRPr="00472ED8">
        <w:rPr>
          <w:rFonts w:ascii="Arial" w:hAnsi="Arial" w:cs="Arial"/>
          <w:color w:val="000000" w:themeColor="text1"/>
        </w:rPr>
        <w:t xml:space="preserve"> and data analytics can identify at-risk groups and determine the most effective communication channels for reaching these groups (Call, 2020).</w:t>
      </w:r>
    </w:p>
    <w:p w14:paraId="519D8F3C" w14:textId="77777777" w:rsidR="009842FE" w:rsidRPr="00472ED8" w:rsidRDefault="009842FE" w:rsidP="00472ED8">
      <w:pPr>
        <w:spacing w:line="360" w:lineRule="auto"/>
        <w:jc w:val="both"/>
        <w:rPr>
          <w:rFonts w:ascii="Arial" w:hAnsi="Arial" w:cs="Arial"/>
          <w:b/>
          <w:color w:val="000000" w:themeColor="text1"/>
          <w:u w:val="single"/>
        </w:rPr>
      </w:pPr>
    </w:p>
    <w:p w14:paraId="248CD341" w14:textId="77777777" w:rsidR="005774D0" w:rsidRPr="00472ED8" w:rsidRDefault="005774D0" w:rsidP="00472ED8">
      <w:pPr>
        <w:spacing w:line="360" w:lineRule="auto"/>
        <w:jc w:val="both"/>
        <w:rPr>
          <w:rFonts w:ascii="Arial" w:hAnsi="Arial" w:cs="Arial"/>
          <w:b/>
          <w:color w:val="000000" w:themeColor="text1"/>
          <w:u w:val="single"/>
        </w:rPr>
      </w:pPr>
    </w:p>
    <w:p w14:paraId="49913204" w14:textId="77777777" w:rsidR="005774D0" w:rsidRPr="00472ED8" w:rsidRDefault="005774D0" w:rsidP="00472ED8">
      <w:pPr>
        <w:spacing w:line="360" w:lineRule="auto"/>
        <w:jc w:val="both"/>
        <w:rPr>
          <w:rFonts w:ascii="Arial" w:hAnsi="Arial" w:cs="Arial"/>
          <w:b/>
          <w:color w:val="000000" w:themeColor="text1"/>
          <w:u w:val="single"/>
        </w:rPr>
      </w:pPr>
    </w:p>
    <w:p w14:paraId="62388F47" w14:textId="77777777" w:rsidR="005C178A" w:rsidRPr="00472ED8" w:rsidRDefault="005C178A" w:rsidP="00472ED8">
      <w:pPr>
        <w:pStyle w:val="Heading2"/>
        <w:spacing w:line="360" w:lineRule="auto"/>
        <w:rPr>
          <w:rFonts w:ascii="Arial" w:eastAsiaTheme="minorHAnsi" w:hAnsi="Arial" w:cs="Arial"/>
          <w:bCs w:val="0"/>
          <w:color w:val="000000" w:themeColor="text1"/>
          <w:sz w:val="22"/>
          <w:szCs w:val="22"/>
          <w:u w:val="single"/>
          <w:lang w:eastAsia="en-US"/>
        </w:rPr>
      </w:pPr>
      <w:bookmarkStart w:id="7" w:name="_Toc112874165"/>
    </w:p>
    <w:p w14:paraId="2EDD901A" w14:textId="77777777" w:rsidR="00951E2E" w:rsidRPr="00472ED8" w:rsidRDefault="00951E2E" w:rsidP="00472ED8">
      <w:pPr>
        <w:pStyle w:val="Heading2"/>
        <w:spacing w:line="360" w:lineRule="auto"/>
        <w:rPr>
          <w:rFonts w:ascii="Arial" w:eastAsiaTheme="minorHAnsi" w:hAnsi="Arial" w:cs="Arial"/>
          <w:bCs w:val="0"/>
          <w:color w:val="000000" w:themeColor="text1"/>
          <w:sz w:val="22"/>
          <w:szCs w:val="22"/>
          <w:u w:val="single"/>
          <w:lang w:eastAsia="en-US"/>
        </w:rPr>
      </w:pPr>
    </w:p>
    <w:p w14:paraId="04EE1236" w14:textId="77777777" w:rsidR="005774D0" w:rsidRPr="00472ED8" w:rsidRDefault="005774D0" w:rsidP="00472ED8">
      <w:pPr>
        <w:pStyle w:val="Heading2"/>
        <w:spacing w:line="360" w:lineRule="auto"/>
        <w:rPr>
          <w:rFonts w:ascii="Arial" w:hAnsi="Arial" w:cs="Arial"/>
          <w:sz w:val="22"/>
          <w:szCs w:val="22"/>
        </w:rPr>
      </w:pPr>
      <w:r w:rsidRPr="00472ED8">
        <w:rPr>
          <w:rFonts w:ascii="Arial" w:hAnsi="Arial" w:cs="Arial"/>
          <w:sz w:val="22"/>
          <w:szCs w:val="22"/>
        </w:rPr>
        <w:t>REFERENCES</w:t>
      </w:r>
      <w:bookmarkEnd w:id="7"/>
      <w:r w:rsidRPr="00472ED8">
        <w:rPr>
          <w:rFonts w:ascii="Arial" w:hAnsi="Arial" w:cs="Arial"/>
          <w:sz w:val="22"/>
          <w:szCs w:val="22"/>
        </w:rPr>
        <w:t xml:space="preserve"> </w:t>
      </w:r>
    </w:p>
    <w:p w14:paraId="3C3D5026" w14:textId="77777777" w:rsidR="005774D0" w:rsidRPr="00472ED8" w:rsidRDefault="005774D0" w:rsidP="00472ED8">
      <w:pPr>
        <w:spacing w:line="360" w:lineRule="auto"/>
        <w:jc w:val="both"/>
        <w:rPr>
          <w:rStyle w:val="ref-journal"/>
          <w:rFonts w:ascii="Arial" w:hAnsi="Arial" w:cs="Arial"/>
          <w:iCs/>
          <w:color w:val="000000" w:themeColor="text1"/>
          <w:shd w:val="clear" w:color="auto" w:fill="FFFFFF"/>
        </w:rPr>
      </w:pPr>
      <w:proofErr w:type="spellStart"/>
      <w:r w:rsidRPr="00472ED8">
        <w:rPr>
          <w:rFonts w:ascii="Arial" w:hAnsi="Arial" w:cs="Arial"/>
          <w:color w:val="000000" w:themeColor="text1"/>
          <w:shd w:val="clear" w:color="auto" w:fill="FFFFFF"/>
        </w:rPr>
        <w:t>Barke</w:t>
      </w:r>
      <w:proofErr w:type="spellEnd"/>
      <w:r w:rsidRPr="00472ED8">
        <w:rPr>
          <w:rFonts w:ascii="Arial" w:hAnsi="Arial" w:cs="Arial"/>
          <w:color w:val="000000" w:themeColor="text1"/>
          <w:shd w:val="clear" w:color="auto" w:fill="FFFFFF"/>
        </w:rPr>
        <w:t xml:space="preserve"> J (2017), “</w:t>
      </w:r>
      <w:r w:rsidRPr="00472ED8">
        <w:rPr>
          <w:rStyle w:val="ref-title"/>
          <w:rFonts w:ascii="Arial" w:hAnsi="Arial" w:cs="Arial"/>
          <w:color w:val="000000" w:themeColor="text1"/>
          <w:shd w:val="clear" w:color="auto" w:fill="FFFFFF"/>
        </w:rPr>
        <w:t>Community-based research and approaches to loneliness prevention</w:t>
      </w:r>
      <w:r w:rsidRPr="00472ED8">
        <w:rPr>
          <w:rFonts w:ascii="Arial" w:hAnsi="Arial" w:cs="Arial"/>
          <w:color w:val="000000" w:themeColor="text1"/>
          <w:shd w:val="clear" w:color="auto" w:fill="FFFFFF"/>
        </w:rPr>
        <w:t>”, </w:t>
      </w:r>
      <w:r w:rsidRPr="00472ED8">
        <w:rPr>
          <w:rStyle w:val="ref-journal"/>
          <w:rFonts w:ascii="Arial" w:hAnsi="Arial" w:cs="Arial"/>
          <w:iCs/>
          <w:color w:val="000000" w:themeColor="text1"/>
          <w:shd w:val="clear" w:color="auto" w:fill="FFFFFF"/>
        </w:rPr>
        <w:t>Working with Older People</w:t>
      </w:r>
    </w:p>
    <w:p w14:paraId="173893EE" w14:textId="77777777" w:rsidR="005774D0" w:rsidRPr="00472ED8" w:rsidRDefault="005774D0" w:rsidP="00472ED8">
      <w:pPr>
        <w:spacing w:line="360" w:lineRule="auto"/>
        <w:jc w:val="both"/>
        <w:rPr>
          <w:rFonts w:ascii="Arial" w:eastAsia="Times New Roman" w:hAnsi="Arial" w:cs="Arial"/>
          <w:color w:val="000000" w:themeColor="text1"/>
          <w:lang w:eastAsia="en-GB"/>
        </w:rPr>
      </w:pPr>
      <w:r w:rsidRPr="00472ED8">
        <w:rPr>
          <w:rFonts w:ascii="Arial" w:eastAsia="Times New Roman" w:hAnsi="Arial" w:cs="Arial"/>
          <w:color w:val="000000" w:themeColor="text1"/>
          <w:lang w:eastAsia="en-GB"/>
        </w:rPr>
        <w:t xml:space="preserve">Belam G (2020), “Yoga as an intervention for older </w:t>
      </w:r>
      <w:proofErr w:type="gramStart"/>
      <w:r w:rsidRPr="00472ED8">
        <w:rPr>
          <w:rFonts w:ascii="Arial" w:eastAsia="Times New Roman" w:hAnsi="Arial" w:cs="Arial"/>
          <w:color w:val="000000" w:themeColor="text1"/>
          <w:lang w:eastAsia="en-GB"/>
        </w:rPr>
        <w:t>peoples</w:t>
      </w:r>
      <w:proofErr w:type="gramEnd"/>
      <w:r w:rsidRPr="00472ED8">
        <w:rPr>
          <w:rFonts w:ascii="Arial" w:eastAsia="Times New Roman" w:hAnsi="Arial" w:cs="Arial"/>
          <w:color w:val="000000" w:themeColor="text1"/>
          <w:lang w:eastAsia="en-GB"/>
        </w:rPr>
        <w:t xml:space="preserve"> mental health: a literature review”, </w:t>
      </w:r>
      <w:r w:rsidRPr="00472ED8">
        <w:rPr>
          <w:rFonts w:ascii="Arial" w:eastAsia="Times New Roman" w:hAnsi="Arial" w:cs="Arial"/>
          <w:iCs/>
          <w:color w:val="000000" w:themeColor="text1"/>
          <w:lang w:eastAsia="en-GB"/>
        </w:rPr>
        <w:t>Working with Older People</w:t>
      </w:r>
      <w:r w:rsidRPr="00472ED8">
        <w:rPr>
          <w:rFonts w:ascii="Arial" w:eastAsia="Times New Roman" w:hAnsi="Arial" w:cs="Arial"/>
          <w:color w:val="000000" w:themeColor="text1"/>
          <w:lang w:eastAsia="en-GB"/>
        </w:rPr>
        <w:t>, Vol. ahead-of-print No. ahead-of-print.</w:t>
      </w:r>
    </w:p>
    <w:p w14:paraId="708FC7EE" w14:textId="77777777" w:rsidR="005774D0" w:rsidRPr="00472ED8" w:rsidRDefault="005774D0" w:rsidP="00472ED8">
      <w:pPr>
        <w:spacing w:line="360" w:lineRule="auto"/>
        <w:jc w:val="both"/>
        <w:rPr>
          <w:rStyle w:val="ref-journal"/>
          <w:rFonts w:ascii="Arial" w:hAnsi="Arial" w:cs="Arial"/>
          <w:iCs/>
          <w:color w:val="000000" w:themeColor="text1"/>
          <w:shd w:val="clear" w:color="auto" w:fill="FFFFFF"/>
        </w:rPr>
      </w:pPr>
      <w:proofErr w:type="spellStart"/>
      <w:r w:rsidRPr="00472ED8">
        <w:rPr>
          <w:rFonts w:ascii="Arial" w:hAnsi="Arial" w:cs="Arial"/>
          <w:color w:val="000000" w:themeColor="text1"/>
          <w:shd w:val="clear" w:color="auto" w:fill="FFFFFF"/>
        </w:rPr>
        <w:t>Winningham</w:t>
      </w:r>
      <w:proofErr w:type="spellEnd"/>
      <w:r w:rsidRPr="00472ED8">
        <w:rPr>
          <w:rFonts w:ascii="Arial" w:hAnsi="Arial" w:cs="Arial"/>
          <w:color w:val="000000" w:themeColor="text1"/>
          <w:shd w:val="clear" w:color="auto" w:fill="FFFFFF"/>
        </w:rPr>
        <w:t xml:space="preserve"> RG and Pike NL (2007), “</w:t>
      </w:r>
      <w:r w:rsidRPr="00472ED8">
        <w:rPr>
          <w:rStyle w:val="ref-title"/>
          <w:rFonts w:ascii="Arial" w:hAnsi="Arial" w:cs="Arial"/>
          <w:color w:val="000000" w:themeColor="text1"/>
          <w:shd w:val="clear" w:color="auto" w:fill="FFFFFF"/>
        </w:rPr>
        <w:t>A cognitive intervention to enhance institutionalized older adults’ social support networks and decrease loneliness</w:t>
      </w:r>
      <w:r w:rsidRPr="00472ED8">
        <w:rPr>
          <w:rFonts w:ascii="Arial" w:hAnsi="Arial" w:cs="Arial"/>
          <w:color w:val="000000" w:themeColor="text1"/>
          <w:shd w:val="clear" w:color="auto" w:fill="FFFFFF"/>
        </w:rPr>
        <w:t>”, </w:t>
      </w:r>
      <w:r w:rsidRPr="00472ED8">
        <w:rPr>
          <w:rStyle w:val="ref-journal"/>
          <w:rFonts w:ascii="Arial" w:hAnsi="Arial" w:cs="Arial"/>
          <w:iCs/>
          <w:color w:val="000000" w:themeColor="text1"/>
          <w:shd w:val="clear" w:color="auto" w:fill="FFFFFF"/>
        </w:rPr>
        <w:t>Aging &amp; Mental Health</w:t>
      </w:r>
    </w:p>
    <w:p w14:paraId="56F5F7AF" w14:textId="77777777" w:rsidR="005774D0" w:rsidRPr="00472ED8" w:rsidRDefault="005774D0" w:rsidP="00472ED8">
      <w:pPr>
        <w:spacing w:line="360" w:lineRule="auto"/>
        <w:jc w:val="both"/>
        <w:rPr>
          <w:rStyle w:val="ref-journal"/>
          <w:rFonts w:ascii="Arial" w:hAnsi="Arial" w:cs="Arial"/>
          <w:iCs/>
          <w:color w:val="000000" w:themeColor="text1"/>
          <w:shd w:val="clear" w:color="auto" w:fill="FFFFFF"/>
        </w:rPr>
      </w:pPr>
      <w:proofErr w:type="spellStart"/>
      <w:r w:rsidRPr="00472ED8">
        <w:rPr>
          <w:rFonts w:ascii="Arial" w:hAnsi="Arial" w:cs="Arial"/>
          <w:color w:val="000000" w:themeColor="text1"/>
          <w:shd w:val="clear" w:color="auto" w:fill="FFFFFF"/>
        </w:rPr>
        <w:t>Yanguas</w:t>
      </w:r>
      <w:proofErr w:type="spellEnd"/>
      <w:r w:rsidRPr="00472ED8">
        <w:rPr>
          <w:rFonts w:ascii="Arial" w:hAnsi="Arial" w:cs="Arial"/>
          <w:color w:val="000000" w:themeColor="text1"/>
          <w:shd w:val="clear" w:color="auto" w:fill="FFFFFF"/>
        </w:rPr>
        <w:t xml:space="preserve"> J, </w:t>
      </w:r>
      <w:proofErr w:type="spellStart"/>
      <w:r w:rsidRPr="00472ED8">
        <w:rPr>
          <w:rFonts w:ascii="Arial" w:hAnsi="Arial" w:cs="Arial"/>
          <w:color w:val="000000" w:themeColor="text1"/>
          <w:shd w:val="clear" w:color="auto" w:fill="FFFFFF"/>
        </w:rPr>
        <w:t>Pinazo-Henandis</w:t>
      </w:r>
      <w:proofErr w:type="spellEnd"/>
      <w:r w:rsidRPr="00472ED8">
        <w:rPr>
          <w:rFonts w:ascii="Arial" w:hAnsi="Arial" w:cs="Arial"/>
          <w:color w:val="000000" w:themeColor="text1"/>
          <w:shd w:val="clear" w:color="auto" w:fill="FFFFFF"/>
        </w:rPr>
        <w:t xml:space="preserve"> S and </w:t>
      </w:r>
      <w:proofErr w:type="spellStart"/>
      <w:r w:rsidRPr="00472ED8">
        <w:rPr>
          <w:rFonts w:ascii="Arial" w:hAnsi="Arial" w:cs="Arial"/>
          <w:color w:val="000000" w:themeColor="text1"/>
          <w:shd w:val="clear" w:color="auto" w:fill="FFFFFF"/>
        </w:rPr>
        <w:t>Tarazona-Santabalbina</w:t>
      </w:r>
      <w:proofErr w:type="spellEnd"/>
      <w:r w:rsidRPr="00472ED8">
        <w:rPr>
          <w:rFonts w:ascii="Arial" w:hAnsi="Arial" w:cs="Arial"/>
          <w:color w:val="000000" w:themeColor="text1"/>
          <w:shd w:val="clear" w:color="auto" w:fill="FFFFFF"/>
        </w:rPr>
        <w:t xml:space="preserve"> FJ (2018), “</w:t>
      </w:r>
      <w:r w:rsidRPr="00472ED8">
        <w:rPr>
          <w:rStyle w:val="ref-title"/>
          <w:rFonts w:ascii="Arial" w:hAnsi="Arial" w:cs="Arial"/>
          <w:color w:val="000000" w:themeColor="text1"/>
          <w:shd w:val="clear" w:color="auto" w:fill="FFFFFF"/>
        </w:rPr>
        <w:t>The complexity of loneliness</w:t>
      </w:r>
      <w:r w:rsidRPr="00472ED8">
        <w:rPr>
          <w:rFonts w:ascii="Arial" w:hAnsi="Arial" w:cs="Arial"/>
          <w:color w:val="000000" w:themeColor="text1"/>
          <w:shd w:val="clear" w:color="auto" w:fill="FFFFFF"/>
        </w:rPr>
        <w:t>”, </w:t>
      </w:r>
      <w:r w:rsidRPr="00472ED8">
        <w:rPr>
          <w:rStyle w:val="ref-journal"/>
          <w:rFonts w:ascii="Arial" w:hAnsi="Arial" w:cs="Arial"/>
          <w:iCs/>
          <w:color w:val="000000" w:themeColor="text1"/>
          <w:shd w:val="clear" w:color="auto" w:fill="FFFFFF"/>
        </w:rPr>
        <w:t>Acta bio-</w:t>
      </w:r>
      <w:proofErr w:type="gramStart"/>
      <w:r w:rsidRPr="00472ED8">
        <w:rPr>
          <w:rStyle w:val="ref-journal"/>
          <w:rFonts w:ascii="Arial" w:hAnsi="Arial" w:cs="Arial"/>
          <w:iCs/>
          <w:color w:val="000000" w:themeColor="text1"/>
          <w:shd w:val="clear" w:color="auto" w:fill="FFFFFF"/>
        </w:rPr>
        <w:t>medica :</w:t>
      </w:r>
      <w:proofErr w:type="gramEnd"/>
      <w:r w:rsidRPr="00472ED8">
        <w:rPr>
          <w:rStyle w:val="ref-journal"/>
          <w:rFonts w:ascii="Arial" w:hAnsi="Arial" w:cs="Arial"/>
          <w:iCs/>
          <w:color w:val="000000" w:themeColor="text1"/>
          <w:shd w:val="clear" w:color="auto" w:fill="FFFFFF"/>
        </w:rPr>
        <w:t xml:space="preserve"> </w:t>
      </w:r>
      <w:proofErr w:type="spellStart"/>
      <w:r w:rsidRPr="00472ED8">
        <w:rPr>
          <w:rStyle w:val="ref-journal"/>
          <w:rFonts w:ascii="Arial" w:hAnsi="Arial" w:cs="Arial"/>
          <w:iCs/>
          <w:color w:val="000000" w:themeColor="text1"/>
          <w:shd w:val="clear" w:color="auto" w:fill="FFFFFF"/>
        </w:rPr>
        <w:t>Atenei</w:t>
      </w:r>
      <w:proofErr w:type="spellEnd"/>
      <w:r w:rsidRPr="00472ED8">
        <w:rPr>
          <w:rStyle w:val="ref-journal"/>
          <w:rFonts w:ascii="Arial" w:hAnsi="Arial" w:cs="Arial"/>
          <w:iCs/>
          <w:color w:val="000000" w:themeColor="text1"/>
          <w:shd w:val="clear" w:color="auto" w:fill="FFFFFF"/>
        </w:rPr>
        <w:t xml:space="preserve"> </w:t>
      </w:r>
      <w:proofErr w:type="spellStart"/>
      <w:r w:rsidRPr="00472ED8">
        <w:rPr>
          <w:rStyle w:val="ref-journal"/>
          <w:rFonts w:ascii="Arial" w:hAnsi="Arial" w:cs="Arial"/>
          <w:iCs/>
          <w:color w:val="000000" w:themeColor="text1"/>
          <w:shd w:val="clear" w:color="auto" w:fill="FFFFFF"/>
        </w:rPr>
        <w:t>Parmensis</w:t>
      </w:r>
      <w:proofErr w:type="spellEnd"/>
    </w:p>
    <w:p w14:paraId="352BE917" w14:textId="77777777" w:rsidR="005774D0" w:rsidRPr="00472ED8" w:rsidRDefault="005774D0" w:rsidP="00472ED8">
      <w:pPr>
        <w:spacing w:line="360" w:lineRule="auto"/>
        <w:jc w:val="both"/>
        <w:rPr>
          <w:rStyle w:val="ref-journal"/>
          <w:rFonts w:ascii="Arial" w:hAnsi="Arial" w:cs="Arial"/>
          <w:iCs/>
          <w:color w:val="000000" w:themeColor="text1"/>
          <w:shd w:val="clear" w:color="auto" w:fill="FFFFFF"/>
        </w:rPr>
      </w:pPr>
      <w:r w:rsidRPr="00472ED8">
        <w:rPr>
          <w:rFonts w:ascii="Arial" w:hAnsi="Arial" w:cs="Arial"/>
          <w:color w:val="000000" w:themeColor="text1"/>
          <w:shd w:val="clear" w:color="auto" w:fill="FFFFFF"/>
        </w:rPr>
        <w:t>Tsai H-H, Cheng C-Y, Shieh W-Y and Chang Y-C (2020), “</w:t>
      </w:r>
      <w:r w:rsidRPr="00472ED8">
        <w:rPr>
          <w:rStyle w:val="ref-title"/>
          <w:rFonts w:ascii="Arial" w:hAnsi="Arial" w:cs="Arial"/>
          <w:color w:val="000000" w:themeColor="text1"/>
          <w:shd w:val="clear" w:color="auto" w:fill="FFFFFF"/>
        </w:rPr>
        <w:t>Effects of a smartphone-based videoconferencing program for older nursing home residents on depression, loneliness, and quality of life: a quasi-experimental study</w:t>
      </w:r>
      <w:r w:rsidRPr="00472ED8">
        <w:rPr>
          <w:rFonts w:ascii="Arial" w:hAnsi="Arial" w:cs="Arial"/>
          <w:color w:val="000000" w:themeColor="text1"/>
          <w:shd w:val="clear" w:color="auto" w:fill="FFFFFF"/>
        </w:rPr>
        <w:t>”, </w:t>
      </w:r>
      <w:r w:rsidRPr="00472ED8">
        <w:rPr>
          <w:rStyle w:val="ref-journal"/>
          <w:rFonts w:ascii="Arial" w:hAnsi="Arial" w:cs="Arial"/>
          <w:iCs/>
          <w:color w:val="000000" w:themeColor="text1"/>
          <w:shd w:val="clear" w:color="auto" w:fill="FFFFFF"/>
        </w:rPr>
        <w:t>BMC Geriatrics</w:t>
      </w:r>
    </w:p>
    <w:p w14:paraId="7099DC23" w14:textId="77777777" w:rsidR="005774D0" w:rsidRPr="00472ED8" w:rsidRDefault="005774D0" w:rsidP="00472ED8">
      <w:pPr>
        <w:spacing w:line="360" w:lineRule="auto"/>
        <w:jc w:val="both"/>
        <w:rPr>
          <w:rStyle w:val="ref-journal"/>
          <w:rFonts w:ascii="Arial" w:hAnsi="Arial" w:cs="Arial"/>
          <w:iCs/>
          <w:color w:val="000000" w:themeColor="text1"/>
          <w:shd w:val="clear" w:color="auto" w:fill="FFFFFF"/>
        </w:rPr>
      </w:pPr>
      <w:r w:rsidRPr="00472ED8">
        <w:rPr>
          <w:rFonts w:ascii="Arial" w:hAnsi="Arial" w:cs="Arial"/>
          <w:color w:val="000000" w:themeColor="text1"/>
          <w:shd w:val="clear" w:color="auto" w:fill="FFFFFF"/>
        </w:rPr>
        <w:lastRenderedPageBreak/>
        <w:t>Rote S, Hill TD and Ellison CG (2013), “</w:t>
      </w:r>
      <w:r w:rsidRPr="00472ED8">
        <w:rPr>
          <w:rStyle w:val="ref-title"/>
          <w:rFonts w:ascii="Arial" w:hAnsi="Arial" w:cs="Arial"/>
          <w:color w:val="000000" w:themeColor="text1"/>
          <w:shd w:val="clear" w:color="auto" w:fill="FFFFFF"/>
        </w:rPr>
        <w:t>Religious attendance and loneliness in later life</w:t>
      </w:r>
      <w:r w:rsidRPr="00472ED8">
        <w:rPr>
          <w:rFonts w:ascii="Arial" w:hAnsi="Arial" w:cs="Arial"/>
          <w:color w:val="000000" w:themeColor="text1"/>
          <w:shd w:val="clear" w:color="auto" w:fill="FFFFFF"/>
        </w:rPr>
        <w:t>”, </w:t>
      </w:r>
      <w:r w:rsidRPr="00472ED8">
        <w:rPr>
          <w:rStyle w:val="ref-journal"/>
          <w:rFonts w:ascii="Arial" w:hAnsi="Arial" w:cs="Arial"/>
          <w:iCs/>
          <w:color w:val="000000" w:themeColor="text1"/>
          <w:shd w:val="clear" w:color="auto" w:fill="FFFFFF"/>
        </w:rPr>
        <w:t>The Gerontologist</w:t>
      </w:r>
    </w:p>
    <w:p w14:paraId="599F212D" w14:textId="77777777" w:rsidR="005774D0" w:rsidRPr="00472ED8" w:rsidRDefault="005774D0" w:rsidP="00472ED8">
      <w:pPr>
        <w:spacing w:line="360" w:lineRule="auto"/>
        <w:jc w:val="both"/>
        <w:rPr>
          <w:rStyle w:val="ref-journal"/>
          <w:rFonts w:ascii="Arial" w:hAnsi="Arial" w:cs="Arial"/>
          <w:iCs/>
          <w:color w:val="000000" w:themeColor="text1"/>
          <w:shd w:val="clear" w:color="auto" w:fill="FFFFFF"/>
        </w:rPr>
      </w:pPr>
      <w:r w:rsidRPr="00472ED8">
        <w:rPr>
          <w:rFonts w:ascii="Arial" w:hAnsi="Arial" w:cs="Arial"/>
          <w:color w:val="000000" w:themeColor="text1"/>
          <w:shd w:val="clear" w:color="auto" w:fill="FFFFFF"/>
        </w:rPr>
        <w:t xml:space="preserve">Rico-Uribe LA, Caballero FF, Martín-María N, Cabello M, </w:t>
      </w:r>
      <w:proofErr w:type="spellStart"/>
      <w:r w:rsidRPr="00472ED8">
        <w:rPr>
          <w:rFonts w:ascii="Arial" w:hAnsi="Arial" w:cs="Arial"/>
          <w:color w:val="000000" w:themeColor="text1"/>
          <w:shd w:val="clear" w:color="auto" w:fill="FFFFFF"/>
        </w:rPr>
        <w:t>Ayuso-Mateos</w:t>
      </w:r>
      <w:proofErr w:type="spellEnd"/>
      <w:r w:rsidRPr="00472ED8">
        <w:rPr>
          <w:rFonts w:ascii="Arial" w:hAnsi="Arial" w:cs="Arial"/>
          <w:color w:val="000000" w:themeColor="text1"/>
          <w:shd w:val="clear" w:color="auto" w:fill="FFFFFF"/>
        </w:rPr>
        <w:t xml:space="preserve"> JL and </w:t>
      </w:r>
      <w:proofErr w:type="spellStart"/>
      <w:r w:rsidRPr="00472ED8">
        <w:rPr>
          <w:rFonts w:ascii="Arial" w:hAnsi="Arial" w:cs="Arial"/>
          <w:color w:val="000000" w:themeColor="text1"/>
          <w:shd w:val="clear" w:color="auto" w:fill="FFFFFF"/>
        </w:rPr>
        <w:t>Miret</w:t>
      </w:r>
      <w:proofErr w:type="spellEnd"/>
      <w:r w:rsidRPr="00472ED8">
        <w:rPr>
          <w:rFonts w:ascii="Arial" w:hAnsi="Arial" w:cs="Arial"/>
          <w:color w:val="000000" w:themeColor="text1"/>
          <w:shd w:val="clear" w:color="auto" w:fill="FFFFFF"/>
        </w:rPr>
        <w:t xml:space="preserve"> M (2018), “</w:t>
      </w:r>
      <w:r w:rsidRPr="00472ED8">
        <w:rPr>
          <w:rStyle w:val="ref-title"/>
          <w:rFonts w:ascii="Arial" w:hAnsi="Arial" w:cs="Arial"/>
          <w:color w:val="000000" w:themeColor="text1"/>
          <w:shd w:val="clear" w:color="auto" w:fill="FFFFFF"/>
        </w:rPr>
        <w:t>Association of loneliness with all-cause mortality: A meta-analysis</w:t>
      </w:r>
    </w:p>
    <w:p w14:paraId="48C89BEE" w14:textId="77777777" w:rsidR="005774D0" w:rsidRPr="00472ED8" w:rsidRDefault="005774D0" w:rsidP="00472ED8">
      <w:pPr>
        <w:shd w:val="clear" w:color="auto" w:fill="FFFFFF"/>
        <w:spacing w:before="200" w:line="360" w:lineRule="auto"/>
        <w:jc w:val="both"/>
        <w:rPr>
          <w:rFonts w:ascii="Arial" w:eastAsia="Times New Roman" w:hAnsi="Arial" w:cs="Arial"/>
          <w:color w:val="000000" w:themeColor="text1"/>
          <w:lang w:eastAsia="en-GB"/>
        </w:rPr>
      </w:pPr>
      <w:r w:rsidRPr="00472ED8">
        <w:rPr>
          <w:rFonts w:ascii="Arial" w:eastAsia="Times New Roman" w:hAnsi="Arial" w:cs="Arial"/>
          <w:color w:val="000000" w:themeColor="text1"/>
          <w:lang w:eastAsia="en-GB"/>
        </w:rPr>
        <w:t>U.S. Census Bureau (2018b), “ </w:t>
      </w:r>
      <w:r w:rsidRPr="00472ED8">
        <w:rPr>
          <w:rFonts w:ascii="Arial" w:eastAsia="Times New Roman" w:hAnsi="Arial" w:cs="Arial"/>
          <w:iCs/>
          <w:color w:val="000000" w:themeColor="text1"/>
          <w:lang w:eastAsia="en-GB"/>
        </w:rPr>
        <w:t>2018 Population 65 Years and Over in the United States: American Community Survey 1-Year Estimates (Table ID: S0103)</w:t>
      </w:r>
      <w:r w:rsidRPr="00472ED8">
        <w:rPr>
          <w:rFonts w:ascii="Arial" w:eastAsia="Times New Roman" w:hAnsi="Arial" w:cs="Arial"/>
          <w:color w:val="000000" w:themeColor="text1"/>
          <w:lang w:eastAsia="en-GB"/>
        </w:rPr>
        <w:t>”, available at: </w:t>
      </w:r>
      <w:hyperlink r:id="rId9" w:tgtFrame="_blank" w:history="1">
        <w:r w:rsidRPr="00472ED8">
          <w:rPr>
            <w:rFonts w:ascii="Arial" w:eastAsia="Times New Roman" w:hAnsi="Arial" w:cs="Arial"/>
            <w:color w:val="000000" w:themeColor="text1"/>
            <w:u w:val="single"/>
            <w:lang w:eastAsia="en-GB"/>
          </w:rPr>
          <w:t>https://data.census.gov/cedsci/table?q=elderly&amp;hidePreview=false&amp;tid=ACSST1Y2018.S0103&amp;vintage=2018</w:t>
        </w:r>
      </w:hyperlink>
      <w:r w:rsidRPr="00472ED8">
        <w:rPr>
          <w:rFonts w:ascii="Arial" w:eastAsia="Times New Roman" w:hAnsi="Arial" w:cs="Arial"/>
          <w:color w:val="000000" w:themeColor="text1"/>
          <w:lang w:eastAsia="en-GB"/>
        </w:rPr>
        <w:t> (accessed July 9, 2020)</w:t>
      </w:r>
    </w:p>
    <w:p w14:paraId="5312D878" w14:textId="77777777" w:rsidR="005C178A" w:rsidRPr="00472ED8" w:rsidRDefault="005C178A" w:rsidP="00472ED8">
      <w:pPr>
        <w:shd w:val="clear" w:color="auto" w:fill="FFFFFF"/>
        <w:spacing w:before="200" w:line="360" w:lineRule="auto"/>
        <w:jc w:val="both"/>
        <w:rPr>
          <w:rFonts w:ascii="Arial" w:hAnsi="Arial" w:cs="Arial"/>
        </w:rPr>
      </w:pPr>
      <w:r w:rsidRPr="00472ED8">
        <w:rPr>
          <w:rFonts w:ascii="Arial" w:hAnsi="Arial" w:cs="Arial"/>
        </w:rPr>
        <w:t>Lauder W, Sharkey, S, Mummery K (2004). A community survey of loneliness. Journal of Advanced Nursing</w:t>
      </w:r>
    </w:p>
    <w:p w14:paraId="150759B9" w14:textId="77777777" w:rsidR="005C178A" w:rsidRPr="00472ED8" w:rsidRDefault="009050E3" w:rsidP="00472ED8">
      <w:pPr>
        <w:shd w:val="clear" w:color="auto" w:fill="FFFFFF"/>
        <w:spacing w:before="200" w:line="360" w:lineRule="auto"/>
        <w:jc w:val="both"/>
        <w:rPr>
          <w:rFonts w:ascii="Arial" w:eastAsia="Times New Roman" w:hAnsi="Arial" w:cs="Arial"/>
          <w:color w:val="000000" w:themeColor="text1"/>
          <w:lang w:eastAsia="en-GB"/>
        </w:rPr>
      </w:pPr>
      <w:proofErr w:type="spellStart"/>
      <w:r w:rsidRPr="00472ED8">
        <w:rPr>
          <w:rFonts w:ascii="Arial" w:hAnsi="Arial" w:cs="Arial"/>
        </w:rPr>
        <w:t>Savikko</w:t>
      </w:r>
      <w:proofErr w:type="spellEnd"/>
      <w:r w:rsidRPr="00472ED8">
        <w:rPr>
          <w:rFonts w:ascii="Arial" w:hAnsi="Arial" w:cs="Arial"/>
        </w:rPr>
        <w:t xml:space="preserve"> N, </w:t>
      </w:r>
      <w:proofErr w:type="spellStart"/>
      <w:r w:rsidRPr="00472ED8">
        <w:rPr>
          <w:rFonts w:ascii="Arial" w:hAnsi="Arial" w:cs="Arial"/>
        </w:rPr>
        <w:t>Routasalo</w:t>
      </w:r>
      <w:proofErr w:type="spellEnd"/>
      <w:r w:rsidRPr="00472ED8">
        <w:rPr>
          <w:rFonts w:ascii="Arial" w:hAnsi="Arial" w:cs="Arial"/>
        </w:rPr>
        <w:t xml:space="preserve"> P, </w:t>
      </w:r>
      <w:proofErr w:type="spellStart"/>
      <w:r w:rsidRPr="00472ED8">
        <w:rPr>
          <w:rFonts w:ascii="Arial" w:hAnsi="Arial" w:cs="Arial"/>
        </w:rPr>
        <w:t>Tilvis</w:t>
      </w:r>
      <w:proofErr w:type="spellEnd"/>
      <w:r w:rsidRPr="00472ED8">
        <w:rPr>
          <w:rFonts w:ascii="Arial" w:hAnsi="Arial" w:cs="Arial"/>
        </w:rPr>
        <w:t xml:space="preserve"> R, </w:t>
      </w:r>
      <w:proofErr w:type="spellStart"/>
      <w:r w:rsidRPr="00472ED8">
        <w:rPr>
          <w:rFonts w:ascii="Arial" w:hAnsi="Arial" w:cs="Arial"/>
        </w:rPr>
        <w:t>Strandbert</w:t>
      </w:r>
      <w:proofErr w:type="spellEnd"/>
      <w:r w:rsidRPr="00472ED8">
        <w:rPr>
          <w:rFonts w:ascii="Arial" w:hAnsi="Arial" w:cs="Arial"/>
        </w:rPr>
        <w:t xml:space="preserve"> T, </w:t>
      </w:r>
      <w:proofErr w:type="spellStart"/>
      <w:r w:rsidRPr="00472ED8">
        <w:rPr>
          <w:rFonts w:ascii="Arial" w:hAnsi="Arial" w:cs="Arial"/>
        </w:rPr>
        <w:t>Pitkala</w:t>
      </w:r>
      <w:proofErr w:type="spellEnd"/>
      <w:r w:rsidRPr="00472ED8">
        <w:rPr>
          <w:rFonts w:ascii="Arial" w:hAnsi="Arial" w:cs="Arial"/>
        </w:rPr>
        <w:t>, K (2005). Predictors and subjective causes of loneliness in an aged population. Archives of Gerontology and Geriatrics</w:t>
      </w:r>
    </w:p>
    <w:p w14:paraId="5609D7C9" w14:textId="77777777" w:rsidR="005774D0" w:rsidRPr="00472ED8" w:rsidRDefault="004832F3" w:rsidP="00472ED8">
      <w:pPr>
        <w:shd w:val="clear" w:color="auto" w:fill="FFFFFF"/>
        <w:spacing w:before="200" w:line="360" w:lineRule="auto"/>
        <w:jc w:val="both"/>
        <w:rPr>
          <w:rFonts w:ascii="Arial" w:hAnsi="Arial" w:cs="Arial"/>
        </w:rPr>
      </w:pPr>
      <w:proofErr w:type="spellStart"/>
      <w:r w:rsidRPr="00472ED8">
        <w:rPr>
          <w:rFonts w:ascii="Arial" w:hAnsi="Arial" w:cs="Arial"/>
        </w:rPr>
        <w:t>Pinquart</w:t>
      </w:r>
      <w:proofErr w:type="spellEnd"/>
      <w:r w:rsidRPr="00472ED8">
        <w:rPr>
          <w:rFonts w:ascii="Arial" w:hAnsi="Arial" w:cs="Arial"/>
        </w:rPr>
        <w:t xml:space="preserve"> M and </w:t>
      </w:r>
      <w:proofErr w:type="spellStart"/>
      <w:r w:rsidRPr="00472ED8">
        <w:rPr>
          <w:rFonts w:ascii="Arial" w:hAnsi="Arial" w:cs="Arial"/>
        </w:rPr>
        <w:t>Sörensen</w:t>
      </w:r>
      <w:proofErr w:type="spellEnd"/>
      <w:r w:rsidRPr="00472ED8">
        <w:rPr>
          <w:rFonts w:ascii="Arial" w:hAnsi="Arial" w:cs="Arial"/>
        </w:rPr>
        <w:t xml:space="preserve"> S. Influences on Loneliness in Older Adults: A Meta-Analysis. Basic and Applied Social Psychology. 2001</w:t>
      </w:r>
    </w:p>
    <w:p w14:paraId="52A82218" w14:textId="77777777" w:rsidR="00951E2E" w:rsidRPr="00472ED8" w:rsidRDefault="00951E2E" w:rsidP="00472ED8">
      <w:pPr>
        <w:shd w:val="clear" w:color="auto" w:fill="FFFFFF"/>
        <w:spacing w:before="200" w:line="360" w:lineRule="auto"/>
        <w:jc w:val="both"/>
        <w:rPr>
          <w:rFonts w:ascii="Arial" w:eastAsia="Times New Roman" w:hAnsi="Arial" w:cs="Arial"/>
          <w:color w:val="000000" w:themeColor="text1"/>
          <w:lang w:eastAsia="en-GB"/>
        </w:rPr>
      </w:pPr>
    </w:p>
    <w:p w14:paraId="1730D806" w14:textId="77777777" w:rsidR="005774D0" w:rsidRPr="00472ED8" w:rsidRDefault="005774D0" w:rsidP="00472ED8">
      <w:pPr>
        <w:spacing w:line="360" w:lineRule="auto"/>
        <w:jc w:val="both"/>
        <w:rPr>
          <w:rFonts w:ascii="Arial" w:hAnsi="Arial" w:cs="Arial"/>
          <w:b/>
          <w:color w:val="000000" w:themeColor="text1"/>
          <w:u w:val="single"/>
        </w:rPr>
      </w:pPr>
    </w:p>
    <w:sectPr w:rsidR="005774D0" w:rsidRPr="00472ED8" w:rsidSect="008430BA">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9FE3F" w14:textId="77777777" w:rsidR="009C58A8" w:rsidRDefault="009C58A8" w:rsidP="008430BA">
      <w:pPr>
        <w:spacing w:after="0" w:line="240" w:lineRule="auto"/>
      </w:pPr>
      <w:r>
        <w:separator/>
      </w:r>
    </w:p>
  </w:endnote>
  <w:endnote w:type="continuationSeparator" w:id="0">
    <w:p w14:paraId="59380DA8" w14:textId="77777777" w:rsidR="009C58A8" w:rsidRDefault="009C58A8" w:rsidP="00843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9533C" w14:textId="77777777" w:rsidR="001B0CFA" w:rsidRDefault="00000000">
    <w:pPr>
      <w:pStyle w:val="Footer"/>
      <w:jc w:val="center"/>
    </w:pPr>
    <w:r>
      <w:fldChar w:fldCharType="begin"/>
    </w:r>
    <w:r>
      <w:instrText xml:space="preserve"> PAGE   \* MERGEFORMAT </w:instrText>
    </w:r>
    <w:r>
      <w:fldChar w:fldCharType="separate"/>
    </w:r>
    <w:r w:rsidR="00876F68">
      <w:rPr>
        <w:noProof/>
      </w:rPr>
      <w:t>5</w:t>
    </w:r>
    <w:r>
      <w:rPr>
        <w:noProof/>
      </w:rPr>
      <w:fldChar w:fldCharType="end"/>
    </w:r>
  </w:p>
  <w:p w14:paraId="4D6B206E" w14:textId="77777777" w:rsidR="001B0CFA" w:rsidRDefault="001B0C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2F968" w14:textId="77777777" w:rsidR="009C58A8" w:rsidRDefault="009C58A8" w:rsidP="008430BA">
      <w:pPr>
        <w:spacing w:after="0" w:line="240" w:lineRule="auto"/>
      </w:pPr>
      <w:r>
        <w:separator/>
      </w:r>
    </w:p>
  </w:footnote>
  <w:footnote w:type="continuationSeparator" w:id="0">
    <w:p w14:paraId="530DC427" w14:textId="77777777" w:rsidR="009C58A8" w:rsidRDefault="009C58A8" w:rsidP="008430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75AD6"/>
    <w:multiLevelType w:val="hybridMultilevel"/>
    <w:tmpl w:val="9A9A87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91F75"/>
    <w:multiLevelType w:val="hybridMultilevel"/>
    <w:tmpl w:val="40EE41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7076B1"/>
    <w:multiLevelType w:val="multilevel"/>
    <w:tmpl w:val="8BCEC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DA2FB6"/>
    <w:multiLevelType w:val="multilevel"/>
    <w:tmpl w:val="159EC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285731"/>
    <w:multiLevelType w:val="hybridMultilevel"/>
    <w:tmpl w:val="DCA429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6483401">
    <w:abstractNumId w:val="4"/>
  </w:num>
  <w:num w:numId="2" w16cid:durableId="295569780">
    <w:abstractNumId w:val="1"/>
  </w:num>
  <w:num w:numId="3" w16cid:durableId="1502547693">
    <w:abstractNumId w:val="3"/>
  </w:num>
  <w:num w:numId="4" w16cid:durableId="1297225077">
    <w:abstractNumId w:val="2"/>
  </w:num>
  <w:num w:numId="5" w16cid:durableId="669143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79B"/>
    <w:rsid w:val="00010E73"/>
    <w:rsid w:val="00021BD9"/>
    <w:rsid w:val="000237D3"/>
    <w:rsid w:val="00051595"/>
    <w:rsid w:val="00052A1F"/>
    <w:rsid w:val="00064ACC"/>
    <w:rsid w:val="0007442C"/>
    <w:rsid w:val="00077188"/>
    <w:rsid w:val="00084244"/>
    <w:rsid w:val="000902EA"/>
    <w:rsid w:val="00093F5F"/>
    <w:rsid w:val="000A24DF"/>
    <w:rsid w:val="000A4376"/>
    <w:rsid w:val="000C77E8"/>
    <w:rsid w:val="00136D13"/>
    <w:rsid w:val="00167E6B"/>
    <w:rsid w:val="00170AAF"/>
    <w:rsid w:val="001A512E"/>
    <w:rsid w:val="001B0CFA"/>
    <w:rsid w:val="001D517C"/>
    <w:rsid w:val="001E547F"/>
    <w:rsid w:val="001F46C2"/>
    <w:rsid w:val="002024A1"/>
    <w:rsid w:val="002048AC"/>
    <w:rsid w:val="00211935"/>
    <w:rsid w:val="00215E17"/>
    <w:rsid w:val="00224E4D"/>
    <w:rsid w:val="00227410"/>
    <w:rsid w:val="00234D72"/>
    <w:rsid w:val="00254008"/>
    <w:rsid w:val="00267E54"/>
    <w:rsid w:val="00283A78"/>
    <w:rsid w:val="0029246A"/>
    <w:rsid w:val="00296AAC"/>
    <w:rsid w:val="002A525E"/>
    <w:rsid w:val="002F572F"/>
    <w:rsid w:val="00301F9C"/>
    <w:rsid w:val="00304239"/>
    <w:rsid w:val="003052FC"/>
    <w:rsid w:val="00321151"/>
    <w:rsid w:val="00322672"/>
    <w:rsid w:val="0032470E"/>
    <w:rsid w:val="003378E6"/>
    <w:rsid w:val="003402F3"/>
    <w:rsid w:val="00346F44"/>
    <w:rsid w:val="00380822"/>
    <w:rsid w:val="00391466"/>
    <w:rsid w:val="003D7C98"/>
    <w:rsid w:val="004104F0"/>
    <w:rsid w:val="004256C5"/>
    <w:rsid w:val="0043175E"/>
    <w:rsid w:val="00454CD6"/>
    <w:rsid w:val="00472ED8"/>
    <w:rsid w:val="0047364C"/>
    <w:rsid w:val="0047468A"/>
    <w:rsid w:val="004832F3"/>
    <w:rsid w:val="00487B97"/>
    <w:rsid w:val="004966AC"/>
    <w:rsid w:val="004A309A"/>
    <w:rsid w:val="004B2E48"/>
    <w:rsid w:val="004B4F5D"/>
    <w:rsid w:val="004D155C"/>
    <w:rsid w:val="004F19C0"/>
    <w:rsid w:val="004F6556"/>
    <w:rsid w:val="005130B0"/>
    <w:rsid w:val="00521E97"/>
    <w:rsid w:val="00542EC4"/>
    <w:rsid w:val="00550EBF"/>
    <w:rsid w:val="00552F26"/>
    <w:rsid w:val="00566E96"/>
    <w:rsid w:val="005760BC"/>
    <w:rsid w:val="005774D0"/>
    <w:rsid w:val="00590BF7"/>
    <w:rsid w:val="005A319C"/>
    <w:rsid w:val="005B294E"/>
    <w:rsid w:val="005B5624"/>
    <w:rsid w:val="005C178A"/>
    <w:rsid w:val="005F2429"/>
    <w:rsid w:val="006025D1"/>
    <w:rsid w:val="00610714"/>
    <w:rsid w:val="0061217A"/>
    <w:rsid w:val="0062786F"/>
    <w:rsid w:val="00641B60"/>
    <w:rsid w:val="00643346"/>
    <w:rsid w:val="00647A76"/>
    <w:rsid w:val="0067634A"/>
    <w:rsid w:val="0068118B"/>
    <w:rsid w:val="006864E3"/>
    <w:rsid w:val="006903BF"/>
    <w:rsid w:val="0069423F"/>
    <w:rsid w:val="006A565B"/>
    <w:rsid w:val="006B5F68"/>
    <w:rsid w:val="006C00AD"/>
    <w:rsid w:val="006E6428"/>
    <w:rsid w:val="006E72DA"/>
    <w:rsid w:val="00704208"/>
    <w:rsid w:val="00724939"/>
    <w:rsid w:val="00731B0C"/>
    <w:rsid w:val="007332B8"/>
    <w:rsid w:val="00734452"/>
    <w:rsid w:val="007434D3"/>
    <w:rsid w:val="00755ECC"/>
    <w:rsid w:val="007761BF"/>
    <w:rsid w:val="00785618"/>
    <w:rsid w:val="00785E2E"/>
    <w:rsid w:val="00793F73"/>
    <w:rsid w:val="00793F99"/>
    <w:rsid w:val="007A43E6"/>
    <w:rsid w:val="007B41B7"/>
    <w:rsid w:val="007C0CC5"/>
    <w:rsid w:val="007E2AE7"/>
    <w:rsid w:val="007F7971"/>
    <w:rsid w:val="00806491"/>
    <w:rsid w:val="00806BCD"/>
    <w:rsid w:val="0082108C"/>
    <w:rsid w:val="00821AC5"/>
    <w:rsid w:val="00821D88"/>
    <w:rsid w:val="00830E83"/>
    <w:rsid w:val="008316C0"/>
    <w:rsid w:val="00833D2B"/>
    <w:rsid w:val="00835F21"/>
    <w:rsid w:val="00842868"/>
    <w:rsid w:val="008430BA"/>
    <w:rsid w:val="008540A8"/>
    <w:rsid w:val="008560E1"/>
    <w:rsid w:val="00857CAD"/>
    <w:rsid w:val="00860DEB"/>
    <w:rsid w:val="00870F13"/>
    <w:rsid w:val="00876F68"/>
    <w:rsid w:val="00896E5C"/>
    <w:rsid w:val="008D3306"/>
    <w:rsid w:val="008E2B6F"/>
    <w:rsid w:val="009050E3"/>
    <w:rsid w:val="00907AA4"/>
    <w:rsid w:val="009104D9"/>
    <w:rsid w:val="00914E6D"/>
    <w:rsid w:val="009169AE"/>
    <w:rsid w:val="00933653"/>
    <w:rsid w:val="009339E1"/>
    <w:rsid w:val="00941DB9"/>
    <w:rsid w:val="00947288"/>
    <w:rsid w:val="00951E2E"/>
    <w:rsid w:val="00971F6A"/>
    <w:rsid w:val="00980BB4"/>
    <w:rsid w:val="009842FE"/>
    <w:rsid w:val="009975C4"/>
    <w:rsid w:val="00997E65"/>
    <w:rsid w:val="009A438F"/>
    <w:rsid w:val="009A70D4"/>
    <w:rsid w:val="009C58A8"/>
    <w:rsid w:val="009D3055"/>
    <w:rsid w:val="00A03F08"/>
    <w:rsid w:val="00A14D7A"/>
    <w:rsid w:val="00A35005"/>
    <w:rsid w:val="00A44AEF"/>
    <w:rsid w:val="00A4578E"/>
    <w:rsid w:val="00A47D86"/>
    <w:rsid w:val="00A5720E"/>
    <w:rsid w:val="00A6287F"/>
    <w:rsid w:val="00A718BE"/>
    <w:rsid w:val="00A72864"/>
    <w:rsid w:val="00AA1F05"/>
    <w:rsid w:val="00AB691E"/>
    <w:rsid w:val="00AC3AF3"/>
    <w:rsid w:val="00AD4BFA"/>
    <w:rsid w:val="00AE372F"/>
    <w:rsid w:val="00AE687A"/>
    <w:rsid w:val="00AF2CD6"/>
    <w:rsid w:val="00B07AC0"/>
    <w:rsid w:val="00B371F5"/>
    <w:rsid w:val="00BA51FA"/>
    <w:rsid w:val="00BB38B9"/>
    <w:rsid w:val="00BC34F9"/>
    <w:rsid w:val="00BF482E"/>
    <w:rsid w:val="00C11369"/>
    <w:rsid w:val="00C215B1"/>
    <w:rsid w:val="00C23BEA"/>
    <w:rsid w:val="00C44E30"/>
    <w:rsid w:val="00C55976"/>
    <w:rsid w:val="00C55A0A"/>
    <w:rsid w:val="00C91C01"/>
    <w:rsid w:val="00CA3C9F"/>
    <w:rsid w:val="00CD4EC0"/>
    <w:rsid w:val="00CD6A4C"/>
    <w:rsid w:val="00CD6DA8"/>
    <w:rsid w:val="00CE309B"/>
    <w:rsid w:val="00D0166C"/>
    <w:rsid w:val="00D239BA"/>
    <w:rsid w:val="00D50808"/>
    <w:rsid w:val="00D50DEE"/>
    <w:rsid w:val="00D51995"/>
    <w:rsid w:val="00D62DFD"/>
    <w:rsid w:val="00D74616"/>
    <w:rsid w:val="00D778F6"/>
    <w:rsid w:val="00D9607C"/>
    <w:rsid w:val="00DC4892"/>
    <w:rsid w:val="00DC6FAC"/>
    <w:rsid w:val="00DF20F1"/>
    <w:rsid w:val="00DF7413"/>
    <w:rsid w:val="00E01A16"/>
    <w:rsid w:val="00E126EA"/>
    <w:rsid w:val="00E1478C"/>
    <w:rsid w:val="00E54E44"/>
    <w:rsid w:val="00E6579B"/>
    <w:rsid w:val="00E67B10"/>
    <w:rsid w:val="00EA09D3"/>
    <w:rsid w:val="00EA58C1"/>
    <w:rsid w:val="00EB2B9B"/>
    <w:rsid w:val="00EC6F25"/>
    <w:rsid w:val="00EE2370"/>
    <w:rsid w:val="00EF6545"/>
    <w:rsid w:val="00F00765"/>
    <w:rsid w:val="00F23F82"/>
    <w:rsid w:val="00F268F3"/>
    <w:rsid w:val="00F34B46"/>
    <w:rsid w:val="00F40891"/>
    <w:rsid w:val="00F4649C"/>
    <w:rsid w:val="00F53096"/>
    <w:rsid w:val="00F81A37"/>
    <w:rsid w:val="00FC5A40"/>
    <w:rsid w:val="00FD0D5E"/>
    <w:rsid w:val="00FD1A0E"/>
    <w:rsid w:val="00FE304D"/>
    <w:rsid w:val="00FF7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5D299"/>
  <w15:docId w15:val="{59D2BA16-DD27-445B-9EAB-74BB098E0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AAF"/>
  </w:style>
  <w:style w:type="paragraph" w:styleId="Heading1">
    <w:name w:val="heading 1"/>
    <w:basedOn w:val="Normal"/>
    <w:next w:val="Normal"/>
    <w:link w:val="Heading1Char"/>
    <w:uiPriority w:val="9"/>
    <w:qFormat/>
    <w:rsid w:val="004B2E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96E5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0166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6E5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96E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96E5C"/>
    <w:pPr>
      <w:ind w:left="720"/>
      <w:contextualSpacing/>
    </w:pPr>
  </w:style>
  <w:style w:type="character" w:customStyle="1" w:styleId="Heading3Char">
    <w:name w:val="Heading 3 Char"/>
    <w:basedOn w:val="DefaultParagraphFont"/>
    <w:link w:val="Heading3"/>
    <w:uiPriority w:val="9"/>
    <w:semiHidden/>
    <w:rsid w:val="00D0166C"/>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C55976"/>
    <w:rPr>
      <w:color w:val="0000FF"/>
      <w:u w:val="single"/>
    </w:rPr>
  </w:style>
  <w:style w:type="character" w:styleId="Strong">
    <w:name w:val="Strong"/>
    <w:basedOn w:val="DefaultParagraphFont"/>
    <w:uiPriority w:val="22"/>
    <w:qFormat/>
    <w:rsid w:val="00F34B46"/>
    <w:rPr>
      <w:b/>
      <w:bCs/>
    </w:rPr>
  </w:style>
  <w:style w:type="paragraph" w:customStyle="1" w:styleId="p">
    <w:name w:val="p"/>
    <w:basedOn w:val="Normal"/>
    <w:rsid w:val="00D960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title">
    <w:name w:val="ref-title"/>
    <w:basedOn w:val="DefaultParagraphFont"/>
    <w:rsid w:val="009842FE"/>
  </w:style>
  <w:style w:type="character" w:customStyle="1" w:styleId="ref-journal">
    <w:name w:val="ref-journal"/>
    <w:basedOn w:val="DefaultParagraphFont"/>
    <w:rsid w:val="009842FE"/>
  </w:style>
  <w:style w:type="character" w:customStyle="1" w:styleId="mixed-citation">
    <w:name w:val="mixed-citation"/>
    <w:basedOn w:val="DefaultParagraphFont"/>
    <w:rsid w:val="00C215B1"/>
  </w:style>
  <w:style w:type="paragraph" w:styleId="Header">
    <w:name w:val="header"/>
    <w:basedOn w:val="Normal"/>
    <w:link w:val="HeaderChar"/>
    <w:uiPriority w:val="99"/>
    <w:semiHidden/>
    <w:unhideWhenUsed/>
    <w:rsid w:val="008430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430BA"/>
  </w:style>
  <w:style w:type="paragraph" w:styleId="Footer">
    <w:name w:val="footer"/>
    <w:basedOn w:val="Normal"/>
    <w:link w:val="FooterChar"/>
    <w:uiPriority w:val="99"/>
    <w:unhideWhenUsed/>
    <w:rsid w:val="008430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0BA"/>
  </w:style>
  <w:style w:type="character" w:customStyle="1" w:styleId="Heading1Char">
    <w:name w:val="Heading 1 Char"/>
    <w:basedOn w:val="DefaultParagraphFont"/>
    <w:link w:val="Heading1"/>
    <w:uiPriority w:val="9"/>
    <w:rsid w:val="004B2E4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62DFD"/>
    <w:pPr>
      <w:outlineLvl w:val="9"/>
    </w:pPr>
    <w:rPr>
      <w:lang w:val="en-US"/>
    </w:rPr>
  </w:style>
  <w:style w:type="paragraph" w:styleId="TOC1">
    <w:name w:val="toc 1"/>
    <w:basedOn w:val="Normal"/>
    <w:next w:val="Normal"/>
    <w:autoRedefine/>
    <w:uiPriority w:val="39"/>
    <w:unhideWhenUsed/>
    <w:rsid w:val="00D62DFD"/>
    <w:pPr>
      <w:spacing w:after="100"/>
    </w:pPr>
  </w:style>
  <w:style w:type="paragraph" w:styleId="TOC2">
    <w:name w:val="toc 2"/>
    <w:basedOn w:val="Normal"/>
    <w:next w:val="Normal"/>
    <w:autoRedefine/>
    <w:uiPriority w:val="39"/>
    <w:unhideWhenUsed/>
    <w:rsid w:val="00D62DFD"/>
    <w:pPr>
      <w:spacing w:after="100"/>
      <w:ind w:left="220"/>
    </w:pPr>
  </w:style>
  <w:style w:type="paragraph" w:styleId="BalloonText">
    <w:name w:val="Balloon Text"/>
    <w:basedOn w:val="Normal"/>
    <w:link w:val="BalloonTextChar"/>
    <w:uiPriority w:val="99"/>
    <w:semiHidden/>
    <w:unhideWhenUsed/>
    <w:rsid w:val="00D62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D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8773">
      <w:bodyDiv w:val="1"/>
      <w:marLeft w:val="0"/>
      <w:marRight w:val="0"/>
      <w:marTop w:val="0"/>
      <w:marBottom w:val="0"/>
      <w:divBdr>
        <w:top w:val="none" w:sz="0" w:space="0" w:color="auto"/>
        <w:left w:val="none" w:sz="0" w:space="0" w:color="auto"/>
        <w:bottom w:val="none" w:sz="0" w:space="0" w:color="auto"/>
        <w:right w:val="none" w:sz="0" w:space="0" w:color="auto"/>
      </w:divBdr>
      <w:divsChild>
        <w:div w:id="807478514">
          <w:marLeft w:val="0"/>
          <w:marRight w:val="0"/>
          <w:marTop w:val="480"/>
          <w:marBottom w:val="480"/>
          <w:divBdr>
            <w:top w:val="none" w:sz="0" w:space="0" w:color="auto"/>
            <w:left w:val="single" w:sz="48" w:space="12" w:color="B1B4B6"/>
            <w:bottom w:val="none" w:sz="0" w:space="0" w:color="auto"/>
            <w:right w:val="none" w:sz="0" w:space="0" w:color="auto"/>
          </w:divBdr>
        </w:div>
        <w:div w:id="1553542464">
          <w:marLeft w:val="0"/>
          <w:marRight w:val="0"/>
          <w:marTop w:val="480"/>
          <w:marBottom w:val="480"/>
          <w:divBdr>
            <w:top w:val="none" w:sz="0" w:space="0" w:color="auto"/>
            <w:left w:val="single" w:sz="48" w:space="12" w:color="B1B4B6"/>
            <w:bottom w:val="none" w:sz="0" w:space="0" w:color="auto"/>
            <w:right w:val="none" w:sz="0" w:space="0" w:color="auto"/>
          </w:divBdr>
        </w:div>
      </w:divsChild>
    </w:div>
    <w:div w:id="158271138">
      <w:bodyDiv w:val="1"/>
      <w:marLeft w:val="0"/>
      <w:marRight w:val="0"/>
      <w:marTop w:val="0"/>
      <w:marBottom w:val="0"/>
      <w:divBdr>
        <w:top w:val="none" w:sz="0" w:space="0" w:color="auto"/>
        <w:left w:val="none" w:sz="0" w:space="0" w:color="auto"/>
        <w:bottom w:val="none" w:sz="0" w:space="0" w:color="auto"/>
        <w:right w:val="none" w:sz="0" w:space="0" w:color="auto"/>
      </w:divBdr>
    </w:div>
    <w:div w:id="257491606">
      <w:bodyDiv w:val="1"/>
      <w:marLeft w:val="0"/>
      <w:marRight w:val="0"/>
      <w:marTop w:val="0"/>
      <w:marBottom w:val="0"/>
      <w:divBdr>
        <w:top w:val="none" w:sz="0" w:space="0" w:color="auto"/>
        <w:left w:val="none" w:sz="0" w:space="0" w:color="auto"/>
        <w:bottom w:val="none" w:sz="0" w:space="0" w:color="auto"/>
        <w:right w:val="none" w:sz="0" w:space="0" w:color="auto"/>
      </w:divBdr>
    </w:div>
    <w:div w:id="315426258">
      <w:bodyDiv w:val="1"/>
      <w:marLeft w:val="0"/>
      <w:marRight w:val="0"/>
      <w:marTop w:val="0"/>
      <w:marBottom w:val="0"/>
      <w:divBdr>
        <w:top w:val="none" w:sz="0" w:space="0" w:color="auto"/>
        <w:left w:val="none" w:sz="0" w:space="0" w:color="auto"/>
        <w:bottom w:val="none" w:sz="0" w:space="0" w:color="auto"/>
        <w:right w:val="none" w:sz="0" w:space="0" w:color="auto"/>
      </w:divBdr>
    </w:div>
    <w:div w:id="500119457">
      <w:bodyDiv w:val="1"/>
      <w:marLeft w:val="0"/>
      <w:marRight w:val="0"/>
      <w:marTop w:val="0"/>
      <w:marBottom w:val="0"/>
      <w:divBdr>
        <w:top w:val="none" w:sz="0" w:space="0" w:color="auto"/>
        <w:left w:val="none" w:sz="0" w:space="0" w:color="auto"/>
        <w:bottom w:val="none" w:sz="0" w:space="0" w:color="auto"/>
        <w:right w:val="none" w:sz="0" w:space="0" w:color="auto"/>
      </w:divBdr>
    </w:div>
    <w:div w:id="692072732">
      <w:bodyDiv w:val="1"/>
      <w:marLeft w:val="0"/>
      <w:marRight w:val="0"/>
      <w:marTop w:val="0"/>
      <w:marBottom w:val="0"/>
      <w:divBdr>
        <w:top w:val="none" w:sz="0" w:space="0" w:color="auto"/>
        <w:left w:val="none" w:sz="0" w:space="0" w:color="auto"/>
        <w:bottom w:val="none" w:sz="0" w:space="0" w:color="auto"/>
        <w:right w:val="none" w:sz="0" w:space="0" w:color="auto"/>
      </w:divBdr>
    </w:div>
    <w:div w:id="716856874">
      <w:bodyDiv w:val="1"/>
      <w:marLeft w:val="0"/>
      <w:marRight w:val="0"/>
      <w:marTop w:val="0"/>
      <w:marBottom w:val="0"/>
      <w:divBdr>
        <w:top w:val="none" w:sz="0" w:space="0" w:color="auto"/>
        <w:left w:val="none" w:sz="0" w:space="0" w:color="auto"/>
        <w:bottom w:val="none" w:sz="0" w:space="0" w:color="auto"/>
        <w:right w:val="none" w:sz="0" w:space="0" w:color="auto"/>
      </w:divBdr>
    </w:div>
    <w:div w:id="755979945">
      <w:bodyDiv w:val="1"/>
      <w:marLeft w:val="0"/>
      <w:marRight w:val="0"/>
      <w:marTop w:val="0"/>
      <w:marBottom w:val="0"/>
      <w:divBdr>
        <w:top w:val="none" w:sz="0" w:space="0" w:color="auto"/>
        <w:left w:val="none" w:sz="0" w:space="0" w:color="auto"/>
        <w:bottom w:val="none" w:sz="0" w:space="0" w:color="auto"/>
        <w:right w:val="none" w:sz="0" w:space="0" w:color="auto"/>
      </w:divBdr>
    </w:div>
    <w:div w:id="826556552">
      <w:bodyDiv w:val="1"/>
      <w:marLeft w:val="0"/>
      <w:marRight w:val="0"/>
      <w:marTop w:val="0"/>
      <w:marBottom w:val="0"/>
      <w:divBdr>
        <w:top w:val="none" w:sz="0" w:space="0" w:color="auto"/>
        <w:left w:val="none" w:sz="0" w:space="0" w:color="auto"/>
        <w:bottom w:val="none" w:sz="0" w:space="0" w:color="auto"/>
        <w:right w:val="none" w:sz="0" w:space="0" w:color="auto"/>
      </w:divBdr>
    </w:div>
    <w:div w:id="845636268">
      <w:bodyDiv w:val="1"/>
      <w:marLeft w:val="0"/>
      <w:marRight w:val="0"/>
      <w:marTop w:val="0"/>
      <w:marBottom w:val="0"/>
      <w:divBdr>
        <w:top w:val="none" w:sz="0" w:space="0" w:color="auto"/>
        <w:left w:val="none" w:sz="0" w:space="0" w:color="auto"/>
        <w:bottom w:val="none" w:sz="0" w:space="0" w:color="auto"/>
        <w:right w:val="none" w:sz="0" w:space="0" w:color="auto"/>
      </w:divBdr>
    </w:div>
    <w:div w:id="1101990051">
      <w:bodyDiv w:val="1"/>
      <w:marLeft w:val="0"/>
      <w:marRight w:val="0"/>
      <w:marTop w:val="0"/>
      <w:marBottom w:val="0"/>
      <w:divBdr>
        <w:top w:val="none" w:sz="0" w:space="0" w:color="auto"/>
        <w:left w:val="none" w:sz="0" w:space="0" w:color="auto"/>
        <w:bottom w:val="none" w:sz="0" w:space="0" w:color="auto"/>
        <w:right w:val="none" w:sz="0" w:space="0" w:color="auto"/>
      </w:divBdr>
    </w:div>
    <w:div w:id="1262491134">
      <w:bodyDiv w:val="1"/>
      <w:marLeft w:val="0"/>
      <w:marRight w:val="0"/>
      <w:marTop w:val="0"/>
      <w:marBottom w:val="0"/>
      <w:divBdr>
        <w:top w:val="none" w:sz="0" w:space="0" w:color="auto"/>
        <w:left w:val="none" w:sz="0" w:space="0" w:color="auto"/>
        <w:bottom w:val="none" w:sz="0" w:space="0" w:color="auto"/>
        <w:right w:val="none" w:sz="0" w:space="0" w:color="auto"/>
      </w:divBdr>
    </w:div>
    <w:div w:id="1443374953">
      <w:bodyDiv w:val="1"/>
      <w:marLeft w:val="0"/>
      <w:marRight w:val="0"/>
      <w:marTop w:val="0"/>
      <w:marBottom w:val="0"/>
      <w:divBdr>
        <w:top w:val="none" w:sz="0" w:space="0" w:color="auto"/>
        <w:left w:val="none" w:sz="0" w:space="0" w:color="auto"/>
        <w:bottom w:val="none" w:sz="0" w:space="0" w:color="auto"/>
        <w:right w:val="none" w:sz="0" w:space="0" w:color="auto"/>
      </w:divBdr>
    </w:div>
    <w:div w:id="1506087407">
      <w:bodyDiv w:val="1"/>
      <w:marLeft w:val="0"/>
      <w:marRight w:val="0"/>
      <w:marTop w:val="0"/>
      <w:marBottom w:val="0"/>
      <w:divBdr>
        <w:top w:val="none" w:sz="0" w:space="0" w:color="auto"/>
        <w:left w:val="none" w:sz="0" w:space="0" w:color="auto"/>
        <w:bottom w:val="none" w:sz="0" w:space="0" w:color="auto"/>
        <w:right w:val="none" w:sz="0" w:space="0" w:color="auto"/>
      </w:divBdr>
    </w:div>
    <w:div w:id="1761830088">
      <w:bodyDiv w:val="1"/>
      <w:marLeft w:val="0"/>
      <w:marRight w:val="0"/>
      <w:marTop w:val="0"/>
      <w:marBottom w:val="0"/>
      <w:divBdr>
        <w:top w:val="none" w:sz="0" w:space="0" w:color="auto"/>
        <w:left w:val="none" w:sz="0" w:space="0" w:color="auto"/>
        <w:bottom w:val="none" w:sz="0" w:space="0" w:color="auto"/>
        <w:right w:val="none" w:sz="0" w:space="0" w:color="auto"/>
      </w:divBdr>
    </w:div>
    <w:div w:id="1896354947">
      <w:bodyDiv w:val="1"/>
      <w:marLeft w:val="0"/>
      <w:marRight w:val="0"/>
      <w:marTop w:val="0"/>
      <w:marBottom w:val="0"/>
      <w:divBdr>
        <w:top w:val="none" w:sz="0" w:space="0" w:color="auto"/>
        <w:left w:val="none" w:sz="0" w:space="0" w:color="auto"/>
        <w:bottom w:val="none" w:sz="0" w:space="0" w:color="auto"/>
        <w:right w:val="none" w:sz="0" w:space="0" w:color="auto"/>
      </w:divBdr>
    </w:div>
    <w:div w:id="197193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ata.census.gov/cedsci/table?q=elderly&amp;hidePreview=false&amp;tid=ACSST1Y2018.S0103&amp;vintage=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39F718-757F-403A-AFCC-2AA1AEBE4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3566</Words>
  <Characters>20332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Lysh</dc:creator>
  <cp:lastModifiedBy>Richard Kanjoma (1916228)</cp:lastModifiedBy>
  <cp:revision>2</cp:revision>
  <dcterms:created xsi:type="dcterms:W3CDTF">2022-09-06T11:47:00Z</dcterms:created>
  <dcterms:modified xsi:type="dcterms:W3CDTF">2022-09-06T11:47:00Z</dcterms:modified>
</cp:coreProperties>
</file>