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heme="majorHAnsi" w:eastAsiaTheme="majorEastAsia" w:hAnsiTheme="majorHAnsi" w:cstheme="majorBidi"/>
          <w:caps/>
          <w:lang w:val="en-GB"/>
        </w:rPr>
        <w:id w:val="383133516"/>
        <w:docPartObj>
          <w:docPartGallery w:val="Cover Pages"/>
          <w:docPartUnique/>
        </w:docPartObj>
      </w:sdtPr>
      <w:sdtEndPr>
        <w:rPr>
          <w:rFonts w:ascii="Calibri" w:eastAsia="Calibri" w:hAnsi="Calibri" w:cs="Times New Roman"/>
          <w:caps w:val="0"/>
        </w:rPr>
      </w:sdtEndPr>
      <w:sdtContent>
        <w:tbl>
          <w:tblPr>
            <w:tblW w:w="5000" w:type="pct"/>
            <w:jc w:val="center"/>
            <w:tblLook w:val="04A0" w:firstRow="1" w:lastRow="0" w:firstColumn="1" w:lastColumn="0" w:noHBand="0" w:noVBand="1"/>
          </w:tblPr>
          <w:tblGrid>
            <w:gridCol w:w="10466"/>
          </w:tblGrid>
          <w:tr w:rsidR="00FE5FF2">
            <w:trPr>
              <w:trHeight w:val="2880"/>
              <w:jc w:val="center"/>
            </w:trPr>
            <w:sdt>
              <w:sdtPr>
                <w:rPr>
                  <w:rFonts w:asciiTheme="majorHAnsi" w:eastAsiaTheme="majorEastAsia" w:hAnsiTheme="majorHAnsi" w:cstheme="majorBidi"/>
                  <w:caps/>
                  <w:lang w:val="en-GB"/>
                </w:rPr>
                <w:alias w:val="Company"/>
                <w:id w:val="15524243"/>
                <w:dataBinding w:prefixMappings="xmlns:ns0='http://schemas.openxmlformats.org/officeDocument/2006/extended-properties'" w:xpath="/ns0:Properties[1]/ns0:Company[1]" w:storeItemID="{6668398D-A668-4E3E-A5EB-62B293D839F1}"/>
                <w:text/>
              </w:sdtPr>
              <w:sdtEndPr>
                <w:rPr>
                  <w:lang w:val="en-US"/>
                </w:rPr>
              </w:sdtEndPr>
              <w:sdtContent>
                <w:tc>
                  <w:tcPr>
                    <w:tcW w:w="5000" w:type="pct"/>
                  </w:tcPr>
                  <w:p w:rsidR="00FE5FF2" w:rsidRDefault="00FE5FF2" w:rsidP="00FE5FF2">
                    <w:pPr>
                      <w:pStyle w:val="NoSpacing"/>
                      <w:jc w:val="center"/>
                      <w:rPr>
                        <w:rFonts w:asciiTheme="majorHAnsi" w:eastAsiaTheme="majorEastAsia" w:hAnsiTheme="majorHAnsi" w:cstheme="majorBidi"/>
                        <w:caps/>
                      </w:rPr>
                    </w:pPr>
                    <w:r>
                      <w:rPr>
                        <w:rFonts w:asciiTheme="majorHAnsi" w:eastAsiaTheme="majorEastAsia" w:hAnsiTheme="majorHAnsi" w:cstheme="majorBidi"/>
                        <w:caps/>
                      </w:rPr>
                      <w:t>uwtsd</w:t>
                    </w:r>
                  </w:p>
                </w:tc>
              </w:sdtContent>
            </w:sdt>
          </w:tr>
          <w:tr w:rsidR="00FE5FF2">
            <w:trPr>
              <w:trHeight w:val="1440"/>
              <w:jc w:val="center"/>
            </w:trPr>
            <w:sdt>
              <w:sdtPr>
                <w:rPr>
                  <w:rFonts w:cstheme="minorHAnsi"/>
                  <w:b/>
                  <w:bCs/>
                  <w:sz w:val="52"/>
                  <w:szCs w:val="53"/>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FE5FF2" w:rsidRDefault="00703607">
                    <w:pPr>
                      <w:pStyle w:val="NoSpacing"/>
                      <w:jc w:val="center"/>
                      <w:rPr>
                        <w:rFonts w:asciiTheme="majorHAnsi" w:eastAsiaTheme="majorEastAsia" w:hAnsiTheme="majorHAnsi" w:cstheme="majorBidi"/>
                        <w:sz w:val="80"/>
                        <w:szCs w:val="80"/>
                      </w:rPr>
                    </w:pPr>
                    <w:r w:rsidRPr="00703607">
                      <w:rPr>
                        <w:rFonts w:cstheme="minorHAnsi"/>
                        <w:b/>
                        <w:bCs/>
                        <w:sz w:val="52"/>
                        <w:szCs w:val="53"/>
                      </w:rPr>
                      <w:t>Business Issues &amp; the Context of HR (M5X02263)</w:t>
                    </w:r>
                  </w:p>
                </w:tc>
              </w:sdtContent>
            </w:sdt>
          </w:tr>
          <w:tr w:rsidR="00FE5FF2">
            <w:trPr>
              <w:trHeight w:val="720"/>
              <w:jc w:val="center"/>
            </w:trPr>
            <w:sdt>
              <w:sdtPr>
                <w:rPr>
                  <w:sz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rsidR="00FE5FF2" w:rsidRDefault="00FE5FF2">
                    <w:pPr>
                      <w:pStyle w:val="NoSpacing"/>
                      <w:jc w:val="center"/>
                      <w:rPr>
                        <w:rFonts w:asciiTheme="majorHAnsi" w:eastAsiaTheme="majorEastAsia" w:hAnsiTheme="majorHAnsi" w:cstheme="majorBidi"/>
                        <w:sz w:val="44"/>
                        <w:szCs w:val="44"/>
                      </w:rPr>
                    </w:pPr>
                    <w:r w:rsidRPr="00703607">
                      <w:rPr>
                        <w:sz w:val="32"/>
                      </w:rPr>
                      <w:t xml:space="preserve">You have been asked by your CIPD Branch to lead a discussion at one of its events on ‘The evolving role of HR in the contemporary business world’. </w:t>
                    </w:r>
                    <w:r w:rsidR="00703607">
                      <w:rPr>
                        <w:sz w:val="32"/>
                      </w:rPr>
                      <w:t xml:space="preserve">        </w:t>
                    </w:r>
                    <w:r w:rsidRPr="00703607">
                      <w:rPr>
                        <w:sz w:val="32"/>
                      </w:rPr>
                      <w:t>You have been asked to produce a paper for inclusion in the delegate pack.</w:t>
                    </w:r>
                  </w:p>
                </w:tc>
              </w:sdtContent>
            </w:sdt>
          </w:tr>
          <w:tr w:rsidR="00FE5FF2">
            <w:trPr>
              <w:trHeight w:val="360"/>
              <w:jc w:val="center"/>
            </w:trPr>
            <w:tc>
              <w:tcPr>
                <w:tcW w:w="5000" w:type="pct"/>
                <w:vAlign w:val="center"/>
              </w:tcPr>
              <w:p w:rsidR="00FE5FF2" w:rsidRDefault="00FE5FF2">
                <w:pPr>
                  <w:pStyle w:val="NoSpacing"/>
                  <w:jc w:val="center"/>
                </w:pPr>
              </w:p>
            </w:tc>
          </w:tr>
          <w:tr w:rsidR="00FE5FF2">
            <w:trPr>
              <w:trHeight w:val="360"/>
              <w:jc w:val="center"/>
            </w:trPr>
            <w:sdt>
              <w:sdtPr>
                <w:rPr>
                  <w:b/>
                  <w:bCs/>
                  <w:sz w:val="40"/>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rsidR="00FE5FF2" w:rsidRDefault="00FE5FF2">
                    <w:pPr>
                      <w:pStyle w:val="NoSpacing"/>
                      <w:jc w:val="center"/>
                      <w:rPr>
                        <w:b/>
                        <w:bCs/>
                      </w:rPr>
                    </w:pPr>
                    <w:r w:rsidRPr="00FE5FF2">
                      <w:rPr>
                        <w:b/>
                        <w:bCs/>
                        <w:sz w:val="40"/>
                        <w:lang w:val="en-GB"/>
                      </w:rPr>
                      <w:t>Nick Bowen</w:t>
                    </w:r>
                  </w:p>
                </w:tc>
              </w:sdtContent>
            </w:sdt>
          </w:tr>
          <w:tr w:rsidR="00FE5FF2">
            <w:trPr>
              <w:trHeight w:val="360"/>
              <w:jc w:val="center"/>
            </w:trPr>
            <w:sdt>
              <w:sdtPr>
                <w:rPr>
                  <w:b/>
                  <w:bCs/>
                </w:rPr>
                <w:alias w:val="Date"/>
                <w:id w:val="516659546"/>
                <w:dataBinding w:prefixMappings="xmlns:ns0='http://schemas.microsoft.com/office/2006/coverPageProps'" w:xpath="/ns0:CoverPageProperties[1]/ns0:PublishDate[1]" w:storeItemID="{55AF091B-3C7A-41E3-B477-F2FDAA23CFDA}"/>
                <w:date w:fullDate="2018-01-18T00:00:00Z">
                  <w:dateFormat w:val="M/d/yyyy"/>
                  <w:lid w:val="en-US"/>
                  <w:storeMappedDataAs w:val="dateTime"/>
                  <w:calendar w:val="gregorian"/>
                </w:date>
              </w:sdtPr>
              <w:sdtEndPr/>
              <w:sdtContent>
                <w:tc>
                  <w:tcPr>
                    <w:tcW w:w="5000" w:type="pct"/>
                    <w:vAlign w:val="center"/>
                  </w:tcPr>
                  <w:p w:rsidR="00FE5FF2" w:rsidRDefault="004528E0" w:rsidP="00B428E6">
                    <w:pPr>
                      <w:pStyle w:val="NoSpacing"/>
                      <w:jc w:val="center"/>
                      <w:rPr>
                        <w:b/>
                        <w:bCs/>
                      </w:rPr>
                    </w:pPr>
                    <w:r>
                      <w:rPr>
                        <w:b/>
                        <w:bCs/>
                      </w:rPr>
                      <w:t>1/18/2018</w:t>
                    </w:r>
                  </w:p>
                </w:tc>
              </w:sdtContent>
            </w:sdt>
          </w:tr>
        </w:tbl>
        <w:p w:rsidR="00FE5FF2" w:rsidRPr="00FE5FF2" w:rsidRDefault="00FE5FF2" w:rsidP="00FE5FF2">
          <w:pPr>
            <w:jc w:val="center"/>
            <w:rPr>
              <w:b/>
            </w:rPr>
          </w:pPr>
          <w:r w:rsidRPr="00FE5FF2">
            <w:rPr>
              <w:b/>
            </w:rPr>
            <w:t>Tutor: Julie Thomas</w:t>
          </w:r>
        </w:p>
        <w:p w:rsidR="00FE5FF2" w:rsidRDefault="00FE5FF2"/>
        <w:p w:rsidR="00FE5FF2" w:rsidRDefault="00FE5FF2"/>
        <w:p w:rsidR="00FE5FF2" w:rsidRDefault="00FE5FF2">
          <w:pPr>
            <w:spacing w:line="276" w:lineRule="auto"/>
            <w:rPr>
              <w:rFonts w:asciiTheme="majorHAnsi" w:eastAsiaTheme="majorEastAsia" w:hAnsiTheme="majorHAnsi" w:cstheme="majorBidi"/>
              <w:b/>
              <w:bCs/>
              <w:color w:val="365F91" w:themeColor="accent1" w:themeShade="BF"/>
              <w:sz w:val="28"/>
              <w:szCs w:val="28"/>
            </w:rPr>
          </w:pPr>
          <w:r>
            <w:br w:type="page"/>
          </w:r>
        </w:p>
      </w:sdtContent>
    </w:sdt>
    <w:sdt>
      <w:sdtPr>
        <w:rPr>
          <w:rFonts w:ascii="Calibri" w:eastAsia="Calibri" w:hAnsi="Calibri" w:cs="Times New Roman"/>
          <w:b w:val="0"/>
          <w:bCs w:val="0"/>
          <w:color w:val="auto"/>
          <w:sz w:val="22"/>
          <w:szCs w:val="22"/>
          <w:lang w:val="en-GB"/>
        </w:rPr>
        <w:id w:val="545867909"/>
        <w:docPartObj>
          <w:docPartGallery w:val="Table of Contents"/>
          <w:docPartUnique/>
        </w:docPartObj>
      </w:sdtPr>
      <w:sdtEndPr/>
      <w:sdtContent>
        <w:p w:rsidR="00AC6BBC" w:rsidRDefault="00AC6BBC">
          <w:pPr>
            <w:pStyle w:val="TOCHeading"/>
          </w:pPr>
          <w:r>
            <w:t>Table of Contents</w:t>
          </w:r>
        </w:p>
        <w:p w:rsidR="00AC6BBC" w:rsidRDefault="00AC6BBC" w:rsidP="00223066">
          <w:pPr>
            <w:pStyle w:val="TOC1"/>
          </w:pPr>
        </w:p>
        <w:p w:rsidR="00223066" w:rsidRPr="00223066" w:rsidRDefault="00223066" w:rsidP="00223066">
          <w:pPr>
            <w:rPr>
              <w:b/>
            </w:rPr>
          </w:pPr>
          <w:r w:rsidRPr="00223066">
            <w:rPr>
              <w:b/>
            </w:rPr>
            <w:t>Section 1</w:t>
          </w:r>
        </w:p>
        <w:p w:rsidR="00223066" w:rsidRPr="00223066" w:rsidRDefault="004B2B6D" w:rsidP="00223066">
          <w:pPr>
            <w:pStyle w:val="TOC1"/>
            <w:rPr>
              <w:rFonts w:asciiTheme="minorHAnsi" w:eastAsiaTheme="minorEastAsia" w:hAnsiTheme="minorHAnsi" w:cstheme="minorBidi"/>
              <w:lang w:eastAsia="en-GB"/>
            </w:rPr>
          </w:pPr>
          <w:r>
            <w:fldChar w:fldCharType="begin"/>
          </w:r>
          <w:r w:rsidR="00AC6BBC">
            <w:instrText xml:space="preserve"> TOC \o "1-3" \h \z \u </w:instrText>
          </w:r>
          <w:r>
            <w:fldChar w:fldCharType="separate"/>
          </w:r>
          <w:hyperlink w:anchor="_Toc504063946" w:history="1">
            <w:r w:rsidR="00223066" w:rsidRPr="00223066">
              <w:rPr>
                <w:rStyle w:val="Hyperlink"/>
                <w:b w:val="0"/>
              </w:rPr>
              <w:t>An analysis of some of the key forces which shape the HR agenda e.g. models of the HR function, HR strategies, insights and solutions to support business performance, business ethics and accountability.</w:t>
            </w:r>
            <w:r w:rsidR="00223066" w:rsidRPr="00223066">
              <w:rPr>
                <w:webHidden/>
              </w:rPr>
              <w:tab/>
            </w:r>
            <w:r w:rsidRPr="00223066">
              <w:rPr>
                <w:webHidden/>
              </w:rPr>
              <w:fldChar w:fldCharType="begin"/>
            </w:r>
            <w:r w:rsidR="00223066" w:rsidRPr="00223066">
              <w:rPr>
                <w:webHidden/>
              </w:rPr>
              <w:instrText xml:space="preserve"> PAGEREF _Toc504063946 \h </w:instrText>
            </w:r>
            <w:r w:rsidRPr="00223066">
              <w:rPr>
                <w:webHidden/>
              </w:rPr>
            </w:r>
            <w:r w:rsidRPr="00223066">
              <w:rPr>
                <w:webHidden/>
              </w:rPr>
              <w:fldChar w:fldCharType="separate"/>
            </w:r>
            <w:r w:rsidR="00DD01BB">
              <w:rPr>
                <w:webHidden/>
              </w:rPr>
              <w:t>3</w:t>
            </w:r>
            <w:r w:rsidRPr="00223066">
              <w:rPr>
                <w:webHidden/>
              </w:rPr>
              <w:fldChar w:fldCharType="end"/>
            </w:r>
          </w:hyperlink>
        </w:p>
        <w:p w:rsidR="00223066" w:rsidRPr="00223066" w:rsidRDefault="00223066" w:rsidP="00223066">
          <w:pPr>
            <w:pStyle w:val="TOC1"/>
            <w:rPr>
              <w:rStyle w:val="Hyperlink"/>
              <w:b w:val="0"/>
            </w:rPr>
          </w:pPr>
        </w:p>
        <w:p w:rsidR="00223066" w:rsidRPr="00223066" w:rsidRDefault="00223066" w:rsidP="00223066">
          <w:pPr>
            <w:rPr>
              <w:rStyle w:val="Hyperlink"/>
              <w:b/>
              <w:noProof/>
              <w:color w:val="auto"/>
              <w:u w:val="none"/>
            </w:rPr>
          </w:pPr>
          <w:r w:rsidRPr="00223066">
            <w:rPr>
              <w:rStyle w:val="Hyperlink"/>
              <w:b/>
              <w:noProof/>
              <w:color w:val="auto"/>
              <w:u w:val="none"/>
            </w:rPr>
            <w:t>Section 2</w:t>
          </w:r>
        </w:p>
        <w:p w:rsidR="00223066" w:rsidRPr="00223066" w:rsidRDefault="004B2B6D" w:rsidP="00223066">
          <w:pPr>
            <w:pStyle w:val="TOC1"/>
            <w:rPr>
              <w:rFonts w:asciiTheme="minorHAnsi" w:eastAsiaTheme="minorEastAsia" w:hAnsiTheme="minorHAnsi" w:cstheme="minorBidi"/>
              <w:lang w:eastAsia="en-GB"/>
            </w:rPr>
          </w:pPr>
          <w:hyperlink w:anchor="_Toc504063947" w:history="1">
            <w:r w:rsidR="00223066" w:rsidRPr="00223066">
              <w:rPr>
                <w:rStyle w:val="Hyperlink"/>
                <w:b w:val="0"/>
              </w:rPr>
              <w:t>Compare at least three different tools for analysing the business environment.</w:t>
            </w:r>
            <w:r w:rsidR="00223066" w:rsidRPr="00223066">
              <w:rPr>
                <w:webHidden/>
              </w:rPr>
              <w:tab/>
            </w:r>
            <w:r w:rsidRPr="00223066">
              <w:rPr>
                <w:webHidden/>
              </w:rPr>
              <w:fldChar w:fldCharType="begin"/>
            </w:r>
            <w:r w:rsidR="00223066" w:rsidRPr="00223066">
              <w:rPr>
                <w:webHidden/>
              </w:rPr>
              <w:instrText xml:space="preserve"> PAGEREF _Toc504063947 \h </w:instrText>
            </w:r>
            <w:r w:rsidRPr="00223066">
              <w:rPr>
                <w:webHidden/>
              </w:rPr>
            </w:r>
            <w:r w:rsidRPr="00223066">
              <w:rPr>
                <w:webHidden/>
              </w:rPr>
              <w:fldChar w:fldCharType="separate"/>
            </w:r>
            <w:r w:rsidR="00DD01BB">
              <w:rPr>
                <w:webHidden/>
              </w:rPr>
              <w:t>5</w:t>
            </w:r>
            <w:r w:rsidRPr="00223066">
              <w:rPr>
                <w:webHidden/>
              </w:rPr>
              <w:fldChar w:fldCharType="end"/>
            </w:r>
          </w:hyperlink>
        </w:p>
        <w:p w:rsidR="00223066" w:rsidRPr="00223066" w:rsidRDefault="00223066" w:rsidP="00223066">
          <w:pPr>
            <w:pStyle w:val="TOC1"/>
            <w:rPr>
              <w:rStyle w:val="Hyperlink"/>
              <w:b w:val="0"/>
            </w:rPr>
          </w:pPr>
        </w:p>
        <w:p w:rsidR="00223066" w:rsidRPr="00223066" w:rsidRDefault="00223066" w:rsidP="00223066">
          <w:pPr>
            <w:pStyle w:val="TOC1"/>
            <w:rPr>
              <w:rStyle w:val="Hyperlink"/>
              <w:color w:val="auto"/>
              <w:u w:val="none"/>
            </w:rPr>
          </w:pPr>
          <w:r w:rsidRPr="00223066">
            <w:rPr>
              <w:rStyle w:val="Hyperlink"/>
              <w:color w:val="auto"/>
              <w:u w:val="none"/>
            </w:rPr>
            <w:t>Section 3</w:t>
          </w:r>
        </w:p>
        <w:p w:rsidR="00223066" w:rsidRPr="00223066" w:rsidRDefault="004B2B6D" w:rsidP="00223066">
          <w:pPr>
            <w:pStyle w:val="TOC1"/>
            <w:rPr>
              <w:rFonts w:asciiTheme="minorHAnsi" w:eastAsiaTheme="minorEastAsia" w:hAnsiTheme="minorHAnsi" w:cstheme="minorBidi"/>
              <w:lang w:eastAsia="en-GB"/>
            </w:rPr>
          </w:pPr>
          <w:hyperlink w:anchor="_Toc504063948" w:history="1">
            <w:r w:rsidR="00223066" w:rsidRPr="00223066">
              <w:rPr>
                <w:rStyle w:val="Hyperlink"/>
                <w:b w:val="0"/>
              </w:rPr>
              <w:t>Assess at least four different factors which impact on an organisation’s business and its HR function. You should include examples of external and internal factors to illustrate the different types of impact.</w:t>
            </w:r>
            <w:r w:rsidR="00223066" w:rsidRPr="00223066">
              <w:rPr>
                <w:webHidden/>
              </w:rPr>
              <w:tab/>
            </w:r>
            <w:r w:rsidRPr="00223066">
              <w:rPr>
                <w:webHidden/>
              </w:rPr>
              <w:fldChar w:fldCharType="begin"/>
            </w:r>
            <w:r w:rsidR="00223066" w:rsidRPr="00223066">
              <w:rPr>
                <w:webHidden/>
              </w:rPr>
              <w:instrText xml:space="preserve"> PAGEREF _Toc504063948 \h </w:instrText>
            </w:r>
            <w:r w:rsidRPr="00223066">
              <w:rPr>
                <w:webHidden/>
              </w:rPr>
            </w:r>
            <w:r w:rsidRPr="00223066">
              <w:rPr>
                <w:webHidden/>
              </w:rPr>
              <w:fldChar w:fldCharType="separate"/>
            </w:r>
            <w:r w:rsidR="00DD01BB">
              <w:rPr>
                <w:webHidden/>
              </w:rPr>
              <w:t>8</w:t>
            </w:r>
            <w:r w:rsidRPr="00223066">
              <w:rPr>
                <w:webHidden/>
              </w:rPr>
              <w:fldChar w:fldCharType="end"/>
            </w:r>
          </w:hyperlink>
        </w:p>
        <w:p w:rsidR="00223066" w:rsidRPr="00223066" w:rsidRDefault="00223066" w:rsidP="00223066">
          <w:pPr>
            <w:pStyle w:val="TOC1"/>
            <w:rPr>
              <w:rStyle w:val="Hyperlink"/>
              <w:b w:val="0"/>
            </w:rPr>
          </w:pPr>
        </w:p>
        <w:p w:rsidR="00223066" w:rsidRPr="00223066" w:rsidRDefault="00223066" w:rsidP="00223066">
          <w:pPr>
            <w:pStyle w:val="TOC1"/>
            <w:rPr>
              <w:rStyle w:val="Hyperlink"/>
              <w:color w:val="auto"/>
              <w:u w:val="none"/>
            </w:rPr>
          </w:pPr>
          <w:r w:rsidRPr="00223066">
            <w:rPr>
              <w:rStyle w:val="Hyperlink"/>
              <w:color w:val="auto"/>
              <w:u w:val="none"/>
            </w:rPr>
            <w:t>Section 4</w:t>
          </w:r>
        </w:p>
        <w:p w:rsidR="00223066" w:rsidRPr="00223066" w:rsidRDefault="009C7CF8" w:rsidP="00223066">
          <w:pPr>
            <w:pStyle w:val="TOC1"/>
            <w:rPr>
              <w:rFonts w:asciiTheme="minorHAnsi" w:eastAsiaTheme="minorEastAsia" w:hAnsiTheme="minorHAnsi" w:cstheme="minorBidi"/>
              <w:lang w:eastAsia="en-GB"/>
            </w:rPr>
          </w:pPr>
          <w:hyperlink w:anchor="_Toc504063949" w:history="1">
            <w:r w:rsidR="00223066" w:rsidRPr="00223066">
              <w:rPr>
                <w:rStyle w:val="Hyperlink"/>
                <w:b w:val="0"/>
              </w:rPr>
              <w:t>Summarise the key stages in strategy formulation and implementation with reference to a model from the literature. You should also refer to the role of HR in each of the stages and in particular, highlight HR’s contribution to business ethics and accountability.</w:t>
            </w:r>
            <w:r w:rsidR="00223066" w:rsidRPr="00223066">
              <w:rPr>
                <w:webHidden/>
              </w:rPr>
              <w:tab/>
            </w:r>
            <w:r w:rsidR="004B2B6D" w:rsidRPr="00223066">
              <w:rPr>
                <w:webHidden/>
              </w:rPr>
              <w:fldChar w:fldCharType="begin"/>
            </w:r>
            <w:r w:rsidR="00223066" w:rsidRPr="00223066">
              <w:rPr>
                <w:webHidden/>
              </w:rPr>
              <w:instrText xml:space="preserve"> PAGEREF _Toc504063949 \h </w:instrText>
            </w:r>
            <w:r w:rsidR="004B2B6D" w:rsidRPr="00223066">
              <w:rPr>
                <w:webHidden/>
              </w:rPr>
            </w:r>
            <w:r w:rsidR="004B2B6D" w:rsidRPr="00223066">
              <w:rPr>
                <w:webHidden/>
              </w:rPr>
              <w:fldChar w:fldCharType="separate"/>
            </w:r>
            <w:r w:rsidR="00DD01BB">
              <w:rPr>
                <w:webHidden/>
              </w:rPr>
              <w:t>9</w:t>
            </w:r>
            <w:r w:rsidR="004B2B6D" w:rsidRPr="00223066">
              <w:rPr>
                <w:webHidden/>
              </w:rPr>
              <w:fldChar w:fldCharType="end"/>
            </w:r>
          </w:hyperlink>
        </w:p>
        <w:p w:rsidR="00223066" w:rsidRDefault="00223066" w:rsidP="00223066">
          <w:pPr>
            <w:pStyle w:val="TOC1"/>
            <w:rPr>
              <w:rStyle w:val="Hyperlink"/>
              <w:b w:val="0"/>
            </w:rPr>
          </w:pPr>
        </w:p>
        <w:p w:rsidR="00223066" w:rsidRPr="00223066" w:rsidRDefault="00223066" w:rsidP="00223066">
          <w:pPr>
            <w:pStyle w:val="TOC1"/>
            <w:rPr>
              <w:rStyle w:val="Hyperlink"/>
              <w:color w:val="auto"/>
              <w:u w:val="none"/>
            </w:rPr>
          </w:pPr>
          <w:r w:rsidRPr="00223066">
            <w:rPr>
              <w:rStyle w:val="Hyperlink"/>
              <w:color w:val="auto"/>
              <w:u w:val="none"/>
            </w:rPr>
            <w:t>Section 5</w:t>
          </w:r>
        </w:p>
        <w:p w:rsidR="00223066" w:rsidRPr="00223066" w:rsidRDefault="009C7CF8" w:rsidP="00223066">
          <w:pPr>
            <w:pStyle w:val="TOC1"/>
            <w:rPr>
              <w:rFonts w:asciiTheme="minorHAnsi" w:eastAsiaTheme="minorEastAsia" w:hAnsiTheme="minorHAnsi" w:cstheme="minorBidi"/>
              <w:lang w:eastAsia="en-GB"/>
            </w:rPr>
          </w:pPr>
          <w:hyperlink w:anchor="_Toc504063950" w:history="1">
            <w:r w:rsidR="00223066" w:rsidRPr="00223066">
              <w:rPr>
                <w:rStyle w:val="Hyperlink"/>
                <w:b w:val="0"/>
              </w:rPr>
              <w:t>Give some examples of how business performance can be evaluated, making reference to at least three types of indicators. You should make particular reference to the role of HR in business planning and change management with some examples to illustrate HR’s key role.</w:t>
            </w:r>
            <w:r w:rsidR="00223066" w:rsidRPr="00223066">
              <w:rPr>
                <w:webHidden/>
              </w:rPr>
              <w:tab/>
            </w:r>
            <w:r w:rsidR="004B2B6D" w:rsidRPr="00223066">
              <w:rPr>
                <w:webHidden/>
              </w:rPr>
              <w:fldChar w:fldCharType="begin"/>
            </w:r>
            <w:r w:rsidR="00223066" w:rsidRPr="00223066">
              <w:rPr>
                <w:webHidden/>
              </w:rPr>
              <w:instrText xml:space="preserve"> PAGEREF _Toc504063950 \h </w:instrText>
            </w:r>
            <w:r w:rsidR="004B2B6D" w:rsidRPr="00223066">
              <w:rPr>
                <w:webHidden/>
              </w:rPr>
            </w:r>
            <w:r w:rsidR="004B2B6D" w:rsidRPr="00223066">
              <w:rPr>
                <w:webHidden/>
              </w:rPr>
              <w:fldChar w:fldCharType="separate"/>
            </w:r>
            <w:r w:rsidR="00DD01BB">
              <w:rPr>
                <w:webHidden/>
              </w:rPr>
              <w:t>10</w:t>
            </w:r>
            <w:r w:rsidR="004B2B6D" w:rsidRPr="00223066">
              <w:rPr>
                <w:webHidden/>
              </w:rPr>
              <w:fldChar w:fldCharType="end"/>
            </w:r>
          </w:hyperlink>
        </w:p>
        <w:p w:rsidR="00223066" w:rsidRDefault="00223066" w:rsidP="00223066">
          <w:pPr>
            <w:pStyle w:val="TOC1"/>
            <w:rPr>
              <w:rStyle w:val="Hyperlink"/>
              <w:b w:val="0"/>
            </w:rPr>
          </w:pPr>
        </w:p>
        <w:p w:rsidR="00223066" w:rsidRPr="00223066" w:rsidRDefault="00223066" w:rsidP="00223066">
          <w:pPr>
            <w:pStyle w:val="TOC1"/>
            <w:rPr>
              <w:rStyle w:val="Hyperlink"/>
              <w:color w:val="auto"/>
              <w:u w:val="none"/>
            </w:rPr>
          </w:pPr>
          <w:r w:rsidRPr="00223066">
            <w:rPr>
              <w:rStyle w:val="Hyperlink"/>
              <w:color w:val="auto"/>
              <w:u w:val="none"/>
            </w:rPr>
            <w:t>Section 6</w:t>
          </w:r>
        </w:p>
        <w:p w:rsidR="00223066" w:rsidRPr="00223066" w:rsidRDefault="009C7CF8" w:rsidP="00223066">
          <w:pPr>
            <w:pStyle w:val="TOC1"/>
            <w:rPr>
              <w:rFonts w:asciiTheme="minorHAnsi" w:eastAsiaTheme="minorEastAsia" w:hAnsiTheme="minorHAnsi" w:cstheme="minorBidi"/>
              <w:lang w:eastAsia="en-GB"/>
            </w:rPr>
          </w:pPr>
          <w:hyperlink w:anchor="_Toc504063951" w:history="1">
            <w:r w:rsidR="00223066" w:rsidRPr="00223066">
              <w:rPr>
                <w:rStyle w:val="Hyperlink"/>
                <w:b w:val="0"/>
              </w:rPr>
              <w:t>Explain how at least four different sources of business and contextual data can be assessed and utilised for planning purposes.</w:t>
            </w:r>
            <w:r w:rsidR="00223066" w:rsidRPr="00223066">
              <w:rPr>
                <w:webHidden/>
              </w:rPr>
              <w:tab/>
            </w:r>
            <w:r w:rsidR="004B2B6D" w:rsidRPr="00223066">
              <w:rPr>
                <w:webHidden/>
              </w:rPr>
              <w:fldChar w:fldCharType="begin"/>
            </w:r>
            <w:r w:rsidR="00223066" w:rsidRPr="00223066">
              <w:rPr>
                <w:webHidden/>
              </w:rPr>
              <w:instrText xml:space="preserve"> PAGEREF _Toc504063951 \h </w:instrText>
            </w:r>
            <w:r w:rsidR="004B2B6D" w:rsidRPr="00223066">
              <w:rPr>
                <w:webHidden/>
              </w:rPr>
            </w:r>
            <w:r w:rsidR="004B2B6D" w:rsidRPr="00223066">
              <w:rPr>
                <w:webHidden/>
              </w:rPr>
              <w:fldChar w:fldCharType="separate"/>
            </w:r>
            <w:r w:rsidR="00DD01BB">
              <w:rPr>
                <w:webHidden/>
              </w:rPr>
              <w:t>12</w:t>
            </w:r>
            <w:r w:rsidR="004B2B6D" w:rsidRPr="00223066">
              <w:rPr>
                <w:webHidden/>
              </w:rPr>
              <w:fldChar w:fldCharType="end"/>
            </w:r>
          </w:hyperlink>
        </w:p>
        <w:p w:rsidR="00223066" w:rsidRDefault="00223066" w:rsidP="00223066">
          <w:pPr>
            <w:pStyle w:val="TOC1"/>
            <w:rPr>
              <w:rStyle w:val="Hyperlink"/>
              <w:b w:val="0"/>
            </w:rPr>
          </w:pPr>
        </w:p>
        <w:p w:rsidR="00223066" w:rsidRPr="00223066" w:rsidRDefault="009C7CF8" w:rsidP="00223066">
          <w:pPr>
            <w:pStyle w:val="TOC1"/>
            <w:rPr>
              <w:rFonts w:asciiTheme="minorHAnsi" w:eastAsiaTheme="minorEastAsia" w:hAnsiTheme="minorHAnsi" w:cstheme="minorBidi"/>
              <w:lang w:eastAsia="en-GB"/>
            </w:rPr>
          </w:pPr>
          <w:hyperlink w:anchor="_Toc504063952" w:history="1">
            <w:r w:rsidR="00223066" w:rsidRPr="00223066">
              <w:rPr>
                <w:rStyle w:val="Hyperlink"/>
                <w:b w:val="0"/>
              </w:rPr>
              <w:t>Appendices</w:t>
            </w:r>
            <w:r w:rsidR="00223066" w:rsidRPr="00223066">
              <w:rPr>
                <w:webHidden/>
              </w:rPr>
              <w:tab/>
            </w:r>
            <w:r w:rsidR="004B2B6D" w:rsidRPr="00223066">
              <w:rPr>
                <w:webHidden/>
              </w:rPr>
              <w:fldChar w:fldCharType="begin"/>
            </w:r>
            <w:r w:rsidR="00223066" w:rsidRPr="00223066">
              <w:rPr>
                <w:webHidden/>
              </w:rPr>
              <w:instrText xml:space="preserve"> PAGEREF _Toc504063952 \h </w:instrText>
            </w:r>
            <w:r w:rsidR="004B2B6D" w:rsidRPr="00223066">
              <w:rPr>
                <w:webHidden/>
              </w:rPr>
            </w:r>
            <w:r w:rsidR="004B2B6D" w:rsidRPr="00223066">
              <w:rPr>
                <w:webHidden/>
              </w:rPr>
              <w:fldChar w:fldCharType="separate"/>
            </w:r>
            <w:r w:rsidR="00DD01BB">
              <w:rPr>
                <w:webHidden/>
              </w:rPr>
              <w:t>14</w:t>
            </w:r>
            <w:r w:rsidR="004B2B6D" w:rsidRPr="00223066">
              <w:rPr>
                <w:webHidden/>
              </w:rPr>
              <w:fldChar w:fldCharType="end"/>
            </w:r>
          </w:hyperlink>
        </w:p>
        <w:p w:rsidR="00223066" w:rsidRDefault="00223066" w:rsidP="00223066">
          <w:pPr>
            <w:pStyle w:val="TOC1"/>
            <w:rPr>
              <w:rStyle w:val="Hyperlink"/>
              <w:b w:val="0"/>
            </w:rPr>
          </w:pPr>
        </w:p>
        <w:p w:rsidR="00223066" w:rsidRDefault="009C7CF8" w:rsidP="00223066">
          <w:pPr>
            <w:pStyle w:val="TOC1"/>
            <w:rPr>
              <w:rFonts w:asciiTheme="minorHAnsi" w:eastAsiaTheme="minorEastAsia" w:hAnsiTheme="minorHAnsi" w:cstheme="minorBidi"/>
              <w:lang w:eastAsia="en-GB"/>
            </w:rPr>
          </w:pPr>
          <w:hyperlink w:anchor="_Toc504063953" w:history="1">
            <w:r w:rsidR="00223066" w:rsidRPr="00223066">
              <w:rPr>
                <w:rStyle w:val="Hyperlink"/>
                <w:b w:val="0"/>
              </w:rPr>
              <w:t>References</w:t>
            </w:r>
            <w:r w:rsidR="00223066" w:rsidRPr="00223066">
              <w:rPr>
                <w:webHidden/>
              </w:rPr>
              <w:tab/>
            </w:r>
            <w:r w:rsidR="004B2B6D" w:rsidRPr="00223066">
              <w:rPr>
                <w:webHidden/>
              </w:rPr>
              <w:fldChar w:fldCharType="begin"/>
            </w:r>
            <w:r w:rsidR="00223066" w:rsidRPr="00223066">
              <w:rPr>
                <w:webHidden/>
              </w:rPr>
              <w:instrText xml:space="preserve"> PAGEREF _Toc504063953 \h </w:instrText>
            </w:r>
            <w:r w:rsidR="004B2B6D" w:rsidRPr="00223066">
              <w:rPr>
                <w:webHidden/>
              </w:rPr>
            </w:r>
            <w:r w:rsidR="004B2B6D" w:rsidRPr="00223066">
              <w:rPr>
                <w:webHidden/>
              </w:rPr>
              <w:fldChar w:fldCharType="separate"/>
            </w:r>
            <w:r w:rsidR="00DD01BB">
              <w:rPr>
                <w:webHidden/>
              </w:rPr>
              <w:t>17</w:t>
            </w:r>
            <w:r w:rsidR="004B2B6D" w:rsidRPr="00223066">
              <w:rPr>
                <w:webHidden/>
              </w:rPr>
              <w:fldChar w:fldCharType="end"/>
            </w:r>
          </w:hyperlink>
        </w:p>
        <w:p w:rsidR="00AC6BBC" w:rsidRDefault="004B2B6D">
          <w:r>
            <w:fldChar w:fldCharType="end"/>
          </w:r>
        </w:p>
      </w:sdtContent>
    </w:sdt>
    <w:p w:rsidR="00AC6BBC" w:rsidRDefault="00AC6BBC">
      <w:pPr>
        <w:spacing w:line="276" w:lineRule="auto"/>
        <w:rPr>
          <w:rFonts w:asciiTheme="majorHAnsi" w:eastAsiaTheme="majorEastAsia" w:hAnsiTheme="majorHAnsi" w:cstheme="majorBidi"/>
          <w:b/>
          <w:bCs/>
          <w:color w:val="365F91" w:themeColor="accent1" w:themeShade="BF"/>
          <w:sz w:val="28"/>
          <w:szCs w:val="28"/>
        </w:rPr>
      </w:pPr>
      <w:r>
        <w:br w:type="page"/>
      </w:r>
    </w:p>
    <w:p w:rsidR="00223066" w:rsidRDefault="00223066" w:rsidP="00F91D34">
      <w:pPr>
        <w:pStyle w:val="Heading1"/>
      </w:pPr>
      <w:bookmarkStart w:id="0" w:name="_Toc504063946"/>
      <w:r>
        <w:lastRenderedPageBreak/>
        <w:t>Section 1</w:t>
      </w:r>
    </w:p>
    <w:bookmarkEnd w:id="0"/>
    <w:p w:rsidR="00223066" w:rsidRDefault="00223066" w:rsidP="00F91D34">
      <w:pPr>
        <w:pStyle w:val="Subtitle"/>
      </w:pPr>
    </w:p>
    <w:p w:rsidR="00F91D34" w:rsidRDefault="00F91D34" w:rsidP="00F91D34">
      <w:pPr>
        <w:pStyle w:val="Subtitle"/>
      </w:pPr>
      <w:r>
        <w:t>What are the Key Forces which shape the HR agenda?</w:t>
      </w:r>
    </w:p>
    <w:p w:rsidR="00F91D34" w:rsidRPr="00D97FF1" w:rsidRDefault="00F91D34" w:rsidP="00F5645A">
      <w:r>
        <w:t>‘Organis</w:t>
      </w:r>
      <w:r w:rsidRPr="00D97FF1">
        <w:t xml:space="preserve">ations face a radically shifting context for the workforce, the workplace, and the world of work’ (Deloitte </w:t>
      </w:r>
      <w:r w:rsidR="00F363FF">
        <w:t xml:space="preserve">United States, </w:t>
      </w:r>
      <w:r w:rsidRPr="00D97FF1">
        <w:t>201</w:t>
      </w:r>
      <w:r w:rsidR="00F363FF">
        <w:t>8</w:t>
      </w:r>
      <w:r w:rsidRPr="00D97FF1">
        <w:t>).</w:t>
      </w:r>
    </w:p>
    <w:p w:rsidR="00F91D34" w:rsidRDefault="00F91D34" w:rsidP="00F91D34">
      <w:r w:rsidRPr="00D97FF1">
        <w:t xml:space="preserve">The quote above gives a snapshot of not only the breadth of areas which HR is connected to but an insight into some of the forces which may affect the HR agenda going forwards. </w:t>
      </w:r>
      <w:r w:rsidR="00876D50">
        <w:t xml:space="preserve">Historically </w:t>
      </w:r>
      <w:r>
        <w:t>Dave Ulrich’s model</w:t>
      </w:r>
      <w:r w:rsidR="00876D50">
        <w:t xml:space="preserve"> of shared transactional services, centres of expertise</w:t>
      </w:r>
      <w:r w:rsidR="00B97F70">
        <w:t>,</w:t>
      </w:r>
      <w:r w:rsidR="00876D50">
        <w:t xml:space="preserve"> and HR business partners has dominated conversations regarding HR structure ‘for the past decade or so’ (</w:t>
      </w:r>
      <w:r>
        <w:t>CIPD</w:t>
      </w:r>
      <w:r w:rsidR="00972F96">
        <w:t>,</w:t>
      </w:r>
      <w:r w:rsidR="00876D50">
        <w:t xml:space="preserve"> 201</w:t>
      </w:r>
      <w:r w:rsidR="00F363FF">
        <w:t>8</w:t>
      </w:r>
      <w:r w:rsidR="00876D50">
        <w:t>).</w:t>
      </w:r>
      <w:r w:rsidR="00972F96">
        <w:t xml:space="preserve"> </w:t>
      </w:r>
      <w:r w:rsidRPr="00D97FF1">
        <w:t>The</w:t>
      </w:r>
      <w:r w:rsidR="00972F96">
        <w:t>re is a</w:t>
      </w:r>
      <w:r w:rsidRPr="00D97FF1">
        <w:t xml:space="preserve"> demand </w:t>
      </w:r>
      <w:r w:rsidR="00876D50">
        <w:t xml:space="preserve">however </w:t>
      </w:r>
      <w:r w:rsidR="00B97F70">
        <w:t>for b</w:t>
      </w:r>
      <w:r w:rsidRPr="00D97FF1">
        <w:t>usiness and HR leaders to rewrite and update the rules for how they organise, recruit, develop, manage, and engage their  workforce</w:t>
      </w:r>
      <w:r w:rsidR="00972F96">
        <w:t xml:space="preserve"> as we enter</w:t>
      </w:r>
      <w:r w:rsidRPr="00D97FF1">
        <w:t xml:space="preserve"> the ‘fourth industrial revolution’ (Shwlab</w:t>
      </w:r>
      <w:r w:rsidR="00F363FF">
        <w:t>,</w:t>
      </w:r>
      <w:r w:rsidRPr="00D97FF1">
        <w:t xml:space="preserve"> 2016).</w:t>
      </w:r>
    </w:p>
    <w:p w:rsidR="00BC4104" w:rsidRPr="00103732" w:rsidRDefault="00F91D34" w:rsidP="00BC4104">
      <w:pPr>
        <w:rPr>
          <w:rFonts w:asciiTheme="minorHAnsi" w:hAnsiTheme="minorHAnsi" w:cstheme="minorHAnsi"/>
          <w:szCs w:val="32"/>
        </w:rPr>
      </w:pPr>
      <w:r w:rsidRPr="00D97FF1">
        <w:t>In 2013</w:t>
      </w:r>
      <w:r w:rsidR="00F5645A">
        <w:t>,</w:t>
      </w:r>
      <w:r w:rsidRPr="00D97FF1">
        <w:t xml:space="preserve"> </w:t>
      </w:r>
      <w:r w:rsidRPr="00D97FF1">
        <w:rPr>
          <w:bdr w:val="none" w:sz="0" w:space="0" w:color="auto" w:frame="1"/>
        </w:rPr>
        <w:t xml:space="preserve">CHREATE </w:t>
      </w:r>
      <w:r w:rsidRPr="00D97FF1">
        <w:t>(The Global Consortium to Reimagine HR, Employment Alternati</w:t>
      </w:r>
      <w:r>
        <w:t>ves, Talent and the Enterprise)</w:t>
      </w:r>
      <w:r w:rsidRPr="00D97FF1">
        <w:t xml:space="preserve"> identified 5 trends which o</w:t>
      </w:r>
      <w:r w:rsidR="00BC4104">
        <w:t>rganisations could face by 2025 (</w:t>
      </w:r>
      <w:r w:rsidR="00BC4104" w:rsidRPr="00103732">
        <w:rPr>
          <w:rFonts w:asciiTheme="minorHAnsi" w:hAnsiTheme="minorHAnsi" w:cstheme="minorHAnsi"/>
          <w:szCs w:val="32"/>
        </w:rPr>
        <w:t>Full Table available in Appendix A</w:t>
      </w:r>
      <w:r w:rsidR="00BC4104">
        <w:rPr>
          <w:rFonts w:asciiTheme="minorHAnsi" w:hAnsiTheme="minorHAnsi" w:cstheme="minorHAnsi"/>
          <w:szCs w:val="32"/>
        </w:rPr>
        <w:t>)</w:t>
      </w:r>
    </w:p>
    <w:p w:rsidR="00F91D34" w:rsidRPr="00127B4C" w:rsidRDefault="00F91D34" w:rsidP="00F91D34">
      <w:pPr>
        <w:pStyle w:val="ListParagraph"/>
        <w:numPr>
          <w:ilvl w:val="0"/>
          <w:numId w:val="1"/>
        </w:numPr>
        <w:rPr>
          <w:rStyle w:val="Strong"/>
          <w:b w:val="0"/>
          <w:bCs w:val="0"/>
        </w:rPr>
      </w:pPr>
      <w:r w:rsidRPr="00CB5466">
        <w:rPr>
          <w:rStyle w:val="Strong"/>
          <w:rFonts w:asciiTheme="minorHAnsi" w:hAnsiTheme="minorHAnsi" w:cstheme="minorHAnsi"/>
          <w:b w:val="0"/>
          <w:bdr w:val="none" w:sz="0" w:space="0" w:color="auto" w:frame="1"/>
        </w:rPr>
        <w:t>Exponential Technology Change</w:t>
      </w:r>
    </w:p>
    <w:p w:rsidR="00F91D34" w:rsidRPr="00127B4C" w:rsidRDefault="00F91D34" w:rsidP="00F91D34">
      <w:pPr>
        <w:pStyle w:val="ListParagraph"/>
        <w:numPr>
          <w:ilvl w:val="0"/>
          <w:numId w:val="1"/>
        </w:numPr>
        <w:rPr>
          <w:rFonts w:asciiTheme="minorHAnsi" w:hAnsiTheme="minorHAnsi" w:cstheme="minorHAnsi"/>
        </w:rPr>
      </w:pPr>
      <w:r w:rsidRPr="00127B4C">
        <w:rPr>
          <w:rStyle w:val="Strong"/>
          <w:rFonts w:asciiTheme="minorHAnsi" w:hAnsiTheme="minorHAnsi" w:cstheme="minorHAnsi"/>
          <w:b w:val="0"/>
          <w:bdr w:val="none" w:sz="0" w:space="0" w:color="auto" w:frame="1"/>
        </w:rPr>
        <w:t>Social, Organizational Reconfiguration</w:t>
      </w:r>
    </w:p>
    <w:p w:rsidR="00F91D34" w:rsidRPr="00127B4C" w:rsidRDefault="00F91D34" w:rsidP="00F91D34">
      <w:pPr>
        <w:pStyle w:val="ListParagraph"/>
        <w:numPr>
          <w:ilvl w:val="0"/>
          <w:numId w:val="1"/>
        </w:numPr>
        <w:rPr>
          <w:rStyle w:val="Strong"/>
          <w:b w:val="0"/>
          <w:bCs w:val="0"/>
        </w:rPr>
      </w:pPr>
      <w:r w:rsidRPr="00CB5466">
        <w:rPr>
          <w:rStyle w:val="Strong"/>
          <w:rFonts w:asciiTheme="minorHAnsi" w:hAnsiTheme="minorHAnsi" w:cstheme="minorHAnsi"/>
          <w:b w:val="0"/>
          <w:bdr w:val="none" w:sz="0" w:space="0" w:color="auto" w:frame="1"/>
        </w:rPr>
        <w:t>A Truly Connected World</w:t>
      </w:r>
    </w:p>
    <w:p w:rsidR="00F91D34" w:rsidRPr="00127B4C" w:rsidRDefault="00F91D34" w:rsidP="00F91D34">
      <w:pPr>
        <w:pStyle w:val="ListParagraph"/>
        <w:numPr>
          <w:ilvl w:val="0"/>
          <w:numId w:val="1"/>
        </w:numPr>
        <w:rPr>
          <w:rStyle w:val="Strong"/>
          <w:b w:val="0"/>
          <w:bCs w:val="0"/>
        </w:rPr>
      </w:pPr>
      <w:r w:rsidRPr="00CB5466">
        <w:rPr>
          <w:rStyle w:val="Strong"/>
          <w:rFonts w:asciiTheme="minorHAnsi" w:hAnsiTheme="minorHAnsi" w:cstheme="minorHAnsi"/>
          <w:b w:val="0"/>
          <w:bdr w:val="none" w:sz="0" w:space="0" w:color="auto" w:frame="1"/>
        </w:rPr>
        <w:t>All-Inclusive Global Talent Market</w:t>
      </w:r>
    </w:p>
    <w:p w:rsidR="00F91D34" w:rsidRPr="00127B4C" w:rsidRDefault="00F91D34" w:rsidP="00F91D34">
      <w:pPr>
        <w:pStyle w:val="ListParagraph"/>
        <w:numPr>
          <w:ilvl w:val="0"/>
          <w:numId w:val="1"/>
        </w:numPr>
        <w:rPr>
          <w:rStyle w:val="Strong"/>
          <w:b w:val="0"/>
          <w:bCs w:val="0"/>
        </w:rPr>
      </w:pPr>
      <w:r w:rsidRPr="00CB5466">
        <w:rPr>
          <w:rStyle w:val="Strong"/>
          <w:rFonts w:asciiTheme="minorHAnsi" w:hAnsiTheme="minorHAnsi" w:cstheme="minorHAnsi"/>
          <w:b w:val="0"/>
          <w:bdr w:val="none" w:sz="0" w:space="0" w:color="auto" w:frame="1"/>
        </w:rPr>
        <w:t>Human-Machine Collaboration</w:t>
      </w:r>
    </w:p>
    <w:p w:rsidR="00103732" w:rsidRDefault="00103732" w:rsidP="00F91D34">
      <w:pPr>
        <w:rPr>
          <w:rFonts w:asciiTheme="minorHAnsi" w:hAnsiTheme="minorHAnsi" w:cstheme="minorHAnsi"/>
          <w:szCs w:val="32"/>
        </w:rPr>
      </w:pPr>
    </w:p>
    <w:p w:rsidR="00F91D34" w:rsidRDefault="00F91D34" w:rsidP="00F91D34">
      <w:r>
        <w:t>It is evident t</w:t>
      </w:r>
      <w:r w:rsidR="00D97B69">
        <w:t xml:space="preserve">hat </w:t>
      </w:r>
      <w:r>
        <w:t>experts th</w:t>
      </w:r>
      <w:r w:rsidR="00D97B69">
        <w:t>ink</w:t>
      </w:r>
      <w:r>
        <w:t xml:space="preserve"> technology w</w:t>
      </w:r>
      <w:r w:rsidR="00D97B69">
        <w:t>ill</w:t>
      </w:r>
      <w:r>
        <w:t xml:space="preserve"> play a major role</w:t>
      </w:r>
      <w:r w:rsidR="00D97B69">
        <w:t xml:space="preserve"> regarding business performance</w:t>
      </w:r>
      <w:r>
        <w:t xml:space="preserve"> in the future which </w:t>
      </w:r>
      <w:r w:rsidR="00972F96">
        <w:t xml:space="preserve">is also </w:t>
      </w:r>
      <w:r>
        <w:t>supported by the graph in Figure 1. C</w:t>
      </w:r>
      <w:r w:rsidRPr="0038576F">
        <w:t xml:space="preserve">reated by Eric Teller </w:t>
      </w:r>
      <w:r>
        <w:t>(</w:t>
      </w:r>
      <w:r w:rsidRPr="0038576F">
        <w:t xml:space="preserve">CEO </w:t>
      </w:r>
      <w:r>
        <w:t xml:space="preserve">of Alphabet’s Google X division) the graph highlights the different paces at which technology, individuals, businesses, and public policies adapt to change. </w:t>
      </w:r>
    </w:p>
    <w:p w:rsidR="00F91D34" w:rsidRDefault="00F91D34" w:rsidP="00F91D34">
      <w:pPr>
        <w:pStyle w:val="NormalWeb"/>
        <w:spacing w:before="480" w:beforeAutospacing="0" w:after="480" w:afterAutospacing="0" w:line="480" w:lineRule="atLeast"/>
        <w:jc w:val="center"/>
        <w:textAlignment w:val="baseline"/>
        <w:rPr>
          <w:rFonts w:asciiTheme="minorHAnsi" w:hAnsiTheme="minorHAnsi" w:cstheme="minorHAnsi"/>
        </w:rPr>
      </w:pPr>
      <w:r>
        <w:rPr>
          <w:rFonts w:asciiTheme="minorHAnsi" w:hAnsiTheme="minorHAnsi" w:cstheme="minorHAnsi"/>
          <w:noProof/>
        </w:rPr>
        <w:drawing>
          <wp:inline distT="0" distB="0" distL="0" distR="0">
            <wp:extent cx="3224482" cy="2467936"/>
            <wp:effectExtent l="19050" t="0" r="0" b="0"/>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l="28734" t="39814" r="27451" b="14201"/>
                    <a:stretch>
                      <a:fillRect/>
                    </a:stretch>
                  </pic:blipFill>
                  <pic:spPr bwMode="auto">
                    <a:xfrm>
                      <a:off x="0" y="0"/>
                      <a:ext cx="3224314" cy="2467808"/>
                    </a:xfrm>
                    <a:prstGeom prst="rect">
                      <a:avLst/>
                    </a:prstGeom>
                    <a:noFill/>
                    <a:ln w="9525">
                      <a:noFill/>
                      <a:miter lim="800000"/>
                      <a:headEnd/>
                      <a:tailEnd/>
                    </a:ln>
                  </pic:spPr>
                </pic:pic>
              </a:graphicData>
            </a:graphic>
          </wp:inline>
        </w:drawing>
      </w:r>
    </w:p>
    <w:p w:rsidR="00F91D34" w:rsidRPr="00F35654" w:rsidRDefault="00F91D34" w:rsidP="00F91D34">
      <w:pPr>
        <w:rPr>
          <w:i/>
        </w:rPr>
      </w:pPr>
      <w:r>
        <w:rPr>
          <w:i/>
        </w:rPr>
        <w:t>Figure 1 – Graph highlighting the growth of technology</w:t>
      </w:r>
      <w:r w:rsidR="00F363FF">
        <w:rPr>
          <w:i/>
        </w:rPr>
        <w:t xml:space="preserve"> (taken from Deloitte United States, 2018)</w:t>
      </w:r>
    </w:p>
    <w:p w:rsidR="00462C5A" w:rsidRDefault="00F91D34" w:rsidP="00F91D34">
      <w:r w:rsidRPr="0038576F">
        <w:t>The gaps between curves 1, 2, and 3 show the need for organi</w:t>
      </w:r>
      <w:r>
        <w:t>s</w:t>
      </w:r>
      <w:r w:rsidRPr="0038576F">
        <w:t>ations to adapt to technology and lifestyle changes.</w:t>
      </w:r>
      <w:r w:rsidR="00A51DF9">
        <w:t xml:space="preserve"> </w:t>
      </w:r>
      <w:r>
        <w:t>Public policy refers to</w:t>
      </w:r>
      <w:r w:rsidRPr="0038576F">
        <w:t xml:space="preserve"> policies around income inequality, unemp</w:t>
      </w:r>
      <w:r>
        <w:t>loyment, immigration, and trade; all of which</w:t>
      </w:r>
      <w:r w:rsidRPr="0038576F">
        <w:t xml:space="preserve"> directly affect businesses through regulation, taxes, and legislation</w:t>
      </w:r>
      <w:r>
        <w:t xml:space="preserve">. </w:t>
      </w:r>
      <w:r w:rsidR="00A51DF9">
        <w:t xml:space="preserve"> </w:t>
      </w:r>
    </w:p>
    <w:p w:rsidR="00A51DF9" w:rsidRDefault="00A51DF9" w:rsidP="00F91D34">
      <w:r>
        <w:t>The challenge for business and HR leaders is evident by the gap between curve 4 and the others. C</w:t>
      </w:r>
      <w:r w:rsidR="00F91D34">
        <w:t>hanges to l</w:t>
      </w:r>
      <w:r w:rsidR="00F91D34" w:rsidRPr="0038576F">
        <w:t>aws on topics such as minimum wage, trade tariffs, immigration, and education</w:t>
      </w:r>
      <w:r w:rsidR="00F91D34">
        <w:t>, take</w:t>
      </w:r>
      <w:r w:rsidR="00F91D34" w:rsidRPr="0038576F">
        <w:t xml:space="preserve"> years of public debate</w:t>
      </w:r>
      <w:r w:rsidR="00F91D34">
        <w:t xml:space="preserve"> first</w:t>
      </w:r>
      <w:r>
        <w:t xml:space="preserve"> and therefore adapt at an even slower pace.</w:t>
      </w:r>
      <w:r w:rsidR="00D97B69">
        <w:t xml:space="preserve"> </w:t>
      </w:r>
      <w:r w:rsidR="00462C5A">
        <w:t>Recent changes to General Data Protection Regulations for example have resulted in both ethical and accountability responsibilities for businesses which is an example of public policy changes.</w:t>
      </w:r>
    </w:p>
    <w:p w:rsidR="00F91D34" w:rsidRDefault="00A51DF9" w:rsidP="00F91D34">
      <w:r>
        <w:lastRenderedPageBreak/>
        <w:t xml:space="preserve">Along with the impact of technology </w:t>
      </w:r>
      <w:r w:rsidR="00F91D34">
        <w:t xml:space="preserve">CIPD Chief Executive Peter Cheese highlighted some </w:t>
      </w:r>
      <w:r>
        <w:t xml:space="preserve">other </w:t>
      </w:r>
      <w:r w:rsidR="00F91D34">
        <w:t>challenges facing organisations going forwards which</w:t>
      </w:r>
      <w:r w:rsidR="00547C92">
        <w:t xml:space="preserve"> included</w:t>
      </w:r>
      <w:r w:rsidR="00F91D34">
        <w:t xml:space="preserve"> </w:t>
      </w:r>
      <w:r w:rsidR="00F91D34" w:rsidRPr="00610AFE">
        <w:t>globalisation, changing workforce demographics and skills shortages</w:t>
      </w:r>
      <w:r w:rsidR="00F91D34">
        <w:t xml:space="preserve">.  He suggests that a major factor for HR </w:t>
      </w:r>
      <w:r w:rsidR="00547C92">
        <w:t xml:space="preserve">will be the need for HR to </w:t>
      </w:r>
      <w:r w:rsidR="00F91D34">
        <w:t>‘</w:t>
      </w:r>
      <w:r w:rsidR="00F91D34" w:rsidRPr="00610AFE">
        <w:t>evolve and grow to play a greater part in developi</w:t>
      </w:r>
      <w:r w:rsidR="00F91D34">
        <w:t>ng organisations for the future’ (CIPD, 201</w:t>
      </w:r>
      <w:r w:rsidR="00F363FF">
        <w:t>8</w:t>
      </w:r>
      <w:r w:rsidR="00F91D34">
        <w:t>).</w:t>
      </w:r>
    </w:p>
    <w:p w:rsidR="009376F3" w:rsidRDefault="00547C92" w:rsidP="009376F3">
      <w:r>
        <w:rPr>
          <w:rFonts w:asciiTheme="minorHAnsi" w:hAnsiTheme="minorHAnsi" w:cstheme="minorHAnsi"/>
        </w:rPr>
        <w:t>This view is supported by Deloitte as they confirm that ‘</w:t>
      </w:r>
      <w:r w:rsidRPr="0038576F">
        <w:rPr>
          <w:rFonts w:asciiTheme="minorHAnsi" w:hAnsiTheme="minorHAnsi" w:cstheme="minorHAnsi"/>
        </w:rPr>
        <w:t>HR has a unique role to play</w:t>
      </w:r>
      <w:r>
        <w:rPr>
          <w:rFonts w:asciiTheme="minorHAnsi" w:hAnsiTheme="minorHAnsi" w:cstheme="minorHAnsi"/>
        </w:rPr>
        <w:t>’.</w:t>
      </w:r>
      <w:r w:rsidR="009376F3">
        <w:rPr>
          <w:rFonts w:asciiTheme="minorHAnsi" w:hAnsiTheme="minorHAnsi" w:cstheme="minorHAnsi"/>
        </w:rPr>
        <w:t xml:space="preserve"> In their </w:t>
      </w:r>
      <w:r w:rsidR="009376F3">
        <w:t xml:space="preserve">2017 </w:t>
      </w:r>
      <w:r w:rsidR="009376F3" w:rsidRPr="005D0476">
        <w:t>Global Human Capital Trends</w:t>
      </w:r>
      <w:r w:rsidR="009376F3">
        <w:t xml:space="preserve"> report,</w:t>
      </w:r>
      <w:r w:rsidR="009376F3" w:rsidRPr="005D0476">
        <w:t xml:space="preserve"> </w:t>
      </w:r>
      <w:r w:rsidR="009376F3">
        <w:t>Deloitte identify 10 areas of focus (figure 2</w:t>
      </w:r>
      <w:r w:rsidR="009376F3" w:rsidRPr="0038576F">
        <w:t>)</w:t>
      </w:r>
      <w:r w:rsidR="009376F3">
        <w:t xml:space="preserve"> for both business and HR going forwards</w:t>
      </w:r>
      <w:r w:rsidR="009376F3" w:rsidRPr="0038576F">
        <w:t xml:space="preserve">. </w:t>
      </w:r>
    </w:p>
    <w:p w:rsidR="00F91D34" w:rsidRDefault="00F91D34" w:rsidP="009376F3">
      <w:pPr>
        <w:jc w:val="center"/>
        <w:rPr>
          <w:rFonts w:asciiTheme="minorHAnsi" w:hAnsiTheme="minorHAnsi" w:cstheme="minorHAnsi"/>
        </w:rPr>
      </w:pPr>
      <w:r w:rsidRPr="005E1BD9">
        <w:rPr>
          <w:rFonts w:asciiTheme="minorHAnsi" w:hAnsiTheme="minorHAnsi" w:cstheme="minorHAnsi"/>
          <w:noProof/>
          <w:lang w:eastAsia="en-GB"/>
        </w:rPr>
        <w:drawing>
          <wp:inline distT="0" distB="0" distL="0" distR="0">
            <wp:extent cx="4103158" cy="4562475"/>
            <wp:effectExtent l="19050" t="0" r="0" b="0"/>
            <wp:docPr id="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srcRect l="33566" t="17160" r="33600" b="8876"/>
                    <a:stretch>
                      <a:fillRect/>
                    </a:stretch>
                  </pic:blipFill>
                  <pic:spPr bwMode="auto">
                    <a:xfrm>
                      <a:off x="0" y="0"/>
                      <a:ext cx="4107959" cy="4567813"/>
                    </a:xfrm>
                    <a:prstGeom prst="rect">
                      <a:avLst/>
                    </a:prstGeom>
                    <a:noFill/>
                    <a:ln w="9525">
                      <a:noFill/>
                      <a:miter lim="800000"/>
                      <a:headEnd/>
                      <a:tailEnd/>
                    </a:ln>
                  </pic:spPr>
                </pic:pic>
              </a:graphicData>
            </a:graphic>
          </wp:inline>
        </w:drawing>
      </w:r>
    </w:p>
    <w:p w:rsidR="00F91D34" w:rsidRPr="005E1BD9" w:rsidRDefault="00F91D34" w:rsidP="00F91D34">
      <w:pPr>
        <w:rPr>
          <w:rFonts w:asciiTheme="minorHAnsi" w:hAnsiTheme="minorHAnsi" w:cstheme="minorHAnsi"/>
          <w:i/>
        </w:rPr>
      </w:pPr>
      <w:r>
        <w:rPr>
          <w:rFonts w:asciiTheme="minorHAnsi" w:hAnsiTheme="minorHAnsi" w:cstheme="minorHAnsi"/>
          <w:i/>
        </w:rPr>
        <w:t xml:space="preserve">Figure 2 – The </w:t>
      </w:r>
      <w:r>
        <w:rPr>
          <w:i/>
        </w:rPr>
        <w:t>10 areas for future business</w:t>
      </w:r>
      <w:r w:rsidRPr="005E1BD9">
        <w:rPr>
          <w:i/>
        </w:rPr>
        <w:t xml:space="preserve"> focus</w:t>
      </w:r>
      <w:r>
        <w:rPr>
          <w:i/>
        </w:rPr>
        <w:t xml:space="preserve"> taken from Deloitte’s </w:t>
      </w:r>
      <w:r w:rsidRPr="005E1BD9">
        <w:rPr>
          <w:i/>
        </w:rPr>
        <w:t>2017 Global Human Capital Trends report</w:t>
      </w:r>
      <w:r w:rsidR="00F363FF">
        <w:rPr>
          <w:i/>
        </w:rPr>
        <w:t xml:space="preserve"> (Deloitte United States, 2018)</w:t>
      </w:r>
    </w:p>
    <w:p w:rsidR="009376F3" w:rsidRDefault="009376F3" w:rsidP="00F91D34">
      <w:pPr>
        <w:rPr>
          <w:rFonts w:asciiTheme="minorHAnsi" w:hAnsiTheme="minorHAnsi" w:cstheme="minorHAnsi"/>
        </w:rPr>
      </w:pPr>
      <w:r>
        <w:rPr>
          <w:rFonts w:asciiTheme="minorHAnsi" w:hAnsiTheme="minorHAnsi" w:cstheme="minorHAnsi"/>
        </w:rPr>
        <w:t>In summary of the trends above, HR</w:t>
      </w:r>
      <w:r w:rsidR="00D97B69">
        <w:rPr>
          <w:rFonts w:asciiTheme="minorHAnsi" w:hAnsiTheme="minorHAnsi" w:cstheme="minorHAnsi"/>
        </w:rPr>
        <w:t xml:space="preserve"> strategies</w:t>
      </w:r>
      <w:r>
        <w:rPr>
          <w:rFonts w:asciiTheme="minorHAnsi" w:hAnsiTheme="minorHAnsi" w:cstheme="minorHAnsi"/>
        </w:rPr>
        <w:t xml:space="preserve"> will </w:t>
      </w:r>
      <w:r w:rsidR="00D97B69">
        <w:rPr>
          <w:rFonts w:asciiTheme="minorHAnsi" w:hAnsiTheme="minorHAnsi" w:cstheme="minorHAnsi"/>
        </w:rPr>
        <w:t xml:space="preserve">need to </w:t>
      </w:r>
      <w:r w:rsidR="00B97F70">
        <w:rPr>
          <w:rFonts w:asciiTheme="minorHAnsi" w:hAnsiTheme="minorHAnsi" w:cstheme="minorHAnsi"/>
        </w:rPr>
        <w:t>adjust</w:t>
      </w:r>
      <w:r w:rsidR="00D97B69">
        <w:rPr>
          <w:rFonts w:asciiTheme="minorHAnsi" w:hAnsiTheme="minorHAnsi" w:cstheme="minorHAnsi"/>
        </w:rPr>
        <w:t xml:space="preserve"> in order to </w:t>
      </w:r>
      <w:r>
        <w:rPr>
          <w:rFonts w:asciiTheme="minorHAnsi" w:hAnsiTheme="minorHAnsi" w:cstheme="minorHAnsi"/>
        </w:rPr>
        <w:t>‘help leaders and organis</w:t>
      </w:r>
      <w:r w:rsidRPr="0038576F">
        <w:rPr>
          <w:rFonts w:asciiTheme="minorHAnsi" w:hAnsiTheme="minorHAnsi" w:cstheme="minorHAnsi"/>
        </w:rPr>
        <w:t>ations adapt to technology, help people adapt to new models of work and</w:t>
      </w:r>
      <w:r>
        <w:rPr>
          <w:rFonts w:asciiTheme="minorHAnsi" w:hAnsiTheme="minorHAnsi" w:cstheme="minorHAnsi"/>
        </w:rPr>
        <w:t xml:space="preserve"> careers, and help companies</w:t>
      </w:r>
      <w:r w:rsidRPr="0038576F">
        <w:rPr>
          <w:rFonts w:asciiTheme="minorHAnsi" w:hAnsiTheme="minorHAnsi" w:cstheme="minorHAnsi"/>
        </w:rPr>
        <w:t xml:space="preserve"> adapt to and encourage changes in society, regulation, and public policy</w:t>
      </w:r>
      <w:r w:rsidR="00F363FF">
        <w:rPr>
          <w:rFonts w:asciiTheme="minorHAnsi" w:hAnsiTheme="minorHAnsi" w:cstheme="minorHAnsi"/>
        </w:rPr>
        <w:t>’ (Deloitte, 2018</w:t>
      </w:r>
      <w:r>
        <w:rPr>
          <w:rFonts w:asciiTheme="minorHAnsi" w:hAnsiTheme="minorHAnsi" w:cstheme="minorHAnsi"/>
        </w:rPr>
        <w:t>)</w:t>
      </w:r>
      <w:r w:rsidR="00D97B69">
        <w:rPr>
          <w:rFonts w:asciiTheme="minorHAnsi" w:hAnsiTheme="minorHAnsi" w:cstheme="minorHAnsi"/>
        </w:rPr>
        <w:t>.</w:t>
      </w:r>
      <w:r>
        <w:rPr>
          <w:rFonts w:asciiTheme="minorHAnsi" w:hAnsiTheme="minorHAnsi" w:cstheme="minorHAnsi"/>
        </w:rPr>
        <w:t xml:space="preserve"> </w:t>
      </w:r>
    </w:p>
    <w:p w:rsidR="00A76D1A" w:rsidRDefault="00A76D1A" w:rsidP="00A76D1A">
      <w:r>
        <w:rPr>
          <w:rFonts w:asciiTheme="minorHAnsi" w:hAnsiTheme="minorHAnsi" w:cstheme="minorHAnsi"/>
        </w:rPr>
        <w:t>Potentially the most important factor in the future will be the impact of company structure and their staff. From the figure below (</w:t>
      </w:r>
      <w:r>
        <w:rPr>
          <w:i/>
        </w:rPr>
        <w:t>Figure 3)</w:t>
      </w:r>
      <w:r>
        <w:rPr>
          <w:rFonts w:asciiTheme="minorHAnsi" w:hAnsiTheme="minorHAnsi" w:cstheme="minorHAnsi"/>
        </w:rPr>
        <w:t xml:space="preserve">, particular importance is placed on careers and learning, employee experience, and performance management. </w:t>
      </w:r>
      <w:r w:rsidR="0045034D">
        <w:rPr>
          <w:rFonts w:asciiTheme="minorHAnsi" w:hAnsiTheme="minorHAnsi" w:cstheme="minorHAnsi"/>
        </w:rPr>
        <w:t xml:space="preserve">CIPD also confirm this by stating that </w:t>
      </w:r>
      <w:r w:rsidRPr="0045034D">
        <w:t xml:space="preserve">HR should provide the </w:t>
      </w:r>
      <w:r w:rsidR="0045034D" w:rsidRPr="0045034D">
        <w:t>‘</w:t>
      </w:r>
      <w:r w:rsidRPr="0045034D">
        <w:t>right environment for staff to learn, grow and develop in order to realise their true potential and by recognise them for their contribution to the organisation's success</w:t>
      </w:r>
      <w:r w:rsidR="0045034D" w:rsidRPr="0045034D">
        <w:t>’ (C</w:t>
      </w:r>
      <w:r w:rsidR="00F363FF">
        <w:t>IPD, 2018</w:t>
      </w:r>
      <w:r w:rsidR="0045034D" w:rsidRPr="0045034D">
        <w:t>)</w:t>
      </w:r>
      <w:r w:rsidRPr="0045034D">
        <w:t>.</w:t>
      </w:r>
      <w:r w:rsidR="00D97B69">
        <w:t xml:space="preserve"> </w:t>
      </w:r>
    </w:p>
    <w:p w:rsidR="00F91D34" w:rsidRDefault="00F91D34" w:rsidP="00F91D34">
      <w:pPr>
        <w:rPr>
          <w:i/>
        </w:rPr>
      </w:pPr>
    </w:p>
    <w:p w:rsidR="00F91D34" w:rsidRPr="0038576F" w:rsidRDefault="00F91D34" w:rsidP="00F91D34">
      <w:pPr>
        <w:jc w:val="center"/>
      </w:pPr>
      <w:r w:rsidRPr="005D0476">
        <w:rPr>
          <w:noProof/>
          <w:lang w:eastAsia="en-GB"/>
        </w:rPr>
        <w:lastRenderedPageBreak/>
        <w:drawing>
          <wp:inline distT="0" distB="0" distL="0" distR="0">
            <wp:extent cx="4042131" cy="3400425"/>
            <wp:effectExtent l="19050" t="0" r="0"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srcRect l="27587" t="21598" r="27210" b="27031"/>
                    <a:stretch>
                      <a:fillRect/>
                    </a:stretch>
                  </pic:blipFill>
                  <pic:spPr bwMode="auto">
                    <a:xfrm>
                      <a:off x="0" y="0"/>
                      <a:ext cx="4044039" cy="3402030"/>
                    </a:xfrm>
                    <a:prstGeom prst="rect">
                      <a:avLst/>
                    </a:prstGeom>
                    <a:noFill/>
                    <a:ln w="9525">
                      <a:noFill/>
                      <a:miter lim="800000"/>
                      <a:headEnd/>
                      <a:tailEnd/>
                    </a:ln>
                  </pic:spPr>
                </pic:pic>
              </a:graphicData>
            </a:graphic>
          </wp:inline>
        </w:drawing>
      </w:r>
    </w:p>
    <w:p w:rsidR="00F363FF" w:rsidRPr="00F363FF" w:rsidRDefault="00F363FF" w:rsidP="00F363FF">
      <w:pPr>
        <w:rPr>
          <w:i/>
        </w:rPr>
      </w:pPr>
      <w:r w:rsidRPr="00F363FF">
        <w:rPr>
          <w:i/>
        </w:rPr>
        <w:t xml:space="preserve">Figure 3 </w:t>
      </w:r>
      <w:r>
        <w:rPr>
          <w:i/>
        </w:rPr>
        <w:t>–</w:t>
      </w:r>
      <w:r w:rsidRPr="00F363FF">
        <w:rPr>
          <w:i/>
        </w:rPr>
        <w:t xml:space="preserve"> </w:t>
      </w:r>
      <w:r>
        <w:rPr>
          <w:i/>
        </w:rPr>
        <w:t xml:space="preserve">Percentage of Total responses taken from Deloitte’s </w:t>
      </w:r>
      <w:r w:rsidRPr="005E1BD9">
        <w:rPr>
          <w:i/>
        </w:rPr>
        <w:t>2017 Global Human Capital Trends report</w:t>
      </w:r>
      <w:r>
        <w:rPr>
          <w:i/>
        </w:rPr>
        <w:t xml:space="preserve"> (Deloitte United States, 2018)</w:t>
      </w:r>
    </w:p>
    <w:p w:rsidR="00F91D34" w:rsidRDefault="00F91D34" w:rsidP="00F91D34">
      <w:pPr>
        <w:pStyle w:val="Subtitle"/>
      </w:pPr>
      <w:r>
        <w:t>What will be the key factors that will drive HR agenda in the future?</w:t>
      </w:r>
    </w:p>
    <w:p w:rsidR="00F91D34" w:rsidRDefault="00F91D34" w:rsidP="00F91D34">
      <w:r>
        <w:t>A number of factors are driving the need to "rewrite the rules" with the accelerated rate of technological advancements at the forefront of this. Despite individuals being relatively quick to adapt to ongoing innovations, organisations move at a slower pace with many retaining structures and practices that are long outdated. Th</w:t>
      </w:r>
      <w:r w:rsidR="000E11E7">
        <w:t>is</w:t>
      </w:r>
      <w:r>
        <w:t xml:space="preserve"> gap is even more apparent given the rate which public policies move in comparison. </w:t>
      </w:r>
    </w:p>
    <w:p w:rsidR="0045034D" w:rsidRDefault="00F91D34" w:rsidP="0045034D">
      <w:pPr>
        <w:rPr>
          <w:i/>
        </w:rPr>
      </w:pPr>
      <w:r>
        <w:t>The gaps between</w:t>
      </w:r>
      <w:r w:rsidR="0045034D">
        <w:t xml:space="preserve"> the rate of technological growth and the rest</w:t>
      </w:r>
      <w:r>
        <w:t xml:space="preserve"> will ultimately be </w:t>
      </w:r>
      <w:r w:rsidR="0045034D">
        <w:t xml:space="preserve">one of </w:t>
      </w:r>
      <w:r>
        <w:t xml:space="preserve">the key factors that will drive the HR agenda in the future. Deloitte refer to this age as ‘the big shift’ </w:t>
      </w:r>
      <w:r w:rsidR="00874D8C">
        <w:t>where</w:t>
      </w:r>
      <w:r w:rsidR="0045034D">
        <w:t xml:space="preserve"> businesses </w:t>
      </w:r>
      <w:r w:rsidR="00874D8C">
        <w:t>will need to ‘c</w:t>
      </w:r>
      <w:r w:rsidR="0045034D" w:rsidRPr="0045034D">
        <w:t xml:space="preserve">hallenge the operating models for HR, </w:t>
      </w:r>
      <w:r w:rsidR="00874D8C">
        <w:t>ensuring</w:t>
      </w:r>
      <w:r w:rsidR="0045034D" w:rsidRPr="0045034D">
        <w:t xml:space="preserve"> they align with the business and business needs</w:t>
      </w:r>
      <w:r w:rsidR="00874D8C">
        <w:t xml:space="preserve">’ </w:t>
      </w:r>
      <w:r w:rsidR="0045034D">
        <w:t>(CIPD, 201</w:t>
      </w:r>
      <w:r w:rsidR="00F363FF">
        <w:t>8</w:t>
      </w:r>
      <w:r w:rsidR="0045034D">
        <w:t>).</w:t>
      </w:r>
      <w:r w:rsidR="00874D8C">
        <w:t xml:space="preserve"> The importance of people alongside technology will also be a key factor to ensure </w:t>
      </w:r>
      <w:r w:rsidR="00874D8C" w:rsidRPr="00874D8C">
        <w:t>‘</w:t>
      </w:r>
      <w:r w:rsidR="0045034D" w:rsidRPr="00874D8C">
        <w:t>that we have the right capabilities in the right places</w:t>
      </w:r>
      <w:r w:rsidR="00874D8C" w:rsidRPr="00874D8C">
        <w:t>’</w:t>
      </w:r>
      <w:r w:rsidR="00F363FF">
        <w:t xml:space="preserve"> (CIPD, 2018</w:t>
      </w:r>
      <w:r w:rsidR="0045034D" w:rsidRPr="00874D8C">
        <w:t>)</w:t>
      </w:r>
      <w:r w:rsidR="00874D8C" w:rsidRPr="00874D8C">
        <w:t>.</w:t>
      </w:r>
    </w:p>
    <w:p w:rsidR="00874D8C" w:rsidRPr="00CF08EE" w:rsidRDefault="00223066" w:rsidP="00874D8C">
      <w:pPr>
        <w:pStyle w:val="Heading1"/>
        <w:rPr>
          <w:highlight w:val="yellow"/>
        </w:rPr>
      </w:pPr>
      <w:bookmarkStart w:id="1" w:name="_Toc504063947"/>
      <w:bookmarkStart w:id="2" w:name="_GoBack"/>
      <w:bookmarkEnd w:id="2"/>
      <w:r>
        <w:t>Section 2</w:t>
      </w:r>
      <w:bookmarkEnd w:id="1"/>
    </w:p>
    <w:p w:rsidR="00874D8C" w:rsidRDefault="00874D8C" w:rsidP="00874D8C"/>
    <w:p w:rsidR="00874D8C" w:rsidRDefault="00874D8C" w:rsidP="00874D8C">
      <w:r>
        <w:t xml:space="preserve">Business </w:t>
      </w:r>
      <w:r w:rsidR="00F5645A">
        <w:t>a</w:t>
      </w:r>
      <w:r>
        <w:t>nalysis helps stakeholders to understand the firm’s structure and policies and can also recommend solutions which help to attain business goals.</w:t>
      </w:r>
      <w:r w:rsidRPr="00FF5B23">
        <w:t xml:space="preserve"> There are numerous analysis tools </w:t>
      </w:r>
      <w:r>
        <w:t>however the 3 which will we will focus on are SWOT, PESTLE and Porters 5 Forces.</w:t>
      </w:r>
    </w:p>
    <w:p w:rsidR="00874D8C" w:rsidRPr="00462C5A" w:rsidRDefault="00874D8C" w:rsidP="00462C5A">
      <w:pPr>
        <w:pStyle w:val="Subtitle"/>
        <w:rPr>
          <w:szCs w:val="36"/>
        </w:rPr>
      </w:pPr>
      <w:r w:rsidRPr="00462C5A">
        <w:t>SWOT Analysis</w:t>
      </w:r>
    </w:p>
    <w:p w:rsidR="00874D8C" w:rsidRPr="00B2741D" w:rsidRDefault="00B47E37" w:rsidP="00874D8C">
      <w:r>
        <w:t>This analysis aims to</w:t>
      </w:r>
      <w:r w:rsidR="00874D8C">
        <w:t xml:space="preserve"> identify the internal and external factors that are either supporti</w:t>
      </w:r>
      <w:r>
        <w:t xml:space="preserve">ve or unfavourable to the business objectives by categorising </w:t>
      </w:r>
      <w:r w:rsidR="00874D8C">
        <w:t xml:space="preserve">the strengths, weaknesses, opportunities and threats involved in the business. </w:t>
      </w:r>
      <w:r w:rsidR="00B2741D">
        <w:t xml:space="preserve"> </w:t>
      </w:r>
      <w:r w:rsidR="00B2741D">
        <w:rPr>
          <w:lang w:eastAsia="en-GB"/>
        </w:rPr>
        <w:t>Initially this is</w:t>
      </w:r>
      <w:r w:rsidR="00874D8C" w:rsidRPr="00161E52">
        <w:rPr>
          <w:lang w:eastAsia="en-GB"/>
        </w:rPr>
        <w:t xml:space="preserve"> a data capture exercise - the analysis follows later.</w:t>
      </w:r>
      <w:r w:rsidR="00874D8C">
        <w:rPr>
          <w:lang w:eastAsia="en-GB"/>
        </w:rPr>
        <w:t xml:space="preserve"> </w:t>
      </w:r>
      <w:r w:rsidR="00874D8C">
        <w:t>It can be enhanced when used with other analysis tools such as PESTLE etc. Figure 4 illustrates an example SWOT format along with general advice.</w:t>
      </w:r>
    </w:p>
    <w:p w:rsidR="00874D8C" w:rsidRDefault="00874D8C" w:rsidP="00874D8C">
      <w:pPr>
        <w:rPr>
          <w:rFonts w:ascii="&amp;quot" w:eastAsia="Times New Roman" w:hAnsi="&amp;quot"/>
          <w:lang w:eastAsia="en-GB"/>
        </w:rPr>
      </w:pPr>
      <w:r>
        <w:rPr>
          <w:rFonts w:ascii="&amp;quot" w:eastAsia="Times New Roman" w:hAnsi="&amp;quot"/>
          <w:noProof/>
          <w:lang w:eastAsia="en-GB"/>
        </w:rPr>
        <w:lastRenderedPageBreak/>
        <w:drawing>
          <wp:inline distT="0" distB="0" distL="0" distR="0">
            <wp:extent cx="5695950" cy="2420554"/>
            <wp:effectExtent l="19050" t="0" r="0" b="0"/>
            <wp:docPr id="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srcRect l="43854" t="35459" r="11212" b="24235"/>
                    <a:stretch>
                      <a:fillRect/>
                    </a:stretch>
                  </pic:blipFill>
                  <pic:spPr bwMode="auto">
                    <a:xfrm>
                      <a:off x="0" y="0"/>
                      <a:ext cx="5702995" cy="2423548"/>
                    </a:xfrm>
                    <a:prstGeom prst="rect">
                      <a:avLst/>
                    </a:prstGeom>
                    <a:noFill/>
                    <a:ln w="9525">
                      <a:noFill/>
                      <a:miter lim="800000"/>
                      <a:headEnd/>
                      <a:tailEnd/>
                    </a:ln>
                  </pic:spPr>
                </pic:pic>
              </a:graphicData>
            </a:graphic>
          </wp:inline>
        </w:drawing>
      </w:r>
    </w:p>
    <w:p w:rsidR="00874D8C" w:rsidRDefault="001D182D" w:rsidP="00874D8C">
      <w:pPr>
        <w:rPr>
          <w:i/>
          <w:lang w:eastAsia="en-GB"/>
        </w:rPr>
      </w:pPr>
      <w:r>
        <w:rPr>
          <w:i/>
          <w:lang w:eastAsia="en-GB"/>
        </w:rPr>
        <w:t>Figure 4 – Example SWOT a</w:t>
      </w:r>
      <w:r w:rsidR="00874D8C">
        <w:rPr>
          <w:i/>
          <w:lang w:eastAsia="en-GB"/>
        </w:rPr>
        <w:t>nalysis</w:t>
      </w:r>
      <w:r>
        <w:rPr>
          <w:i/>
          <w:lang w:eastAsia="en-GB"/>
        </w:rPr>
        <w:t xml:space="preserve"> structure</w:t>
      </w:r>
    </w:p>
    <w:p w:rsidR="00874D8C" w:rsidRPr="00170CD1" w:rsidRDefault="00874D8C" w:rsidP="00462C5A">
      <w:pPr>
        <w:pStyle w:val="Subtitle"/>
      </w:pPr>
      <w:r w:rsidRPr="00170CD1">
        <w:t>PESTLE Analysis</w:t>
      </w:r>
    </w:p>
    <w:p w:rsidR="00874D8C" w:rsidRPr="006A63A3" w:rsidRDefault="00874D8C" w:rsidP="00874D8C">
      <w:pPr>
        <w:rPr>
          <w:lang w:eastAsia="en-GB"/>
        </w:rPr>
      </w:pPr>
      <w:r>
        <w:t xml:space="preserve">Analyses the key factors that influence an organisation from the outside. </w:t>
      </w:r>
      <w:r w:rsidRPr="006A63A3">
        <w:rPr>
          <w:lang w:eastAsia="en-GB"/>
        </w:rPr>
        <w:t>A PESTLE analysis is an audit of six external influences on an organisation: </w:t>
      </w:r>
    </w:p>
    <w:p w:rsidR="00874D8C" w:rsidRDefault="00874D8C" w:rsidP="00874D8C">
      <w:r>
        <w:rPr>
          <w:noProof/>
          <w:lang w:eastAsia="en-GB"/>
        </w:rPr>
        <w:drawing>
          <wp:inline distT="0" distB="0" distL="0" distR="0">
            <wp:extent cx="4507259" cy="3105150"/>
            <wp:effectExtent l="19050" t="0" r="7591" b="0"/>
            <wp:docPr id="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srcRect l="27803" t="30612" r="27264" b="14286"/>
                    <a:stretch>
                      <a:fillRect/>
                    </a:stretch>
                  </pic:blipFill>
                  <pic:spPr bwMode="auto">
                    <a:xfrm>
                      <a:off x="0" y="0"/>
                      <a:ext cx="4508279" cy="3105853"/>
                    </a:xfrm>
                    <a:prstGeom prst="rect">
                      <a:avLst/>
                    </a:prstGeom>
                    <a:noFill/>
                    <a:ln w="9525">
                      <a:noFill/>
                      <a:miter lim="800000"/>
                      <a:headEnd/>
                      <a:tailEnd/>
                    </a:ln>
                  </pic:spPr>
                </pic:pic>
              </a:graphicData>
            </a:graphic>
          </wp:inline>
        </w:drawing>
      </w:r>
    </w:p>
    <w:p w:rsidR="00462C5A" w:rsidRPr="001D182D" w:rsidRDefault="001D182D" w:rsidP="001D182D">
      <w:pPr>
        <w:rPr>
          <w:i/>
        </w:rPr>
      </w:pPr>
      <w:r w:rsidRPr="001D182D">
        <w:rPr>
          <w:i/>
        </w:rPr>
        <w:t xml:space="preserve">Figure 5 – </w:t>
      </w:r>
      <w:r>
        <w:rPr>
          <w:i/>
        </w:rPr>
        <w:t xml:space="preserve">Example </w:t>
      </w:r>
      <w:r w:rsidRPr="001D182D">
        <w:rPr>
          <w:i/>
        </w:rPr>
        <w:t>PESTLE</w:t>
      </w:r>
      <w:r>
        <w:rPr>
          <w:i/>
        </w:rPr>
        <w:t xml:space="preserve"> analysis structure</w:t>
      </w:r>
      <w:r w:rsidRPr="001D182D">
        <w:rPr>
          <w:i/>
        </w:rPr>
        <w:t xml:space="preserve"> </w:t>
      </w:r>
    </w:p>
    <w:p w:rsidR="00874D8C" w:rsidRDefault="00874D8C" w:rsidP="00462C5A">
      <w:pPr>
        <w:pStyle w:val="Subtitle"/>
      </w:pPr>
      <w:r w:rsidRPr="005E7BE3">
        <w:t>PORTERS 5 FORCES</w:t>
      </w:r>
    </w:p>
    <w:p w:rsidR="00874D8C" w:rsidRDefault="00874D8C" w:rsidP="00874D8C">
      <w:pPr>
        <w:rPr>
          <w:szCs w:val="25"/>
        </w:rPr>
      </w:pPr>
      <w:r>
        <w:rPr>
          <w:szCs w:val="25"/>
        </w:rPr>
        <w:t>B</w:t>
      </w:r>
      <w:r w:rsidRPr="00441F7E">
        <w:rPr>
          <w:szCs w:val="25"/>
        </w:rPr>
        <w:t>reak</w:t>
      </w:r>
      <w:r>
        <w:rPr>
          <w:szCs w:val="25"/>
        </w:rPr>
        <w:t>s down</w:t>
      </w:r>
      <w:r w:rsidRPr="00441F7E">
        <w:rPr>
          <w:szCs w:val="25"/>
        </w:rPr>
        <w:t xml:space="preserve"> an organi</w:t>
      </w:r>
      <w:r>
        <w:rPr>
          <w:szCs w:val="25"/>
        </w:rPr>
        <w:t>s</w:t>
      </w:r>
      <w:r w:rsidRPr="00441F7E">
        <w:rPr>
          <w:szCs w:val="25"/>
        </w:rPr>
        <w:t xml:space="preserve">ation's activities into strategically relevant pieces, </w:t>
      </w:r>
      <w:r>
        <w:rPr>
          <w:szCs w:val="25"/>
        </w:rPr>
        <w:t>to illustrate</w:t>
      </w:r>
      <w:r w:rsidRPr="00441F7E">
        <w:rPr>
          <w:szCs w:val="25"/>
        </w:rPr>
        <w:t xml:space="preserve"> the cost drivers and sources of differentiation, and then make changes appropriately.</w:t>
      </w:r>
    </w:p>
    <w:p w:rsidR="00874D8C" w:rsidRDefault="00874D8C" w:rsidP="00874D8C">
      <w:r>
        <w:t>It works by looking at the strength of five important forces that affect competition:</w:t>
      </w:r>
    </w:p>
    <w:p w:rsidR="00874D8C" w:rsidRDefault="00874D8C" w:rsidP="00874D8C">
      <w:r>
        <w:t>Supplier Power: the ability of suppliers to drive up the prices of your inputs.</w:t>
      </w:r>
    </w:p>
    <w:p w:rsidR="00874D8C" w:rsidRDefault="00874D8C" w:rsidP="00874D8C">
      <w:r>
        <w:t>Buyer Power: the strength of your customers to drive down your prices.</w:t>
      </w:r>
    </w:p>
    <w:p w:rsidR="00874D8C" w:rsidRDefault="00874D8C" w:rsidP="00874D8C">
      <w:r>
        <w:t>Competitive Rivalry: the strength of competition in the industry.</w:t>
      </w:r>
    </w:p>
    <w:p w:rsidR="00874D8C" w:rsidRDefault="00874D8C" w:rsidP="00874D8C">
      <w:r>
        <w:t>The Threat of Substitution: the extent to which different products and services can be used in place of your own.</w:t>
      </w:r>
    </w:p>
    <w:p w:rsidR="00874D8C" w:rsidRDefault="00874D8C" w:rsidP="00874D8C">
      <w:r>
        <w:lastRenderedPageBreak/>
        <w:t>The Threat of New Entry: the ease with which new competitors can enter the market if they see that you are making good profits (and then drive your prices down).</w:t>
      </w:r>
    </w:p>
    <w:p w:rsidR="00874D8C" w:rsidRDefault="00874D8C" w:rsidP="00462C5A">
      <w:pPr>
        <w:rPr>
          <w:rFonts w:cs="Arial"/>
          <w:b/>
          <w:sz w:val="20"/>
          <w:szCs w:val="20"/>
          <w:highlight w:val="yellow"/>
        </w:rPr>
      </w:pPr>
      <w:r>
        <w:rPr>
          <w:rFonts w:cs="Arial"/>
          <w:b/>
          <w:noProof/>
          <w:sz w:val="20"/>
          <w:szCs w:val="20"/>
          <w:lang w:eastAsia="en-GB"/>
        </w:rPr>
        <w:drawing>
          <wp:inline distT="0" distB="0" distL="0" distR="0">
            <wp:extent cx="3848100" cy="3905250"/>
            <wp:effectExtent l="19050" t="0" r="0" b="0"/>
            <wp:docPr id="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cstate="print"/>
                    <a:srcRect l="32449" t="21733" r="34099" b="17751"/>
                    <a:stretch>
                      <a:fillRect/>
                    </a:stretch>
                  </pic:blipFill>
                  <pic:spPr bwMode="auto">
                    <a:xfrm>
                      <a:off x="0" y="0"/>
                      <a:ext cx="3848100" cy="3905250"/>
                    </a:xfrm>
                    <a:prstGeom prst="rect">
                      <a:avLst/>
                    </a:prstGeom>
                    <a:noFill/>
                    <a:ln w="9525">
                      <a:noFill/>
                      <a:miter lim="800000"/>
                      <a:headEnd/>
                      <a:tailEnd/>
                    </a:ln>
                  </pic:spPr>
                </pic:pic>
              </a:graphicData>
            </a:graphic>
          </wp:inline>
        </w:drawing>
      </w:r>
    </w:p>
    <w:p w:rsidR="001D182D" w:rsidRPr="001D182D" w:rsidRDefault="001D182D" w:rsidP="001D182D">
      <w:pPr>
        <w:rPr>
          <w:i/>
          <w:lang w:eastAsia="en-GB"/>
        </w:rPr>
      </w:pPr>
      <w:r w:rsidRPr="001D182D">
        <w:rPr>
          <w:i/>
          <w:lang w:eastAsia="en-GB"/>
        </w:rPr>
        <w:t xml:space="preserve">Figure 6 –Example Porters 5 Forces analysis </w:t>
      </w:r>
      <w:r>
        <w:rPr>
          <w:i/>
          <w:lang w:eastAsia="en-GB"/>
        </w:rPr>
        <w:t>structure</w:t>
      </w:r>
    </w:p>
    <w:p w:rsidR="00874D8C" w:rsidRPr="00B7418F" w:rsidRDefault="00874D8C" w:rsidP="00874D8C">
      <w:pPr>
        <w:pStyle w:val="Subtitle"/>
        <w:rPr>
          <w:lang w:eastAsia="en-GB"/>
        </w:rPr>
      </w:pPr>
      <w:r>
        <w:rPr>
          <w:lang w:eastAsia="en-GB"/>
        </w:rPr>
        <w:t>Comparison of models</w:t>
      </w:r>
    </w:p>
    <w:p w:rsidR="00874D8C" w:rsidRPr="002D78B0" w:rsidRDefault="00874D8C" w:rsidP="00874D8C">
      <w:pPr>
        <w:pStyle w:val="ListParagraph"/>
        <w:numPr>
          <w:ilvl w:val="0"/>
          <w:numId w:val="3"/>
        </w:numPr>
        <w:rPr>
          <w:rFonts w:asciiTheme="minorHAnsi" w:hAnsiTheme="minorHAnsi" w:cstheme="minorHAnsi"/>
          <w:sz w:val="26"/>
          <w:szCs w:val="26"/>
        </w:rPr>
      </w:pPr>
      <w:r w:rsidRPr="002D78B0">
        <w:rPr>
          <w:rFonts w:asciiTheme="minorHAnsi" w:hAnsiTheme="minorHAnsi" w:cstheme="minorHAnsi"/>
          <w:lang w:eastAsia="en-GB"/>
        </w:rPr>
        <w:t xml:space="preserve">SWOT and PESTLE as analysis tools are simple and flexible which can be used in a range of different scenarios and </w:t>
      </w:r>
      <w:r w:rsidRPr="002D78B0">
        <w:rPr>
          <w:rFonts w:asciiTheme="minorHAnsi" w:hAnsiTheme="minorHAnsi" w:cstheme="minorHAnsi"/>
        </w:rPr>
        <w:t xml:space="preserve">can be used broad fact-finding activities. </w:t>
      </w:r>
    </w:p>
    <w:p w:rsidR="00874D8C" w:rsidRPr="002D78B0" w:rsidRDefault="00874D8C" w:rsidP="00874D8C">
      <w:pPr>
        <w:pStyle w:val="ListParagraph"/>
        <w:numPr>
          <w:ilvl w:val="0"/>
          <w:numId w:val="3"/>
        </w:numPr>
        <w:rPr>
          <w:rFonts w:asciiTheme="minorHAnsi" w:hAnsiTheme="minorHAnsi" w:cstheme="minorHAnsi"/>
          <w:lang w:eastAsia="en-GB"/>
        </w:rPr>
      </w:pPr>
      <w:r w:rsidRPr="002D78B0">
        <w:rPr>
          <w:rFonts w:asciiTheme="minorHAnsi" w:hAnsiTheme="minorHAnsi" w:cstheme="minorHAnsi"/>
          <w:lang w:eastAsia="en-GB"/>
        </w:rPr>
        <w:t xml:space="preserve">Their simplicity however can potentially lead to problems as deciding what the strengths and weaknesses of an organisation are, as well as assessing the impact and probability of opportunities and threats, is far more complex than appears at first sight. </w:t>
      </w:r>
    </w:p>
    <w:p w:rsidR="00874D8C" w:rsidRPr="002D78B0" w:rsidRDefault="00874D8C" w:rsidP="00874D8C">
      <w:pPr>
        <w:pStyle w:val="ListParagraph"/>
        <w:numPr>
          <w:ilvl w:val="0"/>
          <w:numId w:val="3"/>
        </w:numPr>
        <w:rPr>
          <w:rFonts w:asciiTheme="minorHAnsi" w:hAnsiTheme="minorHAnsi" w:cstheme="minorHAnsi"/>
          <w:lang w:eastAsia="en-GB"/>
        </w:rPr>
      </w:pPr>
      <w:r w:rsidRPr="002D78B0">
        <w:rPr>
          <w:rFonts w:asciiTheme="minorHAnsi" w:hAnsiTheme="minorHAnsi" w:cstheme="minorHAnsi"/>
          <w:lang w:eastAsia="en-GB"/>
        </w:rPr>
        <w:t xml:space="preserve">Porters Five Forces in comparison is not as simple model as users would need to apply each of the five forces to specific situations. </w:t>
      </w:r>
    </w:p>
    <w:p w:rsidR="00874D8C" w:rsidRPr="002D78B0" w:rsidRDefault="00874D8C" w:rsidP="00874D8C">
      <w:pPr>
        <w:pStyle w:val="ListParagraph"/>
        <w:numPr>
          <w:ilvl w:val="0"/>
          <w:numId w:val="3"/>
        </w:numPr>
        <w:rPr>
          <w:rFonts w:asciiTheme="minorHAnsi" w:hAnsiTheme="minorHAnsi" w:cstheme="minorHAnsi"/>
          <w:lang w:eastAsia="en-GB"/>
        </w:rPr>
      </w:pPr>
      <w:r w:rsidRPr="002D78B0">
        <w:rPr>
          <w:rFonts w:asciiTheme="minorHAnsi" w:hAnsiTheme="minorHAnsi" w:cstheme="minorHAnsi"/>
          <w:lang w:eastAsia="en-GB"/>
        </w:rPr>
        <w:t>PESTLE and Porters Five Forces both require individuals with a knowledge base in their different fields to contribute. As an example in Porters Five Forces a business with operations in the UK would need to study Local, European and Worldwide laws regarding employment, business partnerships, competition, and taxation.</w:t>
      </w:r>
    </w:p>
    <w:p w:rsidR="00874D8C" w:rsidRPr="002D78B0" w:rsidRDefault="00874D8C" w:rsidP="00874D8C">
      <w:pPr>
        <w:pStyle w:val="ListParagraph"/>
        <w:numPr>
          <w:ilvl w:val="0"/>
          <w:numId w:val="3"/>
        </w:numPr>
        <w:rPr>
          <w:rFonts w:asciiTheme="minorHAnsi" w:hAnsiTheme="minorHAnsi" w:cstheme="minorHAnsi"/>
          <w:lang w:eastAsia="en-GB"/>
        </w:rPr>
      </w:pPr>
      <w:r w:rsidRPr="002D78B0">
        <w:rPr>
          <w:rFonts w:asciiTheme="minorHAnsi" w:hAnsiTheme="minorHAnsi" w:cstheme="minorHAnsi"/>
          <w:lang w:eastAsia="en-GB"/>
        </w:rPr>
        <w:t xml:space="preserve">Regular assessments for both SWOT and PESTLE are required due to the fast paced nature of the business world.  </w:t>
      </w:r>
    </w:p>
    <w:p w:rsidR="00874D8C" w:rsidRPr="002D78B0" w:rsidRDefault="00874D8C" w:rsidP="00874D8C">
      <w:pPr>
        <w:pStyle w:val="ListParagraph"/>
        <w:numPr>
          <w:ilvl w:val="0"/>
          <w:numId w:val="3"/>
        </w:numPr>
        <w:rPr>
          <w:rFonts w:asciiTheme="minorHAnsi" w:hAnsiTheme="minorHAnsi" w:cstheme="minorHAnsi"/>
          <w:lang w:eastAsia="en-GB"/>
        </w:rPr>
      </w:pPr>
      <w:r w:rsidRPr="002D78B0">
        <w:rPr>
          <w:rFonts w:asciiTheme="minorHAnsi" w:hAnsiTheme="minorHAnsi" w:cstheme="minorHAnsi"/>
        </w:rPr>
        <w:t xml:space="preserve">Both SWOT and PESTLE can be used to help develop business strategies by identifying threats and exploring opportunities accordingly. In addition to this </w:t>
      </w:r>
      <w:r w:rsidRPr="002D78B0">
        <w:rPr>
          <w:rFonts w:asciiTheme="minorHAnsi" w:hAnsiTheme="minorHAnsi" w:cstheme="minorHAnsi"/>
          <w:lang w:eastAsia="en-GB"/>
        </w:rPr>
        <w:t>Porter's Five Forces targets creating ways to take better advantage of a situation of strength, overcome a situation of weakness, and avoid making mistakes that would give the competition a competitive edge.</w:t>
      </w:r>
    </w:p>
    <w:p w:rsidR="00874D8C" w:rsidRPr="002D78B0" w:rsidRDefault="00874D8C" w:rsidP="00874D8C">
      <w:pPr>
        <w:pStyle w:val="ListParagraph"/>
        <w:numPr>
          <w:ilvl w:val="0"/>
          <w:numId w:val="3"/>
        </w:numPr>
        <w:rPr>
          <w:rFonts w:asciiTheme="minorHAnsi" w:hAnsiTheme="minorHAnsi" w:cstheme="minorHAnsi"/>
        </w:rPr>
      </w:pPr>
      <w:r w:rsidRPr="002D78B0">
        <w:rPr>
          <w:rFonts w:asciiTheme="minorHAnsi" w:hAnsiTheme="minorHAnsi" w:cstheme="minorHAnsi"/>
          <w:lang w:eastAsia="en-GB"/>
        </w:rPr>
        <w:t xml:space="preserve">Unlike the other tools SWOT can also be used to identify both internal and external factors however the others provide more detail </w:t>
      </w:r>
      <w:r w:rsidRPr="002D78B0">
        <w:rPr>
          <w:rFonts w:asciiTheme="minorHAnsi" w:hAnsiTheme="minorHAnsi" w:cstheme="minorHAnsi"/>
        </w:rPr>
        <w:t xml:space="preserve">and can facilitate an understanding of the wider business environment. </w:t>
      </w:r>
    </w:p>
    <w:p w:rsidR="00874D8C" w:rsidRPr="002D78B0" w:rsidRDefault="00874D8C" w:rsidP="00874D8C">
      <w:pPr>
        <w:pStyle w:val="ListParagraph"/>
        <w:numPr>
          <w:ilvl w:val="0"/>
          <w:numId w:val="3"/>
        </w:numPr>
        <w:rPr>
          <w:rFonts w:asciiTheme="minorHAnsi" w:hAnsiTheme="minorHAnsi" w:cstheme="minorHAnsi"/>
        </w:rPr>
      </w:pPr>
      <w:r w:rsidRPr="002D78B0">
        <w:rPr>
          <w:rFonts w:asciiTheme="minorHAnsi" w:hAnsiTheme="minorHAnsi" w:cstheme="minorHAnsi"/>
          <w:lang w:eastAsia="en-GB"/>
        </w:rPr>
        <w:t>Porter's Five Forces looks at where the power lies in a competitive situation. PESTLE, on the other hand, identifies how various macro environmental factors might affect an organisation and its competitive standing.</w:t>
      </w:r>
    </w:p>
    <w:p w:rsidR="00874D8C" w:rsidRPr="001D182D" w:rsidRDefault="00874D8C" w:rsidP="001D182D">
      <w:pPr>
        <w:rPr>
          <w:rFonts w:cs="Arial"/>
          <w:b/>
          <w:sz w:val="20"/>
          <w:szCs w:val="20"/>
        </w:rPr>
      </w:pPr>
    </w:p>
    <w:p w:rsidR="00B71B76" w:rsidRDefault="00223066" w:rsidP="00B71B76">
      <w:pPr>
        <w:pStyle w:val="Heading1"/>
        <w:rPr>
          <w:szCs w:val="20"/>
        </w:rPr>
      </w:pPr>
      <w:bookmarkStart w:id="3" w:name="_Toc504063948"/>
      <w:r>
        <w:rPr>
          <w:szCs w:val="20"/>
        </w:rPr>
        <w:lastRenderedPageBreak/>
        <w:t>Section 3</w:t>
      </w:r>
      <w:bookmarkEnd w:id="3"/>
    </w:p>
    <w:p w:rsidR="00101ADE" w:rsidRDefault="00101ADE" w:rsidP="00982F58"/>
    <w:p w:rsidR="00B71B76" w:rsidRDefault="00B71B76" w:rsidP="00982F58">
      <w:pPr>
        <w:rPr>
          <w:rFonts w:asciiTheme="minorHAnsi" w:hAnsiTheme="minorHAnsi" w:cstheme="minorHAnsi"/>
          <w:bCs/>
          <w:color w:val="222222"/>
        </w:rPr>
      </w:pPr>
      <w:r w:rsidRPr="00D97FF1">
        <w:t>The different forces which could potentially shape the HR agenda can be</w:t>
      </w:r>
      <w:r>
        <w:t xml:space="preserve"> both</w:t>
      </w:r>
      <w:r w:rsidRPr="00D97FF1">
        <w:t xml:space="preserve"> external (</w:t>
      </w:r>
      <w:r w:rsidRPr="00BD4A83">
        <w:rPr>
          <w:rFonts w:asciiTheme="minorHAnsi" w:hAnsiTheme="minorHAnsi" w:cstheme="minorHAnsi"/>
          <w:bCs/>
          <w:color w:val="222222"/>
        </w:rPr>
        <w:t>government regulations, economic conditions, technological advancements</w:t>
      </w:r>
      <w:r>
        <w:rPr>
          <w:rFonts w:asciiTheme="minorHAnsi" w:hAnsiTheme="minorHAnsi" w:cstheme="minorHAnsi"/>
          <w:bCs/>
          <w:color w:val="222222"/>
        </w:rPr>
        <w:t>) and</w:t>
      </w:r>
      <w:r w:rsidRPr="00D97FF1">
        <w:t xml:space="preserve"> internal (</w:t>
      </w:r>
      <w:r>
        <w:t>organisational structure, budget, skill levels, productivity).</w:t>
      </w:r>
    </w:p>
    <w:p w:rsidR="00B71B76" w:rsidRDefault="00B71B76" w:rsidP="00B71B76">
      <w:pPr>
        <w:pStyle w:val="Subtitle"/>
      </w:pPr>
      <w:r>
        <w:t>External Factors</w:t>
      </w:r>
    </w:p>
    <w:p w:rsidR="00B71B76" w:rsidRDefault="00B71B76" w:rsidP="00B71B76">
      <w:r>
        <w:t>External factors can be assessed using a model such as PESTLE as discussed earlier and are classed to be out of the business’ control. Many of the different areas are closely linked, however p</w:t>
      </w:r>
      <w:r w:rsidRPr="006A0C5D">
        <w:t>o</w:t>
      </w:r>
      <w:r>
        <w:t xml:space="preserve">litical factors, or government regulations perhaps have the biggest link to all the areas. </w:t>
      </w:r>
      <w:r w:rsidRPr="00BC4104">
        <w:t>Any changes to employment law e.g. recent changes to UK Visa &amp; Immigration (UKVI), results in HR departments needing to make potential policies and procedural changes in order to stay compliant. Processes such as the hiring, training and termination of staff are all examples which could have been affected by the changes to UKVI.</w:t>
      </w:r>
    </w:p>
    <w:p w:rsidR="00B71B76" w:rsidRDefault="00B71B76" w:rsidP="00B71B76">
      <w:r>
        <w:t>Economic conditions are another big external factor as it could affect a company’s budget, along with individuals for example when going through an economic downturn. As a result of the recent decision to leave the EU</w:t>
      </w:r>
      <w:r w:rsidR="000E11E7">
        <w:t>,</w:t>
      </w:r>
      <w:r>
        <w:t xml:space="preserve"> some companies within the Public sector have seen budgetary cuts which affect their ability to recruit staff. Businesses</w:t>
      </w:r>
      <w:r w:rsidR="000E11E7">
        <w:t xml:space="preserve"> that</w:t>
      </w:r>
      <w:r>
        <w:t xml:space="preserve"> includ</w:t>
      </w:r>
      <w:r w:rsidR="000E11E7">
        <w:t>e HR with their</w:t>
      </w:r>
      <w:r>
        <w:t xml:space="preserve"> economic planning</w:t>
      </w:r>
      <w:r w:rsidR="000E11E7">
        <w:t xml:space="preserve"> </w:t>
      </w:r>
      <w:r>
        <w:t>will improve the</w:t>
      </w:r>
      <w:r w:rsidR="000E11E7">
        <w:t>ir</w:t>
      </w:r>
      <w:r>
        <w:t xml:space="preserve"> percentages to make informed decisions going forward.</w:t>
      </w:r>
    </w:p>
    <w:p w:rsidR="00B71B76" w:rsidRDefault="00B71B76" w:rsidP="00B71B76">
      <w:r>
        <w:t>As mentioned earlier</w:t>
      </w:r>
      <w:r w:rsidR="000E11E7">
        <w:t>,</w:t>
      </w:r>
      <w:r>
        <w:t xml:space="preserve"> changes to GDPR </w:t>
      </w:r>
      <w:r w:rsidR="000E11E7">
        <w:t>has</w:t>
      </w:r>
      <w:r>
        <w:t xml:space="preserve"> force</w:t>
      </w:r>
      <w:r w:rsidR="000E11E7">
        <w:t>d</w:t>
      </w:r>
      <w:r>
        <w:t xml:space="preserve"> businesses to make changes so they are compliant</w:t>
      </w:r>
      <w:r w:rsidR="000E11E7">
        <w:t>.</w:t>
      </w:r>
      <w:r>
        <w:t xml:space="preserve"> </w:t>
      </w:r>
      <w:r w:rsidR="000E11E7">
        <w:t xml:space="preserve">This can have </w:t>
      </w:r>
      <w:r>
        <w:t>economical implications like the purchasing of new equipment, staff hiring</w:t>
      </w:r>
      <w:r w:rsidR="000E11E7">
        <w:t>,</w:t>
      </w:r>
      <w:r>
        <w:t xml:space="preserve"> and training. This also has Social responsibilities as it will affect EU and Non EU citizens, which could potentially result in businesses and HR departments needing to revise their equality and diversity policies and procedures. </w:t>
      </w:r>
    </w:p>
    <w:p w:rsidR="00B71B76" w:rsidRPr="002C210D" w:rsidRDefault="00B71B76" w:rsidP="00101ADE">
      <w:r w:rsidRPr="00101ADE">
        <w:t>Technological advancements as touched on previously are another key factor. The International Business Times (IBT) reported on the possible threat of cyberattacks growing with ABI Research’s Michela Menting commenting that the ‘tech industry, and cybersecurity notably, is experiencing a painful shortage of professionals’. She states ‘the UK’s labour pool will shrink considerably’ which ultimately could cause an economic downturn and possible redundancies as the ‘uncertainty may drive cybersecurity firms to relocate in other EU countries’. These factors will ultimately force businesses and their HR departments to plan accordingly</w:t>
      </w:r>
      <w:r w:rsidR="00101ADE" w:rsidRPr="00101ADE">
        <w:t xml:space="preserve"> (International Business Times UK, 2016)</w:t>
      </w:r>
      <w:r w:rsidRPr="00101ADE">
        <w:t>.</w:t>
      </w:r>
    </w:p>
    <w:p w:rsidR="00B71B76" w:rsidRDefault="00B71B76" w:rsidP="00B71B76">
      <w:pPr>
        <w:pStyle w:val="Subtitle"/>
      </w:pPr>
      <w:r w:rsidRPr="005A5628">
        <w:t>Internal</w:t>
      </w:r>
      <w:r>
        <w:t xml:space="preserve"> Factors</w:t>
      </w:r>
    </w:p>
    <w:p w:rsidR="00B71B76" w:rsidRDefault="00B428E6" w:rsidP="00B71B76">
      <w:r>
        <w:t>In addition to the ex</w:t>
      </w:r>
      <w:r w:rsidR="00B71B76">
        <w:t>ternal factors listed above,</w:t>
      </w:r>
      <w:r>
        <w:t xml:space="preserve"> internal</w:t>
      </w:r>
      <w:r w:rsidR="00B71B76">
        <w:t xml:space="preserve"> </w:t>
      </w:r>
      <w:r>
        <w:t>f</w:t>
      </w:r>
      <w:r w:rsidR="00B71B76">
        <w:t xml:space="preserve">actors </w:t>
      </w:r>
      <w:r>
        <w:t xml:space="preserve">which could impact on a business </w:t>
      </w:r>
      <w:r w:rsidR="00B71B76">
        <w:t>could include a company’s internal policies, scheduling and training, and aligning planning decisions with strategic goals in order to maintain staffing levels, and maximise productivity.</w:t>
      </w:r>
    </w:p>
    <w:p w:rsidR="00B71B76" w:rsidRPr="005A5628" w:rsidRDefault="00B71B76" w:rsidP="00B71B76">
      <w:r>
        <w:t xml:space="preserve">The organisational structure of a business can only be maximised through determining what optimum staffing levels are, therefore how a business staffs and manages their workers is a key internal factor. </w:t>
      </w:r>
      <w:r w:rsidRPr="005A5628">
        <w:t>A company’s mission summari</w:t>
      </w:r>
      <w:r>
        <w:t>s</w:t>
      </w:r>
      <w:r w:rsidRPr="005A5628">
        <w:t xml:space="preserve">es its purpose, values and vision. </w:t>
      </w:r>
      <w:r>
        <w:t xml:space="preserve">When recruiting staff HR and managers </w:t>
      </w:r>
      <w:r w:rsidRPr="005A5628">
        <w:t>interview and hire individuals who possess similar values</w:t>
      </w:r>
      <w:r>
        <w:t xml:space="preserve"> to the business</w:t>
      </w:r>
      <w:r w:rsidRPr="005A5628">
        <w:t xml:space="preserve">. </w:t>
      </w:r>
      <w:r>
        <w:t>A</w:t>
      </w:r>
      <w:r w:rsidRPr="005A5628">
        <w:t xml:space="preserve"> company that adopt</w:t>
      </w:r>
      <w:r>
        <w:t>s</w:t>
      </w:r>
      <w:r w:rsidRPr="005A5628">
        <w:t xml:space="preserve"> sustainable</w:t>
      </w:r>
      <w:r>
        <w:t xml:space="preserve"> practices to protect the environment for example </w:t>
      </w:r>
      <w:r w:rsidRPr="005A5628">
        <w:t>should seek individuals with similar interests.</w:t>
      </w:r>
    </w:p>
    <w:p w:rsidR="00B71B76" w:rsidRDefault="00B71B76" w:rsidP="00B71B76">
      <w:r>
        <w:t>H</w:t>
      </w:r>
      <w:r w:rsidRPr="005A5628">
        <w:t>ow employees interact with each other</w:t>
      </w:r>
      <w:r>
        <w:t xml:space="preserve"> is a strong indication of a company’s culture</w:t>
      </w:r>
      <w:r w:rsidRPr="005A5628">
        <w:t xml:space="preserve">. </w:t>
      </w:r>
      <w:r>
        <w:t>HR</w:t>
      </w:r>
      <w:r w:rsidRPr="005A5628">
        <w:t xml:space="preserve"> planning needs to take into account </w:t>
      </w:r>
      <w:r>
        <w:t>factors such as the organisations</w:t>
      </w:r>
      <w:r w:rsidRPr="005A5628">
        <w:t xml:space="preserve"> flexibility in terms of</w:t>
      </w:r>
      <w:r>
        <w:t xml:space="preserve"> working</w:t>
      </w:r>
      <w:r w:rsidRPr="005A5628">
        <w:t xml:space="preserve"> hours</w:t>
      </w:r>
      <w:r>
        <w:t xml:space="preserve"> and</w:t>
      </w:r>
      <w:r w:rsidRPr="005A5628">
        <w:t xml:space="preserve"> dress code</w:t>
      </w:r>
      <w:r>
        <w:t xml:space="preserve">, as well as ensuring adequate staffing levels to cover business needs, especially when operating 24 hours a day. A company with a positive culture is likely to have clear roles and job descriptions for its employees which include a dynamic performance review system. All of these factors increase the likelihood of achieving good productivity levels. </w:t>
      </w:r>
    </w:p>
    <w:p w:rsidR="00B71B76" w:rsidRDefault="00B71B76" w:rsidP="00B71B76">
      <w:r w:rsidRPr="005A5628">
        <w:t>HR planning must occur within the</w:t>
      </w:r>
      <w:r>
        <w:t xml:space="preserve"> organisations</w:t>
      </w:r>
      <w:r w:rsidRPr="005A5628">
        <w:t xml:space="preserve"> budget</w:t>
      </w:r>
      <w:r>
        <w:t>ary constraints.</w:t>
      </w:r>
      <w:r w:rsidRPr="005A5628">
        <w:t xml:space="preserve"> Seasonal demands for additional staff may impact hiring plans</w:t>
      </w:r>
      <w:r>
        <w:t xml:space="preserve"> therefore this must be considered</w:t>
      </w:r>
      <w:r w:rsidRPr="005A5628">
        <w:t>. The need for speciali</w:t>
      </w:r>
      <w:r>
        <w:t>s</w:t>
      </w:r>
      <w:r w:rsidRPr="005A5628">
        <w:t>ed skills may also impact planning</w:t>
      </w:r>
      <w:r>
        <w:t xml:space="preserve"> especially when organising</w:t>
      </w:r>
      <w:r w:rsidRPr="005A5628">
        <w:t xml:space="preserve"> training and development opportunities </w:t>
      </w:r>
      <w:r>
        <w:t>staff without disrupting productivity.</w:t>
      </w:r>
      <w:r w:rsidRPr="005A5628">
        <w:t xml:space="preserve"> </w:t>
      </w:r>
    </w:p>
    <w:p w:rsidR="00913555" w:rsidRPr="0002340E" w:rsidRDefault="00913555" w:rsidP="00913555">
      <w:pPr>
        <w:pStyle w:val="Heading1"/>
      </w:pPr>
      <w:bookmarkStart w:id="4" w:name="_Toc504063949"/>
      <w:r w:rsidRPr="0002340E">
        <w:lastRenderedPageBreak/>
        <w:t>S</w:t>
      </w:r>
      <w:r w:rsidR="00223066">
        <w:t>ection 4</w:t>
      </w:r>
      <w:bookmarkEnd w:id="4"/>
    </w:p>
    <w:p w:rsidR="00913555" w:rsidRDefault="00913555" w:rsidP="00913555">
      <w:pPr>
        <w:pStyle w:val="Subtitle"/>
      </w:pPr>
    </w:p>
    <w:p w:rsidR="00C65B9E" w:rsidRDefault="00913555" w:rsidP="00C65B9E">
      <w:r w:rsidRPr="00101ADE">
        <w:t>All businesses need to focus on the activities and actions that it will undertake to meet its long term aims and objectives. The importance of a well defined strategy is paramount as HR consultant Louise Allen confirms from this ‘organisations can aspire to</w:t>
      </w:r>
      <w:r w:rsidR="00FD7F40">
        <w:t xml:space="preserve"> be</w:t>
      </w:r>
      <w:r w:rsidRPr="00101ADE">
        <w:t xml:space="preserve"> market leaders’</w:t>
      </w:r>
      <w:r w:rsidR="00101ADE" w:rsidRPr="00101ADE">
        <w:t xml:space="preserve"> (Personnel Today, 2018)</w:t>
      </w:r>
      <w:r w:rsidRPr="00101ADE">
        <w:t xml:space="preserve">. </w:t>
      </w:r>
    </w:p>
    <w:p w:rsidR="001040C6" w:rsidRDefault="001040C6" w:rsidP="001040C6">
      <w:pPr>
        <w:pStyle w:val="Subtitle"/>
      </w:pPr>
      <w:r>
        <w:t>Strategy Formulisation</w:t>
      </w:r>
    </w:p>
    <w:p w:rsidR="00372A33" w:rsidRDefault="001040C6" w:rsidP="00372A33">
      <w:r>
        <w:t>There are many different approaches</w:t>
      </w:r>
      <w:r w:rsidR="00372A33">
        <w:t xml:space="preserve"> to formulating a business strategy</w:t>
      </w:r>
      <w:r>
        <w:t xml:space="preserve"> </w:t>
      </w:r>
      <w:r w:rsidR="00B428E6">
        <w:t>with</w:t>
      </w:r>
      <w:r w:rsidR="00372A33">
        <w:t xml:space="preserve"> Mintzberg (1994) </w:t>
      </w:r>
      <w:r w:rsidR="001D182D">
        <w:t>describing</w:t>
      </w:r>
      <w:r w:rsidR="00372A33">
        <w:t xml:space="preserve"> the </w:t>
      </w:r>
      <w:r w:rsidR="00372A33" w:rsidRPr="00372A33">
        <w:t xml:space="preserve">key variables </w:t>
      </w:r>
      <w:r w:rsidR="00372A33">
        <w:t>being</w:t>
      </w:r>
      <w:r w:rsidR="00372A33" w:rsidRPr="00372A33">
        <w:t xml:space="preserve"> the complexity of the organisation and its environment and the rate of change in that environment.</w:t>
      </w:r>
      <w:r w:rsidR="00372A33">
        <w:t xml:space="preserve"> Numerous models are available</w:t>
      </w:r>
      <w:r w:rsidR="00B428E6">
        <w:t>;</w:t>
      </w:r>
      <w:r w:rsidR="00372A33">
        <w:t xml:space="preserve"> David’s (</w:t>
      </w:r>
      <w:r w:rsidR="00372A33" w:rsidRPr="001040C6">
        <w:t>2013</w:t>
      </w:r>
      <w:r w:rsidR="00372A33">
        <w:t>) model identifies</w:t>
      </w:r>
      <w:r w:rsidR="00372A33" w:rsidRPr="001040C6">
        <w:t xml:space="preserve"> three stages in strategic management process – formulation, implementation and evaluation. </w:t>
      </w:r>
      <w:r w:rsidR="00372A33">
        <w:t>These stages t</w:t>
      </w:r>
      <w:r w:rsidR="00372A33" w:rsidRPr="001040C6">
        <w:t>ake place at corporate, divisional or strategic business unit and functional levels in large</w:t>
      </w:r>
      <w:r w:rsidR="00372A33">
        <w:t>r</w:t>
      </w:r>
      <w:r w:rsidR="00372A33" w:rsidRPr="001040C6">
        <w:t xml:space="preserve"> organisations.</w:t>
      </w:r>
    </w:p>
    <w:p w:rsidR="00913555" w:rsidRDefault="00913555" w:rsidP="00913555">
      <w:r>
        <w:t>A well-defined strategy will explain the size, structure and cost of the resources required to deliver it</w:t>
      </w:r>
      <w:r w:rsidR="00B13B55">
        <w:t>.</w:t>
      </w:r>
      <w:r w:rsidR="00372A33">
        <w:t xml:space="preserve"> </w:t>
      </w:r>
      <w:r>
        <w:t>Armstrong (2010) summarises the link between strategy, and the importance of HR when he stated that ‘A strategic and coherent approach to the management of an organisations most valued assets – the staff who individually and collectively contribute to the achievements of its objectives’.</w:t>
      </w:r>
    </w:p>
    <w:p w:rsidR="00913555" w:rsidRDefault="00913555" w:rsidP="00913555">
      <w:r>
        <w:t>HR</w:t>
      </w:r>
      <w:r w:rsidR="005F789F">
        <w:t>’s significance</w:t>
      </w:r>
      <w:r>
        <w:t xml:space="preserve"> </w:t>
      </w:r>
      <w:r w:rsidR="005F789F">
        <w:t>is supported by Allen who states t</w:t>
      </w:r>
      <w:r w:rsidR="00E77D49">
        <w:t>hat achieving business goals are</w:t>
      </w:r>
      <w:r w:rsidR="00D008A3">
        <w:t xml:space="preserve"> only possible if a company has the organisational capacity to deliver them, requiring ‘the best human resource available to deliver those pro</w:t>
      </w:r>
      <w:r w:rsidR="00B428E6">
        <w:t xml:space="preserve">ducts or </w:t>
      </w:r>
      <w:r w:rsidR="00E77D49">
        <w:t>services’ (Personnel Today, 2018).</w:t>
      </w:r>
      <w:r w:rsidR="005F789F">
        <w:t xml:space="preserve"> </w:t>
      </w:r>
      <w:r>
        <w:t xml:space="preserve">Examples </w:t>
      </w:r>
      <w:r w:rsidR="005F789F">
        <w:t>can include</w:t>
      </w:r>
      <w:r>
        <w:t xml:space="preserve"> the quality of the workforce, its motivation and ability to deliver organisation performance. Determining the key HR interventions forms the basis of a HR strategy which is the next step in the process.</w:t>
      </w:r>
    </w:p>
    <w:p w:rsidR="001040C6" w:rsidRDefault="001040C6" w:rsidP="001040C6">
      <w:pPr>
        <w:pStyle w:val="Subtitle"/>
      </w:pPr>
      <w:r>
        <w:t>Developing a HR Strategy</w:t>
      </w:r>
    </w:p>
    <w:p w:rsidR="005F789F" w:rsidRDefault="005F789F" w:rsidP="005F789F">
      <w:r>
        <w:t>There are many different models which organisations can utilise to organise human resources functions. Ulrich’s model (Figure 7) is a popular choice amongst many and ‘has become fundamental to the way many organisations structure HR, especially in large-scale businesses (CIPD, 2018). His model compartmentalises HR functions into four segments:</w:t>
      </w:r>
    </w:p>
    <w:p w:rsidR="00913555" w:rsidRDefault="00913555" w:rsidP="00913555">
      <w:pPr>
        <w:pStyle w:val="NormalWeb"/>
        <w:rPr>
          <w:rFonts w:ascii="&amp;quot" w:hAnsi="&amp;quot"/>
          <w:color w:val="666666"/>
        </w:rPr>
      </w:pPr>
      <w:r>
        <w:rPr>
          <w:rFonts w:ascii="&amp;quot" w:hAnsi="&amp;quot"/>
          <w:noProof/>
          <w:color w:val="666666"/>
        </w:rPr>
        <w:drawing>
          <wp:inline distT="0" distB="0" distL="0" distR="0">
            <wp:extent cx="3819525" cy="2867637"/>
            <wp:effectExtent l="19050" t="0" r="9525" b="0"/>
            <wp:docPr id="5" name="Picture 4" descr="strategic-human-resource-management-18-6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trategic-human-resource-management-18-638.jpg"/>
                    <pic:cNvPicPr>
                      <a:picLocks noChangeAspect="1" noChangeArrowheads="1"/>
                    </pic:cNvPicPr>
                  </pic:nvPicPr>
                  <pic:blipFill>
                    <a:blip r:embed="rId15" cstate="print"/>
                    <a:srcRect/>
                    <a:stretch>
                      <a:fillRect/>
                    </a:stretch>
                  </pic:blipFill>
                  <pic:spPr bwMode="auto">
                    <a:xfrm>
                      <a:off x="0" y="0"/>
                      <a:ext cx="3819525" cy="2867637"/>
                    </a:xfrm>
                    <a:prstGeom prst="rect">
                      <a:avLst/>
                    </a:prstGeom>
                    <a:noFill/>
                    <a:ln w="9525">
                      <a:noFill/>
                      <a:miter lim="800000"/>
                      <a:headEnd/>
                      <a:tailEnd/>
                    </a:ln>
                  </pic:spPr>
                </pic:pic>
              </a:graphicData>
            </a:graphic>
          </wp:inline>
        </w:drawing>
      </w:r>
    </w:p>
    <w:p w:rsidR="00101ADE" w:rsidRPr="00101ADE" w:rsidRDefault="00101ADE" w:rsidP="00913555">
      <w:pPr>
        <w:rPr>
          <w:i/>
        </w:rPr>
      </w:pPr>
      <w:r>
        <w:rPr>
          <w:i/>
        </w:rPr>
        <w:t>Figure 7 – Ulrich’s Model of HR Roles</w:t>
      </w:r>
    </w:p>
    <w:p w:rsidR="005F789F" w:rsidRPr="00944920" w:rsidRDefault="005F789F" w:rsidP="005F789F">
      <w:pPr>
        <w:rPr>
          <w:rFonts w:asciiTheme="minorHAnsi" w:hAnsiTheme="minorHAnsi" w:cstheme="minorHAnsi"/>
          <w:bCs/>
        </w:rPr>
      </w:pPr>
      <w:r w:rsidRPr="00944920">
        <w:rPr>
          <w:rFonts w:asciiTheme="minorHAnsi" w:hAnsiTheme="minorHAnsi" w:cstheme="minorHAnsi"/>
        </w:rPr>
        <w:t xml:space="preserve">Developing a HR strategy requires individuals who have a good knowledge and understanding of the business goals so they can identify potential threats and opportunities, and also align major HR interventions and their relevance to business performance. </w:t>
      </w:r>
      <w:r>
        <w:rPr>
          <w:rFonts w:asciiTheme="minorHAnsi" w:hAnsiTheme="minorHAnsi" w:cstheme="minorHAnsi"/>
        </w:rPr>
        <w:t>A</w:t>
      </w:r>
      <w:r>
        <w:rPr>
          <w:rFonts w:asciiTheme="minorHAnsi" w:hAnsiTheme="minorHAnsi" w:cstheme="minorHAnsi"/>
          <w:bCs/>
        </w:rPr>
        <w:t xml:space="preserve"> ‘</w:t>
      </w:r>
      <w:r w:rsidRPr="00944920">
        <w:rPr>
          <w:rFonts w:asciiTheme="minorHAnsi" w:hAnsiTheme="minorHAnsi" w:cstheme="minorHAnsi"/>
          <w:bCs/>
        </w:rPr>
        <w:t>po</w:t>
      </w:r>
      <w:r>
        <w:rPr>
          <w:rFonts w:asciiTheme="minorHAnsi" w:hAnsiTheme="minorHAnsi" w:cstheme="minorHAnsi"/>
          <w:bCs/>
        </w:rPr>
        <w:t>pular approach to organising HR’ accor</w:t>
      </w:r>
      <w:r w:rsidR="00BF4955">
        <w:rPr>
          <w:rFonts w:asciiTheme="minorHAnsi" w:hAnsiTheme="minorHAnsi" w:cstheme="minorHAnsi"/>
          <w:bCs/>
        </w:rPr>
        <w:t xml:space="preserve">ding to CIPD (2018) </w:t>
      </w:r>
      <w:r>
        <w:rPr>
          <w:rFonts w:asciiTheme="minorHAnsi" w:hAnsiTheme="minorHAnsi" w:cstheme="minorHAnsi"/>
          <w:bCs/>
        </w:rPr>
        <w:t>with many organisations has been the utilisation of</w:t>
      </w:r>
      <w:r w:rsidRPr="00944920">
        <w:rPr>
          <w:rFonts w:asciiTheme="minorHAnsi" w:hAnsiTheme="minorHAnsi" w:cstheme="minorHAnsi"/>
        </w:rPr>
        <w:t xml:space="preserve"> HR Business Partners </w:t>
      </w:r>
      <w:r>
        <w:rPr>
          <w:rFonts w:cstheme="minorHAnsi"/>
        </w:rPr>
        <w:t>(HRBP)</w:t>
      </w:r>
      <w:r w:rsidR="00BF4955">
        <w:rPr>
          <w:rFonts w:asciiTheme="minorHAnsi" w:hAnsiTheme="minorHAnsi" w:cstheme="minorHAnsi"/>
          <w:bCs/>
        </w:rPr>
        <w:t>.</w:t>
      </w:r>
      <w:r w:rsidRPr="00944920">
        <w:rPr>
          <w:rFonts w:asciiTheme="minorHAnsi" w:hAnsiTheme="minorHAnsi" w:cstheme="minorHAnsi"/>
          <w:bCs/>
        </w:rPr>
        <w:t xml:space="preserve"> </w:t>
      </w:r>
    </w:p>
    <w:p w:rsidR="00913555" w:rsidRDefault="00913555" w:rsidP="00913555">
      <w:pPr>
        <w:rPr>
          <w:rFonts w:ascii="&amp;quot" w:hAnsi="&amp;quot"/>
          <w:b/>
          <w:bCs/>
          <w:color w:val="58595B"/>
        </w:rPr>
      </w:pPr>
      <w:r>
        <w:lastRenderedPageBreak/>
        <w:t xml:space="preserve">HRBP’s (strategic partners) ‘work closely with business leaders and management teams to help build organisational and people capabilities’. Their ethical contribution to the business is by </w:t>
      </w:r>
      <w:r w:rsidRPr="007C2C88">
        <w:rPr>
          <w:rFonts w:cstheme="minorHAnsi"/>
        </w:rPr>
        <w:t>appreciating employee needs, enabling them to flourish which in turn satisfies business accountability. This requires good pe</w:t>
      </w:r>
      <w:r w:rsidR="00BF4955">
        <w:rPr>
          <w:rFonts w:cstheme="minorHAnsi"/>
        </w:rPr>
        <w:t xml:space="preserve">ople skills </w:t>
      </w:r>
      <w:r w:rsidRPr="007C2C88">
        <w:rPr>
          <w:rFonts w:cstheme="minorHAnsi"/>
        </w:rPr>
        <w:t>as HRBP</w:t>
      </w:r>
      <w:r w:rsidR="00BF4955">
        <w:rPr>
          <w:rFonts w:cstheme="minorHAnsi"/>
        </w:rPr>
        <w:t>’s</w:t>
      </w:r>
      <w:r w:rsidRPr="007C2C88">
        <w:rPr>
          <w:rFonts w:cstheme="minorHAnsi"/>
        </w:rPr>
        <w:t xml:space="preserve"> ‘develop meaningful relationships with key people and teams across the organisation</w:t>
      </w:r>
      <w:r w:rsidR="00BF4955">
        <w:rPr>
          <w:rFonts w:cstheme="minorHAnsi"/>
        </w:rPr>
        <w:t>’ (CIPD, 2018)</w:t>
      </w:r>
      <w:r w:rsidRPr="007C2C88">
        <w:rPr>
          <w:rFonts w:cstheme="minorHAnsi"/>
        </w:rPr>
        <w:t>.</w:t>
      </w:r>
    </w:p>
    <w:p w:rsidR="00913555" w:rsidRDefault="00913555" w:rsidP="00913555">
      <w:pPr>
        <w:pStyle w:val="Subtitle"/>
      </w:pPr>
      <w:r>
        <w:t>Strategy Implementation</w:t>
      </w:r>
    </w:p>
    <w:p w:rsidR="00913555" w:rsidRDefault="00BF4955" w:rsidP="00913555">
      <w:r>
        <w:t>Implementing a strategy requires setting</w:t>
      </w:r>
      <w:r w:rsidR="00913555">
        <w:t xml:space="preserve"> </w:t>
      </w:r>
      <w:r>
        <w:t>d</w:t>
      </w:r>
      <w:r w:rsidR="00913555">
        <w:t>epartmental and individual targets</w:t>
      </w:r>
      <w:r w:rsidR="006601C1">
        <w:t>.</w:t>
      </w:r>
      <w:r w:rsidR="00913555">
        <w:t xml:space="preserve"> </w:t>
      </w:r>
      <w:r w:rsidR="006601C1">
        <w:t>This provides a</w:t>
      </w:r>
      <w:r w:rsidR="00913555">
        <w:t xml:space="preserve"> rationale for all</w:t>
      </w:r>
      <w:r w:rsidR="00E77D49">
        <w:t xml:space="preserve"> other HR activity which Allen </w:t>
      </w:r>
      <w:r>
        <w:t>(</w:t>
      </w:r>
      <w:r w:rsidR="00913555">
        <w:t>2002</w:t>
      </w:r>
      <w:r>
        <w:t>)</w:t>
      </w:r>
      <w:r w:rsidR="00913555">
        <w:t xml:space="preserve"> declares is ‘the greatest opportunity to directly impact business success, enhancing HR’s reputation and contribution’</w:t>
      </w:r>
      <w:r w:rsidR="00E77D49">
        <w:t xml:space="preserve"> (Personnel Today, 2018)</w:t>
      </w:r>
      <w:r w:rsidR="00913555">
        <w:t>.</w:t>
      </w:r>
      <w:r w:rsidR="006601C1">
        <w:t xml:space="preserve"> Target setting requires</w:t>
      </w:r>
      <w:r w:rsidR="00913555">
        <w:t xml:space="preserve"> </w:t>
      </w:r>
      <w:r w:rsidR="006601C1">
        <w:t xml:space="preserve">a </w:t>
      </w:r>
      <w:r w:rsidR="00913555">
        <w:t>performance management process</w:t>
      </w:r>
      <w:r w:rsidR="006601C1">
        <w:t xml:space="preserve"> which HR can aid in by providing guidance to managers on the process and developing the manager’s own skill sets.</w:t>
      </w:r>
    </w:p>
    <w:p w:rsidR="00913555" w:rsidRDefault="00913555" w:rsidP="00913555">
      <w:r>
        <w:t>‘Change Agents’ communicate to employees to make HR plans achievable and understandable. They can aid with training sessions and help employees gain new skills, update job descriptions, collect feedback, and generally communicate to staff and support the business with changes.</w:t>
      </w:r>
    </w:p>
    <w:p w:rsidR="00913555" w:rsidRDefault="00913555" w:rsidP="00913555">
      <w:r>
        <w:t xml:space="preserve">If weaknesses (knowledge or skill gaps) </w:t>
      </w:r>
      <w:r w:rsidR="006601C1">
        <w:t>cannot be rectified internally</w:t>
      </w:r>
      <w:r>
        <w:t xml:space="preserve"> then strategic resourcing may be required. HR traditionally has a strong involvement here, whether it has been aiding in the processes such as determining resourcing needs, attracting the right people, and/or the assessment and selection process. </w:t>
      </w:r>
      <w:r w:rsidR="00BC315F">
        <w:t xml:space="preserve">‘Change Agents’ and ‘Administrative Experts’ can aid departments in process-orientated activities such as </w:t>
      </w:r>
      <w:r>
        <w:t xml:space="preserve">investigating workplace issues, publishing and revising workplace policies, or </w:t>
      </w:r>
      <w:r w:rsidR="00BC315F">
        <w:t xml:space="preserve">the </w:t>
      </w:r>
      <w:r>
        <w:t>recruitment</w:t>
      </w:r>
      <w:r w:rsidR="00BC315F">
        <w:t xml:space="preserve"> and trai</w:t>
      </w:r>
      <w:r w:rsidR="003E00A2">
        <w:t>n</w:t>
      </w:r>
      <w:r w:rsidR="00BC315F">
        <w:t>ing</w:t>
      </w:r>
      <w:r>
        <w:t xml:space="preserve"> of </w:t>
      </w:r>
      <w:r w:rsidR="003E00A2">
        <w:t>staff</w:t>
      </w:r>
      <w:r>
        <w:t xml:space="preserve">. </w:t>
      </w:r>
    </w:p>
    <w:p w:rsidR="00913555" w:rsidRDefault="003E00A2" w:rsidP="00913555">
      <w:r>
        <w:t xml:space="preserve"> </w:t>
      </w:r>
      <w:r w:rsidR="00913555">
        <w:t>‘Employee advocates’ is a core HR role which represents employees, leading initiatives to improve staff experience and ensuring strategic initiatives are well balanced. They can be involved in grievance and compliance procedures for example ensuring fair treatment from managers which all contribute to the businesses ethics and accountability.</w:t>
      </w:r>
    </w:p>
    <w:p w:rsidR="00A5237D" w:rsidRDefault="00913555" w:rsidP="00062963">
      <w:r>
        <w:t>HR must balance the needs of many different stakeholders</w:t>
      </w:r>
      <w:r w:rsidR="00062963">
        <w:t xml:space="preserve"> </w:t>
      </w:r>
      <w:r w:rsidR="00A5237D">
        <w:t>which is</w:t>
      </w:r>
      <w:r>
        <w:t xml:space="preserve"> summarised by the CIPD (201</w:t>
      </w:r>
      <w:r w:rsidR="001D182D">
        <w:t>8</w:t>
      </w:r>
      <w:r>
        <w:t>) as short term they must ‘meet the short-term financial goals of the business, and long term ‘maintain a perspective on overall organisational health, people and performance’.</w:t>
      </w:r>
      <w:r w:rsidR="00062963">
        <w:t xml:space="preserve"> </w:t>
      </w:r>
    </w:p>
    <w:p w:rsidR="0058505D" w:rsidRDefault="00062963" w:rsidP="00AC6BBC">
      <w:r w:rsidRPr="00A5237D">
        <w:rPr>
          <w:rFonts w:asciiTheme="minorHAnsi" w:hAnsiTheme="minorHAnsi" w:cstheme="minorHAnsi"/>
        </w:rPr>
        <w:t xml:space="preserve">David Russell (HR director at bookmaker William Hill) </w:t>
      </w:r>
      <w:r w:rsidR="00A5237D" w:rsidRPr="00A5237D">
        <w:rPr>
          <w:rFonts w:asciiTheme="minorHAnsi" w:hAnsiTheme="minorHAnsi" w:cstheme="minorHAnsi"/>
        </w:rPr>
        <w:t>summarises HR’s key role throughout this process concluding that ‘</w:t>
      </w:r>
      <w:r w:rsidRPr="00A5237D">
        <w:rPr>
          <w:rFonts w:asciiTheme="minorHAnsi" w:hAnsiTheme="minorHAnsi" w:cstheme="minorHAnsi"/>
        </w:rPr>
        <w:t>HR's strategic role comes from being a key part of the executive team and being a supporter in the implementation of</w:t>
      </w:r>
      <w:r w:rsidR="00A5237D" w:rsidRPr="00A5237D">
        <w:rPr>
          <w:rFonts w:asciiTheme="minorHAnsi" w:hAnsiTheme="minorHAnsi" w:cstheme="minorHAnsi"/>
        </w:rPr>
        <w:t xml:space="preserve"> the business's strategic plan’ </w:t>
      </w:r>
      <w:r w:rsidR="00A5237D" w:rsidRPr="00A5237D">
        <w:rPr>
          <w:rFonts w:asciiTheme="minorHAnsi" w:hAnsiTheme="minorHAnsi" w:cstheme="minorHAnsi"/>
          <w:color w:val="111118"/>
        </w:rPr>
        <w:t>(</w:t>
      </w:r>
      <w:r w:rsidR="00354ABB">
        <w:rPr>
          <w:rFonts w:asciiTheme="minorHAnsi" w:hAnsiTheme="minorHAnsi" w:cstheme="minorHAnsi"/>
          <w:color w:val="111118"/>
        </w:rPr>
        <w:t>Persaud</w:t>
      </w:r>
      <w:r w:rsidR="00A5237D" w:rsidRPr="00A5237D">
        <w:rPr>
          <w:rFonts w:asciiTheme="minorHAnsi" w:hAnsiTheme="minorHAnsi" w:cstheme="minorHAnsi"/>
          <w:color w:val="111118"/>
        </w:rPr>
        <w:t>, 2013)</w:t>
      </w:r>
      <w:r w:rsidR="00AC6BBC">
        <w:rPr>
          <w:rFonts w:asciiTheme="minorHAnsi" w:hAnsiTheme="minorHAnsi" w:cstheme="minorHAnsi"/>
          <w:color w:val="111118"/>
        </w:rPr>
        <w:t>.</w:t>
      </w:r>
    </w:p>
    <w:p w:rsidR="00A5237D" w:rsidRPr="0002340E" w:rsidRDefault="00223066" w:rsidP="00A5237D">
      <w:pPr>
        <w:pStyle w:val="Heading1"/>
      </w:pPr>
      <w:bookmarkStart w:id="5" w:name="_Toc504063950"/>
      <w:r>
        <w:t>Section 5</w:t>
      </w:r>
      <w:bookmarkEnd w:id="5"/>
    </w:p>
    <w:p w:rsidR="00B12399" w:rsidRDefault="00B12399" w:rsidP="00A5237D"/>
    <w:p w:rsidR="00A5237D" w:rsidRDefault="00A5237D" w:rsidP="00A5237D">
      <w:r>
        <w:t xml:space="preserve">Judging whether a business is successful can be judged on a number of different factors. Key performance indicators (KPI’s) are an important way to keep track of these factors and judge their progress. </w:t>
      </w:r>
      <w:r w:rsidRPr="00910FDB">
        <w:rPr>
          <w:rStyle w:val="Strong"/>
          <w:rFonts w:asciiTheme="minorHAnsi" w:hAnsiTheme="minorHAnsi" w:cstheme="minorHAnsi"/>
          <w:b w:val="0"/>
        </w:rPr>
        <w:t>KPI’s help</w:t>
      </w:r>
      <w:r w:rsidRPr="00E53A1A">
        <w:rPr>
          <w:rStyle w:val="Strong"/>
          <w:rFonts w:asciiTheme="minorHAnsi" w:hAnsiTheme="minorHAnsi" w:cstheme="minorHAnsi"/>
        </w:rPr>
        <w:t xml:space="preserve"> </w:t>
      </w:r>
      <w:r>
        <w:rPr>
          <w:rStyle w:val="Strong"/>
          <w:rFonts w:asciiTheme="minorHAnsi" w:hAnsiTheme="minorHAnsi" w:cstheme="minorHAnsi"/>
          <w:b w:val="0"/>
        </w:rPr>
        <w:t>businesses</w:t>
      </w:r>
      <w:r w:rsidRPr="00E53A1A">
        <w:rPr>
          <w:rStyle w:val="Strong"/>
          <w:rFonts w:asciiTheme="minorHAnsi" w:hAnsiTheme="minorHAnsi" w:cstheme="minorHAnsi"/>
        </w:rPr>
        <w:t xml:space="preserve"> </w:t>
      </w:r>
      <w:r w:rsidRPr="00910FDB">
        <w:rPr>
          <w:rStyle w:val="Strong"/>
          <w:rFonts w:asciiTheme="minorHAnsi" w:hAnsiTheme="minorHAnsi" w:cstheme="minorHAnsi"/>
          <w:b w:val="0"/>
        </w:rPr>
        <w:t>understand how</w:t>
      </w:r>
      <w:r w:rsidRPr="00E53A1A">
        <w:rPr>
          <w:rStyle w:val="Strong"/>
          <w:rFonts w:asciiTheme="minorHAnsi" w:hAnsiTheme="minorHAnsi" w:cstheme="minorHAnsi"/>
        </w:rPr>
        <w:t xml:space="preserve"> </w:t>
      </w:r>
      <w:r>
        <w:rPr>
          <w:rStyle w:val="Strong"/>
          <w:rFonts w:asciiTheme="minorHAnsi" w:hAnsiTheme="minorHAnsi" w:cstheme="minorHAnsi"/>
          <w:b w:val="0"/>
        </w:rPr>
        <w:t xml:space="preserve">well they are performing by </w:t>
      </w:r>
      <w:r>
        <w:t>identifying their most important metrics, and provide a standardised way of determining whether or not they are meeting their goals, targets and objectives.</w:t>
      </w:r>
    </w:p>
    <w:p w:rsidR="00A5237D" w:rsidRPr="00885807" w:rsidRDefault="00A5237D" w:rsidP="00A5237D">
      <w:pPr>
        <w:rPr>
          <w:rFonts w:asciiTheme="minorHAnsi" w:hAnsiTheme="minorHAnsi" w:cstheme="minorHAnsi"/>
        </w:rPr>
      </w:pPr>
      <w:r>
        <w:rPr>
          <w:rFonts w:asciiTheme="minorHAnsi" w:hAnsiTheme="minorHAnsi" w:cstheme="minorHAnsi"/>
        </w:rPr>
        <w:t>With so many</w:t>
      </w:r>
      <w:r w:rsidRPr="006B2C55">
        <w:rPr>
          <w:rFonts w:asciiTheme="minorHAnsi" w:hAnsiTheme="minorHAnsi" w:cstheme="minorHAnsi"/>
        </w:rPr>
        <w:t xml:space="preserve"> KPI’s to choose from choosing the right ones are crucial</w:t>
      </w:r>
      <w:r>
        <w:rPr>
          <w:rFonts w:asciiTheme="minorHAnsi" w:hAnsiTheme="minorHAnsi" w:cstheme="minorHAnsi"/>
        </w:rPr>
        <w:t>, a point which Jackson (2017) also stresses ‘</w:t>
      </w:r>
      <w:r w:rsidRPr="00ED3C76">
        <w:rPr>
          <w:rFonts w:asciiTheme="minorHAnsi" w:hAnsiTheme="minorHAnsi" w:cstheme="minorHAnsi"/>
        </w:rPr>
        <w:t>KPIs should match your strategy, not just your industry</w:t>
      </w:r>
      <w:r>
        <w:rPr>
          <w:rFonts w:asciiTheme="minorHAnsi" w:hAnsiTheme="minorHAnsi" w:cstheme="minorHAnsi"/>
        </w:rPr>
        <w:t>’</w:t>
      </w:r>
      <w:r w:rsidRPr="00ED3C76">
        <w:rPr>
          <w:rFonts w:asciiTheme="minorHAnsi" w:hAnsiTheme="minorHAnsi" w:cstheme="minorHAnsi"/>
        </w:rPr>
        <w:t>.</w:t>
      </w:r>
      <w:r w:rsidRPr="006B2C55">
        <w:rPr>
          <w:rFonts w:asciiTheme="minorHAnsi" w:hAnsiTheme="minorHAnsi" w:cstheme="minorHAnsi"/>
        </w:rPr>
        <w:t xml:space="preserve"> </w:t>
      </w:r>
      <w:r>
        <w:t xml:space="preserve">Jackson continues to state that an </w:t>
      </w:r>
      <w:r w:rsidRPr="00E53A1A">
        <w:t>effective KPI must:</w:t>
      </w:r>
    </w:p>
    <w:p w:rsidR="00A5237D" w:rsidRPr="00752761" w:rsidRDefault="00A5237D" w:rsidP="00A5237D">
      <w:pPr>
        <w:pStyle w:val="ListParagraph"/>
        <w:numPr>
          <w:ilvl w:val="0"/>
          <w:numId w:val="7"/>
        </w:numPr>
        <w:rPr>
          <w:rFonts w:asciiTheme="minorHAnsi" w:hAnsiTheme="minorHAnsi" w:cstheme="minorHAnsi"/>
        </w:rPr>
      </w:pPr>
      <w:r w:rsidRPr="00752761">
        <w:rPr>
          <w:rFonts w:asciiTheme="minorHAnsi" w:hAnsiTheme="minorHAnsi" w:cstheme="minorHAnsi"/>
        </w:rPr>
        <w:t>Be well-defined and quantifiable.</w:t>
      </w:r>
    </w:p>
    <w:p w:rsidR="00A5237D" w:rsidRPr="00752761" w:rsidRDefault="00A5237D" w:rsidP="00A5237D">
      <w:pPr>
        <w:pStyle w:val="ListParagraph"/>
        <w:numPr>
          <w:ilvl w:val="0"/>
          <w:numId w:val="7"/>
        </w:numPr>
        <w:rPr>
          <w:rFonts w:asciiTheme="minorHAnsi" w:hAnsiTheme="minorHAnsi" w:cstheme="minorHAnsi"/>
        </w:rPr>
      </w:pPr>
      <w:r w:rsidRPr="00752761">
        <w:rPr>
          <w:rFonts w:asciiTheme="minorHAnsi" w:hAnsiTheme="minorHAnsi" w:cstheme="minorHAnsi"/>
        </w:rPr>
        <w:t>Be communicated throughout your organisation and department.</w:t>
      </w:r>
    </w:p>
    <w:p w:rsidR="00A5237D" w:rsidRPr="00752761" w:rsidRDefault="00A5237D" w:rsidP="00A5237D">
      <w:pPr>
        <w:pStyle w:val="ListParagraph"/>
        <w:numPr>
          <w:ilvl w:val="0"/>
          <w:numId w:val="7"/>
        </w:numPr>
        <w:rPr>
          <w:rFonts w:asciiTheme="minorHAnsi" w:hAnsiTheme="minorHAnsi" w:cstheme="minorHAnsi"/>
        </w:rPr>
      </w:pPr>
      <w:r w:rsidRPr="00752761">
        <w:rPr>
          <w:rFonts w:asciiTheme="minorHAnsi" w:hAnsiTheme="minorHAnsi" w:cstheme="minorHAnsi"/>
        </w:rPr>
        <w:t xml:space="preserve">Be crucial to achieving your goal. </w:t>
      </w:r>
    </w:p>
    <w:p w:rsidR="00A5237D" w:rsidRPr="00752761" w:rsidRDefault="00A5237D" w:rsidP="00A5237D">
      <w:pPr>
        <w:pStyle w:val="ListParagraph"/>
        <w:numPr>
          <w:ilvl w:val="0"/>
          <w:numId w:val="7"/>
        </w:numPr>
        <w:rPr>
          <w:rFonts w:asciiTheme="minorHAnsi" w:hAnsiTheme="minorHAnsi" w:cstheme="minorHAnsi"/>
        </w:rPr>
      </w:pPr>
      <w:r w:rsidRPr="00752761">
        <w:rPr>
          <w:rFonts w:asciiTheme="minorHAnsi" w:hAnsiTheme="minorHAnsi" w:cstheme="minorHAnsi"/>
        </w:rPr>
        <w:t>Be applicable to your Line of Business or department.</w:t>
      </w:r>
    </w:p>
    <w:p w:rsidR="00A5237D" w:rsidRDefault="00A5237D" w:rsidP="00A5237D"/>
    <w:p w:rsidR="00A5237D" w:rsidRDefault="00A5237D" w:rsidP="00A5237D">
      <w:pPr>
        <w:rPr>
          <w:rFonts w:asciiTheme="minorHAnsi" w:hAnsiTheme="minorHAnsi" w:cstheme="minorHAnsi"/>
        </w:rPr>
      </w:pPr>
      <w:r>
        <w:t xml:space="preserve">KPI’s should be regularly evaluated and recorded to ensure the data is relevant in order to monitor any changes or note any trends. </w:t>
      </w:r>
      <w:r>
        <w:rPr>
          <w:rFonts w:asciiTheme="minorHAnsi" w:hAnsiTheme="minorHAnsi" w:cstheme="minorHAnsi"/>
        </w:rPr>
        <w:t>Examples of some indicators which businesses could us to evaluate their performance include:</w:t>
      </w:r>
    </w:p>
    <w:p w:rsidR="00A5237D" w:rsidRDefault="00A5237D" w:rsidP="00A5237D">
      <w:pPr>
        <w:rPr>
          <w:rFonts w:asciiTheme="minorHAnsi" w:hAnsiTheme="minorHAnsi" w:cstheme="minorHAnsi"/>
        </w:rPr>
      </w:pPr>
    </w:p>
    <w:p w:rsidR="00A5237D" w:rsidRDefault="00A5237D" w:rsidP="00A5237D">
      <w:pPr>
        <w:rPr>
          <w:rFonts w:asciiTheme="minorHAnsi" w:hAnsiTheme="minorHAnsi" w:cstheme="minorHAnsi"/>
          <w:b/>
          <w:bCs/>
        </w:rPr>
      </w:pPr>
      <w:r w:rsidRPr="006B2C55">
        <w:rPr>
          <w:rFonts w:asciiTheme="minorHAnsi" w:hAnsiTheme="minorHAnsi" w:cstheme="minorHAnsi"/>
          <w:b/>
          <w:bCs/>
        </w:rPr>
        <w:lastRenderedPageBreak/>
        <w:t>Financial Metrics</w:t>
      </w:r>
    </w:p>
    <w:p w:rsidR="00A5237D" w:rsidRDefault="00A5237D" w:rsidP="00A5237D">
      <w:r>
        <w:t>The main indicators in this field are sales and profitability which is ultimately linked to an organisations profit margin. Achieving your target sales volumes in conjunction with how much of money is earned from those sales is a good indicator of overall performance. Another factor linked to profitability is the company’s performance in the marketplace i.e the bigger your market influence, the more likelihood there is to be profitable.</w:t>
      </w:r>
    </w:p>
    <w:p w:rsidR="00A5237D" w:rsidRPr="006B2C55" w:rsidRDefault="00A5237D" w:rsidP="00A5237D">
      <w:pPr>
        <w:rPr>
          <w:rFonts w:asciiTheme="minorHAnsi" w:hAnsiTheme="minorHAnsi" w:cstheme="minorHAnsi"/>
          <w:b/>
        </w:rPr>
      </w:pPr>
      <w:r w:rsidRPr="006B2C55">
        <w:rPr>
          <w:rFonts w:asciiTheme="minorHAnsi" w:hAnsiTheme="minorHAnsi" w:cstheme="minorHAnsi"/>
          <w:b/>
          <w:bCs/>
        </w:rPr>
        <w:t>Customer Metrics</w:t>
      </w:r>
    </w:p>
    <w:p w:rsidR="00A5237D" w:rsidRDefault="00A5237D" w:rsidP="00A5237D">
      <w:r>
        <w:t xml:space="preserve">Performance in customer satisfaction is a key factor in long-term success, in particular numbers of repeat orders and the rate of customer acquisition. Satisfied customers are likely to be retained which in turn can attract new ones. It’s also important that customer feedback is recorded as this can help to identify </w:t>
      </w:r>
      <w:r w:rsidRPr="00ED61E5">
        <w:t>what products and services customers are most/least satisfied with.</w:t>
      </w:r>
    </w:p>
    <w:p w:rsidR="00A5237D" w:rsidRPr="006B2C55" w:rsidRDefault="00A5237D" w:rsidP="00A5237D">
      <w:pPr>
        <w:rPr>
          <w:rFonts w:asciiTheme="minorHAnsi" w:hAnsiTheme="minorHAnsi" w:cstheme="minorHAnsi"/>
          <w:b/>
        </w:rPr>
      </w:pPr>
      <w:r w:rsidRPr="006B2C55">
        <w:rPr>
          <w:rFonts w:asciiTheme="minorHAnsi" w:hAnsiTheme="minorHAnsi" w:cstheme="minorHAnsi"/>
          <w:b/>
          <w:bCs/>
        </w:rPr>
        <w:t>Process Metrics</w:t>
      </w:r>
    </w:p>
    <w:p w:rsidR="00A5237D" w:rsidRDefault="00A5237D" w:rsidP="00A5237D">
      <w:r>
        <w:t>Quality products are often an indicator of superior company performance; the amount of returns and warranty claims received from customers being good a marker of this. These product indicators measure company performance on quality but also impact on profitability directly as high rates of returns and warranty claims cut into profitability.</w:t>
      </w:r>
    </w:p>
    <w:p w:rsidR="00A5237D" w:rsidRPr="006B2C55" w:rsidRDefault="00A5237D" w:rsidP="00A5237D">
      <w:pPr>
        <w:rPr>
          <w:rFonts w:asciiTheme="minorHAnsi" w:hAnsiTheme="minorHAnsi" w:cstheme="minorHAnsi"/>
          <w:b/>
        </w:rPr>
      </w:pPr>
      <w:r w:rsidRPr="006B2C55">
        <w:rPr>
          <w:rFonts w:asciiTheme="minorHAnsi" w:hAnsiTheme="minorHAnsi" w:cstheme="minorHAnsi"/>
          <w:b/>
          <w:bCs/>
        </w:rPr>
        <w:t>People Metrics</w:t>
      </w:r>
    </w:p>
    <w:p w:rsidR="00A5237D" w:rsidRDefault="00A5237D" w:rsidP="00A5237D">
      <w:r>
        <w:t>Two indicators of a company's performance are employee job satisfaction and training levels. Customer service levels are likely to be higher within companies who have a happy workforce. Employee job satisfaction can be measured by analysing any changes in the average length of service and training levels can be measured by the percentage of employees who received training each month. Another example could be the ratio of internal promotions against the amount of external persons hired.</w:t>
      </w:r>
    </w:p>
    <w:p w:rsidR="00A5237D" w:rsidRDefault="00A5237D" w:rsidP="00A5237D">
      <w:pPr>
        <w:pStyle w:val="Subtitle"/>
      </w:pPr>
      <w:r>
        <w:t>HR’s role in business planning and change management</w:t>
      </w:r>
    </w:p>
    <w:p w:rsidR="00A5237D" w:rsidRDefault="00A5237D" w:rsidP="00A5237D">
      <w:pPr>
        <w:rPr>
          <w:rFonts w:asciiTheme="minorHAnsi" w:hAnsiTheme="minorHAnsi" w:cstheme="minorHAnsi"/>
        </w:rPr>
      </w:pPr>
      <w:r w:rsidRPr="00124C33">
        <w:rPr>
          <w:rFonts w:asciiTheme="minorHAnsi" w:hAnsiTheme="minorHAnsi" w:cstheme="minorHAnsi"/>
        </w:rPr>
        <w:t xml:space="preserve">Many organisations have a range of different stakeholders </w:t>
      </w:r>
      <w:r w:rsidRPr="00124C33">
        <w:rPr>
          <w:rFonts w:asciiTheme="minorHAnsi" w:hAnsiTheme="minorHAnsi" w:cstheme="minorHAnsi"/>
          <w:color w:val="111118"/>
        </w:rPr>
        <w:t xml:space="preserve">including investors, staff, creditors and </w:t>
      </w:r>
      <w:r>
        <w:rPr>
          <w:rFonts w:asciiTheme="minorHAnsi" w:hAnsiTheme="minorHAnsi" w:cstheme="minorHAnsi"/>
          <w:color w:val="111118"/>
        </w:rPr>
        <w:t>customers. In an artic</w:t>
      </w:r>
      <w:r w:rsidR="003E00A2">
        <w:rPr>
          <w:rFonts w:asciiTheme="minorHAnsi" w:hAnsiTheme="minorHAnsi" w:cstheme="minorHAnsi"/>
          <w:color w:val="111118"/>
        </w:rPr>
        <w:t>le in HR magazine written by</w:t>
      </w:r>
      <w:r>
        <w:rPr>
          <w:rFonts w:asciiTheme="minorHAnsi" w:hAnsiTheme="minorHAnsi" w:cstheme="minorHAnsi"/>
          <w:color w:val="111118"/>
        </w:rPr>
        <w:t xml:space="preserve"> Persaud (2013)</w:t>
      </w:r>
      <w:r w:rsidR="003E00A2">
        <w:rPr>
          <w:rFonts w:asciiTheme="minorHAnsi" w:hAnsiTheme="minorHAnsi" w:cstheme="minorHAnsi"/>
          <w:color w:val="111118"/>
        </w:rPr>
        <w:t>,</w:t>
      </w:r>
      <w:r>
        <w:rPr>
          <w:rFonts w:asciiTheme="minorHAnsi" w:hAnsiTheme="minorHAnsi" w:cstheme="minorHAnsi"/>
          <w:color w:val="111118"/>
        </w:rPr>
        <w:t xml:space="preserve"> the key role of HR during business planning revolves around the topics of ‘where to </w:t>
      </w:r>
      <w:r>
        <w:rPr>
          <w:rFonts w:asciiTheme="minorHAnsi" w:hAnsiTheme="minorHAnsi" w:cstheme="minorHAnsi"/>
        </w:rPr>
        <w:t>invest in resources</w:t>
      </w:r>
      <w:r w:rsidRPr="00A15FA9">
        <w:rPr>
          <w:rFonts w:asciiTheme="minorHAnsi" w:hAnsiTheme="minorHAnsi" w:cstheme="minorHAnsi"/>
        </w:rPr>
        <w:t xml:space="preserve"> and top level talent</w:t>
      </w:r>
      <w:r>
        <w:rPr>
          <w:rFonts w:asciiTheme="minorHAnsi" w:hAnsiTheme="minorHAnsi" w:cstheme="minorHAnsi"/>
        </w:rPr>
        <w:t xml:space="preserve">’. </w:t>
      </w:r>
      <w:r>
        <w:rPr>
          <w:rFonts w:asciiTheme="minorHAnsi" w:hAnsiTheme="minorHAnsi" w:cstheme="minorHAnsi"/>
          <w:color w:val="111118"/>
        </w:rPr>
        <w:t xml:space="preserve">The value of combining business and HR </w:t>
      </w:r>
      <w:r>
        <w:rPr>
          <w:rFonts w:asciiTheme="minorHAnsi" w:hAnsiTheme="minorHAnsi" w:cstheme="minorHAnsi"/>
        </w:rPr>
        <w:t xml:space="preserve">is also supported </w:t>
      </w:r>
      <w:r w:rsidRPr="00246AB6">
        <w:rPr>
          <w:rFonts w:asciiTheme="minorHAnsi" w:hAnsiTheme="minorHAnsi" w:cstheme="minorHAnsi"/>
        </w:rPr>
        <w:t>by Penfold and Calleja (2013)</w:t>
      </w:r>
      <w:r>
        <w:rPr>
          <w:rFonts w:asciiTheme="minorHAnsi" w:hAnsiTheme="minorHAnsi" w:cstheme="minorHAnsi"/>
        </w:rPr>
        <w:t xml:space="preserve"> as they add that</w:t>
      </w:r>
      <w:r w:rsidRPr="00246AB6">
        <w:rPr>
          <w:rFonts w:asciiTheme="minorHAnsi" w:hAnsiTheme="minorHAnsi" w:cstheme="minorHAnsi"/>
        </w:rPr>
        <w:t xml:space="preserve"> </w:t>
      </w:r>
      <w:r>
        <w:rPr>
          <w:rFonts w:asciiTheme="minorHAnsi" w:hAnsiTheme="minorHAnsi" w:cstheme="minorHAnsi"/>
        </w:rPr>
        <w:t>“</w:t>
      </w:r>
      <w:r w:rsidRPr="00246AB6">
        <w:rPr>
          <w:rFonts w:asciiTheme="minorHAnsi" w:hAnsiTheme="minorHAnsi" w:cstheme="minorHAnsi"/>
        </w:rPr>
        <w:t>global business leaders’ list commercial acumen as the most valued competency for HR</w:t>
      </w:r>
      <w:r>
        <w:rPr>
          <w:rFonts w:asciiTheme="minorHAnsi" w:hAnsiTheme="minorHAnsi" w:cstheme="minorHAnsi"/>
        </w:rPr>
        <w:t>”</w:t>
      </w:r>
      <w:r w:rsidRPr="00246AB6">
        <w:rPr>
          <w:rFonts w:asciiTheme="minorHAnsi" w:hAnsiTheme="minorHAnsi" w:cstheme="minorHAnsi"/>
        </w:rPr>
        <w:t>.</w:t>
      </w:r>
    </w:p>
    <w:p w:rsidR="00A5237D" w:rsidRDefault="00A5237D" w:rsidP="00A5237D">
      <w:pPr>
        <w:rPr>
          <w:rFonts w:asciiTheme="minorHAnsi" w:hAnsiTheme="minorHAnsi" w:cstheme="minorHAnsi"/>
        </w:rPr>
      </w:pPr>
      <w:r w:rsidRPr="00202AF7">
        <w:rPr>
          <w:rFonts w:asciiTheme="minorHAnsi" w:hAnsiTheme="minorHAnsi" w:cstheme="minorHAnsi"/>
        </w:rPr>
        <w:t>HR’s key role combining business planning and stakeholder engagement</w:t>
      </w:r>
      <w:r>
        <w:rPr>
          <w:rFonts w:asciiTheme="minorHAnsi" w:hAnsiTheme="minorHAnsi" w:cstheme="minorHAnsi"/>
        </w:rPr>
        <w:t xml:space="preserve"> is</w:t>
      </w:r>
      <w:r w:rsidRPr="00202AF7">
        <w:rPr>
          <w:rFonts w:asciiTheme="minorHAnsi" w:hAnsiTheme="minorHAnsi" w:cstheme="minorHAnsi"/>
        </w:rPr>
        <w:t xml:space="preserve"> </w:t>
      </w:r>
      <w:r>
        <w:rPr>
          <w:rFonts w:asciiTheme="minorHAnsi" w:hAnsiTheme="minorHAnsi" w:cstheme="minorHAnsi"/>
        </w:rPr>
        <w:t>highlighted by Geoff Lloyd (G</w:t>
      </w:r>
      <w:r w:rsidRPr="00202AF7">
        <w:rPr>
          <w:rFonts w:asciiTheme="minorHAnsi" w:hAnsiTheme="minorHAnsi" w:cstheme="minorHAnsi"/>
        </w:rPr>
        <w:t>roup HR director at Serco</w:t>
      </w:r>
      <w:r>
        <w:rPr>
          <w:rFonts w:asciiTheme="minorHAnsi" w:hAnsiTheme="minorHAnsi" w:cstheme="minorHAnsi"/>
        </w:rPr>
        <w:t>)</w:t>
      </w:r>
      <w:r w:rsidRPr="00202AF7">
        <w:rPr>
          <w:rFonts w:asciiTheme="minorHAnsi" w:hAnsiTheme="minorHAnsi" w:cstheme="minorHAnsi"/>
        </w:rPr>
        <w:t xml:space="preserve"> a</w:t>
      </w:r>
      <w:r>
        <w:rPr>
          <w:rFonts w:asciiTheme="minorHAnsi" w:hAnsiTheme="minorHAnsi" w:cstheme="minorHAnsi"/>
        </w:rPr>
        <w:t>s he states a</w:t>
      </w:r>
      <w:r w:rsidRPr="00202AF7">
        <w:rPr>
          <w:rFonts w:asciiTheme="minorHAnsi" w:hAnsiTheme="minorHAnsi" w:cstheme="minorHAnsi"/>
        </w:rPr>
        <w:t xml:space="preserve"> ‘combination of tools to contribute to the strategic debate</w:t>
      </w:r>
      <w:r>
        <w:rPr>
          <w:rFonts w:asciiTheme="minorHAnsi" w:hAnsiTheme="minorHAnsi" w:cstheme="minorHAnsi"/>
        </w:rPr>
        <w:t xml:space="preserve"> are required’ in addition to</w:t>
      </w:r>
      <w:r w:rsidRPr="00202AF7">
        <w:rPr>
          <w:rFonts w:asciiTheme="minorHAnsi" w:hAnsiTheme="minorHAnsi" w:cstheme="minorHAnsi"/>
        </w:rPr>
        <w:t xml:space="preserve"> the </w:t>
      </w:r>
      <w:r>
        <w:rPr>
          <w:rFonts w:asciiTheme="minorHAnsi" w:hAnsiTheme="minorHAnsi" w:cstheme="minorHAnsi"/>
        </w:rPr>
        <w:t>‘</w:t>
      </w:r>
      <w:r w:rsidRPr="00202AF7">
        <w:rPr>
          <w:rFonts w:asciiTheme="minorHAnsi" w:hAnsiTheme="minorHAnsi" w:cstheme="minorHAnsi"/>
        </w:rPr>
        <w:t>soft skills to get people to speak to us, and for us to hear what they are saying’</w:t>
      </w:r>
      <w:r>
        <w:rPr>
          <w:rFonts w:asciiTheme="minorHAnsi" w:hAnsiTheme="minorHAnsi" w:cstheme="minorHAnsi"/>
        </w:rPr>
        <w:t xml:space="preserve"> </w:t>
      </w:r>
      <w:r w:rsidRPr="00202AF7">
        <w:rPr>
          <w:rFonts w:asciiTheme="minorHAnsi" w:hAnsiTheme="minorHAnsi" w:cstheme="minorHAnsi"/>
          <w:color w:val="111118"/>
        </w:rPr>
        <w:t>(</w:t>
      </w:r>
      <w:r w:rsidR="00E77D49">
        <w:rPr>
          <w:rFonts w:asciiTheme="minorHAnsi" w:hAnsiTheme="minorHAnsi" w:cstheme="minorHAnsi"/>
          <w:color w:val="111118"/>
        </w:rPr>
        <w:t>Persaud</w:t>
      </w:r>
      <w:r w:rsidRPr="00202AF7">
        <w:rPr>
          <w:rFonts w:asciiTheme="minorHAnsi" w:hAnsiTheme="minorHAnsi" w:cstheme="minorHAnsi"/>
          <w:color w:val="111118"/>
        </w:rPr>
        <w:t>, 2013).</w:t>
      </w:r>
    </w:p>
    <w:p w:rsidR="00A5237D" w:rsidRDefault="003E00A2" w:rsidP="00A5237D">
      <w:pPr>
        <w:rPr>
          <w:color w:val="111118"/>
        </w:rPr>
      </w:pPr>
      <w:r>
        <w:t>T</w:t>
      </w:r>
      <w:r w:rsidR="00A5237D">
        <w:t xml:space="preserve">he addition of KPI’s often leads to some sort of change within a business. Mark Sandham (senior VP of organisational effectiveness &amp; HR operations at Thomson Reuters) stresses the importance of HR during change management as they can </w:t>
      </w:r>
      <w:r w:rsidR="00A5237D" w:rsidRPr="002745F0">
        <w:t>‘</w:t>
      </w:r>
      <w:r w:rsidR="00A5237D" w:rsidRPr="002745F0">
        <w:rPr>
          <w:rFonts w:asciiTheme="minorHAnsi" w:hAnsiTheme="minorHAnsi" w:cstheme="minorHAnsi"/>
        </w:rPr>
        <w:t>understand business needs and add value through talent analytics, OD support or system design’</w:t>
      </w:r>
      <w:r w:rsidR="00E77D49">
        <w:rPr>
          <w:rFonts w:asciiTheme="minorHAnsi" w:hAnsiTheme="minorHAnsi" w:cstheme="minorHAnsi"/>
        </w:rPr>
        <w:t xml:space="preserve"> (Persaud, 2013)</w:t>
      </w:r>
      <w:r w:rsidR="00A5237D" w:rsidRPr="002745F0">
        <w:rPr>
          <w:rFonts w:asciiTheme="minorHAnsi" w:hAnsiTheme="minorHAnsi" w:cstheme="minorHAnsi"/>
        </w:rPr>
        <w:t>.</w:t>
      </w:r>
    </w:p>
    <w:p w:rsidR="00A5237D" w:rsidRDefault="00A5237D" w:rsidP="00A5237D">
      <w:pPr>
        <w:spacing w:after="0"/>
        <w:rPr>
          <w:rFonts w:asciiTheme="minorHAnsi" w:hAnsiTheme="minorHAnsi" w:cstheme="minorHAnsi"/>
          <w:color w:val="111118"/>
        </w:rPr>
      </w:pPr>
      <w:r w:rsidRPr="00276E1B">
        <w:rPr>
          <w:rFonts w:asciiTheme="minorHAnsi" w:hAnsiTheme="minorHAnsi" w:cstheme="minorHAnsi"/>
          <w:color w:val="111118"/>
        </w:rPr>
        <w:t>Whether HR are aiding in the recruitment process or in the re-train</w:t>
      </w:r>
      <w:r>
        <w:rPr>
          <w:rFonts w:asciiTheme="minorHAnsi" w:hAnsiTheme="minorHAnsi" w:cstheme="minorHAnsi"/>
          <w:color w:val="111118"/>
        </w:rPr>
        <w:t>ing of</w:t>
      </w:r>
      <w:r w:rsidRPr="00276E1B">
        <w:rPr>
          <w:rFonts w:asciiTheme="minorHAnsi" w:hAnsiTheme="minorHAnsi" w:cstheme="minorHAnsi"/>
          <w:color w:val="111118"/>
        </w:rPr>
        <w:t xml:space="preserve"> staff, change management is a ‘critical skill’</w:t>
      </w:r>
      <w:r>
        <w:rPr>
          <w:rFonts w:asciiTheme="minorHAnsi" w:hAnsiTheme="minorHAnsi" w:cstheme="minorHAnsi"/>
          <w:color w:val="111118"/>
        </w:rPr>
        <w:t xml:space="preserve"> for </w:t>
      </w:r>
      <w:r w:rsidRPr="00276E1B">
        <w:rPr>
          <w:rFonts w:asciiTheme="minorHAnsi" w:hAnsiTheme="minorHAnsi" w:cstheme="minorHAnsi"/>
          <w:color w:val="111118"/>
        </w:rPr>
        <w:t>HR leader</w:t>
      </w:r>
      <w:r>
        <w:rPr>
          <w:rFonts w:asciiTheme="minorHAnsi" w:hAnsiTheme="minorHAnsi" w:cstheme="minorHAnsi"/>
          <w:color w:val="111118"/>
        </w:rPr>
        <w:t xml:space="preserve">s </w:t>
      </w:r>
      <w:r w:rsidRPr="00276E1B">
        <w:rPr>
          <w:rFonts w:asciiTheme="minorHAnsi" w:hAnsiTheme="minorHAnsi" w:cstheme="minorHAnsi"/>
          <w:color w:val="111118"/>
        </w:rPr>
        <w:t xml:space="preserve">according to </w:t>
      </w:r>
      <w:r>
        <w:rPr>
          <w:rFonts w:asciiTheme="minorHAnsi" w:hAnsiTheme="minorHAnsi" w:cstheme="minorHAnsi"/>
          <w:color w:val="111118"/>
        </w:rPr>
        <w:t xml:space="preserve">Anna </w:t>
      </w:r>
      <w:r w:rsidRPr="00276E1B">
        <w:rPr>
          <w:rFonts w:asciiTheme="minorHAnsi" w:hAnsiTheme="minorHAnsi" w:cstheme="minorHAnsi"/>
          <w:color w:val="111118"/>
        </w:rPr>
        <w:t>Penfold</w:t>
      </w:r>
      <w:r>
        <w:rPr>
          <w:rFonts w:asciiTheme="minorHAnsi" w:hAnsiTheme="minorHAnsi" w:cstheme="minorHAnsi"/>
          <w:color w:val="111118"/>
        </w:rPr>
        <w:t xml:space="preserve">. She adds that this skill </w:t>
      </w:r>
      <w:r>
        <w:rPr>
          <w:rFonts w:asciiTheme="minorHAnsi" w:hAnsiTheme="minorHAnsi" w:cstheme="minorHAnsi"/>
        </w:rPr>
        <w:t>can be acquired by</w:t>
      </w:r>
      <w:r w:rsidRPr="00276E1B">
        <w:rPr>
          <w:rFonts w:asciiTheme="minorHAnsi" w:hAnsiTheme="minorHAnsi" w:cstheme="minorHAnsi"/>
        </w:rPr>
        <w:t xml:space="preserve"> putting yourself in </w:t>
      </w:r>
      <w:r>
        <w:rPr>
          <w:rFonts w:asciiTheme="minorHAnsi" w:hAnsiTheme="minorHAnsi" w:cstheme="minorHAnsi"/>
        </w:rPr>
        <w:t>‘</w:t>
      </w:r>
      <w:r w:rsidRPr="00276E1B">
        <w:rPr>
          <w:rFonts w:asciiTheme="minorHAnsi" w:hAnsiTheme="minorHAnsi" w:cstheme="minorHAnsi"/>
        </w:rPr>
        <w:t>as many different and challengin</w:t>
      </w:r>
      <w:r>
        <w:rPr>
          <w:rFonts w:asciiTheme="minorHAnsi" w:hAnsiTheme="minorHAnsi" w:cstheme="minorHAnsi"/>
        </w:rPr>
        <w:t xml:space="preserve">g change situations as possible’ </w:t>
      </w:r>
      <w:r w:rsidRPr="00276E1B">
        <w:rPr>
          <w:rFonts w:asciiTheme="minorHAnsi" w:hAnsiTheme="minorHAnsi" w:cstheme="minorHAnsi"/>
          <w:color w:val="111118"/>
        </w:rPr>
        <w:t>(HR magazine, 2013). Persaud</w:t>
      </w:r>
      <w:r>
        <w:rPr>
          <w:rFonts w:asciiTheme="minorHAnsi" w:hAnsiTheme="minorHAnsi" w:cstheme="minorHAnsi"/>
          <w:color w:val="111118"/>
        </w:rPr>
        <w:t xml:space="preserve"> (</w:t>
      </w:r>
      <w:r w:rsidRPr="00276E1B">
        <w:rPr>
          <w:rFonts w:asciiTheme="minorHAnsi" w:hAnsiTheme="minorHAnsi" w:cstheme="minorHAnsi"/>
          <w:color w:val="111118"/>
        </w:rPr>
        <w:t xml:space="preserve">2013) </w:t>
      </w:r>
      <w:r>
        <w:rPr>
          <w:rFonts w:asciiTheme="minorHAnsi" w:hAnsiTheme="minorHAnsi" w:cstheme="minorHAnsi"/>
          <w:color w:val="111118"/>
        </w:rPr>
        <w:t>supports this viewpoint commenting that these skills can be improved if you</w:t>
      </w:r>
      <w:r w:rsidRPr="00276E1B">
        <w:rPr>
          <w:rFonts w:asciiTheme="minorHAnsi" w:hAnsiTheme="minorHAnsi" w:cstheme="minorHAnsi"/>
          <w:color w:val="111118"/>
        </w:rPr>
        <w:t xml:space="preserve"> ‘</w:t>
      </w:r>
      <w:r w:rsidRPr="00276E1B">
        <w:rPr>
          <w:rFonts w:asciiTheme="minorHAnsi" w:hAnsiTheme="minorHAnsi" w:cstheme="minorHAnsi"/>
        </w:rPr>
        <w:t>actively seek to involve yourself in change situations’</w:t>
      </w:r>
      <w:r>
        <w:rPr>
          <w:rFonts w:asciiTheme="minorHAnsi" w:hAnsiTheme="minorHAnsi" w:cstheme="minorHAnsi"/>
        </w:rPr>
        <w:t>.</w:t>
      </w:r>
      <w:r w:rsidRPr="00276E1B">
        <w:rPr>
          <w:rFonts w:asciiTheme="minorHAnsi" w:hAnsiTheme="minorHAnsi" w:cstheme="minorHAnsi"/>
          <w:color w:val="111118"/>
        </w:rPr>
        <w:t xml:space="preserve"> </w:t>
      </w:r>
    </w:p>
    <w:p w:rsidR="00A5237D" w:rsidRDefault="00A5237D" w:rsidP="00A5237D">
      <w:pPr>
        <w:spacing w:after="0"/>
        <w:rPr>
          <w:rFonts w:asciiTheme="minorHAnsi" w:hAnsiTheme="minorHAnsi" w:cstheme="minorHAnsi"/>
          <w:color w:val="111118"/>
        </w:rPr>
      </w:pPr>
    </w:p>
    <w:p w:rsidR="006A4625" w:rsidRDefault="00A5237D" w:rsidP="00252E38">
      <w:pPr>
        <w:rPr>
          <w:rFonts w:asciiTheme="minorHAnsi" w:hAnsiTheme="minorHAnsi" w:cstheme="minorHAnsi"/>
          <w:color w:val="111118"/>
        </w:rPr>
      </w:pPr>
      <w:r>
        <w:rPr>
          <w:rFonts w:asciiTheme="minorHAnsi" w:hAnsiTheme="minorHAnsi" w:cstheme="minorHAnsi"/>
          <w:color w:val="111118"/>
        </w:rPr>
        <w:t>HR’s key role in both business planning and change management is possible due to the breadth of organisational involvement they have</w:t>
      </w:r>
      <w:r w:rsidRPr="00202AF7">
        <w:rPr>
          <w:rFonts w:asciiTheme="minorHAnsi" w:hAnsiTheme="minorHAnsi" w:cstheme="minorHAnsi"/>
          <w:color w:val="111118"/>
        </w:rPr>
        <w:t xml:space="preserve">. </w:t>
      </w:r>
      <w:r w:rsidRPr="00202AF7">
        <w:rPr>
          <w:rFonts w:asciiTheme="minorHAnsi" w:hAnsiTheme="minorHAnsi" w:cstheme="minorHAnsi"/>
        </w:rPr>
        <w:t>Geoff Lloyd summarises this luxury as</w:t>
      </w:r>
      <w:r>
        <w:rPr>
          <w:rFonts w:asciiTheme="minorHAnsi" w:hAnsiTheme="minorHAnsi" w:cstheme="minorHAnsi"/>
        </w:rPr>
        <w:t xml:space="preserve"> he adds that</w:t>
      </w:r>
      <w:r w:rsidRPr="00202AF7">
        <w:rPr>
          <w:rFonts w:asciiTheme="minorHAnsi" w:hAnsiTheme="minorHAnsi" w:cstheme="minorHAnsi"/>
        </w:rPr>
        <w:t xml:space="preserve"> HR is ‘one of the only functions to touch every part of an organisation, from the very highest authorities on the board to the people on the shop floor’ </w:t>
      </w:r>
      <w:r w:rsidRPr="00202AF7">
        <w:rPr>
          <w:rFonts w:asciiTheme="minorHAnsi" w:hAnsiTheme="minorHAnsi" w:cstheme="minorHAnsi"/>
          <w:color w:val="111118"/>
        </w:rPr>
        <w:t>(HR magazine, 2013).</w:t>
      </w:r>
      <w:r>
        <w:rPr>
          <w:rFonts w:asciiTheme="minorHAnsi" w:hAnsiTheme="minorHAnsi" w:cstheme="minorHAnsi"/>
          <w:color w:val="111118"/>
        </w:rPr>
        <w:t xml:space="preserve"> Author </w:t>
      </w:r>
      <w:r w:rsidRPr="009E2218">
        <w:rPr>
          <w:rFonts w:asciiTheme="minorHAnsi" w:hAnsiTheme="minorHAnsi" w:cstheme="minorHAnsi"/>
          <w:color w:val="111118"/>
        </w:rPr>
        <w:t xml:space="preserve">Anna </w:t>
      </w:r>
      <w:r w:rsidRPr="009E2218">
        <w:rPr>
          <w:rFonts w:asciiTheme="minorHAnsi" w:hAnsiTheme="minorHAnsi" w:cstheme="minorHAnsi"/>
        </w:rPr>
        <w:t xml:space="preserve">Penfold has a similar stance on the matter stating that by HR being at the heart of these situations and making difficult business decisions they can gain unique experience other functions don't necessarily get </w:t>
      </w:r>
      <w:r w:rsidRPr="009E2218">
        <w:rPr>
          <w:rFonts w:asciiTheme="minorHAnsi" w:hAnsiTheme="minorHAnsi" w:cstheme="minorHAnsi"/>
          <w:color w:val="111118"/>
        </w:rPr>
        <w:t>(</w:t>
      </w:r>
      <w:r w:rsidR="00E77D49">
        <w:rPr>
          <w:rFonts w:asciiTheme="minorHAnsi" w:hAnsiTheme="minorHAnsi" w:cstheme="minorHAnsi"/>
          <w:color w:val="111118"/>
        </w:rPr>
        <w:t>Persaud</w:t>
      </w:r>
      <w:r w:rsidRPr="009E2218">
        <w:rPr>
          <w:rFonts w:asciiTheme="minorHAnsi" w:hAnsiTheme="minorHAnsi" w:cstheme="minorHAnsi"/>
          <w:color w:val="111118"/>
        </w:rPr>
        <w:t>, 2013).</w:t>
      </w:r>
      <w:r w:rsidR="006A4625">
        <w:rPr>
          <w:rFonts w:asciiTheme="minorHAnsi" w:hAnsiTheme="minorHAnsi" w:cstheme="minorHAnsi"/>
          <w:color w:val="111118"/>
        </w:rPr>
        <w:t xml:space="preserve"> </w:t>
      </w:r>
    </w:p>
    <w:p w:rsidR="00252E38" w:rsidRPr="006A4625" w:rsidRDefault="00A34829" w:rsidP="00252E38">
      <w:pPr>
        <w:rPr>
          <w:rFonts w:asciiTheme="minorHAnsi" w:hAnsiTheme="minorHAnsi" w:cstheme="minorHAnsi"/>
        </w:rPr>
      </w:pPr>
      <w:r w:rsidRPr="007968DE">
        <w:rPr>
          <w:rFonts w:asciiTheme="minorHAnsi" w:hAnsiTheme="minorHAnsi" w:cstheme="minorHAnsi"/>
        </w:rPr>
        <w:lastRenderedPageBreak/>
        <w:t>‘</w:t>
      </w:r>
      <w:r w:rsidR="006A4625">
        <w:rPr>
          <w:rFonts w:asciiTheme="minorHAnsi" w:hAnsiTheme="minorHAnsi" w:cstheme="minorHAnsi"/>
        </w:rPr>
        <w:t>S</w:t>
      </w:r>
      <w:r w:rsidR="00252E38" w:rsidRPr="007968DE">
        <w:rPr>
          <w:rFonts w:asciiTheme="minorHAnsi" w:hAnsiTheme="minorHAnsi" w:cstheme="minorHAnsi"/>
        </w:rPr>
        <w:t>o much of business success is about getting the right people with the right skills in the right jobs at the right time</w:t>
      </w:r>
      <w:r w:rsidRPr="007968DE">
        <w:rPr>
          <w:rFonts w:asciiTheme="minorHAnsi" w:hAnsiTheme="minorHAnsi" w:cstheme="minorHAnsi"/>
        </w:rPr>
        <w:t>’</w:t>
      </w:r>
      <w:r w:rsidR="006A4625">
        <w:rPr>
          <w:rFonts w:asciiTheme="minorHAnsi" w:hAnsiTheme="minorHAnsi" w:cstheme="minorHAnsi"/>
        </w:rPr>
        <w:t>. In conclusion, HR’s role in business planning and change management is one of</w:t>
      </w:r>
      <w:r w:rsidR="007968DE" w:rsidRPr="007968DE">
        <w:rPr>
          <w:rFonts w:asciiTheme="minorHAnsi" w:hAnsiTheme="minorHAnsi" w:cstheme="minorHAnsi"/>
        </w:rPr>
        <w:t xml:space="preserve"> </w:t>
      </w:r>
      <w:r w:rsidR="00832672">
        <w:rPr>
          <w:rFonts w:asciiTheme="minorHAnsi" w:hAnsiTheme="minorHAnsi" w:cstheme="minorHAnsi"/>
        </w:rPr>
        <w:t>‘</w:t>
      </w:r>
      <w:r w:rsidR="007968DE" w:rsidRPr="007968DE">
        <w:rPr>
          <w:rFonts w:asciiTheme="minorHAnsi" w:hAnsiTheme="minorHAnsi" w:cstheme="minorHAnsi"/>
        </w:rPr>
        <w:t xml:space="preserve">being able to </w:t>
      </w:r>
      <w:r w:rsidR="00252E38" w:rsidRPr="007968DE">
        <w:rPr>
          <w:rFonts w:asciiTheme="minorHAnsi" w:hAnsiTheme="minorHAnsi" w:cstheme="minorHAnsi"/>
        </w:rPr>
        <w:t>driv</w:t>
      </w:r>
      <w:r w:rsidR="007968DE" w:rsidRPr="007968DE">
        <w:rPr>
          <w:rFonts w:asciiTheme="minorHAnsi" w:hAnsiTheme="minorHAnsi" w:cstheme="minorHAnsi"/>
        </w:rPr>
        <w:t>e</w:t>
      </w:r>
      <w:r w:rsidR="00252E38" w:rsidRPr="007968DE">
        <w:rPr>
          <w:rFonts w:asciiTheme="minorHAnsi" w:hAnsiTheme="minorHAnsi" w:cstheme="minorHAnsi"/>
        </w:rPr>
        <w:t xml:space="preserve"> strategic change, as well as coaching other senior executives to create and manage change</w:t>
      </w:r>
      <w:r w:rsidR="006A4625">
        <w:rPr>
          <w:rFonts w:asciiTheme="minorHAnsi" w:hAnsiTheme="minorHAnsi" w:cstheme="minorHAnsi"/>
        </w:rPr>
        <w:t>’ (Penfold &amp; Calleja, 2013).</w:t>
      </w:r>
    </w:p>
    <w:p w:rsidR="00C55FB8" w:rsidRDefault="00223066" w:rsidP="00C55FB8">
      <w:pPr>
        <w:pStyle w:val="Heading1"/>
      </w:pPr>
      <w:bookmarkStart w:id="6" w:name="_Toc504063951"/>
      <w:r>
        <w:t>Section 6</w:t>
      </w:r>
      <w:bookmarkEnd w:id="6"/>
    </w:p>
    <w:p w:rsidR="00C55FB8" w:rsidRPr="00D5068B" w:rsidRDefault="00C55FB8" w:rsidP="00C55FB8"/>
    <w:p w:rsidR="00C55FB8" w:rsidRDefault="00C55FB8" w:rsidP="00C55FB8">
      <w:r>
        <w:t xml:space="preserve">As mentioned in the previous section businesses use indicators in order to evaluate their effectiveness. In order to set KPI’s however Bryant states ‘as a first step, the fairly rigorous collection of information’ must take place which contributes to effective strategic planning (Bryant, 1997). </w:t>
      </w:r>
    </w:p>
    <w:p w:rsidR="00C55FB8" w:rsidRDefault="00C55FB8" w:rsidP="00C55FB8">
      <w:r>
        <w:t xml:space="preserve">Before a strategic plan can be formalised, businesses need </w:t>
      </w:r>
      <w:r w:rsidRPr="00EE4E28">
        <w:t>to know ‘what is happening out in the world’</w:t>
      </w:r>
      <w:r>
        <w:t xml:space="preserve"> (BBC, 201</w:t>
      </w:r>
      <w:r w:rsidR="00DE0570">
        <w:t>8</w:t>
      </w:r>
      <w:r>
        <w:t>)</w:t>
      </w:r>
      <w:r w:rsidRPr="00EE4E28">
        <w:t xml:space="preserve"> examining the internal and external factors</w:t>
      </w:r>
      <w:r>
        <w:t xml:space="preserve"> using an analysis tool such as SWOT or PESTLE. The vast majority of data can be categorised in four areas, primary data, secondary data, quantitative data, and qualitative data.</w:t>
      </w:r>
    </w:p>
    <w:p w:rsidR="00C55FB8" w:rsidRDefault="00C55FB8" w:rsidP="00C55FB8">
      <w:r>
        <w:t xml:space="preserve">Primary data is information gathered first hand with collection methods including surveys, interviews, observations and focus groups. Secondary data has already been collected and can include </w:t>
      </w:r>
      <w:r>
        <w:rPr>
          <w:rFonts w:ascii="Verdana" w:hAnsi="Verdana"/>
          <w:color w:val="333333"/>
          <w:sz w:val="20"/>
          <w:szCs w:val="20"/>
        </w:rPr>
        <w:t xml:space="preserve">the </w:t>
      </w:r>
      <w:r w:rsidRPr="004B1FBE">
        <w:t>internet, newspapers and magazines, market research reports and government publications.</w:t>
      </w:r>
      <w:r>
        <w:t xml:space="preserve">  </w:t>
      </w:r>
    </w:p>
    <w:p w:rsidR="00C55FB8" w:rsidRDefault="00C55FB8" w:rsidP="00C55FB8">
      <w:pPr>
        <w:rPr>
          <w:rFonts w:ascii="Verdana" w:hAnsi="Verdana"/>
          <w:color w:val="333333"/>
          <w:sz w:val="20"/>
          <w:szCs w:val="20"/>
        </w:rPr>
      </w:pPr>
      <w:r w:rsidRPr="00D5068B">
        <w:t>Quantitative</w:t>
      </w:r>
      <w:r w:rsidRPr="007D7540">
        <w:rPr>
          <w:rFonts w:ascii="Verdana" w:hAnsi="Verdana"/>
          <w:color w:val="333333"/>
          <w:sz w:val="20"/>
          <w:szCs w:val="20"/>
        </w:rPr>
        <w:t xml:space="preserve"> </w:t>
      </w:r>
      <w:r>
        <w:t xml:space="preserve">data </w:t>
      </w:r>
      <w:r w:rsidRPr="00D5068B">
        <w:t>is defin</w:t>
      </w:r>
      <w:r>
        <w:t xml:space="preserve">able, measurable and </w:t>
      </w:r>
      <w:r w:rsidRPr="00D5068B">
        <w:t xml:space="preserve">presented in a numerical format. </w:t>
      </w:r>
      <w:r>
        <w:t xml:space="preserve">It </w:t>
      </w:r>
      <w:r w:rsidRPr="00D5068B">
        <w:t>can be gathered via observations, surveys and factual information such as sales figures.</w:t>
      </w:r>
      <w:r>
        <w:t xml:space="preserve"> </w:t>
      </w:r>
      <w:r w:rsidRPr="00D5068B">
        <w:t xml:space="preserve">Qualitative </w:t>
      </w:r>
      <w:r>
        <w:t>data</w:t>
      </w:r>
      <w:r w:rsidRPr="00D5068B">
        <w:t xml:space="preserve"> is more about attitudes, beliefs and fee</w:t>
      </w:r>
      <w:r>
        <w:t>lings making i</w:t>
      </w:r>
      <w:r w:rsidRPr="00D5068B">
        <w:t>t descriptive</w:t>
      </w:r>
      <w:r>
        <w:t xml:space="preserve"> and</w:t>
      </w:r>
      <w:r w:rsidRPr="00D5068B">
        <w:t xml:space="preserve"> is usu</w:t>
      </w:r>
      <w:r>
        <w:t xml:space="preserve">ally gathered via focus groups </w:t>
      </w:r>
      <w:r w:rsidRPr="00D5068B">
        <w:t>and surveys.</w:t>
      </w:r>
    </w:p>
    <w:p w:rsidR="00C55FB8" w:rsidRDefault="00C55FB8" w:rsidP="00C55FB8">
      <w:pPr>
        <w:rPr>
          <w:rFonts w:asciiTheme="minorHAnsi" w:eastAsia="Times New Roman" w:hAnsiTheme="minorHAnsi" w:cstheme="minorHAnsi"/>
          <w:lang w:eastAsia="en-GB"/>
        </w:rPr>
      </w:pPr>
      <w:r>
        <w:rPr>
          <w:rFonts w:asciiTheme="minorHAnsi" w:eastAsia="Times New Roman" w:hAnsiTheme="minorHAnsi" w:cstheme="minorHAnsi"/>
          <w:lang w:eastAsia="en-GB"/>
        </w:rPr>
        <w:t>Four sources of business and contextual data which can be assessed and utilised can include public data, internal data, business/industry data, and HR analytics.</w:t>
      </w:r>
    </w:p>
    <w:p w:rsidR="00C55FB8" w:rsidRPr="007D7540" w:rsidRDefault="00C55FB8" w:rsidP="00C55FB8">
      <w:pPr>
        <w:rPr>
          <w:rFonts w:asciiTheme="minorHAnsi" w:hAnsiTheme="minorHAnsi" w:cstheme="minorHAnsi"/>
        </w:rPr>
      </w:pPr>
      <w:r w:rsidRPr="00D5068B">
        <w:rPr>
          <w:rFonts w:asciiTheme="minorHAnsi" w:eastAsia="Times New Roman" w:hAnsiTheme="minorHAnsi" w:cstheme="minorHAnsi"/>
          <w:lang w:eastAsia="en-GB"/>
        </w:rPr>
        <w:t>Public Data can include</w:t>
      </w:r>
      <w:r w:rsidRPr="007D7540">
        <w:rPr>
          <w:rFonts w:asciiTheme="minorHAnsi" w:hAnsiTheme="minorHAnsi" w:cstheme="minorHAnsi"/>
        </w:rPr>
        <w:t xml:space="preserve"> books</w:t>
      </w:r>
      <w:r>
        <w:rPr>
          <w:rFonts w:asciiTheme="minorHAnsi" w:hAnsiTheme="minorHAnsi" w:cstheme="minorHAnsi"/>
        </w:rPr>
        <w:t xml:space="preserve">, newsletters, </w:t>
      </w:r>
      <w:r w:rsidRPr="007D7540">
        <w:rPr>
          <w:rFonts w:asciiTheme="minorHAnsi" w:hAnsiTheme="minorHAnsi" w:cstheme="minorHAnsi"/>
        </w:rPr>
        <w:t>periodicals</w:t>
      </w:r>
      <w:r>
        <w:rPr>
          <w:rFonts w:asciiTheme="minorHAnsi" w:hAnsiTheme="minorHAnsi" w:cstheme="minorHAnsi"/>
        </w:rPr>
        <w:t>, journals and</w:t>
      </w:r>
      <w:r w:rsidRPr="007D7540">
        <w:rPr>
          <w:rFonts w:asciiTheme="minorHAnsi" w:hAnsiTheme="minorHAnsi" w:cstheme="minorHAnsi"/>
        </w:rPr>
        <w:t xml:space="preserve"> government reports</w:t>
      </w:r>
      <w:r>
        <w:rPr>
          <w:rFonts w:asciiTheme="minorHAnsi" w:hAnsiTheme="minorHAnsi" w:cstheme="minorHAnsi"/>
        </w:rPr>
        <w:t>.</w:t>
      </w:r>
      <w:r w:rsidRPr="007D7540">
        <w:rPr>
          <w:rFonts w:asciiTheme="minorHAnsi" w:hAnsiTheme="minorHAnsi" w:cstheme="minorHAnsi"/>
        </w:rPr>
        <w:t xml:space="preserve"> </w:t>
      </w:r>
      <w:r>
        <w:rPr>
          <w:rFonts w:asciiTheme="minorHAnsi" w:hAnsiTheme="minorHAnsi" w:cstheme="minorHAnsi"/>
        </w:rPr>
        <w:t>Whilst all sources can cover</w:t>
      </w:r>
      <w:r w:rsidRPr="007D7540">
        <w:rPr>
          <w:rFonts w:asciiTheme="minorHAnsi" w:hAnsiTheme="minorHAnsi" w:cstheme="minorHAnsi"/>
        </w:rPr>
        <w:t xml:space="preserve"> a wide array</w:t>
      </w:r>
      <w:r>
        <w:rPr>
          <w:rFonts w:asciiTheme="minorHAnsi" w:hAnsiTheme="minorHAnsi" w:cstheme="minorHAnsi"/>
        </w:rPr>
        <w:t xml:space="preserve"> of</w:t>
      </w:r>
      <w:r w:rsidRPr="007D7540">
        <w:rPr>
          <w:rFonts w:asciiTheme="minorHAnsi" w:hAnsiTheme="minorHAnsi" w:cstheme="minorHAnsi"/>
        </w:rPr>
        <w:t xml:space="preserve"> </w:t>
      </w:r>
      <w:r>
        <w:rPr>
          <w:rFonts w:asciiTheme="minorHAnsi" w:hAnsiTheme="minorHAnsi" w:cstheme="minorHAnsi"/>
        </w:rPr>
        <w:t xml:space="preserve">topics providing a good general reference point, </w:t>
      </w:r>
      <w:r w:rsidRPr="007D7540">
        <w:rPr>
          <w:rFonts w:asciiTheme="minorHAnsi" w:hAnsiTheme="minorHAnsi" w:cstheme="minorHAnsi"/>
        </w:rPr>
        <w:t xml:space="preserve">others </w:t>
      </w:r>
      <w:r>
        <w:rPr>
          <w:rFonts w:asciiTheme="minorHAnsi" w:hAnsiTheme="minorHAnsi" w:cstheme="minorHAnsi"/>
        </w:rPr>
        <w:t xml:space="preserve">can </w:t>
      </w:r>
      <w:r w:rsidRPr="007D7540">
        <w:rPr>
          <w:rFonts w:asciiTheme="minorHAnsi" w:hAnsiTheme="minorHAnsi" w:cstheme="minorHAnsi"/>
        </w:rPr>
        <w:t xml:space="preserve">provide more </w:t>
      </w:r>
      <w:r>
        <w:rPr>
          <w:rFonts w:asciiTheme="minorHAnsi" w:hAnsiTheme="minorHAnsi" w:cstheme="minorHAnsi"/>
        </w:rPr>
        <w:t>specialised information</w:t>
      </w:r>
      <w:r w:rsidRPr="007D7540">
        <w:rPr>
          <w:rFonts w:asciiTheme="minorHAnsi" w:hAnsiTheme="minorHAnsi" w:cstheme="minorHAnsi"/>
        </w:rPr>
        <w:t xml:space="preserve"> on every aspect of operations</w:t>
      </w:r>
      <w:r>
        <w:rPr>
          <w:rFonts w:asciiTheme="minorHAnsi" w:hAnsiTheme="minorHAnsi" w:cstheme="minorHAnsi"/>
        </w:rPr>
        <w:t xml:space="preserve"> such as HR</w:t>
      </w:r>
      <w:r w:rsidRPr="007D7540">
        <w:rPr>
          <w:rFonts w:asciiTheme="minorHAnsi" w:hAnsiTheme="minorHAnsi" w:cstheme="minorHAnsi"/>
        </w:rPr>
        <w:t xml:space="preserve"> management, </w:t>
      </w:r>
      <w:r>
        <w:rPr>
          <w:rFonts w:asciiTheme="minorHAnsi" w:hAnsiTheme="minorHAnsi" w:cstheme="minorHAnsi"/>
        </w:rPr>
        <w:t>finances and product development. J</w:t>
      </w:r>
      <w:r w:rsidRPr="007D7540">
        <w:rPr>
          <w:rFonts w:asciiTheme="minorHAnsi" w:hAnsiTheme="minorHAnsi" w:cstheme="minorHAnsi"/>
        </w:rPr>
        <w:t>ournals provide</w:t>
      </w:r>
      <w:r>
        <w:rPr>
          <w:rFonts w:asciiTheme="minorHAnsi" w:hAnsiTheme="minorHAnsi" w:cstheme="minorHAnsi"/>
        </w:rPr>
        <w:t xml:space="preserve"> information on research on a range of topics or industries and finally </w:t>
      </w:r>
      <w:r w:rsidRPr="007D7540">
        <w:rPr>
          <w:rFonts w:asciiTheme="minorHAnsi" w:hAnsiTheme="minorHAnsi" w:cstheme="minorHAnsi"/>
        </w:rPr>
        <w:t>government agencies</w:t>
      </w:r>
      <w:r>
        <w:rPr>
          <w:rFonts w:asciiTheme="minorHAnsi" w:hAnsiTheme="minorHAnsi" w:cstheme="minorHAnsi"/>
        </w:rPr>
        <w:t xml:space="preserve"> e.g. ONS,</w:t>
      </w:r>
      <w:r w:rsidRPr="007D7540">
        <w:rPr>
          <w:rFonts w:asciiTheme="minorHAnsi" w:hAnsiTheme="minorHAnsi" w:cstheme="minorHAnsi"/>
        </w:rPr>
        <w:t xml:space="preserve"> publish </w:t>
      </w:r>
      <w:r>
        <w:rPr>
          <w:rFonts w:asciiTheme="minorHAnsi" w:hAnsiTheme="minorHAnsi" w:cstheme="minorHAnsi"/>
        </w:rPr>
        <w:t xml:space="preserve">national statistics </w:t>
      </w:r>
      <w:r w:rsidRPr="007D7540">
        <w:rPr>
          <w:rFonts w:asciiTheme="minorHAnsi" w:hAnsiTheme="minorHAnsi" w:cstheme="minorHAnsi"/>
        </w:rPr>
        <w:t>on a range of issues</w:t>
      </w:r>
      <w:r>
        <w:rPr>
          <w:rFonts w:asciiTheme="minorHAnsi" w:hAnsiTheme="minorHAnsi" w:cstheme="minorHAnsi"/>
        </w:rPr>
        <w:t>. Obtaining statistics such as the demographics of the residents with a certain radius of your business could provide crucial market research information. Knowing this could influence decision making within the organisation and aid in business planning. Identifying new opportunities such as new products which are more suited to the demographics of those identified in the statistics is another way this information can be utilised</w:t>
      </w:r>
      <w:r w:rsidR="00F31FE2">
        <w:rPr>
          <w:rFonts w:asciiTheme="minorHAnsi" w:hAnsiTheme="minorHAnsi" w:cstheme="minorHAnsi"/>
        </w:rPr>
        <w:t xml:space="preserve"> (Inc.com, 2018)</w:t>
      </w:r>
      <w:r>
        <w:rPr>
          <w:rFonts w:asciiTheme="minorHAnsi" w:hAnsiTheme="minorHAnsi" w:cstheme="minorHAnsi"/>
        </w:rPr>
        <w:t>.</w:t>
      </w:r>
    </w:p>
    <w:p w:rsidR="00C55FB8" w:rsidRDefault="00C55FB8" w:rsidP="00C55FB8">
      <w:pPr>
        <w:rPr>
          <w:rFonts w:asciiTheme="minorHAnsi" w:hAnsiTheme="minorHAnsi" w:cstheme="minorHAnsi"/>
        </w:rPr>
      </w:pPr>
      <w:r w:rsidRPr="004D5B42">
        <w:rPr>
          <w:rFonts w:asciiTheme="minorHAnsi" w:hAnsiTheme="minorHAnsi" w:cstheme="minorHAnsi"/>
        </w:rPr>
        <w:t>Internal Data</w:t>
      </w:r>
      <w:r w:rsidRPr="002F7645">
        <w:rPr>
          <w:rFonts w:asciiTheme="minorHAnsi" w:hAnsiTheme="minorHAnsi" w:cstheme="minorHAnsi"/>
        </w:rPr>
        <w:t xml:space="preserve"> </w:t>
      </w:r>
      <w:r>
        <w:rPr>
          <w:rFonts w:asciiTheme="minorHAnsi" w:hAnsiTheme="minorHAnsi" w:cstheme="minorHAnsi"/>
        </w:rPr>
        <w:t xml:space="preserve">is </w:t>
      </w:r>
      <w:r w:rsidRPr="00B8036C">
        <w:rPr>
          <w:rFonts w:asciiTheme="minorHAnsi" w:hAnsiTheme="minorHAnsi" w:cstheme="minorHAnsi"/>
        </w:rPr>
        <w:t xml:space="preserve">retrieved from inside the company </w:t>
      </w:r>
      <w:r>
        <w:rPr>
          <w:rFonts w:asciiTheme="minorHAnsi" w:hAnsiTheme="minorHAnsi" w:cstheme="minorHAnsi"/>
        </w:rPr>
        <w:t xml:space="preserve">and examples </w:t>
      </w:r>
      <w:r>
        <w:rPr>
          <w:rFonts w:asciiTheme="minorHAnsi" w:hAnsiTheme="minorHAnsi" w:cstheme="minorHAnsi"/>
          <w:color w:val="000000"/>
        </w:rPr>
        <w:t>can</w:t>
      </w:r>
      <w:r w:rsidRPr="002F7645">
        <w:rPr>
          <w:rFonts w:asciiTheme="minorHAnsi" w:hAnsiTheme="minorHAnsi" w:cstheme="minorHAnsi"/>
          <w:color w:val="000000"/>
        </w:rPr>
        <w:t xml:space="preserve"> include</w:t>
      </w:r>
      <w:r>
        <w:rPr>
          <w:rFonts w:asciiTheme="minorHAnsi" w:hAnsiTheme="minorHAnsi" w:cstheme="minorHAnsi"/>
          <w:color w:val="000000"/>
        </w:rPr>
        <w:t xml:space="preserve"> information regarding</w:t>
      </w:r>
      <w:r w:rsidRPr="002F7645">
        <w:rPr>
          <w:rFonts w:asciiTheme="minorHAnsi" w:hAnsiTheme="minorHAnsi" w:cstheme="minorHAnsi"/>
          <w:color w:val="000000"/>
        </w:rPr>
        <w:t xml:space="preserve"> </w:t>
      </w:r>
      <w:r w:rsidRPr="00B8036C">
        <w:rPr>
          <w:rFonts w:asciiTheme="minorHAnsi" w:hAnsiTheme="minorHAnsi" w:cstheme="minorHAnsi"/>
        </w:rPr>
        <w:t>sales, finance, marketing, and human resources</w:t>
      </w:r>
      <w:r>
        <w:rPr>
          <w:rFonts w:asciiTheme="minorHAnsi" w:hAnsiTheme="minorHAnsi" w:cstheme="minorHAnsi"/>
        </w:rPr>
        <w:t xml:space="preserve"> which can</w:t>
      </w:r>
      <w:r w:rsidRPr="00B8036C">
        <w:rPr>
          <w:rFonts w:asciiTheme="minorHAnsi" w:hAnsiTheme="minorHAnsi" w:cstheme="minorHAnsi"/>
        </w:rPr>
        <w:t xml:space="preserve"> provide a unique perspective</w:t>
      </w:r>
      <w:r>
        <w:rPr>
          <w:rFonts w:asciiTheme="minorHAnsi" w:hAnsiTheme="minorHAnsi" w:cstheme="minorHAnsi"/>
        </w:rPr>
        <w:t xml:space="preserve"> about those areas. Conducting an internal survey regarding customer satisfaction levels could be utilised in a number of ways. The results from the survey can be monitored in order to gauge performance levels of staff. This information can also aid in the planning of training schedules as it would highlight potential areas of improvement for individuals</w:t>
      </w:r>
      <w:r w:rsidR="00DE0570">
        <w:rPr>
          <w:rFonts w:asciiTheme="minorHAnsi" w:hAnsiTheme="minorHAnsi" w:cstheme="minorHAnsi"/>
        </w:rPr>
        <w:t xml:space="preserve"> (BBC, 2018)</w:t>
      </w:r>
      <w:r>
        <w:rPr>
          <w:rFonts w:asciiTheme="minorHAnsi" w:hAnsiTheme="minorHAnsi" w:cstheme="minorHAnsi"/>
        </w:rPr>
        <w:t xml:space="preserve">. </w:t>
      </w:r>
    </w:p>
    <w:p w:rsidR="00C55FB8" w:rsidRPr="00B8036C" w:rsidRDefault="00C55FB8" w:rsidP="00C55FB8">
      <w:pPr>
        <w:rPr>
          <w:rFonts w:asciiTheme="minorHAnsi" w:hAnsiTheme="minorHAnsi" w:cstheme="minorHAnsi"/>
        </w:rPr>
      </w:pPr>
      <w:r w:rsidRPr="004D5B42">
        <w:rPr>
          <w:rFonts w:asciiTheme="minorHAnsi" w:hAnsiTheme="minorHAnsi" w:cstheme="minorHAnsi"/>
          <w:color w:val="000000"/>
        </w:rPr>
        <w:t>Business/Industry Data can also be called ‘Benchmarking’</w:t>
      </w:r>
      <w:r>
        <w:rPr>
          <w:rFonts w:asciiTheme="minorHAnsi" w:hAnsiTheme="minorHAnsi" w:cstheme="minorHAnsi"/>
          <w:color w:val="000000"/>
        </w:rPr>
        <w:t xml:space="preserve">. </w:t>
      </w:r>
      <w:r w:rsidRPr="00B8036C">
        <w:rPr>
          <w:rFonts w:asciiTheme="minorHAnsi" w:hAnsiTheme="minorHAnsi" w:cstheme="minorHAnsi"/>
        </w:rPr>
        <w:t xml:space="preserve">Benchmarking is the process of comparing your own organization, operations, or processes against other organizations in your industry or in the broader marketplace. Benchmarking can be applied against any product, process, function or approach in business. </w:t>
      </w:r>
      <w:r>
        <w:rPr>
          <w:rFonts w:asciiTheme="minorHAnsi" w:hAnsiTheme="minorHAnsi" w:cstheme="minorHAnsi"/>
        </w:rPr>
        <w:t xml:space="preserve"> Assessing the finances of your company e.g. profit margins and comparing it with another organisation in your field will aid in measuring your performance. This in turn can assist in decision making and planning as your company may look </w:t>
      </w:r>
      <w:r w:rsidRPr="00B8036C">
        <w:rPr>
          <w:rFonts w:asciiTheme="minorHAnsi" w:hAnsiTheme="minorHAnsi" w:cstheme="minorHAnsi"/>
        </w:rPr>
        <w:t>to generate ideas for improving processes</w:t>
      </w:r>
      <w:r>
        <w:rPr>
          <w:rFonts w:asciiTheme="minorHAnsi" w:hAnsiTheme="minorHAnsi" w:cstheme="minorHAnsi"/>
        </w:rPr>
        <w:t xml:space="preserve"> in order to reduce costs and </w:t>
      </w:r>
      <w:r w:rsidRPr="00B8036C">
        <w:rPr>
          <w:rFonts w:asciiTheme="minorHAnsi" w:hAnsiTheme="minorHAnsi" w:cstheme="minorHAnsi"/>
        </w:rPr>
        <w:t>increase profits</w:t>
      </w:r>
      <w:r>
        <w:rPr>
          <w:rFonts w:asciiTheme="minorHAnsi" w:hAnsiTheme="minorHAnsi" w:cstheme="minorHAnsi"/>
        </w:rPr>
        <w:t>.</w:t>
      </w:r>
      <w:r w:rsidRPr="00B8036C">
        <w:rPr>
          <w:rFonts w:asciiTheme="minorHAnsi" w:hAnsiTheme="minorHAnsi" w:cstheme="minorHAnsi"/>
        </w:rPr>
        <w:t xml:space="preserve"> </w:t>
      </w:r>
      <w:r>
        <w:rPr>
          <w:rFonts w:asciiTheme="minorHAnsi" w:hAnsiTheme="minorHAnsi" w:cstheme="minorHAnsi"/>
        </w:rPr>
        <w:t>Other uses of benchmarking could include identifying any gaps in your own service or product delivery, it can offer insights into good practice from competitors, and it be a platform for</w:t>
      </w:r>
      <w:r w:rsidRPr="00B8036C">
        <w:rPr>
          <w:rFonts w:asciiTheme="minorHAnsi" w:hAnsiTheme="minorHAnsi" w:cstheme="minorHAnsi"/>
        </w:rPr>
        <w:t xml:space="preserve"> </w:t>
      </w:r>
      <w:r w:rsidR="00DE0570">
        <w:rPr>
          <w:rFonts w:asciiTheme="minorHAnsi" w:hAnsiTheme="minorHAnsi" w:cstheme="minorHAnsi"/>
        </w:rPr>
        <w:t>continuous improvement (Reh, 2017)</w:t>
      </w:r>
    </w:p>
    <w:p w:rsidR="00804B53" w:rsidRPr="00F1603C" w:rsidRDefault="00804B53" w:rsidP="00804B53">
      <w:r>
        <w:t xml:space="preserve">HR analytics is the use of people-data in analytical processes to solve business problems. HR analytics uses both people-data, collected by HR systems (e.g. payroll, absence management) and business information (e.g. operations performance data). HR analytics can be used to gain insights into the workforce, as well as HR policies and practices using descriptive, visual and statistical analysis of data. Major stakeholders can also utilise the data on workforce concepts, such as performance, well-being, productivity, innovation and alignment which all could influence decision </w:t>
      </w:r>
      <w:r>
        <w:lastRenderedPageBreak/>
        <w:t>making and planning decisions. Measuring staff well-being can be monitored which in turn could enhance morale, drive overall performance and improve retention rates</w:t>
      </w:r>
      <w:r w:rsidR="00DE0570">
        <w:t xml:space="preserve"> (CIPD, 2018)</w:t>
      </w:r>
      <w:r>
        <w:t>.</w:t>
      </w:r>
    </w:p>
    <w:p w:rsidR="00AC6BBC" w:rsidRDefault="007F2C39" w:rsidP="009451EE">
      <w:pPr>
        <w:rPr>
          <w:rFonts w:asciiTheme="majorHAnsi" w:eastAsiaTheme="majorEastAsia" w:hAnsiTheme="majorHAnsi" w:cstheme="majorBidi"/>
          <w:b/>
          <w:bCs/>
          <w:color w:val="365F91" w:themeColor="accent1" w:themeShade="BF"/>
          <w:sz w:val="28"/>
          <w:szCs w:val="28"/>
        </w:rPr>
      </w:pPr>
      <w:r>
        <w:rPr>
          <w:shd w:val="clear" w:color="auto" w:fill="FFFFFF"/>
        </w:rPr>
        <w:t>As this paper has demonstrated, b</w:t>
      </w:r>
      <w:r w:rsidR="002651FA">
        <w:rPr>
          <w:shd w:val="clear" w:color="auto" w:fill="FFFFFF"/>
        </w:rPr>
        <w:t xml:space="preserve">usiness planning </w:t>
      </w:r>
      <w:r>
        <w:rPr>
          <w:shd w:val="clear" w:color="auto" w:fill="FFFFFF"/>
        </w:rPr>
        <w:t xml:space="preserve">involves numerous stages which require the effective use of its Human Resources. Effective planning involves the employment of a </w:t>
      </w:r>
      <w:r w:rsidR="002F37CE">
        <w:rPr>
          <w:shd w:val="clear" w:color="auto" w:fill="FFFFFF"/>
        </w:rPr>
        <w:t>‘</w:t>
      </w:r>
      <w:r>
        <w:rPr>
          <w:shd w:val="clear" w:color="auto" w:fill="FFFFFF"/>
        </w:rPr>
        <w:t>number of analytical tools and personnel to prepare the appropriate data, make forecasts, construct plans, evaluate competing plans, make revisions, choose a course of action, and implement that course of action</w:t>
      </w:r>
      <w:r w:rsidR="002F37CE">
        <w:rPr>
          <w:shd w:val="clear" w:color="auto" w:fill="FFFFFF"/>
        </w:rPr>
        <w:t xml:space="preserve">’ </w:t>
      </w:r>
      <w:r w:rsidR="002F37CE" w:rsidRPr="00645ED5">
        <w:t>(Referenceforbusinesscom, 2018)</w:t>
      </w:r>
      <w:r w:rsidRPr="00645ED5">
        <w:t>.</w:t>
      </w:r>
      <w:r w:rsidR="002651FA">
        <w:rPr>
          <w:rFonts w:ascii="&amp;quot" w:hAnsi="&amp;quot"/>
        </w:rPr>
        <w:br/>
      </w:r>
      <w:r w:rsidR="002651FA">
        <w:rPr>
          <w:rFonts w:ascii="&amp;quot" w:hAnsi="&amp;quot"/>
        </w:rPr>
        <w:br/>
      </w:r>
      <w:r w:rsidR="00AC6BBC">
        <w:br w:type="page"/>
      </w:r>
    </w:p>
    <w:p w:rsidR="00AC6BBC" w:rsidRDefault="00AC6BBC" w:rsidP="00AC6BBC">
      <w:pPr>
        <w:pStyle w:val="Heading1"/>
      </w:pPr>
      <w:bookmarkStart w:id="7" w:name="_Toc504063952"/>
      <w:r>
        <w:lastRenderedPageBreak/>
        <w:t>Appendices</w:t>
      </w:r>
      <w:bookmarkEnd w:id="7"/>
    </w:p>
    <w:p w:rsidR="00AC6BBC" w:rsidRDefault="00AC6BBC" w:rsidP="00AC6BBC">
      <w:pPr>
        <w:pStyle w:val="Subtitle"/>
      </w:pPr>
    </w:p>
    <w:p w:rsidR="00AC6BBC" w:rsidRPr="00127B4C" w:rsidRDefault="00AC6BBC" w:rsidP="00AC6BBC">
      <w:pPr>
        <w:pStyle w:val="Subtitle"/>
      </w:pPr>
      <w:r>
        <w:t>Appendix A</w:t>
      </w:r>
    </w:p>
    <w:tbl>
      <w:tblPr>
        <w:tblStyle w:val="TableGrid"/>
        <w:tblW w:w="0" w:type="auto"/>
        <w:tblLook w:val="04A0" w:firstRow="1" w:lastRow="0" w:firstColumn="1" w:lastColumn="0" w:noHBand="0" w:noVBand="1"/>
      </w:tblPr>
      <w:tblGrid>
        <w:gridCol w:w="4621"/>
        <w:gridCol w:w="4621"/>
      </w:tblGrid>
      <w:tr w:rsidR="00AC6BBC" w:rsidTr="001D182D">
        <w:tc>
          <w:tcPr>
            <w:tcW w:w="4621" w:type="dxa"/>
          </w:tcPr>
          <w:p w:rsidR="00AC6BBC" w:rsidRDefault="00AC6BBC" w:rsidP="001D182D">
            <w:r>
              <w:t>Trend</w:t>
            </w:r>
          </w:p>
        </w:tc>
        <w:tc>
          <w:tcPr>
            <w:tcW w:w="4621" w:type="dxa"/>
          </w:tcPr>
          <w:p w:rsidR="00AC6BBC" w:rsidRDefault="00AC6BBC" w:rsidP="001D182D">
            <w:r>
              <w:t>Explanation</w:t>
            </w:r>
          </w:p>
        </w:tc>
      </w:tr>
      <w:tr w:rsidR="00AC6BBC" w:rsidTr="001D182D">
        <w:tc>
          <w:tcPr>
            <w:tcW w:w="4621" w:type="dxa"/>
          </w:tcPr>
          <w:p w:rsidR="00AC6BBC" w:rsidRPr="00CB5466" w:rsidRDefault="00AC6BBC" w:rsidP="001D182D">
            <w:pPr>
              <w:rPr>
                <w:rFonts w:asciiTheme="minorHAnsi" w:hAnsiTheme="minorHAnsi" w:cstheme="minorHAnsi"/>
              </w:rPr>
            </w:pPr>
            <w:r w:rsidRPr="00CB5466">
              <w:rPr>
                <w:rStyle w:val="Strong"/>
                <w:rFonts w:asciiTheme="minorHAnsi" w:hAnsiTheme="minorHAnsi" w:cstheme="minorHAnsi"/>
                <w:bdr w:val="none" w:sz="0" w:space="0" w:color="auto" w:frame="1"/>
              </w:rPr>
              <w:t>Exponential Technology Change</w:t>
            </w:r>
          </w:p>
        </w:tc>
        <w:tc>
          <w:tcPr>
            <w:tcW w:w="4621" w:type="dxa"/>
          </w:tcPr>
          <w:p w:rsidR="00AC6BBC" w:rsidRPr="00CB5466" w:rsidRDefault="00AC6BBC" w:rsidP="001D182D">
            <w:pPr>
              <w:rPr>
                <w:rFonts w:asciiTheme="minorHAnsi" w:hAnsiTheme="minorHAnsi" w:cstheme="minorHAnsi"/>
                <w:sz w:val="16"/>
              </w:rPr>
            </w:pPr>
            <w:r w:rsidRPr="004C7B23">
              <w:rPr>
                <w:szCs w:val="32"/>
              </w:rPr>
              <w:t>Technological breakthroughs produce exponential disruptions in markets and business. The rapid adoption of robots, autonomous vehicles, commoditized sensors, artificial intelligence and global collaboration that renews the rethinking of work and global commerce are all poised to have influence in 2025.</w:t>
            </w:r>
          </w:p>
        </w:tc>
      </w:tr>
      <w:tr w:rsidR="00AC6BBC" w:rsidTr="001D182D">
        <w:tc>
          <w:tcPr>
            <w:tcW w:w="4621" w:type="dxa"/>
          </w:tcPr>
          <w:p w:rsidR="00AC6BBC" w:rsidRPr="00CB5466" w:rsidRDefault="00AC6BBC" w:rsidP="001D182D">
            <w:pPr>
              <w:rPr>
                <w:rFonts w:asciiTheme="minorHAnsi" w:hAnsiTheme="minorHAnsi" w:cstheme="minorHAnsi"/>
              </w:rPr>
            </w:pPr>
            <w:r w:rsidRPr="00CB5466">
              <w:rPr>
                <w:rStyle w:val="Strong"/>
                <w:rFonts w:asciiTheme="minorHAnsi" w:hAnsiTheme="minorHAnsi" w:cstheme="minorHAnsi"/>
                <w:bdr w:val="none" w:sz="0" w:space="0" w:color="auto" w:frame="1"/>
              </w:rPr>
              <w:t>Social, Organizational Reconfiguration</w:t>
            </w:r>
          </w:p>
          <w:p w:rsidR="00AC6BBC" w:rsidRDefault="00AC6BBC" w:rsidP="001D182D"/>
        </w:tc>
        <w:tc>
          <w:tcPr>
            <w:tcW w:w="4621" w:type="dxa"/>
          </w:tcPr>
          <w:p w:rsidR="00AC6BBC" w:rsidRDefault="00AC6BBC" w:rsidP="001D182D">
            <w:r w:rsidRPr="00D97FF1">
              <w:t xml:space="preserve">Increased democratization of work will likely shift organizational forms toward more power-balanced organizations and communities. Organizations and talent leaders may respond with networks replacing hierarchies and social and external collaborations as vital elements of product and service development. Leadership becomes horizontal, shared and collective. </w:t>
            </w:r>
          </w:p>
        </w:tc>
      </w:tr>
      <w:tr w:rsidR="00AC6BBC" w:rsidTr="001D182D">
        <w:tc>
          <w:tcPr>
            <w:tcW w:w="4621" w:type="dxa"/>
          </w:tcPr>
          <w:p w:rsidR="00AC6BBC" w:rsidRPr="00CB5466" w:rsidRDefault="00AC6BBC" w:rsidP="001D182D">
            <w:pPr>
              <w:rPr>
                <w:b/>
              </w:rPr>
            </w:pPr>
            <w:r w:rsidRPr="00CB5466">
              <w:rPr>
                <w:rStyle w:val="Strong"/>
                <w:rFonts w:asciiTheme="minorHAnsi" w:hAnsiTheme="minorHAnsi" w:cstheme="minorHAnsi"/>
                <w:bdr w:val="none" w:sz="0" w:space="0" w:color="auto" w:frame="1"/>
              </w:rPr>
              <w:t>A Truly Connected World</w:t>
            </w:r>
          </w:p>
          <w:p w:rsidR="00AC6BBC" w:rsidRDefault="00AC6BBC" w:rsidP="001D182D"/>
        </w:tc>
        <w:tc>
          <w:tcPr>
            <w:tcW w:w="4621" w:type="dxa"/>
          </w:tcPr>
          <w:p w:rsidR="00AC6BBC" w:rsidRDefault="00AC6BBC" w:rsidP="001D182D">
            <w:r w:rsidRPr="00D97FF1">
              <w:t>Human connections are poised to increase. Organizations, their operations and their effect are likely to be globally transparent to a variety of communities of stakeholders.</w:t>
            </w:r>
          </w:p>
        </w:tc>
      </w:tr>
      <w:tr w:rsidR="00AC6BBC" w:rsidTr="001D182D">
        <w:tc>
          <w:tcPr>
            <w:tcW w:w="4621" w:type="dxa"/>
          </w:tcPr>
          <w:p w:rsidR="00AC6BBC" w:rsidRPr="00CB5466" w:rsidRDefault="00AC6BBC" w:rsidP="001D182D">
            <w:pPr>
              <w:rPr>
                <w:b/>
              </w:rPr>
            </w:pPr>
            <w:r w:rsidRPr="00CB5466">
              <w:rPr>
                <w:rStyle w:val="Strong"/>
                <w:rFonts w:asciiTheme="minorHAnsi" w:hAnsiTheme="minorHAnsi" w:cstheme="minorHAnsi"/>
                <w:bdr w:val="none" w:sz="0" w:space="0" w:color="auto" w:frame="1"/>
              </w:rPr>
              <w:t>All-Inclusive Global Talent Market</w:t>
            </w:r>
          </w:p>
        </w:tc>
        <w:tc>
          <w:tcPr>
            <w:tcW w:w="4621" w:type="dxa"/>
          </w:tcPr>
          <w:p w:rsidR="00AC6BBC" w:rsidRDefault="00AC6BBC" w:rsidP="001D182D">
            <w:r w:rsidRPr="00D97FF1">
              <w:t>Work is likely to be seamlessly distributed around the globe with 24/7 operations. Leaders engage and address highly varied and differentiated cultural preferences in policies, practices, work designs, pay and benefits, and manage a workforce that extends beyond regular full-time employees. Workers choose organizations with environmental and social impact, purpose and the opinions of socially connected peers and opinion leaders in mind.</w:t>
            </w:r>
          </w:p>
        </w:tc>
      </w:tr>
      <w:tr w:rsidR="00AC6BBC" w:rsidTr="001D182D">
        <w:tc>
          <w:tcPr>
            <w:tcW w:w="4621" w:type="dxa"/>
          </w:tcPr>
          <w:p w:rsidR="00AC6BBC" w:rsidRPr="00CB5466" w:rsidRDefault="00AC6BBC" w:rsidP="001D182D">
            <w:pPr>
              <w:rPr>
                <w:b/>
              </w:rPr>
            </w:pPr>
            <w:r w:rsidRPr="00CB5466">
              <w:rPr>
                <w:rStyle w:val="Strong"/>
                <w:rFonts w:asciiTheme="minorHAnsi" w:hAnsiTheme="minorHAnsi" w:cstheme="minorHAnsi"/>
                <w:bdr w:val="none" w:sz="0" w:space="0" w:color="auto" w:frame="1"/>
              </w:rPr>
              <w:t>Human-Machine Collaboration</w:t>
            </w:r>
          </w:p>
        </w:tc>
        <w:tc>
          <w:tcPr>
            <w:tcW w:w="4621" w:type="dxa"/>
          </w:tcPr>
          <w:p w:rsidR="00AC6BBC" w:rsidRDefault="00AC6BBC" w:rsidP="001D182D">
            <w:r w:rsidRPr="00D97FF1">
              <w:t xml:space="preserve">Analytics, algorithms, big data and automation are likely to enhance productivity and decision-making, but smarter computing also automates and abolishes tasks previously performed by humans. </w:t>
            </w:r>
          </w:p>
        </w:tc>
      </w:tr>
    </w:tbl>
    <w:p w:rsidR="00AC6BBC" w:rsidRDefault="00AC6BBC" w:rsidP="00AC6BBC">
      <w:pPr>
        <w:rPr>
          <w:rFonts w:cs="Arial"/>
          <w:b/>
          <w:sz w:val="20"/>
          <w:szCs w:val="20"/>
        </w:rPr>
      </w:pPr>
    </w:p>
    <w:p w:rsidR="00AC6BBC" w:rsidRDefault="0018568E" w:rsidP="0018568E">
      <w:r>
        <w:t>Boudreau, J (2018).</w:t>
      </w:r>
    </w:p>
    <w:p w:rsidR="00AC6BBC" w:rsidRDefault="00AC6BBC" w:rsidP="00AC6BBC">
      <w:pPr>
        <w:pStyle w:val="Subtitle"/>
      </w:pPr>
    </w:p>
    <w:p w:rsidR="00AC6BBC" w:rsidRDefault="00AC6BBC" w:rsidP="00AC6BBC">
      <w:pPr>
        <w:pStyle w:val="Subtitle"/>
      </w:pPr>
    </w:p>
    <w:p w:rsidR="00AC6BBC" w:rsidRDefault="00AC6BBC" w:rsidP="00AC6BBC">
      <w:pPr>
        <w:pStyle w:val="Subtitle"/>
      </w:pPr>
    </w:p>
    <w:p w:rsidR="00AC6BBC" w:rsidRDefault="00AC6BBC" w:rsidP="00AC6BBC">
      <w:pPr>
        <w:pStyle w:val="Subtitle"/>
      </w:pPr>
    </w:p>
    <w:p w:rsidR="00AC6BBC" w:rsidRDefault="00AC6BBC" w:rsidP="00AC6BBC">
      <w:pPr>
        <w:pStyle w:val="Subtitle"/>
      </w:pPr>
    </w:p>
    <w:p w:rsidR="00AC6BBC" w:rsidRDefault="00AC6BBC" w:rsidP="00AC6BBC">
      <w:pPr>
        <w:pStyle w:val="Subtitle"/>
      </w:pPr>
    </w:p>
    <w:p w:rsidR="00AC6BBC" w:rsidRDefault="00AC6BBC" w:rsidP="00AC6BBC">
      <w:pPr>
        <w:pStyle w:val="Subtitle"/>
      </w:pPr>
    </w:p>
    <w:p w:rsidR="00AC6BBC" w:rsidRDefault="00AC6BBC" w:rsidP="00AC6BBC">
      <w:pPr>
        <w:pStyle w:val="Subtitle"/>
      </w:pPr>
      <w:r>
        <w:lastRenderedPageBreak/>
        <w:t>Appendix B</w:t>
      </w:r>
    </w:p>
    <w:tbl>
      <w:tblPr>
        <w:tblStyle w:val="TableGrid"/>
        <w:tblW w:w="0" w:type="auto"/>
        <w:tblLook w:val="04A0" w:firstRow="1" w:lastRow="0" w:firstColumn="1" w:lastColumn="0" w:noHBand="0" w:noVBand="1"/>
      </w:tblPr>
      <w:tblGrid>
        <w:gridCol w:w="2841"/>
        <w:gridCol w:w="7841"/>
      </w:tblGrid>
      <w:tr w:rsidR="00AC6BBC" w:rsidTr="001D182D">
        <w:trPr>
          <w:trHeight w:val="416"/>
        </w:trPr>
        <w:tc>
          <w:tcPr>
            <w:tcW w:w="0" w:type="auto"/>
          </w:tcPr>
          <w:p w:rsidR="00AC6BBC" w:rsidRDefault="00AC6BBC" w:rsidP="001D182D">
            <w:r>
              <w:t>Trend</w:t>
            </w:r>
          </w:p>
        </w:tc>
        <w:tc>
          <w:tcPr>
            <w:tcW w:w="0" w:type="auto"/>
          </w:tcPr>
          <w:p w:rsidR="00AC6BBC" w:rsidRDefault="00AC6BBC" w:rsidP="001D182D">
            <w:r>
              <w:t>Description</w:t>
            </w:r>
          </w:p>
        </w:tc>
      </w:tr>
      <w:tr w:rsidR="00AC6BBC" w:rsidTr="001D182D">
        <w:trPr>
          <w:trHeight w:val="1125"/>
        </w:trPr>
        <w:tc>
          <w:tcPr>
            <w:tcW w:w="0" w:type="auto"/>
          </w:tcPr>
          <w:p w:rsidR="00AC6BBC" w:rsidRDefault="00AC6BBC" w:rsidP="001D182D">
            <w:r w:rsidRPr="0038576F">
              <w:t>THE ORGANIZATION OF THE FUTURE: ARRIVING NOW</w:t>
            </w:r>
          </w:p>
        </w:tc>
        <w:tc>
          <w:tcPr>
            <w:tcW w:w="0" w:type="auto"/>
          </w:tcPr>
          <w:p w:rsidR="00AC6BBC" w:rsidRDefault="00AC6BBC" w:rsidP="001D182D">
            <w:r w:rsidRPr="0038576F">
              <w:t>This level of interest signals a shift from designing the new organization to actively building organizational ecosystems and networks. Agility plays a central role in the organization of the future, as companies race to replace structural hierarchies with networks of teams empowered to take action</w:t>
            </w:r>
            <w:r>
              <w:t>.</w:t>
            </w:r>
          </w:p>
        </w:tc>
      </w:tr>
      <w:tr w:rsidR="00AC6BBC" w:rsidTr="001D182D">
        <w:tc>
          <w:tcPr>
            <w:tcW w:w="0" w:type="auto"/>
          </w:tcPr>
          <w:p w:rsidR="00AC6BBC" w:rsidRPr="003E4752" w:rsidRDefault="00AC6BBC" w:rsidP="001D182D">
            <w:r w:rsidRPr="003E4752">
              <w:t>TREND 2. CAREERS AND LEARNING: REAL TIME, ALL THE TIME</w:t>
            </w:r>
          </w:p>
          <w:p w:rsidR="00AC6BBC" w:rsidRDefault="00AC6BBC" w:rsidP="001D182D"/>
        </w:tc>
        <w:tc>
          <w:tcPr>
            <w:tcW w:w="0" w:type="auto"/>
          </w:tcPr>
          <w:p w:rsidR="00AC6BBC" w:rsidRDefault="00AC6BBC" w:rsidP="001D182D">
            <w:r w:rsidRPr="003E4752">
              <w:t>The concept of a “career” is being shaken to its core, driving companies toward “always-on” learning experiences that allow employees to build skills quickly, easily, and on their own terms. At leading companies, HR organizations are helping employees grow and thrive as they adopt the radical concept of a career described in The 100-Year Life.7 New learning models both challenge the idea of a static career and reflect the declining half-life of skills critical to the 21st-century organization.</w:t>
            </w:r>
          </w:p>
        </w:tc>
      </w:tr>
      <w:tr w:rsidR="00AC6BBC" w:rsidTr="001D182D">
        <w:tc>
          <w:tcPr>
            <w:tcW w:w="0" w:type="auto"/>
          </w:tcPr>
          <w:p w:rsidR="00AC6BBC" w:rsidRPr="003E4752" w:rsidRDefault="00AC6BBC" w:rsidP="001D182D">
            <w:r w:rsidRPr="003E4752">
              <w:t>TREND 3. TALENT ACQUISITION: ENTER THE COGNITIVE RECRUITER</w:t>
            </w:r>
          </w:p>
          <w:p w:rsidR="00AC6BBC" w:rsidRDefault="00AC6BBC" w:rsidP="001D182D"/>
        </w:tc>
        <w:tc>
          <w:tcPr>
            <w:tcW w:w="0" w:type="auto"/>
          </w:tcPr>
          <w:p w:rsidR="00AC6BBC" w:rsidRDefault="00AC6BBC" w:rsidP="001D182D">
            <w:r w:rsidRPr="003E4752">
              <w:t xml:space="preserve">As jobs and skills change, finding and recruiting the right people become more important than ever. </w:t>
            </w:r>
            <w:r>
              <w:t>L</w:t>
            </w:r>
            <w:r w:rsidRPr="003E4752">
              <w:t>eading organizations use social networking, analytics, and cognitive tools to find people in new ways, attract them through a global brand, and determine who will best fit the job, team, and company. A new breed of cognitive technologies is radically transforming recruiting, which stands at the early stages of a revolution.</w:t>
            </w:r>
          </w:p>
        </w:tc>
      </w:tr>
      <w:tr w:rsidR="00AC6BBC" w:rsidTr="001D182D">
        <w:tc>
          <w:tcPr>
            <w:tcW w:w="0" w:type="auto"/>
          </w:tcPr>
          <w:p w:rsidR="00AC6BBC" w:rsidRPr="003E4752" w:rsidRDefault="00AC6BBC" w:rsidP="001D182D">
            <w:r w:rsidRPr="003E4752">
              <w:t>TREND 4. THE EMPLOYEE EXPERIENCE: CULTURE, ENGAGEMENT, AND BEYOND</w:t>
            </w:r>
          </w:p>
          <w:p w:rsidR="00AC6BBC" w:rsidRDefault="00AC6BBC" w:rsidP="001D182D"/>
        </w:tc>
        <w:tc>
          <w:tcPr>
            <w:tcW w:w="0" w:type="auto"/>
          </w:tcPr>
          <w:p w:rsidR="00AC6BBC" w:rsidRDefault="00AC6BBC" w:rsidP="001D182D">
            <w:r w:rsidRPr="003E4752">
              <w:t>Culture and engagement are vital parts of the employee experience, and leading organizations are broadening their focus to include a person’s first contact with a potential employer through retirement and beyond. Today, companies are looking at employee journeys, studying the needs of their workforce, and using net promoter scores to understand the employee experience. Workplace redesign, well-being, and work productivity systems are all becoming part of the mandate for HR.</w:t>
            </w:r>
          </w:p>
        </w:tc>
      </w:tr>
      <w:tr w:rsidR="00AC6BBC" w:rsidTr="001D182D">
        <w:tc>
          <w:tcPr>
            <w:tcW w:w="0" w:type="auto"/>
          </w:tcPr>
          <w:p w:rsidR="00AC6BBC" w:rsidRPr="003E4752" w:rsidRDefault="00AC6BBC" w:rsidP="001D182D">
            <w:r w:rsidRPr="003E4752">
              <w:t>TREND 5. PERFORMANCE MANAGEMENT: PLAY A WINNING HAND</w:t>
            </w:r>
          </w:p>
          <w:p w:rsidR="00AC6BBC" w:rsidRDefault="00AC6BBC" w:rsidP="001D182D"/>
        </w:tc>
        <w:tc>
          <w:tcPr>
            <w:tcW w:w="0" w:type="auto"/>
          </w:tcPr>
          <w:p w:rsidR="00AC6BBC" w:rsidRDefault="00AC6BBC" w:rsidP="001D182D">
            <w:r w:rsidRPr="003E4752">
              <w:t>For the last five years, companies have been experimenting with new performance management approaches that emphasize continuous feedback and coaching, reducing the focus on appraisal. This year, companies are moving beyond experimentation to deploy new models on a wide scale. Even though HR technology tools have not quite caught up, new approaches to performance management are working, and they are increasing productivity and changing corporate culture.</w:t>
            </w:r>
          </w:p>
        </w:tc>
      </w:tr>
      <w:tr w:rsidR="00AC6BBC" w:rsidTr="001D182D">
        <w:tc>
          <w:tcPr>
            <w:tcW w:w="0" w:type="auto"/>
          </w:tcPr>
          <w:p w:rsidR="00AC6BBC" w:rsidRPr="003E4752" w:rsidRDefault="00AC6BBC" w:rsidP="001D182D">
            <w:r w:rsidRPr="003E4752">
              <w:t>TREND 6. LEADERSHIP DISRUPTED: PUSHING THE BOUNDARIES</w:t>
            </w:r>
          </w:p>
          <w:p w:rsidR="00AC6BBC" w:rsidRDefault="00AC6BBC" w:rsidP="001D182D"/>
        </w:tc>
        <w:tc>
          <w:tcPr>
            <w:tcW w:w="0" w:type="auto"/>
          </w:tcPr>
          <w:p w:rsidR="00AC6BBC" w:rsidRDefault="00AC6BBC" w:rsidP="001D182D">
            <w:r w:rsidRPr="003E4752">
              <w:t>As companies transform and digital organizational models emerge, leadership needs change as well. Eighty percent of our respondents say that leadership is an important issue, and 42 percent call it very important. Organizations are clamoring for more agile, diverse, and younger leaders, as well as new leadership models that capture the “digital way” to run businesses. While the leadership development industry continues to struggle, companies are pushing the boundaries of their traditional leadership hierarchies, empowering a new breed of leaders who can thrive in a rapidly changing network.</w:t>
            </w:r>
          </w:p>
        </w:tc>
      </w:tr>
      <w:tr w:rsidR="00AC6BBC" w:rsidTr="001D182D">
        <w:tc>
          <w:tcPr>
            <w:tcW w:w="0" w:type="auto"/>
          </w:tcPr>
          <w:p w:rsidR="00AC6BBC" w:rsidRPr="003E4752" w:rsidRDefault="00AC6BBC" w:rsidP="001D182D">
            <w:r w:rsidRPr="003E4752">
              <w:t>TREND 7. DIGITAL HR: PLATFORMS, PEOPLE, AND WORK</w:t>
            </w:r>
          </w:p>
          <w:p w:rsidR="00AC6BBC" w:rsidRDefault="00AC6BBC" w:rsidP="001D182D"/>
        </w:tc>
        <w:tc>
          <w:tcPr>
            <w:tcW w:w="0" w:type="auto"/>
          </w:tcPr>
          <w:p w:rsidR="00AC6BBC" w:rsidRDefault="00AC6BBC" w:rsidP="001D182D">
            <w:r w:rsidRPr="003E4752">
              <w:t>As the enterprise as a whole becomes digital, HR must become a leader in the digital organization. This means going beyond digitizing HR platforms to developing digital workplaces and digital workforces, and to deploying technology that changes how people work and the way they relate to each other at work. Fortunately, the path to digital HR is becoming clearer, with expanded options, new platforms, and a wide variety of tools to build the 21st-century digital organization, workforce, and workplace.</w:t>
            </w:r>
          </w:p>
        </w:tc>
      </w:tr>
      <w:tr w:rsidR="00AC6BBC" w:rsidTr="001D182D">
        <w:tc>
          <w:tcPr>
            <w:tcW w:w="0" w:type="auto"/>
          </w:tcPr>
          <w:p w:rsidR="00AC6BBC" w:rsidRPr="003E4752" w:rsidRDefault="00AC6BBC" w:rsidP="001D182D">
            <w:r w:rsidRPr="003E4752">
              <w:t>TREND 8. PEOPLE ANALYTICS: RECALCULATING THE ROUTE</w:t>
            </w:r>
          </w:p>
          <w:p w:rsidR="00AC6BBC" w:rsidRPr="003E4752" w:rsidRDefault="00AC6BBC" w:rsidP="001D182D"/>
        </w:tc>
        <w:tc>
          <w:tcPr>
            <w:tcW w:w="0" w:type="auto"/>
          </w:tcPr>
          <w:p w:rsidR="00AC6BBC" w:rsidRPr="003E4752" w:rsidRDefault="00AC6BBC" w:rsidP="001D182D">
            <w:r w:rsidRPr="003E4752">
              <w:t>Data about people at work has become more important than ever, but the focus of people analytics has changed. Formerly a technical discipline owned by data specialists, people analytics is now a business discipline, supporting everything from operations and management to talent acquisition and financial performance. Readiness to capitalize on people analytics remains a challenge, however. Only 8 percent of organizations report they have usable data, while only 9 percent believe they have a good understanding of the talent factors that drive performance.</w:t>
            </w:r>
          </w:p>
        </w:tc>
      </w:tr>
      <w:tr w:rsidR="00AC6BBC" w:rsidTr="001D182D">
        <w:tc>
          <w:tcPr>
            <w:tcW w:w="0" w:type="auto"/>
          </w:tcPr>
          <w:p w:rsidR="00AC6BBC" w:rsidRPr="003E4752" w:rsidRDefault="00AC6BBC" w:rsidP="001D182D">
            <w:r w:rsidRPr="003E4752">
              <w:t xml:space="preserve">TREND 9. DIVERSITY AND </w:t>
            </w:r>
            <w:r w:rsidRPr="003E4752">
              <w:lastRenderedPageBreak/>
              <w:t>INCLUSION: THE REALITY GAP</w:t>
            </w:r>
          </w:p>
          <w:p w:rsidR="00AC6BBC" w:rsidRPr="003E4752" w:rsidRDefault="00AC6BBC" w:rsidP="001D182D"/>
        </w:tc>
        <w:tc>
          <w:tcPr>
            <w:tcW w:w="0" w:type="auto"/>
          </w:tcPr>
          <w:p w:rsidR="00AC6BBC" w:rsidRPr="003E4752" w:rsidRDefault="00AC6BBC" w:rsidP="001D182D">
            <w:r w:rsidRPr="003E4752">
              <w:lastRenderedPageBreak/>
              <w:t xml:space="preserve">Fairness, equity, and inclusion are now CEO-level issues around the world. Executives </w:t>
            </w:r>
            <w:r w:rsidRPr="003E4752">
              <w:lastRenderedPageBreak/>
              <w:t>can no longer abdicate diversity strategies to the CHRO or chief diversity officer. A new focus on accountability, data, transparency, and “diversity through process” is driving efforts around unconscious bias training and education throughout the business community. Despite these efforts, however, we see a reality gap. Issues around diversity and inclusion continue to be frustrating and challenging for many organizations.</w:t>
            </w:r>
          </w:p>
        </w:tc>
      </w:tr>
      <w:tr w:rsidR="00AC6BBC" w:rsidTr="001D182D">
        <w:tc>
          <w:tcPr>
            <w:tcW w:w="0" w:type="auto"/>
          </w:tcPr>
          <w:p w:rsidR="00AC6BBC" w:rsidRPr="003E4752" w:rsidRDefault="00AC6BBC" w:rsidP="001D182D">
            <w:r w:rsidRPr="003E4752">
              <w:lastRenderedPageBreak/>
              <w:t>TREND 10. THE FUTURE OF WORK: THE AUGMENTED WORKFORCE</w:t>
            </w:r>
          </w:p>
        </w:tc>
        <w:tc>
          <w:tcPr>
            <w:tcW w:w="0" w:type="auto"/>
          </w:tcPr>
          <w:p w:rsidR="00AC6BBC" w:rsidRPr="003E4752" w:rsidRDefault="00AC6BBC" w:rsidP="001D182D">
            <w:r w:rsidRPr="003E4752">
              <w:t>Robotics, AI, sensors, and cognitive computing have gone mainstream, along with the open talent economy. Companies can no longer consider their workforce to be only the employees on their balance sheet, but must include freelancers, “gig economy” workers, and crowds. These on- and off-balance</w:t>
            </w:r>
            <w:r>
              <w:t xml:space="preserve"> </w:t>
            </w:r>
            <w:r w:rsidRPr="003E4752">
              <w:t>sheet workers are being augmented with machines and software. Together, these trends will result in the redesign of almost every job, as well as a new way of thinking about workforce planning and the nature of work. Change is already taking place: In this year’s survey, 41 percent of our respondents have either fully implemented or made significant process in adopting cognitive and AI technologies, and another 35 percent report pilot programs.</w:t>
            </w:r>
          </w:p>
        </w:tc>
      </w:tr>
    </w:tbl>
    <w:p w:rsidR="00AC6BBC" w:rsidRDefault="00AC6BBC" w:rsidP="00AC6BBC">
      <w:pPr>
        <w:rPr>
          <w:rFonts w:cs="Arial"/>
          <w:b/>
          <w:sz w:val="20"/>
          <w:szCs w:val="20"/>
        </w:rPr>
      </w:pPr>
    </w:p>
    <w:p w:rsidR="00AC6BBC" w:rsidRDefault="00BC4104">
      <w:pPr>
        <w:spacing w:line="276" w:lineRule="auto"/>
        <w:rPr>
          <w:rFonts w:cs="Arial"/>
          <w:b/>
          <w:sz w:val="20"/>
          <w:szCs w:val="20"/>
        </w:rPr>
      </w:pPr>
      <w:r>
        <w:t xml:space="preserve">Deloitte United States. (2018). </w:t>
      </w:r>
      <w:r w:rsidR="00AC6BBC">
        <w:rPr>
          <w:rFonts w:cs="Arial"/>
          <w:b/>
          <w:sz w:val="20"/>
          <w:szCs w:val="20"/>
        </w:rPr>
        <w:br w:type="page"/>
      </w:r>
    </w:p>
    <w:p w:rsidR="003E5573" w:rsidRDefault="003E5573" w:rsidP="003E5573">
      <w:pPr>
        <w:pStyle w:val="Heading1"/>
      </w:pPr>
      <w:bookmarkStart w:id="8" w:name="_Toc504063953"/>
      <w:r>
        <w:lastRenderedPageBreak/>
        <w:t>References</w:t>
      </w:r>
      <w:bookmarkEnd w:id="8"/>
    </w:p>
    <w:p w:rsidR="003E5573" w:rsidRDefault="003E5573" w:rsidP="003E5573">
      <w:pPr>
        <w:pStyle w:val="Heading2"/>
        <w:spacing w:before="0"/>
        <w:rPr>
          <w:rFonts w:ascii="&amp;quot" w:hAnsi="&amp;quot"/>
          <w:b w:val="0"/>
          <w:bCs w:val="0"/>
          <w:color w:val="000000"/>
        </w:rPr>
      </w:pPr>
    </w:p>
    <w:p w:rsidR="008208F9" w:rsidRPr="008208F9" w:rsidRDefault="008208F9" w:rsidP="008208F9">
      <w:pPr>
        <w:rPr>
          <w:rFonts w:asciiTheme="minorHAnsi" w:hAnsiTheme="minorHAnsi" w:cstheme="minorHAnsi"/>
        </w:rPr>
      </w:pPr>
      <w:r w:rsidRPr="008208F9">
        <w:rPr>
          <w:rFonts w:asciiTheme="minorHAnsi" w:hAnsiTheme="minorHAnsi" w:cstheme="minorHAnsi"/>
        </w:rPr>
        <w:t>Armstrong, M. (2010). Armstrong's essential human resource management practice. London: Kogan Page.</w:t>
      </w:r>
    </w:p>
    <w:p w:rsidR="003E5573" w:rsidRPr="004528E0" w:rsidRDefault="003E5573" w:rsidP="003E5573">
      <w:pPr>
        <w:rPr>
          <w:rFonts w:asciiTheme="minorHAnsi" w:hAnsiTheme="minorHAnsi" w:cstheme="minorHAnsi"/>
        </w:rPr>
      </w:pPr>
      <w:r w:rsidRPr="004528E0">
        <w:rPr>
          <w:rFonts w:asciiTheme="minorHAnsi" w:hAnsiTheme="minorHAnsi" w:cstheme="minorHAnsi"/>
        </w:rPr>
        <w:t>Atkinson, George, and Kim Shanahan. 2013. “Three Steps Ahead:  Change Agility Emerges as Defining Capability for Chief Human Resource Officers.” The Korn/Ferry Institute. http://www.kornferryinstitute.com/ reports-insights/three-steps-ahead-change-agility-emerges-definingcapability-chief-human-resources.</w:t>
      </w:r>
    </w:p>
    <w:p w:rsidR="003E5573" w:rsidRDefault="003E5573" w:rsidP="003E5573">
      <w:r>
        <w:t xml:space="preserve">Bbc.co.uk. (2018). </w:t>
      </w:r>
      <w:r>
        <w:rPr>
          <w:i/>
          <w:iCs/>
        </w:rPr>
        <w:t>BBC - Higher Bitesize Business Management - Business information and ICT : Revision</w:t>
      </w:r>
      <w:r>
        <w:t>. [online] Available at:</w:t>
      </w:r>
      <w:r w:rsidR="00F31FE2">
        <w:t xml:space="preserve"> </w:t>
      </w:r>
      <w:r>
        <w:t>http://www.bbc.co.uk/bitesize/higher/business_management/business_enterprise/business_information_ict/revision/1/ [Accessed 17 Jan. 2018].</w:t>
      </w:r>
    </w:p>
    <w:p w:rsidR="00F31FE2" w:rsidRDefault="00F31FE2" w:rsidP="00F31FE2">
      <w:r>
        <w:t>Boudreau, J (2018). Available at: https://www.linkedin.com/pulse/5-forces-shaping-future-hr-john-boudreau/ [Accessed 10 Jan. 2018].</w:t>
      </w:r>
    </w:p>
    <w:p w:rsidR="003E5573" w:rsidRDefault="003E5573" w:rsidP="003E5573">
      <w:r>
        <w:t xml:space="preserve">CIPD. (2018). </w:t>
      </w:r>
      <w:r>
        <w:rPr>
          <w:i/>
          <w:iCs/>
        </w:rPr>
        <w:t>Changing HR Operating Models | CIPD</w:t>
      </w:r>
      <w:r>
        <w:t>. [online] Available at: https://www.cipd.co.uk/knowledge/strategy/hr/operating-models [Accessed 10 Jan. 2018].</w:t>
      </w:r>
    </w:p>
    <w:p w:rsidR="003E5573" w:rsidRDefault="003E5573" w:rsidP="003E5573">
      <w:r>
        <w:t xml:space="preserve">CIPD. (2018). </w:t>
      </w:r>
      <w:r>
        <w:rPr>
          <w:i/>
          <w:iCs/>
        </w:rPr>
        <w:t>HR Analytics | Factsheets | CIPD</w:t>
      </w:r>
      <w:r>
        <w:t>. [online] Available at: https://www.cipd.co.uk/knowledge/strategy/analytics/factsheet [Accessed 17 Jan. 2018].</w:t>
      </w:r>
    </w:p>
    <w:p w:rsidR="003E5573" w:rsidRDefault="003E5573" w:rsidP="003E5573">
      <w:r>
        <w:t xml:space="preserve">CIPD. (2018). </w:t>
      </w:r>
      <w:r>
        <w:rPr>
          <w:i/>
          <w:iCs/>
        </w:rPr>
        <w:t>HR Business Partnering | Factsheets | CIPD</w:t>
      </w:r>
      <w:r>
        <w:t>. [online] Available at: https://www.cipd.co.uk/knowledge/fundamentals/people/hr/business-partnering-factsheet [Accessed 10 Jan. 2018].</w:t>
      </w:r>
    </w:p>
    <w:p w:rsidR="003E5573" w:rsidRDefault="003E5573" w:rsidP="003E5573">
      <w:r>
        <w:t xml:space="preserve">CIPD. (2018). </w:t>
      </w:r>
      <w:r>
        <w:rPr>
          <w:i/>
          <w:iCs/>
        </w:rPr>
        <w:t>PESTLE Analysis | Factsheets | CIPD</w:t>
      </w:r>
      <w:r>
        <w:t>. [online] Available at: https://www.cipd.co.uk/knowledge/strategy/organisational-development/pestle-analysis-factsheet [Accessed 9 Jan. 2018].</w:t>
      </w:r>
    </w:p>
    <w:p w:rsidR="003E5573" w:rsidRDefault="003E5573" w:rsidP="003E5573">
      <w:r>
        <w:t xml:space="preserve">CIPD. (2018). </w:t>
      </w:r>
      <w:r>
        <w:rPr>
          <w:i/>
          <w:iCs/>
        </w:rPr>
        <w:t>SWOT Analysis | Factsheets | CIPD</w:t>
      </w:r>
      <w:r>
        <w:t>. [online] Available at: https://www.cipd.co.uk/knowledge/strategy/organisational-development/swot-analysis-factsheet [Accessed 9 Jan. 2018].</w:t>
      </w:r>
    </w:p>
    <w:p w:rsidR="003E5573" w:rsidRDefault="003E5573" w:rsidP="003E5573">
      <w:r>
        <w:t xml:space="preserve">Daniells, L. (1993). </w:t>
      </w:r>
      <w:r>
        <w:rPr>
          <w:i/>
          <w:iCs/>
        </w:rPr>
        <w:t>Business information sources [3rd.ed.]</w:t>
      </w:r>
      <w:r>
        <w:t>. Berkeley: University of California Press.</w:t>
      </w:r>
    </w:p>
    <w:p w:rsidR="003E5573" w:rsidRDefault="003E5573" w:rsidP="003E5573">
      <w:r>
        <w:t xml:space="preserve">Deloitte United States. (2018). </w:t>
      </w:r>
      <w:r>
        <w:rPr>
          <w:i/>
          <w:iCs/>
        </w:rPr>
        <w:t>2017 Global Human Capital Trends | Deloitte US</w:t>
      </w:r>
      <w:r>
        <w:t>. [online] Available at: https://www2.deloitte.com/us/en/pages/human-capital/articles/introduction-human-capital-trends.html# [Accessed 9 Jan. 2018].</w:t>
      </w:r>
    </w:p>
    <w:p w:rsidR="003E5573" w:rsidRDefault="003E5573" w:rsidP="003E5573">
      <w:r>
        <w:t xml:space="preserve">Fabian, R. (1994). "Business Information and the Internet,." </w:t>
      </w:r>
      <w:r>
        <w:rPr>
          <w:i/>
          <w:iCs/>
        </w:rPr>
        <w:t>CMA--The Management Accounting Magazine</w:t>
      </w:r>
      <w:r>
        <w:t>.</w:t>
      </w:r>
    </w:p>
    <w:p w:rsidR="0018568E" w:rsidRPr="00600B98" w:rsidRDefault="0018568E" w:rsidP="0018568E">
      <w:r w:rsidRPr="00600B98">
        <w:t xml:space="preserve">Haynes, David. </w:t>
      </w:r>
      <w:r>
        <w:t xml:space="preserve">2014. </w:t>
      </w:r>
      <w:r w:rsidRPr="00600B98">
        <w:rPr>
          <w:rStyle w:val="Emphasis"/>
          <w:rFonts w:asciiTheme="minorHAnsi" w:hAnsiTheme="minorHAnsi" w:cstheme="minorHAnsi"/>
          <w:bdr w:val="none" w:sz="0" w:space="0" w:color="auto" w:frame="1"/>
        </w:rPr>
        <w:t>Metadata for Information Management and Retrieval</w:t>
      </w:r>
      <w:r>
        <w:t>. Facet Publishing.</w:t>
      </w:r>
    </w:p>
    <w:p w:rsidR="003E5573" w:rsidRDefault="003E5573" w:rsidP="003E5573">
      <w:r>
        <w:t xml:space="preserve">Inc.com. (2018). </w:t>
      </w:r>
      <w:r>
        <w:rPr>
          <w:i/>
          <w:iCs/>
        </w:rPr>
        <w:t>Business Information Sources</w:t>
      </w:r>
      <w:r>
        <w:t>. [online] Available at: https://www.inc.com/encyclopedia/business-information-sources.html [Accessed 17 Jan. 2018].</w:t>
      </w:r>
    </w:p>
    <w:p w:rsidR="003E5573" w:rsidRDefault="003E5573" w:rsidP="003E5573">
      <w:r>
        <w:t xml:space="preserve">International Business Times UK. (2016). </w:t>
      </w:r>
      <w:r>
        <w:rPr>
          <w:i/>
          <w:iCs/>
        </w:rPr>
        <w:t>Will Brexit affect the cybersecurity space in the UK?</w:t>
      </w:r>
      <w:r>
        <w:t>. [online] Available at: http://www.ibtimes.co.uk/how-will-brexit-affect-cybersecurity-uk-what-experts-are-saying-about-leaving-eu-1567008 [Accessed 10 Jan. 2018].</w:t>
      </w:r>
    </w:p>
    <w:p w:rsidR="003E5573" w:rsidRDefault="003E5573" w:rsidP="003E5573">
      <w:r>
        <w:t xml:space="preserve">Jackson, T. (2017). </w:t>
      </w:r>
      <w:r>
        <w:rPr>
          <w:i/>
          <w:iCs/>
        </w:rPr>
        <w:t>18 Key Performance Indicator (KPI) Examples Defined</w:t>
      </w:r>
      <w:r>
        <w:t>. [online] ClearPoint Strategy. Available at: https://www.clearpointstrategy.com/18-key-performance-indicators/ [Accessed 13 Jan. 2018].</w:t>
      </w:r>
    </w:p>
    <w:p w:rsidR="0018568E" w:rsidRPr="00600B98" w:rsidRDefault="0018568E" w:rsidP="0018568E">
      <w:r w:rsidRPr="00600B98">
        <w:t>Kaye, David.</w:t>
      </w:r>
      <w:r>
        <w:t xml:space="preserve"> 1995. </w:t>
      </w:r>
      <w:r w:rsidRPr="00600B98">
        <w:t xml:space="preserve"> "Sources of Information, Formal and Informal." </w:t>
      </w:r>
      <w:r w:rsidRPr="00600B98">
        <w:rPr>
          <w:rStyle w:val="Emphasis"/>
          <w:rFonts w:asciiTheme="minorHAnsi" w:hAnsiTheme="minorHAnsi" w:cstheme="minorHAnsi"/>
          <w:bdr w:val="none" w:sz="0" w:space="0" w:color="auto" w:frame="1"/>
        </w:rPr>
        <w:t>Management Decision</w:t>
      </w:r>
      <w:r>
        <w:t>.</w:t>
      </w:r>
    </w:p>
    <w:p w:rsidR="0018568E" w:rsidRPr="00600B98" w:rsidRDefault="0018568E" w:rsidP="0018568E">
      <w:r w:rsidRPr="00600B98">
        <w:t>Lavin, Michael.</w:t>
      </w:r>
      <w:r>
        <w:t xml:space="preserve"> 1992. </w:t>
      </w:r>
      <w:r w:rsidRPr="00600B98">
        <w:t xml:space="preserve"> </w:t>
      </w:r>
      <w:r w:rsidRPr="00600B98">
        <w:rPr>
          <w:rStyle w:val="Emphasis"/>
          <w:rFonts w:asciiTheme="minorHAnsi" w:hAnsiTheme="minorHAnsi" w:cstheme="minorHAnsi"/>
          <w:bdr w:val="none" w:sz="0" w:space="0" w:color="auto" w:frame="1"/>
        </w:rPr>
        <w:t>Business Information: How to Find It, How to Use It</w:t>
      </w:r>
      <w:r w:rsidRPr="00600B98">
        <w:t>.</w:t>
      </w:r>
      <w:r>
        <w:t xml:space="preserve"> 2nd ed. Phoenix, AZ: Oryx</w:t>
      </w:r>
      <w:r w:rsidRPr="00600B98">
        <w:t>.</w:t>
      </w:r>
    </w:p>
    <w:p w:rsidR="003E5573" w:rsidRDefault="003E5573" w:rsidP="003E5573">
      <w:r>
        <w:lastRenderedPageBreak/>
        <w:t xml:space="preserve">Lohrmann, D. (2016). </w:t>
      </w:r>
      <w:r>
        <w:rPr>
          <w:i/>
          <w:iCs/>
        </w:rPr>
        <w:t>Three Brexit Considerations for Business and Technology Executives - SecurityRoundTable.org</w:t>
      </w:r>
      <w:r>
        <w:t>. [online] SecurityRoundTable.org. Available at: https://www.securityroundtable.org/three-brexit-considerations-for-business-and-technology-executives/ [Accessed 13 Jan. 2018].</w:t>
      </w:r>
    </w:p>
    <w:p w:rsidR="0018568E" w:rsidRPr="00600B98" w:rsidRDefault="0018568E" w:rsidP="0018568E">
      <w:r w:rsidRPr="00600B98">
        <w:t>McCollum, Tim.</w:t>
      </w:r>
      <w:r>
        <w:t xml:space="preserve"> 1998.</w:t>
      </w:r>
      <w:r w:rsidRPr="00600B98">
        <w:t xml:space="preserve"> "All the News That's Fit to Net." </w:t>
      </w:r>
      <w:r w:rsidRPr="00600B98">
        <w:rPr>
          <w:rStyle w:val="Emphasis"/>
          <w:rFonts w:asciiTheme="minorHAnsi" w:hAnsiTheme="minorHAnsi" w:cstheme="minorHAnsi"/>
          <w:bdr w:val="none" w:sz="0" w:space="0" w:color="auto" w:frame="1"/>
        </w:rPr>
        <w:t>Nation's Business</w:t>
      </w:r>
      <w:r>
        <w:t>.</w:t>
      </w:r>
    </w:p>
    <w:p w:rsidR="003E5573" w:rsidRDefault="0018568E" w:rsidP="003E5573">
      <w:r>
        <w:t>Penfold, A</w:t>
      </w:r>
      <w:r w:rsidR="003E5573">
        <w:t xml:space="preserve">. and </w:t>
      </w:r>
      <w:r>
        <w:t>C</w:t>
      </w:r>
      <w:r w:rsidR="003E5573">
        <w:t xml:space="preserve">alleja, </w:t>
      </w:r>
      <w:r>
        <w:t>J</w:t>
      </w:r>
      <w:r w:rsidR="003E5573">
        <w:t xml:space="preserve">. (2013). </w:t>
      </w:r>
      <w:r w:rsidR="003E5573">
        <w:rPr>
          <w:i/>
          <w:iCs/>
        </w:rPr>
        <w:t>What makes an exceptional hr leader?</w:t>
      </w:r>
      <w:r w:rsidR="003E5573">
        <w:t>. [ebook] The Korn/Ferry Institute. Available at: https://dsqapj1lakrkc.cloudfront.net/media/sidebar_downloads/FINAL_REPORT.pdf [Accessed 12 Jan. 2018].</w:t>
      </w:r>
    </w:p>
    <w:p w:rsidR="003E5573" w:rsidRDefault="003E5573" w:rsidP="003E5573">
      <w:r>
        <w:t xml:space="preserve">Persaud, J. (2013). </w:t>
      </w:r>
      <w:r>
        <w:rPr>
          <w:i/>
          <w:iCs/>
        </w:rPr>
        <w:t>How HR can master strategy</w:t>
      </w:r>
      <w:r>
        <w:t>. [online] Hrmagazine.co.uk. Available at: http://www.hrmagazine.co.uk/article-details/how-hr-can-master-strategy [Accessed 10 Jan. 2018].</w:t>
      </w:r>
    </w:p>
    <w:p w:rsidR="003E5573" w:rsidRDefault="003E5573" w:rsidP="003E5573">
      <w:r>
        <w:t xml:space="preserve">Personnel Today. (2018). </w:t>
      </w:r>
      <w:r>
        <w:rPr>
          <w:i/>
          <w:iCs/>
        </w:rPr>
        <w:t>Developing HR strategy: 8 steps towards delivering a successful HR strategy - Personnel Today</w:t>
      </w:r>
      <w:r>
        <w:t>. [online] Available at: https://www.personneltoday.com/hr/developing-hr-strategy-8-steps-towards-delivering-a-successful-hr-strategy/ [Accessed 11 Jan. 2018].</w:t>
      </w:r>
    </w:p>
    <w:p w:rsidR="002F37CE" w:rsidRDefault="002F37CE" w:rsidP="002F37CE">
      <w:r>
        <w:t xml:space="preserve">Referenceforbusinesscom. 2018. </w:t>
      </w:r>
      <w:r>
        <w:rPr>
          <w:i/>
          <w:iCs/>
        </w:rPr>
        <w:t>Referenceforbusinesscom.</w:t>
      </w:r>
      <w:r>
        <w:t xml:space="preserve"> [Online]. [17 January 2018]. Available from: http://www.referenceforbusiness.com/encyclopedia/Bre-Cap/Business-Planning.html</w:t>
      </w:r>
    </w:p>
    <w:p w:rsidR="003E5573" w:rsidRDefault="003E5573" w:rsidP="003E5573">
      <w:r>
        <w:t xml:space="preserve">Reh, J. (2017). </w:t>
      </w:r>
      <w:r>
        <w:rPr>
          <w:i/>
          <w:iCs/>
        </w:rPr>
        <w:t>Why Benchmarking is Important for Your Business and How to Get Started</w:t>
      </w:r>
      <w:r>
        <w:t>. [online] The Balance. Available at: https://www.thebalance.com/overview-and-examples-of-benchmarking-in-business-2275114 [Accessed 12 Jan. 2018].</w:t>
      </w:r>
    </w:p>
    <w:p w:rsidR="003E5573" w:rsidRDefault="00F363FF" w:rsidP="003E5573">
      <w:r>
        <w:t>S</w:t>
      </w:r>
      <w:r w:rsidR="003E5573">
        <w:t>hw</w:t>
      </w:r>
      <w:r>
        <w:t>l</w:t>
      </w:r>
      <w:r w:rsidR="003E5573">
        <w:t xml:space="preserve">ab, K. (2016). </w:t>
      </w:r>
      <w:r w:rsidR="003E5573">
        <w:rPr>
          <w:i/>
          <w:iCs/>
        </w:rPr>
        <w:t>The Fourth Industrial Revolution: what it means and how to respond</w:t>
      </w:r>
      <w:r w:rsidR="003E5573">
        <w:t>. [online] World Economic Forum. Available at: https://www.weforum.org/agenda/2016/01/the-fourth-industrial-revolution-what-it-means-and-how-to-respond/ [Accessed 8 Jan. 2018].</w:t>
      </w:r>
    </w:p>
    <w:p w:rsidR="003E5573" w:rsidRDefault="003E5573" w:rsidP="004528E0">
      <w:pPr>
        <w:rPr>
          <w:rFonts w:asciiTheme="minorHAnsi" w:hAnsiTheme="minorHAnsi" w:cstheme="minorHAnsi"/>
        </w:rPr>
      </w:pPr>
      <w:r w:rsidRPr="004528E0">
        <w:rPr>
          <w:rFonts w:asciiTheme="minorHAnsi" w:hAnsiTheme="minorHAnsi" w:cstheme="minorHAnsi"/>
        </w:rPr>
        <w:t xml:space="preserve">Tapper, Jim, and Iain Manson. 2012. “The New European Executive:  Leadership for Recovery and Growth.” The Korn/Ferry Institute. http:// </w:t>
      </w:r>
      <w:r w:rsidR="0018568E" w:rsidRPr="00354ABB">
        <w:rPr>
          <w:rFonts w:asciiTheme="minorHAnsi" w:hAnsiTheme="minorHAnsi" w:cstheme="minorHAnsi"/>
        </w:rPr>
        <w:t>www.kornferryinstitute.com/reports-insights/new-european-executive</w:t>
      </w:r>
      <w:r w:rsidRPr="004528E0">
        <w:rPr>
          <w:rFonts w:asciiTheme="minorHAnsi" w:hAnsiTheme="minorHAnsi" w:cstheme="minorHAnsi"/>
        </w:rPr>
        <w:t>.</w:t>
      </w:r>
    </w:p>
    <w:p w:rsidR="008208F9" w:rsidRDefault="008208F9" w:rsidP="00546D30">
      <w:r>
        <w:t xml:space="preserve">Taylor, S &amp; Woodham, C (2016). </w:t>
      </w:r>
      <w:r>
        <w:rPr>
          <w:i/>
          <w:iCs/>
        </w:rPr>
        <w:t>Studying Human Resource Management</w:t>
      </w:r>
      <w:r>
        <w:t>. (2nd ed.). London: Chartered Institute of Personnel and Development.</w:t>
      </w:r>
    </w:p>
    <w:p w:rsidR="0018568E" w:rsidRPr="0018568E" w:rsidRDefault="0018568E" w:rsidP="004528E0">
      <w:r w:rsidRPr="00600B98">
        <w:t>Ying Xu and Ken Ryan.</w:t>
      </w:r>
      <w:r>
        <w:t xml:space="preserve"> 1995.</w:t>
      </w:r>
      <w:r w:rsidRPr="00600B98">
        <w:t xml:space="preserve"> "Business Travelers on the Infobahn: Fee Vs. Free Access to Internet Business Resources." </w:t>
      </w:r>
      <w:r w:rsidRPr="00600B98">
        <w:rPr>
          <w:rStyle w:val="Emphasis"/>
          <w:rFonts w:asciiTheme="minorHAnsi" w:hAnsiTheme="minorHAnsi" w:cstheme="minorHAnsi"/>
          <w:bdr w:val="none" w:sz="0" w:space="0" w:color="auto" w:frame="1"/>
        </w:rPr>
        <w:t>Business Forum</w:t>
      </w:r>
      <w:r w:rsidRPr="00600B98">
        <w:t xml:space="preserve">. </w:t>
      </w:r>
    </w:p>
    <w:sectPr w:rsidR="0018568E" w:rsidRPr="0018568E" w:rsidSect="00F5645A">
      <w:footerReference w:type="default" r:id="rId16"/>
      <w:pgSz w:w="11906" w:h="16838"/>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3524D" w:rsidRDefault="00B3524D" w:rsidP="00F5645A">
      <w:pPr>
        <w:spacing w:after="0"/>
      </w:pPr>
      <w:r>
        <w:separator/>
      </w:r>
    </w:p>
  </w:endnote>
  <w:endnote w:type="continuationSeparator" w:id="0">
    <w:p w:rsidR="00B3524D" w:rsidRDefault="00B3524D" w:rsidP="00F5645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mp;quot">
    <w:altName w:val="Times New Roman"/>
    <w:panose1 w:val="00000000000000000000"/>
    <w:charset w:val="00"/>
    <w:family w:val="roman"/>
    <w:notTrueType/>
    <w:pitch w:val="default"/>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45867908"/>
      <w:docPartObj>
        <w:docPartGallery w:val="Page Numbers (Bottom of Page)"/>
        <w:docPartUnique/>
      </w:docPartObj>
    </w:sdtPr>
    <w:sdtEndPr/>
    <w:sdtContent>
      <w:sdt>
        <w:sdtPr>
          <w:id w:val="565050477"/>
          <w:docPartObj>
            <w:docPartGallery w:val="Page Numbers (Top of Page)"/>
            <w:docPartUnique/>
          </w:docPartObj>
        </w:sdtPr>
        <w:sdtEndPr/>
        <w:sdtContent>
          <w:p w:rsidR="00BF4955" w:rsidRDefault="00BF4955">
            <w:pPr>
              <w:pStyle w:val="Footer"/>
              <w:jc w:val="center"/>
            </w:pPr>
            <w:r>
              <w:t xml:space="preserve">Page </w:t>
            </w:r>
            <w:r w:rsidR="004B2B6D">
              <w:rPr>
                <w:b/>
                <w:sz w:val="24"/>
                <w:szCs w:val="24"/>
              </w:rPr>
              <w:fldChar w:fldCharType="begin"/>
            </w:r>
            <w:r>
              <w:rPr>
                <w:b/>
              </w:rPr>
              <w:instrText xml:space="preserve"> PAGE </w:instrText>
            </w:r>
            <w:r w:rsidR="004B2B6D">
              <w:rPr>
                <w:b/>
                <w:sz w:val="24"/>
                <w:szCs w:val="24"/>
              </w:rPr>
              <w:fldChar w:fldCharType="separate"/>
            </w:r>
            <w:r w:rsidR="009C7CF8">
              <w:rPr>
                <w:b/>
                <w:noProof/>
              </w:rPr>
              <w:t>6</w:t>
            </w:r>
            <w:r w:rsidR="004B2B6D">
              <w:rPr>
                <w:b/>
                <w:sz w:val="24"/>
                <w:szCs w:val="24"/>
              </w:rPr>
              <w:fldChar w:fldCharType="end"/>
            </w:r>
            <w:r>
              <w:t xml:space="preserve"> of </w:t>
            </w:r>
            <w:r w:rsidR="004B2B6D">
              <w:rPr>
                <w:b/>
                <w:sz w:val="24"/>
                <w:szCs w:val="24"/>
              </w:rPr>
              <w:fldChar w:fldCharType="begin"/>
            </w:r>
            <w:r>
              <w:rPr>
                <w:b/>
              </w:rPr>
              <w:instrText xml:space="preserve"> NUMPAGES  </w:instrText>
            </w:r>
            <w:r w:rsidR="004B2B6D">
              <w:rPr>
                <w:b/>
                <w:sz w:val="24"/>
                <w:szCs w:val="24"/>
              </w:rPr>
              <w:fldChar w:fldCharType="separate"/>
            </w:r>
            <w:r w:rsidR="009C7CF8">
              <w:rPr>
                <w:b/>
                <w:noProof/>
              </w:rPr>
              <w:t>18</w:t>
            </w:r>
            <w:r w:rsidR="004B2B6D">
              <w:rPr>
                <w:b/>
                <w:sz w:val="24"/>
                <w:szCs w:val="24"/>
              </w:rPr>
              <w:fldChar w:fldCharType="end"/>
            </w:r>
          </w:p>
        </w:sdtContent>
      </w:sdt>
    </w:sdtContent>
  </w:sdt>
  <w:p w:rsidR="00BF4955" w:rsidRDefault="00BF49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3524D" w:rsidRDefault="00B3524D" w:rsidP="00F5645A">
      <w:pPr>
        <w:spacing w:after="0"/>
      </w:pPr>
      <w:r>
        <w:separator/>
      </w:r>
    </w:p>
  </w:footnote>
  <w:footnote w:type="continuationSeparator" w:id="0">
    <w:p w:rsidR="00B3524D" w:rsidRDefault="00B3524D" w:rsidP="00F5645A">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B01A3B"/>
    <w:multiLevelType w:val="hybridMultilevel"/>
    <w:tmpl w:val="1556C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DE2ED8"/>
    <w:multiLevelType w:val="hybridMultilevel"/>
    <w:tmpl w:val="8EB2D9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F13C99"/>
    <w:multiLevelType w:val="hybridMultilevel"/>
    <w:tmpl w:val="01242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832413"/>
    <w:multiLevelType w:val="hybridMultilevel"/>
    <w:tmpl w:val="38D49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862300"/>
    <w:multiLevelType w:val="hybridMultilevel"/>
    <w:tmpl w:val="E1504A18"/>
    <w:lvl w:ilvl="0" w:tplc="7EE82874">
      <w:numFmt w:val="bullet"/>
      <w:lvlText w:val="•"/>
      <w:lvlJc w:val="left"/>
      <w:pPr>
        <w:ind w:left="720" w:hanging="360"/>
      </w:pPr>
      <w:rPr>
        <w:rFonts w:ascii="Calibri" w:eastAsia="Calibri" w:hAnsi="Calibri" w:cs="Calibr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DA4DF9"/>
    <w:multiLevelType w:val="hybridMultilevel"/>
    <w:tmpl w:val="3E1ACB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43C3ACB"/>
    <w:multiLevelType w:val="hybridMultilevel"/>
    <w:tmpl w:val="7AD48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815FC9"/>
    <w:multiLevelType w:val="hybridMultilevel"/>
    <w:tmpl w:val="BB44A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2"/>
  </w:num>
  <w:num w:numId="4">
    <w:abstractNumId w:val="7"/>
  </w:num>
  <w:num w:numId="5">
    <w:abstractNumId w:val="6"/>
  </w:num>
  <w:num w:numId="6">
    <w:abstractNumId w:val="1"/>
  </w:num>
  <w:num w:numId="7">
    <w:abstractNumId w:val="0"/>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1D34"/>
    <w:rsid w:val="0000034F"/>
    <w:rsid w:val="00055B3F"/>
    <w:rsid w:val="00062963"/>
    <w:rsid w:val="00063388"/>
    <w:rsid w:val="000725F6"/>
    <w:rsid w:val="000E11E7"/>
    <w:rsid w:val="00101ADE"/>
    <w:rsid w:val="00103732"/>
    <w:rsid w:val="001040C6"/>
    <w:rsid w:val="00106148"/>
    <w:rsid w:val="0018568E"/>
    <w:rsid w:val="001C1503"/>
    <w:rsid w:val="001D182D"/>
    <w:rsid w:val="00223066"/>
    <w:rsid w:val="00252E38"/>
    <w:rsid w:val="002651FA"/>
    <w:rsid w:val="00277402"/>
    <w:rsid w:val="00280329"/>
    <w:rsid w:val="002939B1"/>
    <w:rsid w:val="002C4DBF"/>
    <w:rsid w:val="002F37CE"/>
    <w:rsid w:val="0030298E"/>
    <w:rsid w:val="00354ABB"/>
    <w:rsid w:val="00372A33"/>
    <w:rsid w:val="00380180"/>
    <w:rsid w:val="003E00A2"/>
    <w:rsid w:val="003E5573"/>
    <w:rsid w:val="0045034D"/>
    <w:rsid w:val="004528E0"/>
    <w:rsid w:val="00462C5A"/>
    <w:rsid w:val="004A50BA"/>
    <w:rsid w:val="004B2B6D"/>
    <w:rsid w:val="00546D30"/>
    <w:rsid w:val="00547C92"/>
    <w:rsid w:val="0058505D"/>
    <w:rsid w:val="005A187E"/>
    <w:rsid w:val="005B640A"/>
    <w:rsid w:val="005D47E6"/>
    <w:rsid w:val="005F789F"/>
    <w:rsid w:val="00645ED5"/>
    <w:rsid w:val="006563F8"/>
    <w:rsid w:val="006601C1"/>
    <w:rsid w:val="006A4625"/>
    <w:rsid w:val="00703607"/>
    <w:rsid w:val="007968DE"/>
    <w:rsid w:val="007F2C39"/>
    <w:rsid w:val="00804B53"/>
    <w:rsid w:val="008208F9"/>
    <w:rsid w:val="00832672"/>
    <w:rsid w:val="00853D90"/>
    <w:rsid w:val="00874D8C"/>
    <w:rsid w:val="00876D50"/>
    <w:rsid w:val="008D4826"/>
    <w:rsid w:val="00910FDB"/>
    <w:rsid w:val="00913555"/>
    <w:rsid w:val="009376F3"/>
    <w:rsid w:val="009451EE"/>
    <w:rsid w:val="00972F96"/>
    <w:rsid w:val="00982F58"/>
    <w:rsid w:val="009C7CF8"/>
    <w:rsid w:val="009D4BE2"/>
    <w:rsid w:val="00A34829"/>
    <w:rsid w:val="00A51DF9"/>
    <w:rsid w:val="00A5237D"/>
    <w:rsid w:val="00A76D1A"/>
    <w:rsid w:val="00AC6BBC"/>
    <w:rsid w:val="00B0215C"/>
    <w:rsid w:val="00B12399"/>
    <w:rsid w:val="00B13B55"/>
    <w:rsid w:val="00B20C80"/>
    <w:rsid w:val="00B2741D"/>
    <w:rsid w:val="00B3524D"/>
    <w:rsid w:val="00B428E6"/>
    <w:rsid w:val="00B47E37"/>
    <w:rsid w:val="00B71B76"/>
    <w:rsid w:val="00B97F70"/>
    <w:rsid w:val="00BC315F"/>
    <w:rsid w:val="00BC4104"/>
    <w:rsid w:val="00BF4955"/>
    <w:rsid w:val="00C55FB8"/>
    <w:rsid w:val="00C65B9E"/>
    <w:rsid w:val="00CF124E"/>
    <w:rsid w:val="00D008A3"/>
    <w:rsid w:val="00D51E7D"/>
    <w:rsid w:val="00D84D62"/>
    <w:rsid w:val="00D97B69"/>
    <w:rsid w:val="00DD01BB"/>
    <w:rsid w:val="00DE0570"/>
    <w:rsid w:val="00DE50DF"/>
    <w:rsid w:val="00DF2805"/>
    <w:rsid w:val="00E77D49"/>
    <w:rsid w:val="00F03213"/>
    <w:rsid w:val="00F31FE2"/>
    <w:rsid w:val="00F363FF"/>
    <w:rsid w:val="00F5645A"/>
    <w:rsid w:val="00F91D34"/>
    <w:rsid w:val="00FD7F40"/>
    <w:rsid w:val="00FE5F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67A1C17-5177-45D6-9842-3742D97E7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91D34"/>
    <w:pPr>
      <w:spacing w:line="240" w:lineRule="auto"/>
    </w:pPr>
    <w:rPr>
      <w:rFonts w:ascii="Calibri" w:eastAsia="Calibri" w:hAnsi="Calibri" w:cs="Times New Roman"/>
    </w:rPr>
  </w:style>
  <w:style w:type="paragraph" w:styleId="Heading1">
    <w:name w:val="heading 1"/>
    <w:basedOn w:val="Normal"/>
    <w:next w:val="Normal"/>
    <w:link w:val="Heading1Char"/>
    <w:uiPriority w:val="9"/>
    <w:qFormat/>
    <w:rsid w:val="00F91D3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3E557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1D34"/>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F91D34"/>
    <w:pPr>
      <w:spacing w:after="0"/>
      <w:ind w:left="720"/>
      <w:contextualSpacing/>
    </w:pPr>
    <w:rPr>
      <w:rFonts w:ascii="Arial" w:hAnsi="Arial"/>
    </w:rPr>
  </w:style>
  <w:style w:type="paragraph" w:styleId="NormalWeb">
    <w:name w:val="Normal (Web)"/>
    <w:basedOn w:val="Normal"/>
    <w:uiPriority w:val="99"/>
    <w:unhideWhenUsed/>
    <w:rsid w:val="00F91D34"/>
    <w:pPr>
      <w:spacing w:before="100" w:beforeAutospacing="1" w:after="100" w:afterAutospacing="1"/>
    </w:pPr>
    <w:rPr>
      <w:rFonts w:ascii="Times New Roman" w:eastAsia="Times New Roman" w:hAnsi="Times New Roman"/>
      <w:sz w:val="24"/>
      <w:szCs w:val="24"/>
      <w:lang w:eastAsia="en-GB"/>
    </w:rPr>
  </w:style>
  <w:style w:type="character" w:styleId="Hyperlink">
    <w:name w:val="Hyperlink"/>
    <w:basedOn w:val="DefaultParagraphFont"/>
    <w:uiPriority w:val="99"/>
    <w:unhideWhenUsed/>
    <w:rsid w:val="00F91D34"/>
    <w:rPr>
      <w:color w:val="0000FF"/>
      <w:u w:val="single"/>
    </w:rPr>
  </w:style>
  <w:style w:type="character" w:styleId="Strong">
    <w:name w:val="Strong"/>
    <w:basedOn w:val="DefaultParagraphFont"/>
    <w:uiPriority w:val="22"/>
    <w:qFormat/>
    <w:rsid w:val="00F91D34"/>
    <w:rPr>
      <w:b/>
      <w:bCs/>
    </w:rPr>
  </w:style>
  <w:style w:type="paragraph" w:styleId="Subtitle">
    <w:name w:val="Subtitle"/>
    <w:basedOn w:val="Normal"/>
    <w:next w:val="Normal"/>
    <w:link w:val="SubtitleChar"/>
    <w:uiPriority w:val="11"/>
    <w:qFormat/>
    <w:rsid w:val="00F91D34"/>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91D34"/>
    <w:rPr>
      <w:rFonts w:asciiTheme="majorHAnsi" w:eastAsiaTheme="majorEastAsia" w:hAnsiTheme="majorHAnsi" w:cstheme="majorBidi"/>
      <w:i/>
      <w:iCs/>
      <w:color w:val="4F81BD" w:themeColor="accent1"/>
      <w:spacing w:val="15"/>
      <w:sz w:val="24"/>
      <w:szCs w:val="24"/>
    </w:rPr>
  </w:style>
  <w:style w:type="paragraph" w:styleId="BalloonText">
    <w:name w:val="Balloon Text"/>
    <w:basedOn w:val="Normal"/>
    <w:link w:val="BalloonTextChar"/>
    <w:uiPriority w:val="99"/>
    <w:semiHidden/>
    <w:unhideWhenUsed/>
    <w:rsid w:val="00F91D34"/>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1D34"/>
    <w:rPr>
      <w:rFonts w:ascii="Tahoma" w:eastAsia="Calibri" w:hAnsi="Tahoma" w:cs="Tahoma"/>
      <w:sz w:val="16"/>
      <w:szCs w:val="16"/>
    </w:rPr>
  </w:style>
  <w:style w:type="character" w:styleId="FollowedHyperlink">
    <w:name w:val="FollowedHyperlink"/>
    <w:basedOn w:val="DefaultParagraphFont"/>
    <w:uiPriority w:val="99"/>
    <w:semiHidden/>
    <w:unhideWhenUsed/>
    <w:rsid w:val="00913555"/>
    <w:rPr>
      <w:color w:val="800080" w:themeColor="followedHyperlink"/>
      <w:u w:val="single"/>
    </w:rPr>
  </w:style>
  <w:style w:type="character" w:styleId="Emphasis">
    <w:name w:val="Emphasis"/>
    <w:basedOn w:val="DefaultParagraphFont"/>
    <w:uiPriority w:val="20"/>
    <w:qFormat/>
    <w:rsid w:val="00A5237D"/>
    <w:rPr>
      <w:i/>
      <w:iCs/>
    </w:rPr>
  </w:style>
  <w:style w:type="character" w:customStyle="1" w:styleId="byline-name">
    <w:name w:val="byline-name"/>
    <w:basedOn w:val="DefaultParagraphFont"/>
    <w:rsid w:val="00C55FB8"/>
  </w:style>
  <w:style w:type="paragraph" w:styleId="NoSpacing">
    <w:name w:val="No Spacing"/>
    <w:link w:val="NoSpacingChar"/>
    <w:uiPriority w:val="1"/>
    <w:qFormat/>
    <w:rsid w:val="00FE5FF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E5FF2"/>
    <w:rPr>
      <w:rFonts w:eastAsiaTheme="minorEastAsia"/>
      <w:lang w:val="en-US"/>
    </w:rPr>
  </w:style>
  <w:style w:type="paragraph" w:styleId="Header">
    <w:name w:val="header"/>
    <w:basedOn w:val="Normal"/>
    <w:link w:val="HeaderChar"/>
    <w:uiPriority w:val="99"/>
    <w:semiHidden/>
    <w:unhideWhenUsed/>
    <w:rsid w:val="00F5645A"/>
    <w:pPr>
      <w:tabs>
        <w:tab w:val="center" w:pos="4513"/>
        <w:tab w:val="right" w:pos="9026"/>
      </w:tabs>
      <w:spacing w:after="0"/>
    </w:pPr>
  </w:style>
  <w:style w:type="character" w:customStyle="1" w:styleId="HeaderChar">
    <w:name w:val="Header Char"/>
    <w:basedOn w:val="DefaultParagraphFont"/>
    <w:link w:val="Header"/>
    <w:uiPriority w:val="99"/>
    <w:semiHidden/>
    <w:rsid w:val="00F5645A"/>
    <w:rPr>
      <w:rFonts w:ascii="Calibri" w:eastAsia="Calibri" w:hAnsi="Calibri" w:cs="Times New Roman"/>
    </w:rPr>
  </w:style>
  <w:style w:type="paragraph" w:styleId="Footer">
    <w:name w:val="footer"/>
    <w:basedOn w:val="Normal"/>
    <w:link w:val="FooterChar"/>
    <w:uiPriority w:val="99"/>
    <w:unhideWhenUsed/>
    <w:rsid w:val="00F5645A"/>
    <w:pPr>
      <w:tabs>
        <w:tab w:val="center" w:pos="4513"/>
        <w:tab w:val="right" w:pos="9026"/>
      </w:tabs>
      <w:spacing w:after="0"/>
    </w:pPr>
  </w:style>
  <w:style w:type="character" w:customStyle="1" w:styleId="FooterChar">
    <w:name w:val="Footer Char"/>
    <w:basedOn w:val="DefaultParagraphFont"/>
    <w:link w:val="Footer"/>
    <w:uiPriority w:val="99"/>
    <w:rsid w:val="00F5645A"/>
    <w:rPr>
      <w:rFonts w:ascii="Calibri" w:eastAsia="Calibri" w:hAnsi="Calibri" w:cs="Times New Roman"/>
    </w:rPr>
  </w:style>
  <w:style w:type="paragraph" w:styleId="TOCHeading">
    <w:name w:val="TOC Heading"/>
    <w:basedOn w:val="Heading1"/>
    <w:next w:val="Normal"/>
    <w:uiPriority w:val="39"/>
    <w:semiHidden/>
    <w:unhideWhenUsed/>
    <w:qFormat/>
    <w:rsid w:val="00AC6BBC"/>
    <w:pPr>
      <w:spacing w:line="276" w:lineRule="auto"/>
      <w:outlineLvl w:val="9"/>
    </w:pPr>
    <w:rPr>
      <w:lang w:val="en-US"/>
    </w:rPr>
  </w:style>
  <w:style w:type="paragraph" w:styleId="TOC1">
    <w:name w:val="toc 1"/>
    <w:basedOn w:val="Normal"/>
    <w:next w:val="Normal"/>
    <w:autoRedefine/>
    <w:uiPriority w:val="39"/>
    <w:unhideWhenUsed/>
    <w:rsid w:val="00223066"/>
    <w:pPr>
      <w:tabs>
        <w:tab w:val="right" w:leader="dot" w:pos="10456"/>
      </w:tabs>
      <w:spacing w:after="100"/>
    </w:pPr>
    <w:rPr>
      <w:b/>
      <w:noProof/>
    </w:rPr>
  </w:style>
  <w:style w:type="table" w:styleId="TableGrid">
    <w:name w:val="Table Grid"/>
    <w:basedOn w:val="TableNormal"/>
    <w:uiPriority w:val="59"/>
    <w:rsid w:val="00AC6B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3E5573"/>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9101020">
      <w:bodyDiv w:val="1"/>
      <w:marLeft w:val="0"/>
      <w:marRight w:val="0"/>
      <w:marTop w:val="0"/>
      <w:marBottom w:val="0"/>
      <w:divBdr>
        <w:top w:val="none" w:sz="0" w:space="0" w:color="auto"/>
        <w:left w:val="none" w:sz="0" w:space="0" w:color="auto"/>
        <w:bottom w:val="none" w:sz="0" w:space="0" w:color="auto"/>
        <w:right w:val="none" w:sz="0" w:space="0" w:color="auto"/>
      </w:divBdr>
    </w:div>
    <w:div w:id="1275793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jpe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C800F62-4320-407F-90ED-F21092BDC1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6446</Words>
  <Characters>36743</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Business Issues &amp; the Context of HR (M5X02263)</vt:lpstr>
    </vt:vector>
  </TitlesOfParts>
  <Company>uwtsd</Company>
  <LinksUpToDate>false</LinksUpToDate>
  <CharactersWithSpaces>43103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Issues &amp; the Context of HR (M5X02263)</dc:title>
  <dc:subject>You have been asked by your CIPD Branch to lead a discussion at one of its events on ‘The evolving role of HR in the contemporary business world’.         You have been asked to produce a paper for inclusion in the delegate pack.</dc:subject>
  <dc:creator>Nick Bowen</dc:creator>
  <cp:lastModifiedBy>Bowen N.</cp:lastModifiedBy>
  <cp:revision>2</cp:revision>
  <dcterms:created xsi:type="dcterms:W3CDTF">2018-01-21T14:58:00Z</dcterms:created>
  <dcterms:modified xsi:type="dcterms:W3CDTF">2018-01-21T14:58:00Z</dcterms:modified>
</cp:coreProperties>
</file>