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color w:val="4472C4" w:themeColor="accent1"/>
        </w:rPr>
        <w:id w:val="787927675"/>
        <w:docPartObj>
          <w:docPartGallery w:val="Cover Pages"/>
          <w:docPartUnique/>
        </w:docPartObj>
      </w:sdtPr>
      <w:sdtEndPr>
        <w:rPr>
          <w:rFonts w:eastAsiaTheme="minorHAnsi"/>
          <w:color w:val="auto"/>
          <w:sz w:val="24"/>
          <w:szCs w:val="24"/>
          <w:lang w:val="en-GB" w:eastAsia="en-US"/>
        </w:rPr>
      </w:sdtEndPr>
      <w:sdtContent>
        <w:p w14:paraId="32E63A51" w14:textId="3C2FF948" w:rsidR="00834950" w:rsidRDefault="00834950">
          <w:pPr>
            <w:pStyle w:val="NoSpacing"/>
            <w:spacing w:before="1540" w:after="240"/>
            <w:jc w:val="center"/>
            <w:rPr>
              <w:color w:val="4472C4" w:themeColor="accent1"/>
            </w:rPr>
          </w:pPr>
          <w:r>
            <w:rPr>
              <w:noProof/>
              <w:color w:val="4472C4" w:themeColor="accent1"/>
            </w:rPr>
            <w:drawing>
              <wp:inline distT="0" distB="0" distL="0" distR="0" wp14:anchorId="55FEFA78" wp14:editId="31DBC268">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54377873F4D05A47B999215DB700AA2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557F2A4" w14:textId="64328D0B" w:rsidR="00834950" w:rsidRDefault="00834950">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 xml:space="preserve">Historical Theories </w:t>
              </w:r>
            </w:p>
          </w:sdtContent>
        </w:sdt>
        <w:sdt>
          <w:sdtPr>
            <w:rPr>
              <w:color w:val="4472C4" w:themeColor="accent1"/>
              <w:sz w:val="28"/>
              <w:szCs w:val="28"/>
            </w:rPr>
            <w:alias w:val="Subtitle"/>
            <w:tag w:val=""/>
            <w:id w:val="328029620"/>
            <w:placeholder>
              <w:docPart w:val="CDAA92CD790E5D4FA74C196C209F0041"/>
            </w:placeholder>
            <w:dataBinding w:prefixMappings="xmlns:ns0='http://purl.org/dc/elements/1.1/' xmlns:ns1='http://schemas.openxmlformats.org/package/2006/metadata/core-properties' " w:xpath="/ns1:coreProperties[1]/ns0:subject[1]" w:storeItemID="{6C3C8BC8-F283-45AE-878A-BAB7291924A1}"/>
            <w:text/>
          </w:sdtPr>
          <w:sdtContent>
            <w:p w14:paraId="5A0466C7" w14:textId="1C7F1327" w:rsidR="00834950" w:rsidRDefault="00834950">
              <w:pPr>
                <w:pStyle w:val="NoSpacing"/>
                <w:jc w:val="center"/>
                <w:rPr>
                  <w:color w:val="4472C4" w:themeColor="accent1"/>
                  <w:sz w:val="28"/>
                  <w:szCs w:val="28"/>
                </w:rPr>
              </w:pPr>
              <w:r>
                <w:rPr>
                  <w:color w:val="4472C4" w:themeColor="accent1"/>
                  <w:sz w:val="28"/>
                  <w:szCs w:val="28"/>
                </w:rPr>
                <w:t>Sophie Evans</w:t>
              </w:r>
            </w:p>
          </w:sdtContent>
        </w:sdt>
        <w:p w14:paraId="75E7BB07" w14:textId="77777777" w:rsidR="00834950" w:rsidRDefault="00834950">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56BDF070" wp14:editId="4FBDDEAA">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652A28F9" w14:textId="65D6C0DE" w:rsidR="00834950" w:rsidRDefault="00834950">
                                    <w:pPr>
                                      <w:pStyle w:val="NoSpacing"/>
                                      <w:spacing w:after="40"/>
                                      <w:jc w:val="center"/>
                                      <w:rPr>
                                        <w:caps/>
                                        <w:color w:val="4472C4" w:themeColor="accent1"/>
                                        <w:sz w:val="28"/>
                                        <w:szCs w:val="28"/>
                                      </w:rPr>
                                    </w:pPr>
                                    <w:r>
                                      <w:rPr>
                                        <w:caps/>
                                        <w:color w:val="4472C4" w:themeColor="accent1"/>
                                        <w:sz w:val="28"/>
                                        <w:szCs w:val="28"/>
                                      </w:rPr>
                                      <w:t>WORD COUNT:</w:t>
                                    </w:r>
                                    <w:r w:rsidR="00C410A5">
                                      <w:rPr>
                                        <w:caps/>
                                        <w:color w:val="4472C4" w:themeColor="accent1"/>
                                        <w:sz w:val="28"/>
                                        <w:szCs w:val="28"/>
                                      </w:rPr>
                                      <w:t>2947</w:t>
                                    </w:r>
                                  </w:p>
                                </w:sdtContent>
                              </w:sdt>
                              <w:p w14:paraId="1D72B692" w14:textId="4A3311BD" w:rsidR="00834950" w:rsidRDefault="0083495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STUDENT NUMBER:</w:t>
                                    </w:r>
                                  </w:sdtContent>
                                </w:sdt>
                              </w:p>
                              <w:p w14:paraId="54D2B7E9" w14:textId="2E77EE25" w:rsidR="00834950" w:rsidRDefault="0083495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1700768</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6BDF070"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&#13;&#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652A28F9" w14:textId="65D6C0DE" w:rsidR="00834950" w:rsidRDefault="00834950">
                              <w:pPr>
                                <w:pStyle w:val="NoSpacing"/>
                                <w:spacing w:after="40"/>
                                <w:jc w:val="center"/>
                                <w:rPr>
                                  <w:caps/>
                                  <w:color w:val="4472C4" w:themeColor="accent1"/>
                                  <w:sz w:val="28"/>
                                  <w:szCs w:val="28"/>
                                </w:rPr>
                              </w:pPr>
                              <w:r>
                                <w:rPr>
                                  <w:caps/>
                                  <w:color w:val="4472C4" w:themeColor="accent1"/>
                                  <w:sz w:val="28"/>
                                  <w:szCs w:val="28"/>
                                </w:rPr>
                                <w:t>WORD COUNT:</w:t>
                              </w:r>
                              <w:r w:rsidR="00C410A5">
                                <w:rPr>
                                  <w:caps/>
                                  <w:color w:val="4472C4" w:themeColor="accent1"/>
                                  <w:sz w:val="28"/>
                                  <w:szCs w:val="28"/>
                                </w:rPr>
                                <w:t>2947</w:t>
                              </w:r>
                            </w:p>
                          </w:sdtContent>
                        </w:sdt>
                        <w:p w14:paraId="1D72B692" w14:textId="4A3311BD" w:rsidR="00834950" w:rsidRDefault="0083495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STUDENT NUMBER:</w:t>
                              </w:r>
                            </w:sdtContent>
                          </w:sdt>
                        </w:p>
                        <w:p w14:paraId="54D2B7E9" w14:textId="2E77EE25" w:rsidR="00834950" w:rsidRDefault="0083495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1700768</w:t>
                              </w:r>
                            </w:sdtContent>
                          </w:sdt>
                        </w:p>
                      </w:txbxContent>
                    </v:textbox>
                    <w10:wrap anchorx="margin" anchory="page"/>
                  </v:shape>
                </w:pict>
              </mc:Fallback>
            </mc:AlternateContent>
          </w:r>
          <w:r>
            <w:rPr>
              <w:noProof/>
              <w:color w:val="4472C4" w:themeColor="accent1"/>
            </w:rPr>
            <w:drawing>
              <wp:inline distT="0" distB="0" distL="0" distR="0" wp14:anchorId="421401C4" wp14:editId="14948629">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B715081" w14:textId="72C64AC9" w:rsidR="00834950" w:rsidRDefault="00834950">
          <w:r>
            <w:br w:type="page"/>
          </w:r>
        </w:p>
      </w:sdtContent>
    </w:sdt>
    <w:p w14:paraId="5B307FDF" w14:textId="2758F9BB" w:rsidR="003B3E07" w:rsidRDefault="003B3E07" w:rsidP="003B3E07">
      <w:pPr>
        <w:spacing w:line="480" w:lineRule="auto"/>
      </w:pPr>
      <w:r>
        <w:lastRenderedPageBreak/>
        <w:t xml:space="preserve">According to Sunderland (1947, cited in Akers, 2012, p2) criminology is the study in-which is the process which work towards law making, breaking and enforcing, this offers a starting point for many criminological theories. The two theories which will be discussed predominantly within this essay will be the subcultural theory and labelling theory. An overview of both theories includes the sociological theory and work put forward by Albert Cohen, surrounding the subculture of delinquent boys, this can best be described as a study of working-class, young males who belief the solution to solve problems is through crime and delinquencies (Williams, 2011, Page 7). </w:t>
      </w:r>
    </w:p>
    <w:p w14:paraId="2F1B8B1C" w14:textId="04BBC719" w:rsidR="003B3E07" w:rsidRDefault="003B3E07" w:rsidP="003B3E07">
      <w:pPr>
        <w:spacing w:line="480" w:lineRule="auto"/>
      </w:pPr>
      <w:r>
        <w:t>The second theory discussed in this essay is the labelling theory, first identified in the work of Mead (1918), who looked at ‘punitive justice’ and concluded that as a society, the initial response to a criminal is hostility (Farrington and Murray, 2017, Page 16). Moreover, it’s the studies from interactionist Howard Becker (!963) which is used in the modern day to describe the labelling theory, due to offering an explanation of labelling for deviance (Farrington and Murray, 2017, Page 21).</w:t>
      </w:r>
    </w:p>
    <w:p w14:paraId="3D1D7345" w14:textId="285FF9ED" w:rsidR="00DF522E" w:rsidRDefault="003B3E07" w:rsidP="003B3E07">
      <w:pPr>
        <w:spacing w:line="480" w:lineRule="auto"/>
      </w:pPr>
      <w:r>
        <w:t>Throughout the essay, the two theories will be applied to the brut</w:t>
      </w:r>
      <w:r w:rsidR="00D03DE5">
        <w:t>a</w:t>
      </w:r>
      <w:r>
        <w:t>l murder of 18 year</w:t>
      </w:r>
      <w:r w:rsidR="00DF522E">
        <w:t>-</w:t>
      </w:r>
      <w:r>
        <w:t xml:space="preserve">old Stephan Lawrence, who was stabbed </w:t>
      </w:r>
      <w:r w:rsidR="00D03DE5">
        <w:t xml:space="preserve">and killed </w:t>
      </w:r>
      <w:r>
        <w:t>in an unpro</w:t>
      </w:r>
      <w:r w:rsidR="00DF522E">
        <w:t>ved</w:t>
      </w:r>
      <w:r>
        <w:t xml:space="preserve"> attack. </w:t>
      </w:r>
    </w:p>
    <w:p w14:paraId="54889768" w14:textId="1725526A" w:rsidR="00144A78" w:rsidRDefault="00144A78" w:rsidP="003B3E07">
      <w:pPr>
        <w:spacing w:line="480" w:lineRule="auto"/>
      </w:pPr>
    </w:p>
    <w:p w14:paraId="40DE0440" w14:textId="1C99D24C" w:rsidR="00832E4B" w:rsidRDefault="00832E4B" w:rsidP="003B3E07">
      <w:pPr>
        <w:spacing w:line="480" w:lineRule="auto"/>
      </w:pPr>
      <w:r>
        <w:t>In the 1960</w:t>
      </w:r>
      <w:r w:rsidR="00D03DE5">
        <w:t>’</w:t>
      </w:r>
      <w:r>
        <w:t>s there was a push from scientific theories to move past the methods of classi</w:t>
      </w:r>
      <w:r w:rsidR="00D03DE5">
        <w:t xml:space="preserve">sm </w:t>
      </w:r>
      <w:r>
        <w:t xml:space="preserve">and </w:t>
      </w:r>
      <w:r w:rsidR="00D03DE5">
        <w:t xml:space="preserve">positivism </w:t>
      </w:r>
      <w:r>
        <w:t xml:space="preserve">and introduce a new era </w:t>
      </w:r>
      <w:r w:rsidR="00D03DE5">
        <w:t>for</w:t>
      </w:r>
      <w:r>
        <w:t xml:space="preserve"> theories</w:t>
      </w:r>
      <w:r w:rsidR="00D03DE5">
        <w:t>;</w:t>
      </w:r>
      <w:r>
        <w:t xml:space="preserve"> which represent wider society and to gain a deeper understanding on why individuals commit crime. A theory which was developed to recognise young people and crime is the research by Cohen on subcultural theory (Williams, 2011, p3). </w:t>
      </w:r>
    </w:p>
    <w:p w14:paraId="0A034705" w14:textId="3AC84A95" w:rsidR="00832E4B" w:rsidRDefault="00832E4B" w:rsidP="003B3E07">
      <w:pPr>
        <w:spacing w:line="480" w:lineRule="auto"/>
      </w:pPr>
    </w:p>
    <w:p w14:paraId="30E1FFB6" w14:textId="28DA99E9" w:rsidR="00832E4B" w:rsidRDefault="00832E4B" w:rsidP="003B3E07">
      <w:pPr>
        <w:spacing w:line="480" w:lineRule="auto"/>
      </w:pPr>
      <w:r>
        <w:lastRenderedPageBreak/>
        <w:t xml:space="preserve">Modern day theorist </w:t>
      </w:r>
      <w:r w:rsidR="00A369F0">
        <w:t xml:space="preserve">Gelder (2005, cited in. Williams, 2006) </w:t>
      </w:r>
      <w:r w:rsidR="00AF0326">
        <w:t>suggested that the modern society is filled with people ‘that are in some way represented as non-normative or marginalised through their particular interests’. This supports the subcultural theory as individuals who are believed to not represent ‘normal’ behaviour, tend to form subcultures to express themselves</w:t>
      </w:r>
      <w:r w:rsidR="00AD0446">
        <w:t xml:space="preserve"> and become marginalised from society</w:t>
      </w:r>
      <w:r w:rsidR="00AF0326">
        <w:t xml:space="preserve"> (Williams, 2006). </w:t>
      </w:r>
    </w:p>
    <w:p w14:paraId="115E536B" w14:textId="6AB2D75B" w:rsidR="00AF0326" w:rsidRDefault="00AF0326" w:rsidP="003B3E07">
      <w:pPr>
        <w:spacing w:line="480" w:lineRule="auto"/>
      </w:pPr>
    </w:p>
    <w:p w14:paraId="6200917D" w14:textId="6F5D637B" w:rsidR="00D4027E" w:rsidRDefault="00AF0326" w:rsidP="003B3E07">
      <w:pPr>
        <w:spacing w:line="480" w:lineRule="auto"/>
      </w:pPr>
      <w:r>
        <w:t>Albert Cohen is famously known for his research which supports the subculture theory through de</w:t>
      </w:r>
      <w:r w:rsidR="00562C4F">
        <w:t>linquency, which looks closely at working class and middle</w:t>
      </w:r>
      <w:r w:rsidR="00CC7412">
        <w:t>-</w:t>
      </w:r>
      <w:r w:rsidR="00562C4F">
        <w:t xml:space="preserve">class males (Polk, Frease, Richmond, 1974). </w:t>
      </w:r>
      <w:r w:rsidR="00CC7412">
        <w:t xml:space="preserve">Cohen (1955) states that middle-class males are well equipped to gain success within society. However, compared with working class who are unfortunately regarded as unable to maintain standards which have been created by the middle-class (Kelly and Balch, 1971). </w:t>
      </w:r>
    </w:p>
    <w:p w14:paraId="69FCB3B2" w14:textId="0AD4A95E" w:rsidR="00AF0326" w:rsidRDefault="00CC7412" w:rsidP="003B3E07">
      <w:pPr>
        <w:spacing w:line="480" w:lineRule="auto"/>
      </w:pPr>
      <w:r>
        <w:t>The marginalisation of working</w:t>
      </w:r>
      <w:r w:rsidR="00AD0446">
        <w:t>-</w:t>
      </w:r>
      <w:r>
        <w:t>class males from a middle-class society can begin as early as within the classroom, the working</w:t>
      </w:r>
      <w:r w:rsidR="00AD0446">
        <w:t>-</w:t>
      </w:r>
      <w:r>
        <w:t>class boys are seen as non-sophi</w:t>
      </w:r>
      <w:r w:rsidR="00AD0446">
        <w:t>sticated</w:t>
      </w:r>
      <w:r>
        <w:t xml:space="preserve"> and are unable to maintain ‘good appearances</w:t>
      </w:r>
      <w:r w:rsidR="00AD0446">
        <w:t>’</w:t>
      </w:r>
      <w:r>
        <w:t xml:space="preserve"> (Kelly and Balch, 1971). Due to the fact that schools were thought to be an institution for the middle-class, the working class were inevitably being compared to their middle-class counterparts (Kelly and Balch, 1971).</w:t>
      </w:r>
      <w:r w:rsidR="004B646C">
        <w:t xml:space="preserve"> Cohen believed this led the working</w:t>
      </w:r>
      <w:r w:rsidR="007C446C">
        <w:t>-</w:t>
      </w:r>
      <w:r w:rsidR="004B646C">
        <w:t>class boys develop a delinquent subculture, this was due to the pressure and anxiety the working classed males were experienc</w:t>
      </w:r>
      <w:r w:rsidR="007C446C">
        <w:t xml:space="preserve">ing </w:t>
      </w:r>
      <w:r w:rsidR="004B646C">
        <w:t>and faced with</w:t>
      </w:r>
      <w:r w:rsidR="00D4027E">
        <w:t xml:space="preserve"> (Voss, 1966). </w:t>
      </w:r>
    </w:p>
    <w:p w14:paraId="7FA3786A" w14:textId="03BEC04B" w:rsidR="00D4027E" w:rsidRDefault="00D4027E" w:rsidP="003B3E07">
      <w:pPr>
        <w:spacing w:line="480" w:lineRule="auto"/>
      </w:pPr>
    </w:p>
    <w:p w14:paraId="47E3A110" w14:textId="724B41EE" w:rsidR="00531B4A" w:rsidRDefault="00531B4A" w:rsidP="003B3E07">
      <w:pPr>
        <w:spacing w:line="480" w:lineRule="auto"/>
      </w:pPr>
      <w:r>
        <w:t>Cohen continue the research of delinquent boys by suggesting that the attitude set by the subcultures of the working</w:t>
      </w:r>
      <w:r w:rsidR="007C446C">
        <w:t>-</w:t>
      </w:r>
      <w:r>
        <w:t xml:space="preserve">class males is to ‘live for today’, this can be due to many social factors including not being surrounded with educational equipment (Kaufman, 2017, p124). </w:t>
      </w:r>
      <w:r>
        <w:lastRenderedPageBreak/>
        <w:t>Working class males are also believed to show physical aggression in both internal and external education setting (Kaufman, 2017, p124).</w:t>
      </w:r>
    </w:p>
    <w:p w14:paraId="271FA77F" w14:textId="04697ACF" w:rsidR="00650077" w:rsidRDefault="00650077" w:rsidP="003B3E07">
      <w:pPr>
        <w:spacing w:line="480" w:lineRule="auto"/>
      </w:pPr>
    </w:p>
    <w:p w14:paraId="5D9913DA" w14:textId="213BA81A" w:rsidR="00650077" w:rsidRDefault="00650077" w:rsidP="003B3E07">
      <w:pPr>
        <w:spacing w:line="480" w:lineRule="auto"/>
      </w:pPr>
      <w:r>
        <w:t xml:space="preserve">Albert Cohen’s </w:t>
      </w:r>
      <w:r w:rsidR="003F7B33">
        <w:t xml:space="preserve">delinquency boys theory has been supported </w:t>
      </w:r>
      <w:r w:rsidR="00F64225">
        <w:t>a</w:t>
      </w:r>
      <w:r w:rsidR="003F7B33">
        <w:t xml:space="preserve">nd </w:t>
      </w:r>
      <w:r w:rsidR="00F64225">
        <w:t xml:space="preserve">developed by left realism, </w:t>
      </w:r>
      <w:r w:rsidR="00851412">
        <w:t xml:space="preserve">which both argue that certain individuals can lack the ambition to resolve or solve problems, such as relative deprivation. </w:t>
      </w:r>
      <w:r w:rsidR="00E8283F">
        <w:t>In some cases these individuals may form a subculture along with other people who feel disenfranchised from the wider society</w:t>
      </w:r>
      <w:r w:rsidR="00C718A8">
        <w:t xml:space="preserve"> (DeKeseredy and Schwartz, 2010).</w:t>
      </w:r>
    </w:p>
    <w:p w14:paraId="08ACAFD6" w14:textId="77777777" w:rsidR="009E2B72" w:rsidRDefault="009E2B72" w:rsidP="003B3E07">
      <w:pPr>
        <w:spacing w:line="480" w:lineRule="auto"/>
      </w:pPr>
    </w:p>
    <w:p w14:paraId="36F352FD" w14:textId="2670D162" w:rsidR="00C718A8" w:rsidRDefault="00C718A8" w:rsidP="003B3E07">
      <w:pPr>
        <w:spacing w:line="480" w:lineRule="auto"/>
      </w:pPr>
      <w:r>
        <w:t xml:space="preserve">Left realism is known as a modern critical criminology theory which offers new direction and </w:t>
      </w:r>
      <w:r w:rsidR="009E2B72">
        <w:t xml:space="preserve">applies historical theories to the society we know and live today. For example, the subcultural theory which is known today is one which is similar to that of Cohen however, instead of looking at school boys, a new approach looks and the young, working class males which are seemingly unemployed (DeKeseredy and Schwartz, 2010). </w:t>
      </w:r>
      <w:r w:rsidR="001A048A">
        <w:t xml:space="preserve"> This new approach has been used to best describe the rise in subculture gangs in North America, as the rate of unemployment according to official statistic is an estimated 7 million people, the real figure is seemed to be much larger as pointed out by Currie (Cited in Dekeseredy and Schwartz, 2010), the </w:t>
      </w:r>
      <w:r w:rsidR="0015039C">
        <w:t xml:space="preserve">7 million unemployed does not consist of the 2 million prison population or those who are homeless. </w:t>
      </w:r>
    </w:p>
    <w:p w14:paraId="511D729E" w14:textId="762977EF" w:rsidR="0015039C" w:rsidRDefault="0015039C" w:rsidP="003B3E07">
      <w:pPr>
        <w:spacing w:line="480" w:lineRule="auto"/>
      </w:pPr>
      <w:r>
        <w:t>Nevertheless</w:t>
      </w:r>
      <w:r w:rsidR="00BC5713">
        <w:t>, with the possibility of full-time employment becoming difficult to come across for those with little education, working class man are struggling to become part of a functioning society (DeKeseredy and Schwartz, 2010)</w:t>
      </w:r>
      <w:r w:rsidR="00EB0DE5">
        <w:t>. The new research also recognises that race and subcultures are occurring, it has been shown that young black males form subcultures</w:t>
      </w:r>
      <w:r w:rsidR="00451080">
        <w:t xml:space="preserve">, seen as violent subcultures. This is due to the fact that many young black males </w:t>
      </w:r>
      <w:r w:rsidR="00451080">
        <w:lastRenderedPageBreak/>
        <w:t xml:space="preserve">are unable to find employment however, they are also victims to frequent racism (DeKeseredy and Schwartz, 2010). This can be applied to the case study which is going to be discussed later in this essay about the racist murder of Stephan Lawrence, a report carried out by </w:t>
      </w:r>
      <w:r w:rsidR="00232A8A">
        <w:t>M</w:t>
      </w:r>
      <w:r w:rsidR="00A0639D">
        <w:t xml:space="preserve">acpherson </w:t>
      </w:r>
      <w:r w:rsidR="00451080">
        <w:t>(1999) found that there was institutional racism within the metropolitan p</w:t>
      </w:r>
      <w:r w:rsidR="00CB025C">
        <w:t>olice</w:t>
      </w:r>
      <w:r w:rsidR="00451080">
        <w:t xml:space="preserve"> service. </w:t>
      </w:r>
    </w:p>
    <w:p w14:paraId="015EA442" w14:textId="26D033D9" w:rsidR="00A0639D" w:rsidRDefault="00A0639D" w:rsidP="003B3E07">
      <w:pPr>
        <w:spacing w:line="480" w:lineRule="auto"/>
      </w:pPr>
    </w:p>
    <w:p w14:paraId="1C61C455" w14:textId="4FC934F4" w:rsidR="00A0639D" w:rsidRDefault="00A0639D" w:rsidP="003B3E07">
      <w:pPr>
        <w:spacing w:line="480" w:lineRule="auto"/>
      </w:pPr>
      <w:r>
        <w:t xml:space="preserve">The research surrounding subcultures and delinquent boys </w:t>
      </w:r>
      <w:r w:rsidR="00CB025C">
        <w:t>has been praised due to the consistency within the work of Albert Cohen, as it has been stated that the theory can offer support and solutions to working class boys forming subcultures (Kitsuse and Dietrick, 1959). Additionally, it has been suggested that Cohen theory is based around working class males being unable to compete with their middle</w:t>
      </w:r>
      <w:r w:rsidR="00C61012">
        <w:t>-</w:t>
      </w:r>
      <w:r w:rsidR="00CB025C">
        <w:t>class counterparts</w:t>
      </w:r>
      <w:r w:rsidR="00B514B8">
        <w:t>. What if, the working class were not interested in the middle</w:t>
      </w:r>
      <w:r w:rsidR="00C61012">
        <w:t>-</w:t>
      </w:r>
      <w:r w:rsidR="00B514B8">
        <w:t xml:space="preserve">class status at all? This would lead to the work of Cohen being inadequate (Kituse and Dietrick, 1959). </w:t>
      </w:r>
    </w:p>
    <w:p w14:paraId="59D2B6E1" w14:textId="1C6743EE" w:rsidR="00531B4A" w:rsidRDefault="007B62B3" w:rsidP="003B3E07">
      <w:pPr>
        <w:spacing w:line="480" w:lineRule="auto"/>
      </w:pPr>
      <w:r>
        <w:t xml:space="preserve"> </w:t>
      </w:r>
    </w:p>
    <w:p w14:paraId="35BE79CC" w14:textId="6C69D2E8" w:rsidR="00D4027E" w:rsidRDefault="00D4027E" w:rsidP="003B3E07">
      <w:pPr>
        <w:spacing w:line="480" w:lineRule="auto"/>
      </w:pPr>
      <w:r>
        <w:t>Moreover, the work of Cohen has been criticised by other theorists due to only taking into account the subcultures of working class young boys, this is due to the fact that young males from a middle class background may also develop a subculture due to the stress and anxiety that is placed upon them from society (Voss, 1966).</w:t>
      </w:r>
    </w:p>
    <w:p w14:paraId="7D0DFB1B" w14:textId="2F9BB9A9" w:rsidR="007B62B3" w:rsidRDefault="007B62B3" w:rsidP="007B62B3">
      <w:pPr>
        <w:spacing w:line="480" w:lineRule="auto"/>
      </w:pPr>
      <w:r>
        <w:t>Feminist in-particular have been critical of subcultures and the delinquent boys theory, due to the failure to recognise both genders and how the patriarchy can affect the behaviour of the youth and adolescents (Hoffman, 2011</w:t>
      </w:r>
      <w:r w:rsidR="00323ACE">
        <w:t>, p218</w:t>
      </w:r>
      <w:r>
        <w:t xml:space="preserve">). </w:t>
      </w:r>
    </w:p>
    <w:p w14:paraId="32CCFCE0" w14:textId="77777777" w:rsidR="007B62B3" w:rsidRDefault="007B62B3" w:rsidP="003B3E07">
      <w:pPr>
        <w:spacing w:line="480" w:lineRule="auto"/>
      </w:pPr>
    </w:p>
    <w:p w14:paraId="4917D395" w14:textId="6EEF6C0E" w:rsidR="00DF522E" w:rsidRDefault="00DF522E" w:rsidP="003B3E07">
      <w:pPr>
        <w:spacing w:line="480" w:lineRule="auto"/>
      </w:pPr>
    </w:p>
    <w:p w14:paraId="1A255D1C" w14:textId="542790E0" w:rsidR="00DF522E" w:rsidRDefault="00DF522E" w:rsidP="003B3E07">
      <w:pPr>
        <w:spacing w:line="480" w:lineRule="auto"/>
      </w:pPr>
      <w:r>
        <w:lastRenderedPageBreak/>
        <w:t xml:space="preserve">One historical theory which believes that ‘crime is in the eye of the beholder, and the beholder is the law’ is the constructionist. </w:t>
      </w:r>
      <w:r w:rsidR="00522319">
        <w:t xml:space="preserve"> Freidman (1993, cited in</w:t>
      </w:r>
      <w:r w:rsidR="001430E6">
        <w:t xml:space="preserve"> Fitzgerald, 2011</w:t>
      </w:r>
      <w:r w:rsidR="00522319">
        <w:t xml:space="preserve">) highlights that a definition of a criminal activity can fluctuate over a period of time, in the case of abortions which has been seen as legal, criminal and subsequently decriminalised; the conclusion which was formed by Friedman was </w:t>
      </w:r>
      <w:r w:rsidR="001430E6">
        <w:t>that crime is created by the laws of status which are placed on society (Fitzgerald, 2011).</w:t>
      </w:r>
    </w:p>
    <w:p w14:paraId="0D3EEB8E" w14:textId="41DF65D3" w:rsidR="001430E6" w:rsidRDefault="001430E6" w:rsidP="003B3E07">
      <w:pPr>
        <w:spacing w:line="480" w:lineRule="auto"/>
      </w:pPr>
    </w:p>
    <w:p w14:paraId="0DD45329" w14:textId="26031D34" w:rsidR="005B23C3" w:rsidRDefault="001C594F" w:rsidP="003B3E07">
      <w:pPr>
        <w:spacing w:line="480" w:lineRule="auto"/>
      </w:pPr>
      <w:r>
        <w:t xml:space="preserve">Constructionists theory can be spilt into three categories </w:t>
      </w:r>
      <w:r w:rsidR="00CB54F9">
        <w:t xml:space="preserve">which include; labelling theory, critical theory and the social control theory (Fitzgerald, 2011). </w:t>
      </w:r>
      <w:r w:rsidR="00134BD5">
        <w:t>The labelling theory can be described</w:t>
      </w:r>
      <w:r w:rsidR="007F17D4">
        <w:t xml:space="preserve"> as a social interaction</w:t>
      </w:r>
      <w:r w:rsidR="00FA30F3">
        <w:t xml:space="preserve"> between an individual and a number of networks such as families, peers and in some cases unknown onlookers (Bryant, 2011)</w:t>
      </w:r>
      <w:r w:rsidR="00CC55E3">
        <w:t xml:space="preserve">. </w:t>
      </w:r>
      <w:r w:rsidR="005F4BDD">
        <w:t xml:space="preserve">Constructionists are unlike other theories which look at the biological and psychological approaches in which people become deviant, the labelling theory argues both criminological and sociological analysis should firstly offer an insight into how individuals can be defined as deviant (Muncie, 2009). Howard Becker’s (1963, cited in Muncie, 2006), is a famous constructionist who’s claimed that an individual only becomes deviant once a label has been places upon them. </w:t>
      </w:r>
    </w:p>
    <w:p w14:paraId="48B31DED" w14:textId="77777777" w:rsidR="002F2D6A" w:rsidRDefault="002F2D6A" w:rsidP="003B3E07">
      <w:pPr>
        <w:spacing w:line="480" w:lineRule="auto"/>
      </w:pPr>
    </w:p>
    <w:p w14:paraId="6BAFA44C" w14:textId="60842603" w:rsidR="003B3E07" w:rsidRDefault="00CC55E3" w:rsidP="003B3E07">
      <w:pPr>
        <w:spacing w:line="480" w:lineRule="auto"/>
      </w:pPr>
      <w:r>
        <w:t xml:space="preserve">Constructive theories Edwin Lemert believes that a large proportion of society will at a point take part in rule breaking activity, known as primary deviance. Lemert, continues and states that secondary deviance will not be carried out unless </w:t>
      </w:r>
      <w:r w:rsidR="00C83195">
        <w:t>a deviance label is placed on an individual (</w:t>
      </w:r>
      <w:r w:rsidR="00822ED0">
        <w:t>Harrington, Marshall and Muller, 2006</w:t>
      </w:r>
      <w:r w:rsidR="00074957">
        <w:t>, p136</w:t>
      </w:r>
      <w:r w:rsidR="00C83195">
        <w:t xml:space="preserve">). Once the label has been </w:t>
      </w:r>
      <w:r w:rsidR="005B23C3">
        <w:t xml:space="preserve">placed on an individual accredited personnel for example, the police, parents, guardian, and teachers, </w:t>
      </w:r>
      <w:r w:rsidR="005B23C3">
        <w:lastRenderedPageBreak/>
        <w:t>once the label has been placed on a individual from a personnel, it allows the individual to live up to the expectations of the label (</w:t>
      </w:r>
      <w:r w:rsidR="00822ED0">
        <w:t>Harrington, Marshall and Muller, 2006</w:t>
      </w:r>
      <w:r w:rsidR="005F4BDD">
        <w:t>, p136</w:t>
      </w:r>
      <w:r w:rsidR="005B23C3">
        <w:t xml:space="preserve">). </w:t>
      </w:r>
    </w:p>
    <w:p w14:paraId="14777646" w14:textId="46011E0A" w:rsidR="005B23C3" w:rsidRDefault="005B23C3" w:rsidP="003B3E07">
      <w:pPr>
        <w:spacing w:line="480" w:lineRule="auto"/>
      </w:pPr>
    </w:p>
    <w:p w14:paraId="33EA51D5" w14:textId="1A8FE8F6" w:rsidR="005B23C3" w:rsidRDefault="005B23C3" w:rsidP="003B3E07">
      <w:pPr>
        <w:spacing w:line="480" w:lineRule="auto"/>
      </w:pPr>
      <w:r>
        <w:t>Howard Becker’s work and research continues to exp</w:t>
      </w:r>
      <w:r w:rsidR="00673D5A">
        <w:t>a</w:t>
      </w:r>
      <w:r>
        <w:t xml:space="preserve">nd the theory </w:t>
      </w:r>
      <w:r w:rsidR="00E81510">
        <w:t>and explanation of the work carried out Lemert. Becker (1963, cited in</w:t>
      </w:r>
      <w:r w:rsidR="00822ED0">
        <w:t xml:space="preserve"> Harrington, Marshall and Muller, 2006</w:t>
      </w:r>
      <w:r w:rsidR="005F4BDD">
        <w:t>, p136</w:t>
      </w:r>
      <w:r w:rsidR="00E81510">
        <w:t xml:space="preserve">), </w:t>
      </w:r>
      <w:r w:rsidR="00673D5A">
        <w:t xml:space="preserve">explains that </w:t>
      </w:r>
      <w:r w:rsidR="00E81510">
        <w:t xml:space="preserve">secondary deviance occurs when the label becomes the ‘master status’, when a deviance label is place on an individuals, the person can feel rejected from society and hence create a </w:t>
      </w:r>
      <w:r w:rsidR="00AE4DFE">
        <w:t>new identity which entails the deviance label. The knock</w:t>
      </w:r>
      <w:r w:rsidR="00822ED0">
        <w:t>-</w:t>
      </w:r>
      <w:r w:rsidR="00AE4DFE">
        <w:t>on effect of a deviant identity is the risk of an individual may become part of a deviance subculture</w:t>
      </w:r>
      <w:r w:rsidR="00822ED0">
        <w:t xml:space="preserve"> (Harrington, Marshall and Muller, 2006</w:t>
      </w:r>
      <w:r w:rsidR="005F4BDD">
        <w:t>, p136</w:t>
      </w:r>
      <w:r w:rsidR="00822ED0">
        <w:t>)</w:t>
      </w:r>
      <w:r w:rsidR="00AE4DFE">
        <w:t>.</w:t>
      </w:r>
    </w:p>
    <w:p w14:paraId="1DE8F35F" w14:textId="549B8C2D" w:rsidR="002F2D6A" w:rsidRDefault="002F2D6A" w:rsidP="003B3E07">
      <w:pPr>
        <w:spacing w:line="480" w:lineRule="auto"/>
      </w:pPr>
    </w:p>
    <w:p w14:paraId="19AF9FBB" w14:textId="3408367A" w:rsidR="002743B7" w:rsidRDefault="001E779D" w:rsidP="001A6AC4">
      <w:pPr>
        <w:spacing w:line="480" w:lineRule="auto"/>
      </w:pPr>
      <w:r>
        <w:t>Furthermore, an example of how</w:t>
      </w:r>
      <w:r w:rsidR="001A6AC4">
        <w:t xml:space="preserve"> a deviant</w:t>
      </w:r>
      <w:r>
        <w:t xml:space="preserve"> label can cause </w:t>
      </w:r>
      <w:r w:rsidR="001A6AC4">
        <w:t>moral panic due to the reports by the media is the work of Cohen in 1972, of the mods and rockers (</w:t>
      </w:r>
      <w:r w:rsidR="00963D72">
        <w:t>Greer and Reiner, 2013</w:t>
      </w:r>
      <w:r w:rsidR="001A6AC4">
        <w:t>). The media reported the disruption of two young groups at an English seaside t</w:t>
      </w:r>
      <w:r w:rsidR="00C61012">
        <w:t>own</w:t>
      </w:r>
      <w:r w:rsidR="001A6AC4">
        <w:t xml:space="preserve">, the report from the media led society to label both group as deviant, </w:t>
      </w:r>
      <w:r w:rsidR="003A5A49">
        <w:t>the result of the label led to the groups being marginalised and causing moral panic which led to extra police and surveillance to</w:t>
      </w:r>
      <w:r w:rsidR="00C9092C">
        <w:t xml:space="preserve"> allow tranquility in the area (</w:t>
      </w:r>
      <w:r w:rsidR="00963D72">
        <w:t>Greer and Reiner, 2013</w:t>
      </w:r>
      <w:r w:rsidR="00C9092C">
        <w:t>).</w:t>
      </w:r>
      <w:r w:rsidR="003A5A49">
        <w:t xml:space="preserve"> </w:t>
      </w:r>
      <w:r w:rsidR="00C9092C">
        <w:t>Secondly, the labels places on the groups caused deviance amplification, which caused further disruption due to the groups living up to their labels (</w:t>
      </w:r>
      <w:r w:rsidR="00963D72">
        <w:t>Greer and Reiner, 2013</w:t>
      </w:r>
      <w:r w:rsidR="00C9092C">
        <w:t>). The work carried out by Cohen stemmed from the work of Becker and the labelling theory (</w:t>
      </w:r>
      <w:r w:rsidR="00963D72">
        <w:t>Greer and Reiner, 2013</w:t>
      </w:r>
      <w:r w:rsidR="00C9092C">
        <w:t>)</w:t>
      </w:r>
      <w:r w:rsidR="00963D72">
        <w:t>.</w:t>
      </w:r>
    </w:p>
    <w:p w14:paraId="6027FCD0" w14:textId="77777777" w:rsidR="00092D7F" w:rsidRDefault="00092D7F" w:rsidP="001A6AC4">
      <w:pPr>
        <w:spacing w:line="480" w:lineRule="auto"/>
      </w:pPr>
    </w:p>
    <w:p w14:paraId="22C4C5A1" w14:textId="45295514" w:rsidR="003B3E07" w:rsidRDefault="003B3E07" w:rsidP="003B3E07">
      <w:pPr>
        <w:spacing w:line="480" w:lineRule="auto"/>
      </w:pPr>
    </w:p>
    <w:p w14:paraId="6D358B55" w14:textId="54157EE0" w:rsidR="00B1587A" w:rsidRDefault="00413F65" w:rsidP="003B3E07">
      <w:pPr>
        <w:spacing w:line="480" w:lineRule="auto"/>
      </w:pPr>
      <w:r>
        <w:t xml:space="preserve">The labelling theory offers </w:t>
      </w:r>
      <w:r w:rsidR="006A7609">
        <w:t>an approach to understanding why a person commits a crime or becomes deviant</w:t>
      </w:r>
      <w:r w:rsidR="001C66C0">
        <w:t>. However, during the 1970s the theory came under scrutiny by ot</w:t>
      </w:r>
      <w:r w:rsidR="001D11A6">
        <w:t>h</w:t>
      </w:r>
      <w:r w:rsidR="001C66C0">
        <w:t xml:space="preserve">er </w:t>
      </w:r>
      <w:r w:rsidR="001C66C0">
        <w:lastRenderedPageBreak/>
        <w:t xml:space="preserve">theories such as Hirschi (1980), Wellford (1975) and Mankoff (1971) who believe that the labelling theory is too simplistic and it does not offered a </w:t>
      </w:r>
      <w:r w:rsidR="00B1587A">
        <w:t>consistent evidence and support that a label can cause a person to become deviant (</w:t>
      </w:r>
      <w:r w:rsidR="001D11A6">
        <w:t>Lizotte, Hall and Krohn, 2009, p17</w:t>
      </w:r>
      <w:r w:rsidR="00B1587A">
        <w:t>). Moreover, the criticisms which were introduced in the 70’s and early 1980’s where shown to simplify the theory and misunderstood the meaning of the term ‘label’ (</w:t>
      </w:r>
      <w:r w:rsidR="001D11A6">
        <w:t>Lizotte, Hall and Krohn, 2009, p17</w:t>
      </w:r>
      <w:r w:rsidR="00B1587A">
        <w:t>).</w:t>
      </w:r>
    </w:p>
    <w:p w14:paraId="75E55DC1" w14:textId="56B7B3EB" w:rsidR="00B1587A" w:rsidRDefault="00B1587A" w:rsidP="003B3E07">
      <w:pPr>
        <w:spacing w:line="480" w:lineRule="auto"/>
      </w:pPr>
    </w:p>
    <w:p w14:paraId="7AD8AD29" w14:textId="25DB13BC" w:rsidR="001D11A6" w:rsidRDefault="00B1587A" w:rsidP="003B3E07">
      <w:pPr>
        <w:spacing w:line="480" w:lineRule="auto"/>
      </w:pPr>
      <w:r>
        <w:t>The labelling theory can be applied to the modern</w:t>
      </w:r>
      <w:r w:rsidR="00593340">
        <w:t>-</w:t>
      </w:r>
      <w:r>
        <w:t>day society</w:t>
      </w:r>
      <w:r w:rsidR="00593340">
        <w:t>. In 1973, Reed and Reed undertook research into whether we stereotype a person based on their appearance, the research suggested that as a society we label many ‘young, uneducated, lazy males’ with a criminal or deviant label (</w:t>
      </w:r>
      <w:r w:rsidR="001D11A6">
        <w:t>MacLin and Herrera, 2006</w:t>
      </w:r>
      <w:r w:rsidR="00593340">
        <w:t>). This research is supported by Madriz (1997, cited in</w:t>
      </w:r>
      <w:r w:rsidR="001D11A6">
        <w:t xml:space="preserve"> MacLin and Herrera, 2006</w:t>
      </w:r>
      <w:r w:rsidR="00593340">
        <w:t xml:space="preserve">) who carried out interviews and focus groups, the conclusion of the research found that people perceive a criminal to be a ‘poor, under, black male. </w:t>
      </w:r>
      <w:r w:rsidR="001D11A6">
        <w:t>This can relate to the case study of Stephan Lawr</w:t>
      </w:r>
      <w:r w:rsidR="007B62B3">
        <w:t>e</w:t>
      </w:r>
      <w:r w:rsidR="001D11A6">
        <w:t xml:space="preserve">nce which will be discussed in this essay. </w:t>
      </w:r>
    </w:p>
    <w:p w14:paraId="493287AA" w14:textId="328B73CD" w:rsidR="00144A78" w:rsidRDefault="00144A78" w:rsidP="003B3E07">
      <w:pPr>
        <w:spacing w:line="480" w:lineRule="auto"/>
      </w:pPr>
    </w:p>
    <w:p w14:paraId="46B23E62" w14:textId="3FEB8037" w:rsidR="001D11A6" w:rsidRDefault="007B62B3" w:rsidP="003B3E07">
      <w:pPr>
        <w:spacing w:line="480" w:lineRule="auto"/>
      </w:pPr>
      <w:r>
        <w:t>The racist murder of 18 year old Stephan Lawrence is one which will live in the memories of many people due to the numerous newspaper articles and television reports since the murder on the 22</w:t>
      </w:r>
      <w:r w:rsidRPr="007B62B3">
        <w:rPr>
          <w:vertAlign w:val="superscript"/>
        </w:rPr>
        <w:t>nd</w:t>
      </w:r>
      <w:r>
        <w:t xml:space="preserve"> of April 1993 (MacPherson, 1999). On what seemed to be a normal afternoon for Lawrence ended with a life lost from an incident that happened so quickly no witnesses were able to identify the group of young, white males who carried out the attack (MacPherson, 1999). </w:t>
      </w:r>
    </w:p>
    <w:p w14:paraId="799889A8" w14:textId="0E060723" w:rsidR="009B78C3" w:rsidRDefault="007B62B3" w:rsidP="003B3E07">
      <w:pPr>
        <w:spacing w:line="480" w:lineRule="auto"/>
      </w:pPr>
      <w:r>
        <w:t>We can quickly link the attack</w:t>
      </w:r>
      <w:r w:rsidR="006A34DB">
        <w:t>ers</w:t>
      </w:r>
      <w:r w:rsidR="00155E1F">
        <w:t xml:space="preserve"> of Lawrence</w:t>
      </w:r>
      <w:r>
        <w:t xml:space="preserve"> to Cohen</w:t>
      </w:r>
      <w:r w:rsidR="00155E1F">
        <w:t>’s</w:t>
      </w:r>
      <w:r>
        <w:t xml:space="preserve"> theory of subculture</w:t>
      </w:r>
      <w:r w:rsidR="00155E1F">
        <w:t xml:space="preserve"> and delinquent boys; </w:t>
      </w:r>
      <w:r>
        <w:t xml:space="preserve">as </w:t>
      </w:r>
      <w:r w:rsidR="00155E1F">
        <w:t>Cohen</w:t>
      </w:r>
      <w:r>
        <w:t xml:space="preserve"> suggest that many young, white, working class males turn to </w:t>
      </w:r>
      <w:r>
        <w:lastRenderedPageBreak/>
        <w:t xml:space="preserve">deviant behaviour </w:t>
      </w:r>
      <w:r w:rsidR="00155E1F">
        <w:t xml:space="preserve">(Williams, 2011). The group of white youth which as a collective should all take joint responsibility </w:t>
      </w:r>
      <w:r w:rsidR="005314C5">
        <w:t>for the brutal attack (MacPherson, 1999). The investigation took 19 years until two of the group murderers were sentences for their actions (BBC</w:t>
      </w:r>
      <w:r w:rsidR="000D5D54">
        <w:t>, 2012). Dodson and Norris both received life sentence, in a trail that lasted six weeks, the judge concluded that the attack on Lawrence was for no other reason than racial hatred, and that Lawrence was helpless and blameless for the actions which took place (BBC, 2012).</w:t>
      </w:r>
      <w:r w:rsidR="00E37F03">
        <w:t xml:space="preserve"> </w:t>
      </w:r>
      <w:r w:rsidR="006A34DB">
        <w:t>At the time of the murder</w:t>
      </w:r>
      <w:r w:rsidR="009B78C3">
        <w:t>, the gang of white youths were kn</w:t>
      </w:r>
      <w:r w:rsidR="006F548A">
        <w:t>o</w:t>
      </w:r>
      <w:r w:rsidR="009B78C3">
        <w:t>w</w:t>
      </w:r>
      <w:r w:rsidR="006F548A">
        <w:t>n</w:t>
      </w:r>
      <w:r w:rsidR="009B78C3">
        <w:t xml:space="preserve"> as racist however, also in</w:t>
      </w:r>
      <w:r w:rsidR="006F548A">
        <w:t>s</w:t>
      </w:r>
      <w:r w:rsidR="009B78C3">
        <w:t>isted they were ‘lovable rogues’ (Laville, 2012). The gang of five white, working class males have never invaded the pressures of the media, criminal justice system and the publics hatred towards the suspects, over the 18 years of the assumption they were the murderers, the racist teenagers turned into jobless adults</w:t>
      </w:r>
      <w:r w:rsidR="004377BA">
        <w:t xml:space="preserve"> (Laville, 2012). </w:t>
      </w:r>
    </w:p>
    <w:p w14:paraId="0D933266" w14:textId="63012E52" w:rsidR="004377BA" w:rsidRDefault="004377BA" w:rsidP="003B3E07">
      <w:pPr>
        <w:spacing w:line="480" w:lineRule="auto"/>
      </w:pPr>
    </w:p>
    <w:p w14:paraId="3F5AF3A1" w14:textId="184C85E3" w:rsidR="004377BA" w:rsidRDefault="001C7FB2" w:rsidP="003B3E07">
      <w:pPr>
        <w:spacing w:line="480" w:lineRule="auto"/>
      </w:pPr>
      <w:r>
        <w:t>However, it is not only the subculture of the Dobson and Norris which can be identified it can also be the perceived subculture of Lawrence. Stephen Lawrence was a young, black male in London</w:t>
      </w:r>
      <w:r w:rsidR="009924AA">
        <w:t xml:space="preserve">. Many young, black males were and continue to be stereotyped to be the cause of violence on the streets and being related to gangs, deviant and antisocial behaviour (Williams, 2010). It has been suggested that black, working class males begin being criminalised </w:t>
      </w:r>
      <w:r w:rsidR="00106FD4">
        <w:t>by the education system (Siddique, 2020). Statistic suggest that young black males are four times more likely than their white counterpart to be excluded from school permanent (Siddique, 2020). This was not the case for Lawrence who efforts made him a great figure for not just black people but also working class (Cathcart, 2012). Stephen Parents also did not let the stereotypes of being ‘black and working class’ dwell their own efforts in supporting Stephen (Cathcart, 2012).</w:t>
      </w:r>
      <w:r w:rsidR="003C0916">
        <w:t xml:space="preserve"> Not only do the Lawrence family go through their lives being stereotyped but also being labelled. </w:t>
      </w:r>
    </w:p>
    <w:p w14:paraId="2A3F432C" w14:textId="2E1BB047" w:rsidR="003C0916" w:rsidRDefault="003C0916" w:rsidP="003B3E07">
      <w:pPr>
        <w:spacing w:line="480" w:lineRule="auto"/>
      </w:pPr>
      <w:r>
        <w:lastRenderedPageBreak/>
        <w:t xml:space="preserve">The case of </w:t>
      </w:r>
      <w:r w:rsidR="0008695A">
        <w:t>Stephen Lawrenc</w:t>
      </w:r>
      <w:r w:rsidR="00346379">
        <w:t>e</w:t>
      </w:r>
      <w:r w:rsidR="0008695A">
        <w:t xml:space="preserve"> has led to a number of inquest and enquires into the handling of the investigation</w:t>
      </w:r>
      <w:r w:rsidR="00346379">
        <w:t>,</w:t>
      </w:r>
      <w:r w:rsidR="0008695A">
        <w:t xml:space="preserve"> and the treatment of the victims</w:t>
      </w:r>
      <w:r w:rsidR="00346379">
        <w:t xml:space="preserve"> and witnesses.</w:t>
      </w:r>
      <w:r w:rsidR="004623B6">
        <w:t xml:space="preserve"> Firstly, the murder of Lawrence can be classed as a racial motive attack, as the group of deviant males shouted “what, what nigger?”</w:t>
      </w:r>
      <w:r w:rsidR="00805801">
        <w:t xml:space="preserve"> as they stabbed Lawrence in broad daylight</w:t>
      </w:r>
      <w:r w:rsidR="00A56A99">
        <w:t xml:space="preserve"> (Jackson</w:t>
      </w:r>
      <w:r w:rsidR="00805801">
        <w:t>,</w:t>
      </w:r>
      <w:r w:rsidR="00A56A99">
        <w:t xml:space="preserve"> 2015).</w:t>
      </w:r>
      <w:r w:rsidR="00805801">
        <w:t xml:space="preserve">  </w:t>
      </w:r>
      <w:r w:rsidR="00A56A99">
        <w:t>T</w:t>
      </w:r>
      <w:r w:rsidR="00805801">
        <w:t>he failures surrounding the murder were highlighted in the Macpherson inquiry which found there was institutional racism within the metropolitan police force (</w:t>
      </w:r>
      <w:r w:rsidR="00A56A99">
        <w:t>Jackson, 2015</w:t>
      </w:r>
      <w:r w:rsidR="00805801">
        <w:t>)</w:t>
      </w:r>
      <w:r w:rsidR="00A56A99">
        <w:t>.</w:t>
      </w:r>
    </w:p>
    <w:p w14:paraId="607E2625" w14:textId="3B8C2F7D" w:rsidR="00B1587A" w:rsidRDefault="00593340" w:rsidP="003B3E07">
      <w:pPr>
        <w:spacing w:line="480" w:lineRule="auto"/>
      </w:pPr>
      <w:r>
        <w:t xml:space="preserve"> </w:t>
      </w:r>
    </w:p>
    <w:p w14:paraId="0C06AE8C" w14:textId="642B0963" w:rsidR="00232241" w:rsidRDefault="00232241" w:rsidP="003B3E07">
      <w:pPr>
        <w:spacing w:line="480" w:lineRule="auto"/>
      </w:pPr>
      <w:r>
        <w:t>A theory which can be applied to the failures in the investigation is the labelling theory which was previously discussed in this essay, it can be said that due to the racism within the metropolitan police</w:t>
      </w:r>
      <w:r w:rsidR="00BF4A62">
        <w:t xml:space="preserve"> and the fact of the matter that Stephan was a black, working class teenager</w:t>
      </w:r>
      <w:r w:rsidR="003A0869">
        <w:t>. Due to being from a black ethnic background Lawrence was subject to the label of being a violent himself (Jackson, 2015). However, the label can also be applied to a friend, victim and witness of the racist attack, Duwayne B</w:t>
      </w:r>
      <w:r w:rsidR="00AF2BEF">
        <w:t xml:space="preserve">rooks. Duwayne was also failed by the metropolitan police force, Brooks was also a victim to the attack. However, he was treated as a witness without any support (MacPherson, 1999). </w:t>
      </w:r>
      <w:r w:rsidR="009C6CE6">
        <w:t xml:space="preserve">The trauma that Brook’s experienced had last effects on his mental health, he was unable to attend the private prosecution due to stress (MacPherson, 1999). </w:t>
      </w:r>
      <w:r w:rsidR="00B41160">
        <w:t xml:space="preserve"> Due to the racism within the police force the care and support that Duwayne Brooks received was minimal, Ian Johnston (Cited in MacPherson, 1999), criticised the metropolitan police by stating;</w:t>
      </w:r>
    </w:p>
    <w:p w14:paraId="2508C72E" w14:textId="710DAC24" w:rsidR="00B41160" w:rsidRDefault="00B41160" w:rsidP="00B41160">
      <w:pPr>
        <w:pStyle w:val="NormalWeb"/>
        <w:spacing w:line="480" w:lineRule="auto"/>
        <w:jc w:val="center"/>
        <w:rPr>
          <w:rFonts w:ascii="Times New Roman,Italic" w:hAnsi="Times New Roman,Italic"/>
        </w:rPr>
      </w:pPr>
      <w:r>
        <w:rPr>
          <w:rFonts w:ascii="Times New Roman,Italic" w:hAnsi="Times New Roman,Italic"/>
        </w:rPr>
        <w:t>"I don't think we dealt with Duwayne Brooks very well at all. I think we let him down. I think we did some things to try and help him”</w:t>
      </w:r>
    </w:p>
    <w:p w14:paraId="3491DDC3" w14:textId="77777777" w:rsidR="00B41160" w:rsidRDefault="00B41160" w:rsidP="00B41160">
      <w:pPr>
        <w:pStyle w:val="NormalWeb"/>
        <w:jc w:val="center"/>
      </w:pPr>
    </w:p>
    <w:p w14:paraId="6214141F" w14:textId="41C1DC9E" w:rsidR="00B41160" w:rsidRDefault="005B1289" w:rsidP="005B1289">
      <w:pPr>
        <w:spacing w:line="480" w:lineRule="auto"/>
      </w:pPr>
      <w:r>
        <w:lastRenderedPageBreak/>
        <w:t xml:space="preserve">Additionally, a label can be applied to the metropolitan police service, as previously stated the metropolitan came into great scrutiny after the enquiry by MacPherson found there was institutional racism within the force (MacPherson, 1999).  The accusations were firstly heard of by Mr and Mrs Lawrence </w:t>
      </w:r>
      <w:r w:rsidR="00172ED2">
        <w:t xml:space="preserve">during the inquest which took place in February 1997 where they claimed there was racism on behalf of the Police Service and the `English Criminal Justice System (MacPherson, 1999). </w:t>
      </w:r>
      <w:r w:rsidR="00DA716B">
        <w:t xml:space="preserve"> </w:t>
      </w:r>
    </w:p>
    <w:p w14:paraId="45395DF5" w14:textId="2A6C2642" w:rsidR="00DA716B" w:rsidRDefault="00DA716B" w:rsidP="005B1289">
      <w:pPr>
        <w:spacing w:line="480" w:lineRule="auto"/>
      </w:pPr>
      <w:r>
        <w:t>Macpherson (1999, cited in 2021) d</w:t>
      </w:r>
      <w:r w:rsidR="007861B4">
        <w:t>e</w:t>
      </w:r>
      <w:r>
        <w:t>fines the term ‘institutional racism as a number</w:t>
      </w:r>
      <w:r w:rsidR="007861B4">
        <w:t xml:space="preserve"> </w:t>
      </w:r>
      <w:r>
        <w:t xml:space="preserve">of failings that have taken place by an </w:t>
      </w:r>
      <w:r w:rsidR="007861B4">
        <w:t>o</w:t>
      </w:r>
      <w:r>
        <w:t>rgan</w:t>
      </w:r>
      <w:r w:rsidR="007861B4">
        <w:t>i</w:t>
      </w:r>
      <w:r>
        <w:t>sation</w:t>
      </w:r>
      <w:r w:rsidR="007861B4">
        <w:t xml:space="preserve"> including providing a professional service to members of society due to factors such as their colour, ethnic group and culture. </w:t>
      </w:r>
    </w:p>
    <w:p w14:paraId="139B820E" w14:textId="77777777" w:rsidR="00172ED2" w:rsidRDefault="00172ED2" w:rsidP="005B1289">
      <w:pPr>
        <w:spacing w:line="480" w:lineRule="auto"/>
      </w:pPr>
    </w:p>
    <w:p w14:paraId="65C54B54" w14:textId="7DCFEF0C" w:rsidR="00172ED2" w:rsidRDefault="00172ED2" w:rsidP="005B1289">
      <w:pPr>
        <w:spacing w:line="480" w:lineRule="auto"/>
      </w:pPr>
      <w:r>
        <w:t xml:space="preserve">Due to the label placed on the met over 20 years ago, we should be able to see improved within the force to support ethnic minority groups however, this is not the case, an article </w:t>
      </w:r>
      <w:r w:rsidR="00DA716B">
        <w:t xml:space="preserve">as relevant as 2021 shows there is still evidence that suggests that’s individuals from an ethnic minority background are still being </w:t>
      </w:r>
      <w:r w:rsidR="007861B4">
        <w:t xml:space="preserve">unfairly treated by the police service today, as evidence </w:t>
      </w:r>
      <w:r w:rsidR="00343D7B">
        <w:t>from the year ending 2020 for</w:t>
      </w:r>
      <w:r w:rsidR="007861B4">
        <w:t xml:space="preserve"> stop and search suggest</w:t>
      </w:r>
      <w:r w:rsidR="00343D7B">
        <w:t xml:space="preserve"> black ethnic minority groups are now nine times more likely than white people to be stopped and searched, it is believed that the police service are still under strain on tackling racism within the service (Dodd. 2020)</w:t>
      </w:r>
      <w:r w:rsidR="00575BC2">
        <w:t>.</w:t>
      </w:r>
    </w:p>
    <w:p w14:paraId="2D129D64" w14:textId="3E2CCCE3" w:rsidR="00575BC2" w:rsidRDefault="00575BC2" w:rsidP="005B1289">
      <w:pPr>
        <w:spacing w:line="480" w:lineRule="auto"/>
      </w:pPr>
    </w:p>
    <w:p w14:paraId="57BCE5D9" w14:textId="5A612682" w:rsidR="00575BC2" w:rsidRDefault="00575BC2" w:rsidP="005B1289">
      <w:pPr>
        <w:spacing w:line="480" w:lineRule="auto"/>
      </w:pPr>
      <w:r>
        <w:t xml:space="preserve">To conclude, historically theories such as the labelling theory and subcultural theories are still used in the modern day to help understand why certain individuals commit crime and deviance within our society. Both theories offer different aspect and views, </w:t>
      </w:r>
      <w:r w:rsidR="00D03DE5">
        <w:t>when applied to a case study such as the murder of Stephen Lawrence</w:t>
      </w:r>
      <w:r w:rsidR="006F548A">
        <w:t xml:space="preserve">, both theories can be applied to gain an understand. The group of white, working class males can be described as a subculture as they carried out criminal and deviant act (Williams, 2011). The investigation and murder has </w:t>
      </w:r>
      <w:r w:rsidR="006F548A">
        <w:lastRenderedPageBreak/>
        <w:t>been at the forefront of many news articles and media reports, due to an e</w:t>
      </w:r>
      <w:r w:rsidR="00E30236">
        <w:t>nquir</w:t>
      </w:r>
      <w:r w:rsidR="006F548A">
        <w:t>y which lab</w:t>
      </w:r>
      <w:r w:rsidR="00E30236">
        <w:t>el the metropolitan police services as an organisation where institutional racism takes place (MacPherson, 1999). As there were many failing in the investigation of Lawrence including the use of witnesses and the treatment of victims (MacPherson, 1999). Finally, historically theories can be applied to modern day case studies due to the work and research being understood by many in society today</w:t>
      </w:r>
      <w:r w:rsidR="00834950">
        <w:t xml:space="preserve"> and therefore both theories are relevant to modern day crime.</w:t>
      </w:r>
    </w:p>
    <w:p w14:paraId="0C7F7D52" w14:textId="11F76D9C" w:rsidR="00834950" w:rsidRDefault="00834950" w:rsidP="005B1289">
      <w:pPr>
        <w:spacing w:line="480" w:lineRule="auto"/>
      </w:pPr>
    </w:p>
    <w:p w14:paraId="5C34C3B3" w14:textId="6F44958C" w:rsidR="00834950" w:rsidRDefault="00834950" w:rsidP="005B1289">
      <w:pPr>
        <w:spacing w:line="480" w:lineRule="auto"/>
      </w:pPr>
    </w:p>
    <w:p w14:paraId="352A0ECD" w14:textId="29869A87" w:rsidR="00834950" w:rsidRDefault="00834950" w:rsidP="005B1289">
      <w:pPr>
        <w:spacing w:line="480" w:lineRule="auto"/>
      </w:pPr>
    </w:p>
    <w:p w14:paraId="2BE2EE88" w14:textId="3BE5A7CE" w:rsidR="00834950" w:rsidRDefault="00834950" w:rsidP="005B1289">
      <w:pPr>
        <w:spacing w:line="480" w:lineRule="auto"/>
      </w:pPr>
    </w:p>
    <w:p w14:paraId="74635FDA" w14:textId="23611C1E" w:rsidR="00834950" w:rsidRDefault="00834950" w:rsidP="005B1289">
      <w:pPr>
        <w:spacing w:line="480" w:lineRule="auto"/>
      </w:pPr>
    </w:p>
    <w:p w14:paraId="5F80705B" w14:textId="5D633B82" w:rsidR="00834950" w:rsidRDefault="00834950" w:rsidP="005B1289">
      <w:pPr>
        <w:spacing w:line="480" w:lineRule="auto"/>
      </w:pPr>
    </w:p>
    <w:p w14:paraId="42EECC02" w14:textId="5E154423" w:rsidR="00834950" w:rsidRDefault="00834950" w:rsidP="005B1289">
      <w:pPr>
        <w:spacing w:line="480" w:lineRule="auto"/>
      </w:pPr>
    </w:p>
    <w:p w14:paraId="70E3E3A1" w14:textId="71A08D6C" w:rsidR="00834950" w:rsidRDefault="00834950" w:rsidP="005B1289">
      <w:pPr>
        <w:spacing w:line="480" w:lineRule="auto"/>
      </w:pPr>
    </w:p>
    <w:p w14:paraId="375E64D7" w14:textId="3B4F68A4" w:rsidR="00834950" w:rsidRDefault="00834950" w:rsidP="005B1289">
      <w:pPr>
        <w:spacing w:line="480" w:lineRule="auto"/>
      </w:pPr>
    </w:p>
    <w:p w14:paraId="706E41ED" w14:textId="50E425F2" w:rsidR="00834950" w:rsidRDefault="00834950" w:rsidP="005B1289">
      <w:pPr>
        <w:spacing w:line="480" w:lineRule="auto"/>
      </w:pPr>
    </w:p>
    <w:p w14:paraId="5B9090B3" w14:textId="540C106C" w:rsidR="00834950" w:rsidRDefault="00834950" w:rsidP="005B1289">
      <w:pPr>
        <w:spacing w:line="480" w:lineRule="auto"/>
      </w:pPr>
    </w:p>
    <w:p w14:paraId="6DDEE090" w14:textId="1A59F2A5" w:rsidR="00834950" w:rsidRDefault="00834950" w:rsidP="005B1289">
      <w:pPr>
        <w:spacing w:line="480" w:lineRule="auto"/>
      </w:pPr>
    </w:p>
    <w:p w14:paraId="07BE6103" w14:textId="2D9C64FE" w:rsidR="00834950" w:rsidRDefault="00834950" w:rsidP="005B1289">
      <w:pPr>
        <w:spacing w:line="480" w:lineRule="auto"/>
      </w:pPr>
    </w:p>
    <w:p w14:paraId="63DB20E3" w14:textId="6889A2A4" w:rsidR="00834950" w:rsidRDefault="00834950" w:rsidP="005B1289">
      <w:pPr>
        <w:spacing w:line="480" w:lineRule="auto"/>
      </w:pPr>
    </w:p>
    <w:p w14:paraId="0331694A" w14:textId="19A0EB17" w:rsidR="00834950" w:rsidRDefault="00834950" w:rsidP="005B1289">
      <w:pPr>
        <w:spacing w:line="480" w:lineRule="auto"/>
      </w:pPr>
    </w:p>
    <w:p w14:paraId="4D679578" w14:textId="19DDEB59" w:rsidR="00834950" w:rsidRDefault="00834950" w:rsidP="005B1289">
      <w:pPr>
        <w:spacing w:line="480" w:lineRule="auto"/>
      </w:pPr>
    </w:p>
    <w:p w14:paraId="719A6522" w14:textId="4B26C535" w:rsidR="00834950" w:rsidRDefault="00834950" w:rsidP="005B1289">
      <w:pPr>
        <w:spacing w:line="480" w:lineRule="auto"/>
      </w:pPr>
    </w:p>
    <w:p w14:paraId="296865D6" w14:textId="25178595" w:rsidR="00834950" w:rsidRDefault="00834950" w:rsidP="005B1289">
      <w:pPr>
        <w:spacing w:line="480" w:lineRule="auto"/>
      </w:pPr>
    </w:p>
    <w:p w14:paraId="51E5A163" w14:textId="16BC5D68" w:rsidR="00834950" w:rsidRDefault="00834950" w:rsidP="005B1289">
      <w:pPr>
        <w:spacing w:line="480" w:lineRule="auto"/>
      </w:pPr>
      <w:r>
        <w:t>Reference List</w:t>
      </w:r>
    </w:p>
    <w:p w14:paraId="53581E18" w14:textId="76876B36" w:rsidR="00834950" w:rsidRDefault="00834950" w:rsidP="005B1289">
      <w:pPr>
        <w:spacing w:line="480" w:lineRule="auto"/>
      </w:pPr>
    </w:p>
    <w:p w14:paraId="72A8A700" w14:textId="77777777" w:rsidR="00834950" w:rsidRDefault="00834950" w:rsidP="00834950">
      <w:r>
        <w:t xml:space="preserve">Akers, R (2012) ‘Criminological Theories, Introducing and Evaluation’ </w:t>
      </w:r>
    </w:p>
    <w:p w14:paraId="4B1B90C1" w14:textId="77777777" w:rsidR="00834950" w:rsidRDefault="00834950" w:rsidP="00834950">
      <w:r>
        <w:t xml:space="preserve">Second Edition, Routledge, New York </w:t>
      </w:r>
    </w:p>
    <w:p w14:paraId="7B8D095C" w14:textId="77777777" w:rsidR="00834950" w:rsidRDefault="00834950" w:rsidP="00834950"/>
    <w:p w14:paraId="6CAD1909" w14:textId="77777777" w:rsidR="00834950" w:rsidRDefault="00834950" w:rsidP="00834950">
      <w:r>
        <w:t>BBC (2012) ‘Stephen Lawrence: Gary Dobson and David Norris get life’</w:t>
      </w:r>
    </w:p>
    <w:p w14:paraId="47A66FF8" w14:textId="77777777" w:rsidR="00834950" w:rsidRDefault="00834950" w:rsidP="00834950">
      <w:r>
        <w:t>Available at:</w:t>
      </w:r>
      <w:r w:rsidRPr="00956350">
        <w:t xml:space="preserve"> </w:t>
      </w:r>
      <w:hyperlink r:id="rId9" w:history="1">
        <w:r w:rsidRPr="00C24596">
          <w:rPr>
            <w:rStyle w:val="Hyperlink"/>
          </w:rPr>
          <w:t>https://www.bbc.co.uk/news/uk-16403655</w:t>
        </w:r>
      </w:hyperlink>
    </w:p>
    <w:p w14:paraId="5722671E" w14:textId="77777777" w:rsidR="00834950" w:rsidRDefault="00834950" w:rsidP="00834950">
      <w:r>
        <w:t>Accessed on: 2</w:t>
      </w:r>
      <w:r w:rsidRPr="009B0C2C">
        <w:rPr>
          <w:vertAlign w:val="superscript"/>
        </w:rPr>
        <w:t>nd</w:t>
      </w:r>
      <w:r>
        <w:t xml:space="preserve"> March 2022</w:t>
      </w:r>
    </w:p>
    <w:p w14:paraId="5DDAC48F" w14:textId="77777777" w:rsidR="00834950" w:rsidRDefault="00834950" w:rsidP="00834950"/>
    <w:p w14:paraId="2CB399E9" w14:textId="77777777" w:rsidR="00834950" w:rsidRDefault="00834950" w:rsidP="00834950">
      <w:r>
        <w:t>Bryant, C (2011) ‘The Routledge Handbook of Deviant Behaviour’</w:t>
      </w:r>
    </w:p>
    <w:p w14:paraId="01245212" w14:textId="77777777" w:rsidR="00834950" w:rsidRDefault="00834950" w:rsidP="00834950">
      <w:r>
        <w:t>First Edition, Routledge, London</w:t>
      </w:r>
    </w:p>
    <w:p w14:paraId="696D2885" w14:textId="77777777" w:rsidR="00834950" w:rsidRDefault="00834950" w:rsidP="00834950"/>
    <w:p w14:paraId="1BB86810" w14:textId="77777777" w:rsidR="00834950" w:rsidRDefault="00834950" w:rsidP="00834950">
      <w:r>
        <w:t>Cathcart, B (2012) ‘The life and legacy of Stephen Lawrence’</w:t>
      </w:r>
    </w:p>
    <w:p w14:paraId="0C7CE26A" w14:textId="77777777" w:rsidR="00834950" w:rsidRDefault="00834950" w:rsidP="00834950">
      <w:r>
        <w:t xml:space="preserve">Available at: </w:t>
      </w:r>
      <w:hyperlink r:id="rId10" w:history="1">
        <w:r w:rsidRPr="00C24596">
          <w:rPr>
            <w:rStyle w:val="Hyperlink"/>
          </w:rPr>
          <w:t>http://www.independent.co.uk/news/uk/crime/the-life-and-legacy-of-stephan-lawrence-6286671.html?amp</w:t>
        </w:r>
      </w:hyperlink>
    </w:p>
    <w:p w14:paraId="2E06C39E" w14:textId="77777777" w:rsidR="00834950" w:rsidRDefault="00834950" w:rsidP="00834950">
      <w:r>
        <w:t>Accessed on: 2</w:t>
      </w:r>
      <w:r w:rsidRPr="000D5D6D">
        <w:rPr>
          <w:vertAlign w:val="superscript"/>
        </w:rPr>
        <w:t>nd</w:t>
      </w:r>
      <w:r>
        <w:t xml:space="preserve"> March 2022</w:t>
      </w:r>
    </w:p>
    <w:p w14:paraId="548B4656" w14:textId="77777777" w:rsidR="00834950" w:rsidRDefault="00834950" w:rsidP="00834950"/>
    <w:p w14:paraId="7E162515" w14:textId="77777777" w:rsidR="00834950" w:rsidRDefault="00834950" w:rsidP="00834950"/>
    <w:p w14:paraId="3299A0A6" w14:textId="77777777" w:rsidR="00834950" w:rsidRDefault="00834950" w:rsidP="00834950">
      <w:r>
        <w:t>DeKeseredy, W and Schwartz, M (2010) ‘Friedman economic policies, social exclusion, and crime forward &amp; gendered left realist subcultural theory’</w:t>
      </w:r>
    </w:p>
    <w:p w14:paraId="4AB4CA42" w14:textId="77777777" w:rsidR="00834950" w:rsidRDefault="00834950" w:rsidP="00834950">
      <w:r>
        <w:t>Crime Law Soc Change, vol 54, pp 159-170</w:t>
      </w:r>
    </w:p>
    <w:p w14:paraId="14C02A89" w14:textId="77777777" w:rsidR="00834950" w:rsidRDefault="00834950" w:rsidP="00834950">
      <w:r>
        <w:t xml:space="preserve">DOI: </w:t>
      </w:r>
      <w:r w:rsidRPr="002530ED">
        <w:rPr>
          <w:rFonts w:cstheme="minorHAnsi"/>
          <w:color w:val="111111"/>
          <w:sz w:val="21"/>
          <w:szCs w:val="21"/>
        </w:rPr>
        <w:t xml:space="preserve">10.1007/s10611-010-9251-8 </w:t>
      </w:r>
    </w:p>
    <w:p w14:paraId="2B2C741B" w14:textId="77777777" w:rsidR="00834950" w:rsidRDefault="00834950" w:rsidP="00834950"/>
    <w:p w14:paraId="636EFB56" w14:textId="77777777" w:rsidR="00834950" w:rsidRDefault="00834950" w:rsidP="00834950">
      <w:r>
        <w:t xml:space="preserve">Dodd, V (2020) ‘Black people nine times more likely to face stop and search than white people’ </w:t>
      </w:r>
    </w:p>
    <w:p w14:paraId="33ACEFAE" w14:textId="77777777" w:rsidR="00834950" w:rsidRDefault="00834950" w:rsidP="00834950">
      <w:r>
        <w:t>Available at:</w:t>
      </w:r>
      <w:r w:rsidRPr="00B04D20">
        <w:t xml:space="preserve"> </w:t>
      </w:r>
      <w:hyperlink r:id="rId11" w:history="1">
        <w:r w:rsidRPr="00C24596">
          <w:rPr>
            <w:rStyle w:val="Hyperlink"/>
          </w:rPr>
          <w:t>https://www.theguardian.com/uk-news/2020/oct/27/black-people-nine-times-more-likely-to-face-stop-and-search-than-white-people</w:t>
        </w:r>
      </w:hyperlink>
    </w:p>
    <w:p w14:paraId="0C73AD19" w14:textId="77777777" w:rsidR="00834950" w:rsidRDefault="00834950" w:rsidP="00834950">
      <w:r>
        <w:t>Accessed on: 3</w:t>
      </w:r>
      <w:r w:rsidRPr="00B04D20">
        <w:rPr>
          <w:vertAlign w:val="superscript"/>
        </w:rPr>
        <w:t>rd</w:t>
      </w:r>
      <w:r>
        <w:t xml:space="preserve"> March 2022</w:t>
      </w:r>
    </w:p>
    <w:p w14:paraId="4CC4451D" w14:textId="77777777" w:rsidR="00834950" w:rsidRDefault="00834950" w:rsidP="00834950"/>
    <w:p w14:paraId="209C49BF" w14:textId="77777777" w:rsidR="00834950" w:rsidRDefault="00834950" w:rsidP="00834950">
      <w:r>
        <w:t>Dodd, V (2021) ‘UK Police chiefs consider public admission of institutional racism’</w:t>
      </w:r>
    </w:p>
    <w:p w14:paraId="26C5E08E" w14:textId="77777777" w:rsidR="00834950" w:rsidRDefault="00834950" w:rsidP="00834950">
      <w:r>
        <w:t xml:space="preserve">Available at: </w:t>
      </w:r>
      <w:hyperlink r:id="rId12" w:history="1">
        <w:r w:rsidRPr="00C24596">
          <w:rPr>
            <w:rStyle w:val="Hyperlink"/>
          </w:rPr>
          <w:t>https://www.theguardian.com/uk-news/2021/dec/12/uk-police-leaders-debate-public-admission-institutional-racism</w:t>
        </w:r>
      </w:hyperlink>
    </w:p>
    <w:p w14:paraId="10447BF5" w14:textId="77777777" w:rsidR="00834950" w:rsidRDefault="00834950" w:rsidP="00834950">
      <w:r>
        <w:t>Accessed on: 3</w:t>
      </w:r>
      <w:r w:rsidRPr="00B04D20">
        <w:rPr>
          <w:vertAlign w:val="superscript"/>
        </w:rPr>
        <w:t>rd</w:t>
      </w:r>
      <w:r>
        <w:t xml:space="preserve"> March 2022</w:t>
      </w:r>
    </w:p>
    <w:p w14:paraId="2E542DB6" w14:textId="77777777" w:rsidR="00834950" w:rsidRDefault="00834950" w:rsidP="00834950"/>
    <w:p w14:paraId="6E6A726F" w14:textId="77777777" w:rsidR="00834950" w:rsidRDefault="00834950" w:rsidP="00834950">
      <w:r>
        <w:t>Farrington, D. Murray, J (2017) Labelling Theory Empirical Tests’</w:t>
      </w:r>
    </w:p>
    <w:p w14:paraId="04B50BEE" w14:textId="77777777" w:rsidR="00834950" w:rsidRDefault="00834950" w:rsidP="00834950">
      <w:r>
        <w:t xml:space="preserve">Second Edition, Routledge, London </w:t>
      </w:r>
    </w:p>
    <w:p w14:paraId="309769D3" w14:textId="77777777" w:rsidR="00834950" w:rsidRDefault="00834950" w:rsidP="00834950"/>
    <w:p w14:paraId="3BC39E9E" w14:textId="77777777" w:rsidR="00834950" w:rsidRDefault="00834950" w:rsidP="00834950">
      <w:r>
        <w:t>Fitzgerald, C (2011) ‘Historical Theories of Crime and Delinquency’</w:t>
      </w:r>
    </w:p>
    <w:p w14:paraId="5AA8DA81" w14:textId="77777777" w:rsidR="00834950" w:rsidRDefault="00834950" w:rsidP="00834950">
      <w:r>
        <w:t>Journal of Human Behaviour in the Social Environment, vol 21, pp 207-311</w:t>
      </w:r>
    </w:p>
    <w:p w14:paraId="1AD36F2B" w14:textId="77777777" w:rsidR="00834950" w:rsidRDefault="00834950" w:rsidP="00834950">
      <w:r>
        <w:t>DOI:  10.1080/10911359.2011.564954</w:t>
      </w:r>
    </w:p>
    <w:p w14:paraId="3C5C721A" w14:textId="77777777" w:rsidR="00834950" w:rsidRDefault="00834950" w:rsidP="00834950"/>
    <w:p w14:paraId="4192331A" w14:textId="77777777" w:rsidR="00834950" w:rsidRDefault="00834950" w:rsidP="00834950">
      <w:r>
        <w:t>Greer, C and Reiner, R (2013) ‘Labelling, Deviance and Media</w:t>
      </w:r>
    </w:p>
    <w:p w14:paraId="20BF3640" w14:textId="77777777" w:rsidR="00834950" w:rsidRDefault="00834950" w:rsidP="00834950">
      <w:r>
        <w:t>Encyclopedia of Criminology and Criminal Justice, Springer, pp 2814-2823</w:t>
      </w:r>
    </w:p>
    <w:p w14:paraId="62910BDE" w14:textId="77777777" w:rsidR="00834950" w:rsidRDefault="00834950" w:rsidP="00834950">
      <w:r>
        <w:lastRenderedPageBreak/>
        <w:t xml:space="preserve">Available at: </w:t>
      </w:r>
      <w:hyperlink r:id="rId13" w:history="1">
        <w:r w:rsidRPr="00C24596">
          <w:rPr>
            <w:rStyle w:val="Hyperlink"/>
          </w:rPr>
          <w:t>http://repository.essex.ac.uk/27459/</w:t>
        </w:r>
      </w:hyperlink>
    </w:p>
    <w:p w14:paraId="71811C96" w14:textId="77777777" w:rsidR="00834950" w:rsidRDefault="00834950" w:rsidP="00834950">
      <w:r>
        <w:t>Accessed on: 27</w:t>
      </w:r>
      <w:r w:rsidRPr="00522228">
        <w:rPr>
          <w:vertAlign w:val="superscript"/>
        </w:rPr>
        <w:t>th</w:t>
      </w:r>
      <w:r>
        <w:t xml:space="preserve"> February 2022</w:t>
      </w:r>
    </w:p>
    <w:p w14:paraId="013297A3" w14:textId="77777777" w:rsidR="00834950" w:rsidRDefault="00834950" w:rsidP="00834950"/>
    <w:p w14:paraId="0CF0067C" w14:textId="77777777" w:rsidR="00834950" w:rsidRDefault="00834950" w:rsidP="00834950">
      <w:r>
        <w:t>Harrington, A. Marshall,B. Muller, H (2006) ‘Encyclopedia of Social Theory’</w:t>
      </w:r>
    </w:p>
    <w:p w14:paraId="6F357459" w14:textId="77777777" w:rsidR="00834950" w:rsidRDefault="00834950" w:rsidP="00834950">
      <w:r>
        <w:t>First Edition, Routledge, New York</w:t>
      </w:r>
    </w:p>
    <w:p w14:paraId="70BD739A" w14:textId="77777777" w:rsidR="00834950" w:rsidRDefault="00834950" w:rsidP="00834950"/>
    <w:p w14:paraId="2F08C785" w14:textId="77777777" w:rsidR="00834950" w:rsidRDefault="00834950" w:rsidP="00834950">
      <w:r>
        <w:t>Hoffman, J (2011) ‘Delinquency Theories’</w:t>
      </w:r>
    </w:p>
    <w:p w14:paraId="7EDAF46E" w14:textId="77777777" w:rsidR="00834950" w:rsidRDefault="00834950" w:rsidP="00834950">
      <w:r>
        <w:t xml:space="preserve">First Edition, Routledge, New York </w:t>
      </w:r>
    </w:p>
    <w:p w14:paraId="30E02C3A" w14:textId="77777777" w:rsidR="00834950" w:rsidRDefault="00834950" w:rsidP="00834950"/>
    <w:p w14:paraId="230D881C" w14:textId="77777777" w:rsidR="00834950" w:rsidRDefault="00834950" w:rsidP="00834950">
      <w:r>
        <w:t>Jackson, D (2012) ‘The Fear of being seen as White Loser</w:t>
      </w:r>
    </w:p>
    <w:p w14:paraId="592B683F" w14:textId="77777777" w:rsidR="00834950" w:rsidRDefault="00834950" w:rsidP="00834950">
      <w:r>
        <w:t>First Edition, Five Leaves, London</w:t>
      </w:r>
    </w:p>
    <w:p w14:paraId="714B1D10" w14:textId="77777777" w:rsidR="00834950" w:rsidRDefault="00834950" w:rsidP="00834950"/>
    <w:p w14:paraId="69A6E965" w14:textId="77777777" w:rsidR="00834950" w:rsidRDefault="00834950" w:rsidP="00834950">
      <w:r>
        <w:t>Kelly, D and Balch, R (1971) ‘Social Origins and School Failure: A Re-examination of Cohen’s Theory of Working-Class Delinquency’</w:t>
      </w:r>
    </w:p>
    <w:p w14:paraId="4354A7D3" w14:textId="77777777" w:rsidR="00834950" w:rsidRDefault="00834950" w:rsidP="00834950">
      <w:r>
        <w:t xml:space="preserve"> Available at: </w:t>
      </w:r>
      <w:hyperlink r:id="rId14" w:history="1">
        <w:r w:rsidRPr="00C24596">
          <w:rPr>
            <w:rStyle w:val="Hyperlink"/>
          </w:rPr>
          <w:t>https://journals.sagepub.com/doi/abs/10.2307/1388540?journalCode=spxa</w:t>
        </w:r>
      </w:hyperlink>
    </w:p>
    <w:p w14:paraId="21B72538" w14:textId="77777777" w:rsidR="00834950" w:rsidRDefault="00834950" w:rsidP="00834950">
      <w:r>
        <w:t>Accessed on: 1</w:t>
      </w:r>
      <w:r w:rsidRPr="000C55E8">
        <w:rPr>
          <w:vertAlign w:val="superscript"/>
        </w:rPr>
        <w:t>st</w:t>
      </w:r>
      <w:r>
        <w:t xml:space="preserve"> March 2022</w:t>
      </w:r>
    </w:p>
    <w:p w14:paraId="0A1B8779" w14:textId="77777777" w:rsidR="00834950" w:rsidRDefault="00834950" w:rsidP="00834950"/>
    <w:p w14:paraId="5D28F44A" w14:textId="77777777" w:rsidR="00834950" w:rsidRDefault="00834950" w:rsidP="00834950">
      <w:r>
        <w:t>Kaufman, J (2017) ‘Anomie, Strain and Subcultural Theories of Crime’</w:t>
      </w:r>
    </w:p>
    <w:p w14:paraId="073091BA" w14:textId="77777777" w:rsidR="00834950" w:rsidRDefault="00834950" w:rsidP="00834950">
      <w:r>
        <w:t xml:space="preserve">First Edition, Taylor and Francis, London </w:t>
      </w:r>
    </w:p>
    <w:p w14:paraId="6D53540D" w14:textId="77777777" w:rsidR="00834950" w:rsidRDefault="00834950" w:rsidP="00834950"/>
    <w:p w14:paraId="30CC5B81" w14:textId="77777777" w:rsidR="00834950" w:rsidRDefault="00834950" w:rsidP="00834950">
      <w:r>
        <w:t>Kitsuse, J and Deitrick, D (1959) ‘Delinquent Boys; A Critique’</w:t>
      </w:r>
    </w:p>
    <w:p w14:paraId="2ADF232E" w14:textId="77777777" w:rsidR="00834950" w:rsidRDefault="00834950" w:rsidP="00834950">
      <w:r>
        <w:t>American Sociological Association, Vol 24 (2) pp 208-215</w:t>
      </w:r>
    </w:p>
    <w:p w14:paraId="4D5561D8" w14:textId="77777777" w:rsidR="00834950" w:rsidRPr="009B58C6" w:rsidRDefault="00834950" w:rsidP="00834950">
      <w:pPr>
        <w:rPr>
          <w:rFonts w:ascii="Times New Roman" w:eastAsia="Times New Roman" w:hAnsi="Times New Roman" w:cs="Times New Roman"/>
          <w:lang w:eastAsia="en-GB"/>
        </w:rPr>
      </w:pPr>
      <w:r>
        <w:t xml:space="preserve">Available at: </w:t>
      </w:r>
      <w:r w:rsidRPr="009B58C6">
        <w:rPr>
          <w:rFonts w:ascii="Helvetica" w:eastAsia="Times New Roman" w:hAnsi="Helvetica" w:cs="Times New Roman"/>
          <w:color w:val="676765"/>
          <w:spacing w:val="-5"/>
          <w:sz w:val="21"/>
          <w:szCs w:val="21"/>
          <w:shd w:val="clear" w:color="auto" w:fill="FFFFFF"/>
          <w:lang w:eastAsia="en-GB"/>
        </w:rPr>
        <w:t>https://www.jstor.org/stable/2089431</w:t>
      </w:r>
    </w:p>
    <w:p w14:paraId="5F9775E8" w14:textId="77777777" w:rsidR="00834950" w:rsidRDefault="00834950" w:rsidP="00834950"/>
    <w:p w14:paraId="50932856" w14:textId="77777777" w:rsidR="00834950" w:rsidRDefault="00834950" w:rsidP="00834950"/>
    <w:p w14:paraId="387F4A07" w14:textId="77777777" w:rsidR="00834950" w:rsidRDefault="00834950" w:rsidP="00834950">
      <w:r>
        <w:t>Laville, S (2012) ‘Gary Dobson and David Norris never escaped shadow of suspicion’</w:t>
      </w:r>
    </w:p>
    <w:p w14:paraId="0647BFC5" w14:textId="77777777" w:rsidR="00834950" w:rsidRDefault="00834950" w:rsidP="00834950">
      <w:r>
        <w:t xml:space="preserve">Available at: </w:t>
      </w:r>
      <w:hyperlink r:id="rId15" w:history="1">
        <w:r w:rsidRPr="00C24596">
          <w:rPr>
            <w:rStyle w:val="Hyperlink"/>
          </w:rPr>
          <w:t>https://www.theguardian.com/uk/2012/jan/03/stephen-lawrence-racist-pair-suspicion</w:t>
        </w:r>
      </w:hyperlink>
    </w:p>
    <w:p w14:paraId="09949826" w14:textId="77777777" w:rsidR="00834950" w:rsidRDefault="00834950" w:rsidP="00834950">
      <w:r>
        <w:t>Accessed on: 2</w:t>
      </w:r>
      <w:r w:rsidRPr="000D5D6D">
        <w:rPr>
          <w:vertAlign w:val="superscript"/>
        </w:rPr>
        <w:t>nd</w:t>
      </w:r>
      <w:r>
        <w:t xml:space="preserve"> March 2022</w:t>
      </w:r>
    </w:p>
    <w:p w14:paraId="249DAA65" w14:textId="77777777" w:rsidR="00834950" w:rsidRDefault="00834950" w:rsidP="00834950"/>
    <w:p w14:paraId="4F9EAE32" w14:textId="77777777" w:rsidR="00834950" w:rsidRDefault="00834950" w:rsidP="00834950">
      <w:r>
        <w:t>Lizotte, A. Hall, G and Krohn, M (2009) ‘Handbook on Crime and Deviance’</w:t>
      </w:r>
    </w:p>
    <w:p w14:paraId="158D9546" w14:textId="77777777" w:rsidR="00834950" w:rsidRDefault="00834950" w:rsidP="00834950">
      <w:r>
        <w:t>First Edition, Springer, London</w:t>
      </w:r>
    </w:p>
    <w:p w14:paraId="73A4617D" w14:textId="77777777" w:rsidR="00834950" w:rsidRDefault="00834950" w:rsidP="00834950"/>
    <w:p w14:paraId="043CE80F" w14:textId="77777777" w:rsidR="00834950" w:rsidRDefault="00834950" w:rsidP="00834950">
      <w:r>
        <w:t>MacLin. K and Herrera, V (2006) ‘The Criminal Stereotype’</w:t>
      </w:r>
    </w:p>
    <w:p w14:paraId="2F9F2D70" w14:textId="77777777" w:rsidR="00834950" w:rsidRDefault="00834950" w:rsidP="00834950">
      <w:r>
        <w:t>North American Journal of Psychology, vol 8 (2) pp 197</w:t>
      </w:r>
    </w:p>
    <w:p w14:paraId="089EFF0D" w14:textId="77777777" w:rsidR="00834950" w:rsidRDefault="00834950" w:rsidP="00834950">
      <w:r>
        <w:t>Available at:</w:t>
      </w:r>
      <w:r w:rsidRPr="00301372">
        <w:t xml:space="preserve"> https://www.researchgate.net/profile/M-Maclin/publication/259854475_The_Criminal_Stereotype/links/0046352e29452e82bb000000/The-Criminal-Stereotype.pdf</w:t>
      </w:r>
    </w:p>
    <w:p w14:paraId="56AB55A3" w14:textId="77777777" w:rsidR="00834950" w:rsidRDefault="00834950" w:rsidP="00834950"/>
    <w:p w14:paraId="060125BC" w14:textId="77777777" w:rsidR="00834950" w:rsidRDefault="00834950" w:rsidP="00834950"/>
    <w:p w14:paraId="751156C4" w14:textId="77777777" w:rsidR="00834950" w:rsidRDefault="00834950" w:rsidP="00834950">
      <w:r>
        <w:t>Macpherson, W (1999) ‘The Stephen Lawrence Inquiry’</w:t>
      </w:r>
    </w:p>
    <w:p w14:paraId="353A8342" w14:textId="77777777" w:rsidR="00834950" w:rsidRDefault="00834950" w:rsidP="00834950">
      <w:r>
        <w:t xml:space="preserve">Available at: </w:t>
      </w:r>
      <w:hyperlink r:id="rId16" w:history="1">
        <w:r w:rsidRPr="00C24596">
          <w:rPr>
            <w:rStyle w:val="Hyperlink"/>
          </w:rPr>
          <w:t>https://assets.publishing.service.gov.uk/government/uploads/system/uploads/attachment_data/file/277111/4262.pdf</w:t>
        </w:r>
      </w:hyperlink>
    </w:p>
    <w:p w14:paraId="20CA3DBD" w14:textId="77777777" w:rsidR="00834950" w:rsidRDefault="00834950" w:rsidP="00834950">
      <w:r>
        <w:t>Accessed on: 1</w:t>
      </w:r>
      <w:r w:rsidRPr="008B1109">
        <w:rPr>
          <w:vertAlign w:val="superscript"/>
        </w:rPr>
        <w:t>st</w:t>
      </w:r>
      <w:r>
        <w:t xml:space="preserve"> March 2022</w:t>
      </w:r>
    </w:p>
    <w:p w14:paraId="09AF4F6F" w14:textId="77777777" w:rsidR="00834950" w:rsidRDefault="00834950" w:rsidP="00834950"/>
    <w:p w14:paraId="25870BA6" w14:textId="77777777" w:rsidR="00834950" w:rsidRDefault="00834950" w:rsidP="00834950">
      <w:r>
        <w:t xml:space="preserve">Muncie, J (2010) ‘Labelling, Social Reaction and Social Constructionism’ </w:t>
      </w:r>
    </w:p>
    <w:p w14:paraId="48D6AD3B" w14:textId="77777777" w:rsidR="00834950" w:rsidRDefault="00834950" w:rsidP="00834950">
      <w:r>
        <w:lastRenderedPageBreak/>
        <w:t>The Sage Handbook of Criminology Theory, pp 139-155</w:t>
      </w:r>
    </w:p>
    <w:p w14:paraId="6EC086AC" w14:textId="77777777" w:rsidR="00834950" w:rsidRDefault="00834950" w:rsidP="00834950">
      <w:pPr>
        <w:rPr>
          <w:rFonts w:ascii="Times New Roman" w:eastAsia="Times New Roman" w:hAnsi="Times New Roman" w:cs="Times New Roman"/>
          <w:lang w:eastAsia="en-GB"/>
        </w:rPr>
      </w:pPr>
      <w:r>
        <w:t>DOI:</w:t>
      </w:r>
      <w:r w:rsidRPr="009D6609">
        <w:t xml:space="preserve"> </w:t>
      </w:r>
      <w:hyperlink w:history="1">
        <w:r w:rsidRPr="009D6609">
          <w:rPr>
            <w:rFonts w:ascii="Open Sans" w:eastAsia="Times New Roman" w:hAnsi="Open Sans" w:cs="Open Sans"/>
            <w:color w:val="333333"/>
            <w:u w:val="single"/>
            <w:lang w:eastAsia="en-GB"/>
          </w:rPr>
          <w:t>https://dx.doi.org/10.4135/9781446200926.n8</w:t>
        </w:r>
      </w:hyperlink>
    </w:p>
    <w:p w14:paraId="6AFB774F" w14:textId="77777777" w:rsidR="00834950" w:rsidRDefault="00834950" w:rsidP="00834950">
      <w:pPr>
        <w:rPr>
          <w:rFonts w:ascii="Times New Roman" w:eastAsia="Times New Roman" w:hAnsi="Times New Roman" w:cs="Times New Roman"/>
          <w:lang w:eastAsia="en-GB"/>
        </w:rPr>
      </w:pPr>
    </w:p>
    <w:p w14:paraId="4C1CF13B" w14:textId="77777777" w:rsidR="00834950" w:rsidRDefault="00834950" w:rsidP="00834950">
      <w:pPr>
        <w:rPr>
          <w:rFonts w:ascii="Times New Roman" w:eastAsia="Times New Roman" w:hAnsi="Times New Roman" w:cs="Times New Roman"/>
          <w:lang w:eastAsia="en-GB"/>
        </w:rPr>
      </w:pPr>
      <w:r>
        <w:rPr>
          <w:rFonts w:ascii="Times New Roman" w:eastAsia="Times New Roman" w:hAnsi="Times New Roman" w:cs="Times New Roman"/>
          <w:lang w:eastAsia="en-GB"/>
        </w:rPr>
        <w:t>Polk, K. Frease, D. Richmond, L (1974) ‘Social Class, School Experience and Delinquency’</w:t>
      </w:r>
    </w:p>
    <w:p w14:paraId="0D5F550E" w14:textId="77777777" w:rsidR="00834950" w:rsidRDefault="00834950" w:rsidP="00834950">
      <w:pPr>
        <w:rPr>
          <w:rFonts w:ascii="Times New Roman" w:eastAsia="Times New Roman" w:hAnsi="Times New Roman" w:cs="Times New Roman"/>
          <w:lang w:eastAsia="en-GB"/>
        </w:rPr>
      </w:pPr>
      <w:r>
        <w:rPr>
          <w:rFonts w:ascii="Times New Roman" w:eastAsia="Times New Roman" w:hAnsi="Times New Roman" w:cs="Times New Roman"/>
          <w:lang w:eastAsia="en-GB"/>
        </w:rPr>
        <w:t>Criminology Vol 12 (1) pp 84-96</w:t>
      </w:r>
    </w:p>
    <w:p w14:paraId="1D4EADCA" w14:textId="77777777" w:rsidR="00834950" w:rsidRDefault="00834950" w:rsidP="00834950">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Available at: </w:t>
      </w:r>
      <w:hyperlink r:id="rId17" w:history="1">
        <w:r w:rsidRPr="00C24596">
          <w:rPr>
            <w:rStyle w:val="Hyperlink"/>
            <w:rFonts w:ascii="Times New Roman" w:eastAsia="Times New Roman" w:hAnsi="Times New Roman" w:cs="Times New Roman"/>
            <w:lang w:eastAsia="en-GB"/>
          </w:rPr>
          <w:t>https:</w:t>
        </w:r>
        <w:r w:rsidRPr="00C24596">
          <w:rPr>
            <w:rStyle w:val="Hyperlink"/>
            <w:rFonts w:ascii="Times New Roman" w:eastAsia="Times New Roman" w:hAnsi="Times New Roman" w:cs="Times New Roman"/>
            <w:lang w:eastAsia="en-GB"/>
          </w:rPr>
          <w:t>/</w:t>
        </w:r>
        <w:r w:rsidRPr="00C24596">
          <w:rPr>
            <w:rStyle w:val="Hyperlink"/>
            <w:rFonts w:ascii="Times New Roman" w:eastAsia="Times New Roman" w:hAnsi="Times New Roman" w:cs="Times New Roman"/>
            <w:lang w:eastAsia="en-GB"/>
          </w:rPr>
          <w:t>/onlinelibrary.wiley.com/doi/abs/10.1111/j.1745-9125.1974.tb00622.x</w:t>
        </w:r>
      </w:hyperlink>
    </w:p>
    <w:p w14:paraId="6E6DDE98" w14:textId="77777777" w:rsidR="00834950" w:rsidRDefault="00834950" w:rsidP="00834950">
      <w:pPr>
        <w:rPr>
          <w:rFonts w:ascii="Times New Roman" w:eastAsia="Times New Roman" w:hAnsi="Times New Roman" w:cs="Times New Roman"/>
          <w:lang w:eastAsia="en-GB"/>
        </w:rPr>
      </w:pPr>
      <w:r>
        <w:rPr>
          <w:rFonts w:ascii="Times New Roman" w:eastAsia="Times New Roman" w:hAnsi="Times New Roman" w:cs="Times New Roman"/>
          <w:lang w:eastAsia="en-GB"/>
        </w:rPr>
        <w:t>Accessed: 28</w:t>
      </w:r>
      <w:r w:rsidRPr="00A76375">
        <w:rPr>
          <w:rFonts w:ascii="Times New Roman" w:eastAsia="Times New Roman" w:hAnsi="Times New Roman" w:cs="Times New Roman"/>
          <w:vertAlign w:val="superscript"/>
          <w:lang w:eastAsia="en-GB"/>
        </w:rPr>
        <w:t>th</w:t>
      </w:r>
      <w:r>
        <w:rPr>
          <w:rFonts w:ascii="Times New Roman" w:eastAsia="Times New Roman" w:hAnsi="Times New Roman" w:cs="Times New Roman"/>
          <w:lang w:eastAsia="en-GB"/>
        </w:rPr>
        <w:t xml:space="preserve"> February 2022</w:t>
      </w:r>
    </w:p>
    <w:p w14:paraId="0801609D" w14:textId="77777777" w:rsidR="00834950" w:rsidRDefault="00834950" w:rsidP="00834950">
      <w:pPr>
        <w:rPr>
          <w:rFonts w:ascii="Times New Roman" w:eastAsia="Times New Roman" w:hAnsi="Times New Roman" w:cs="Times New Roman"/>
          <w:lang w:eastAsia="en-GB"/>
        </w:rPr>
      </w:pPr>
    </w:p>
    <w:p w14:paraId="37E41006" w14:textId="77777777" w:rsidR="00834950" w:rsidRDefault="00834950" w:rsidP="00834950">
      <w:pPr>
        <w:rPr>
          <w:rFonts w:ascii="Times New Roman" w:eastAsia="Times New Roman" w:hAnsi="Times New Roman" w:cs="Times New Roman"/>
          <w:lang w:eastAsia="en-GB"/>
        </w:rPr>
      </w:pPr>
      <w:r>
        <w:rPr>
          <w:rFonts w:ascii="Times New Roman" w:eastAsia="Times New Roman" w:hAnsi="Times New Roman" w:cs="Times New Roman"/>
          <w:lang w:eastAsia="en-GB"/>
        </w:rPr>
        <w:t>Siddlque, R (2020) ‘Black Working-class pupils unfairly excluded in England, thinktank warns’</w:t>
      </w:r>
    </w:p>
    <w:p w14:paraId="4347775E" w14:textId="77777777" w:rsidR="00834950" w:rsidRDefault="00834950" w:rsidP="00834950">
      <w:pPr>
        <w:rPr>
          <w:rFonts w:ascii="Times New Roman" w:eastAsia="Times New Roman" w:hAnsi="Times New Roman" w:cs="Times New Roman"/>
          <w:lang w:eastAsia="en-GB"/>
        </w:rPr>
      </w:pPr>
      <w:r>
        <w:rPr>
          <w:rFonts w:ascii="Times New Roman" w:eastAsia="Times New Roman" w:hAnsi="Times New Roman" w:cs="Times New Roman"/>
          <w:lang w:eastAsia="en-GB"/>
        </w:rPr>
        <w:t>Available at:</w:t>
      </w:r>
      <w:r w:rsidRPr="000D5D6D">
        <w:t xml:space="preserve"> </w:t>
      </w:r>
      <w:hyperlink r:id="rId18" w:history="1">
        <w:r w:rsidRPr="00C24596">
          <w:rPr>
            <w:rStyle w:val="Hyperlink"/>
            <w:rFonts w:ascii="Times New Roman" w:eastAsia="Times New Roman" w:hAnsi="Times New Roman" w:cs="Times New Roman"/>
            <w:lang w:eastAsia="en-GB"/>
          </w:rPr>
          <w:t>https://www.theguardian.com/education/2020/sep/28/black-working-class-pupils-unfairly-excluded-in-england-thinktank-warns?utm_term=Autofeed&amp;CMP=twt_gu&amp;utm_medium&amp;utm_source=Twitter#Echobox=1601290712</w:t>
        </w:r>
      </w:hyperlink>
    </w:p>
    <w:p w14:paraId="27BB2C0A" w14:textId="77777777" w:rsidR="00834950" w:rsidRPr="009D6609" w:rsidRDefault="00834950" w:rsidP="00834950">
      <w:pPr>
        <w:rPr>
          <w:rFonts w:ascii="Times New Roman" w:eastAsia="Times New Roman" w:hAnsi="Times New Roman" w:cs="Times New Roman"/>
          <w:lang w:eastAsia="en-GB"/>
        </w:rPr>
      </w:pPr>
      <w:r>
        <w:rPr>
          <w:rFonts w:ascii="Times New Roman" w:eastAsia="Times New Roman" w:hAnsi="Times New Roman" w:cs="Times New Roman"/>
          <w:lang w:eastAsia="en-GB"/>
        </w:rPr>
        <w:t>Accessed on: 2</w:t>
      </w:r>
      <w:r w:rsidRPr="000D5D6D">
        <w:rPr>
          <w:rFonts w:ascii="Times New Roman" w:eastAsia="Times New Roman" w:hAnsi="Times New Roman" w:cs="Times New Roman"/>
          <w:vertAlign w:val="superscript"/>
          <w:lang w:eastAsia="en-GB"/>
        </w:rPr>
        <w:t>nd</w:t>
      </w:r>
      <w:r>
        <w:rPr>
          <w:rFonts w:ascii="Times New Roman" w:eastAsia="Times New Roman" w:hAnsi="Times New Roman" w:cs="Times New Roman"/>
          <w:lang w:eastAsia="en-GB"/>
        </w:rPr>
        <w:t xml:space="preserve"> March 2022</w:t>
      </w:r>
    </w:p>
    <w:p w14:paraId="52953BC5" w14:textId="77777777" w:rsidR="00834950" w:rsidRDefault="00834950" w:rsidP="00834950"/>
    <w:p w14:paraId="4222E0FD" w14:textId="77777777" w:rsidR="00834950" w:rsidRDefault="00834950" w:rsidP="00834950">
      <w:r>
        <w:t>Voss, H (1966) ‘Socio-Economic Status and Reported Delinquent Behaviour’</w:t>
      </w:r>
    </w:p>
    <w:p w14:paraId="4F1E1D61" w14:textId="77777777" w:rsidR="00834950" w:rsidRDefault="00834950" w:rsidP="00834950">
      <w:r>
        <w:t>Social Problems, Vol 3 (3) pp 313-324</w:t>
      </w:r>
    </w:p>
    <w:p w14:paraId="5159F96A" w14:textId="77777777" w:rsidR="00834950" w:rsidRPr="00177B78" w:rsidRDefault="00834950" w:rsidP="00834950">
      <w:pPr>
        <w:rPr>
          <w:rFonts w:ascii="Times New Roman" w:eastAsia="Times New Roman" w:hAnsi="Times New Roman" w:cs="Times New Roman"/>
          <w:lang w:eastAsia="en-GB"/>
        </w:rPr>
      </w:pPr>
      <w:r>
        <w:t xml:space="preserve">Available at: </w:t>
      </w:r>
      <w:r w:rsidRPr="00177B78">
        <w:rPr>
          <w:rFonts w:ascii="Helvetica" w:eastAsia="Times New Roman" w:hAnsi="Helvetica" w:cs="Times New Roman"/>
          <w:color w:val="000000"/>
          <w:spacing w:val="-5"/>
          <w:shd w:val="clear" w:color="auto" w:fill="FFFFFF"/>
          <w:lang w:eastAsia="en-GB"/>
        </w:rPr>
        <w:t>https://doi.org/10.2307/799258</w:t>
      </w:r>
    </w:p>
    <w:p w14:paraId="03C235EC" w14:textId="77777777" w:rsidR="00834950" w:rsidRDefault="00834950" w:rsidP="00834950"/>
    <w:p w14:paraId="4C9B4D1D" w14:textId="77777777" w:rsidR="00834950" w:rsidRDefault="00834950" w:rsidP="00834950">
      <w:r>
        <w:t>Williams, J (2011) ‘Subcultural Theory Traditions and Concepts’</w:t>
      </w:r>
    </w:p>
    <w:p w14:paraId="7CEA3C14" w14:textId="77777777" w:rsidR="00834950" w:rsidRDefault="00834950" w:rsidP="00834950">
      <w:r>
        <w:t xml:space="preserve">First Edition, Policy Press, Cambridge </w:t>
      </w:r>
    </w:p>
    <w:p w14:paraId="4428F76B" w14:textId="77777777" w:rsidR="00834950" w:rsidRDefault="00834950" w:rsidP="005B1289">
      <w:pPr>
        <w:spacing w:line="480" w:lineRule="auto"/>
      </w:pPr>
    </w:p>
    <w:p w14:paraId="00AED4E8" w14:textId="4E2A7B89" w:rsidR="006F548A" w:rsidRDefault="006F548A" w:rsidP="005B1289">
      <w:pPr>
        <w:spacing w:line="480" w:lineRule="auto"/>
      </w:pPr>
    </w:p>
    <w:p w14:paraId="4ED20A88" w14:textId="6AEAF359" w:rsidR="006F548A" w:rsidRDefault="006F548A" w:rsidP="005B1289">
      <w:pPr>
        <w:spacing w:line="480" w:lineRule="auto"/>
      </w:pPr>
    </w:p>
    <w:p w14:paraId="52868568" w14:textId="77777777" w:rsidR="006F548A" w:rsidRDefault="006F548A" w:rsidP="005B1289">
      <w:pPr>
        <w:spacing w:line="480" w:lineRule="auto"/>
      </w:pPr>
    </w:p>
    <w:sectPr w:rsidR="006F548A" w:rsidSect="00834950">
      <w:footerReference w:type="even" r:id="rId19"/>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5F6BE09" w14:textId="77777777" w:rsidR="00792F49" w:rsidRDefault="00792F49" w:rsidP="00834950">
      <w:r>
        <w:separator/>
      </w:r>
    </w:p>
  </w:endnote>
  <w:endnote w:type="continuationSeparator" w:id="0">
    <w:p w14:paraId="55A19AC8" w14:textId="77777777" w:rsidR="00792F49" w:rsidRDefault="00792F49" w:rsidP="0083495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Italic">
    <w:altName w:val="Times New Roman"/>
    <w:panose1 w:val="00000500000000090000"/>
    <w:charset w:val="00"/>
    <w:family w:val="auto"/>
    <w:pitch w:val="variable"/>
    <w:sig w:usb0="E00002FF" w:usb1="5000205A" w:usb2="00000000" w:usb3="00000000" w:csb0="0000019F" w:csb1="00000000"/>
  </w:font>
  <w:font w:name="Helvetica">
    <w:panose1 w:val="00000000000000000000"/>
    <w:charset w:val="00"/>
    <w:family w:val="auto"/>
    <w:pitch w:val="variable"/>
    <w:sig w:usb0="E00002FF" w:usb1="5000785B" w:usb2="00000000" w:usb3="00000000" w:csb0="0000019F"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58871945"/>
      <w:docPartObj>
        <w:docPartGallery w:val="Page Numbers (Bottom of Page)"/>
        <w:docPartUnique/>
      </w:docPartObj>
    </w:sdtPr>
    <w:sdtContent>
      <w:p w14:paraId="7842AC03" w14:textId="65A1762A" w:rsidR="00834950" w:rsidRDefault="00834950" w:rsidP="0083495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6CCC232" w14:textId="77777777" w:rsidR="00834950" w:rsidRDefault="00834950" w:rsidP="0083495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045275943"/>
      <w:docPartObj>
        <w:docPartGallery w:val="Page Numbers (Bottom of Page)"/>
        <w:docPartUnique/>
      </w:docPartObj>
    </w:sdtPr>
    <w:sdtContent>
      <w:p w14:paraId="0E5AEB46" w14:textId="7EE756CD" w:rsidR="00834950" w:rsidRDefault="00834950" w:rsidP="0083495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00A8346" w14:textId="77777777" w:rsidR="00834950" w:rsidRDefault="00834950" w:rsidP="0083495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AA99F6B" w14:textId="77777777" w:rsidR="00792F49" w:rsidRDefault="00792F49" w:rsidP="00834950">
      <w:r>
        <w:separator/>
      </w:r>
    </w:p>
  </w:footnote>
  <w:footnote w:type="continuationSeparator" w:id="0">
    <w:p w14:paraId="2916650A" w14:textId="77777777" w:rsidR="00792F49" w:rsidRDefault="00792F49" w:rsidP="00834950">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3E07"/>
    <w:rsid w:val="00074957"/>
    <w:rsid w:val="0008695A"/>
    <w:rsid w:val="00086E22"/>
    <w:rsid w:val="00092D7F"/>
    <w:rsid w:val="000D5D54"/>
    <w:rsid w:val="000F6DFB"/>
    <w:rsid w:val="00106FD4"/>
    <w:rsid w:val="00134BD5"/>
    <w:rsid w:val="001430E6"/>
    <w:rsid w:val="00144A78"/>
    <w:rsid w:val="0015039C"/>
    <w:rsid w:val="00155E1F"/>
    <w:rsid w:val="00172ED2"/>
    <w:rsid w:val="001A048A"/>
    <w:rsid w:val="001A6AC4"/>
    <w:rsid w:val="001C594F"/>
    <w:rsid w:val="001C66C0"/>
    <w:rsid w:val="001C7FB2"/>
    <w:rsid w:val="001D11A6"/>
    <w:rsid w:val="001E779D"/>
    <w:rsid w:val="00232241"/>
    <w:rsid w:val="00232A8A"/>
    <w:rsid w:val="002743B7"/>
    <w:rsid w:val="002F2D6A"/>
    <w:rsid w:val="00323ACE"/>
    <w:rsid w:val="00343D7B"/>
    <w:rsid w:val="00346379"/>
    <w:rsid w:val="003A0869"/>
    <w:rsid w:val="003A5A49"/>
    <w:rsid w:val="003A5B29"/>
    <w:rsid w:val="003B3E07"/>
    <w:rsid w:val="003C0916"/>
    <w:rsid w:val="003F7B33"/>
    <w:rsid w:val="00413F65"/>
    <w:rsid w:val="004377BA"/>
    <w:rsid w:val="00451080"/>
    <w:rsid w:val="004623B6"/>
    <w:rsid w:val="004B646C"/>
    <w:rsid w:val="00522319"/>
    <w:rsid w:val="005314C5"/>
    <w:rsid w:val="00531B4A"/>
    <w:rsid w:val="00562C4F"/>
    <w:rsid w:val="00575BC2"/>
    <w:rsid w:val="00593340"/>
    <w:rsid w:val="005B1289"/>
    <w:rsid w:val="005B23C3"/>
    <w:rsid w:val="005F4BDD"/>
    <w:rsid w:val="00650077"/>
    <w:rsid w:val="00673D5A"/>
    <w:rsid w:val="006A34DB"/>
    <w:rsid w:val="006A7609"/>
    <w:rsid w:val="006F548A"/>
    <w:rsid w:val="007861B4"/>
    <w:rsid w:val="00792F49"/>
    <w:rsid w:val="007B62B3"/>
    <w:rsid w:val="007C446C"/>
    <w:rsid w:val="007E4D51"/>
    <w:rsid w:val="007F17D4"/>
    <w:rsid w:val="00805801"/>
    <w:rsid w:val="00822ED0"/>
    <w:rsid w:val="00832E4B"/>
    <w:rsid w:val="00834950"/>
    <w:rsid w:val="00851412"/>
    <w:rsid w:val="008B245D"/>
    <w:rsid w:val="00963D72"/>
    <w:rsid w:val="009924AA"/>
    <w:rsid w:val="009B78C3"/>
    <w:rsid w:val="009C6CE6"/>
    <w:rsid w:val="009E2B72"/>
    <w:rsid w:val="00A0639D"/>
    <w:rsid w:val="00A369F0"/>
    <w:rsid w:val="00A56A99"/>
    <w:rsid w:val="00AD0446"/>
    <w:rsid w:val="00AE4DFE"/>
    <w:rsid w:val="00AF0326"/>
    <w:rsid w:val="00AF2BEF"/>
    <w:rsid w:val="00B1587A"/>
    <w:rsid w:val="00B41160"/>
    <w:rsid w:val="00B514B8"/>
    <w:rsid w:val="00BC5713"/>
    <w:rsid w:val="00BF4A62"/>
    <w:rsid w:val="00C410A5"/>
    <w:rsid w:val="00C61012"/>
    <w:rsid w:val="00C718A8"/>
    <w:rsid w:val="00C83195"/>
    <w:rsid w:val="00C9092C"/>
    <w:rsid w:val="00CA5B45"/>
    <w:rsid w:val="00CB025C"/>
    <w:rsid w:val="00CB54F9"/>
    <w:rsid w:val="00CC55E3"/>
    <w:rsid w:val="00CC7412"/>
    <w:rsid w:val="00D03DE5"/>
    <w:rsid w:val="00D4027E"/>
    <w:rsid w:val="00DA716B"/>
    <w:rsid w:val="00DF522E"/>
    <w:rsid w:val="00E30236"/>
    <w:rsid w:val="00E37F03"/>
    <w:rsid w:val="00E45138"/>
    <w:rsid w:val="00E81510"/>
    <w:rsid w:val="00E8283F"/>
    <w:rsid w:val="00EB0DE5"/>
    <w:rsid w:val="00F64225"/>
    <w:rsid w:val="00FA30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20D9DD"/>
  <w15:chartTrackingRefBased/>
  <w15:docId w15:val="{2D799DF1-C629-BB4B-98D2-A7B4CD88EA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41160"/>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834950"/>
    <w:rPr>
      <w:color w:val="0000FF"/>
      <w:u w:val="single"/>
    </w:rPr>
  </w:style>
  <w:style w:type="character" w:styleId="FollowedHyperlink">
    <w:name w:val="FollowedHyperlink"/>
    <w:basedOn w:val="DefaultParagraphFont"/>
    <w:uiPriority w:val="99"/>
    <w:semiHidden/>
    <w:unhideWhenUsed/>
    <w:rsid w:val="00834950"/>
    <w:rPr>
      <w:color w:val="954F72" w:themeColor="followedHyperlink"/>
      <w:u w:val="single"/>
    </w:rPr>
  </w:style>
  <w:style w:type="paragraph" w:styleId="NoSpacing">
    <w:name w:val="No Spacing"/>
    <w:link w:val="NoSpacingChar"/>
    <w:uiPriority w:val="1"/>
    <w:qFormat/>
    <w:rsid w:val="00834950"/>
    <w:rPr>
      <w:rFonts w:eastAsiaTheme="minorEastAsia"/>
      <w:sz w:val="22"/>
      <w:szCs w:val="22"/>
      <w:lang w:val="en-US" w:eastAsia="zh-CN"/>
    </w:rPr>
  </w:style>
  <w:style w:type="character" w:customStyle="1" w:styleId="NoSpacingChar">
    <w:name w:val="No Spacing Char"/>
    <w:basedOn w:val="DefaultParagraphFont"/>
    <w:link w:val="NoSpacing"/>
    <w:uiPriority w:val="1"/>
    <w:rsid w:val="00834950"/>
    <w:rPr>
      <w:rFonts w:eastAsiaTheme="minorEastAsia"/>
      <w:sz w:val="22"/>
      <w:szCs w:val="22"/>
      <w:lang w:val="en-US" w:eastAsia="zh-CN"/>
    </w:rPr>
  </w:style>
  <w:style w:type="paragraph" w:styleId="Footer">
    <w:name w:val="footer"/>
    <w:basedOn w:val="Normal"/>
    <w:link w:val="FooterChar"/>
    <w:uiPriority w:val="99"/>
    <w:unhideWhenUsed/>
    <w:rsid w:val="00834950"/>
    <w:pPr>
      <w:tabs>
        <w:tab w:val="center" w:pos="4513"/>
        <w:tab w:val="right" w:pos="9026"/>
      </w:tabs>
    </w:pPr>
  </w:style>
  <w:style w:type="character" w:customStyle="1" w:styleId="FooterChar">
    <w:name w:val="Footer Char"/>
    <w:basedOn w:val="DefaultParagraphFont"/>
    <w:link w:val="Footer"/>
    <w:uiPriority w:val="99"/>
    <w:rsid w:val="00834950"/>
  </w:style>
  <w:style w:type="character" w:styleId="PageNumber">
    <w:name w:val="page number"/>
    <w:basedOn w:val="DefaultParagraphFont"/>
    <w:uiPriority w:val="99"/>
    <w:semiHidden/>
    <w:unhideWhenUsed/>
    <w:rsid w:val="008349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70546266">
      <w:bodyDiv w:val="1"/>
      <w:marLeft w:val="0"/>
      <w:marRight w:val="0"/>
      <w:marTop w:val="0"/>
      <w:marBottom w:val="0"/>
      <w:divBdr>
        <w:top w:val="none" w:sz="0" w:space="0" w:color="auto"/>
        <w:left w:val="none" w:sz="0" w:space="0" w:color="auto"/>
        <w:bottom w:val="none" w:sz="0" w:space="0" w:color="auto"/>
        <w:right w:val="none" w:sz="0" w:space="0" w:color="auto"/>
      </w:divBdr>
      <w:divsChild>
        <w:div w:id="45566067">
          <w:marLeft w:val="0"/>
          <w:marRight w:val="0"/>
          <w:marTop w:val="0"/>
          <w:marBottom w:val="0"/>
          <w:divBdr>
            <w:top w:val="none" w:sz="0" w:space="0" w:color="auto"/>
            <w:left w:val="none" w:sz="0" w:space="0" w:color="auto"/>
            <w:bottom w:val="none" w:sz="0" w:space="0" w:color="auto"/>
            <w:right w:val="none" w:sz="0" w:space="0" w:color="auto"/>
          </w:divBdr>
          <w:divsChild>
            <w:div w:id="983123349">
              <w:marLeft w:val="0"/>
              <w:marRight w:val="0"/>
              <w:marTop w:val="0"/>
              <w:marBottom w:val="0"/>
              <w:divBdr>
                <w:top w:val="none" w:sz="0" w:space="0" w:color="auto"/>
                <w:left w:val="none" w:sz="0" w:space="0" w:color="auto"/>
                <w:bottom w:val="none" w:sz="0" w:space="0" w:color="auto"/>
                <w:right w:val="none" w:sz="0" w:space="0" w:color="auto"/>
              </w:divBdr>
              <w:divsChild>
                <w:div w:id="674651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repository.essex.ac.uk/27459/" TargetMode="External"/><Relationship Id="rId18" Type="http://schemas.openxmlformats.org/officeDocument/2006/relationships/hyperlink" Target="https://www.theguardian.com/education/2020/sep/28/black-working-class-pupils-unfairly-excluded-in-england-thinktank-warns?utm_term=Autofeed&amp;CMP=twt_gu&amp;utm_medium&amp;utm_source=Twitter#Echobox=1601290712"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www.theguardian.com/uk-news/2021/dec/12/uk-police-leaders-debate-public-admission-institutional-racism" TargetMode="External"/><Relationship Id="rId17" Type="http://schemas.openxmlformats.org/officeDocument/2006/relationships/hyperlink" Target="https://onlinelibrary.wiley.com/doi/abs/10.1111/j.1745-9125.1974.tb00622.x" TargetMode="External"/><Relationship Id="rId2" Type="http://schemas.openxmlformats.org/officeDocument/2006/relationships/styles" Target="styles.xml"/><Relationship Id="rId16" Type="http://schemas.openxmlformats.org/officeDocument/2006/relationships/hyperlink" Target="https://assets.publishing.service.gov.uk/government/uploads/system/uploads/attachment_data/file/277111/4262.pdf"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theguardian.com/uk-news/2020/oct/27/black-people-nine-times-more-likely-to-face-stop-and-search-than-white-people" TargetMode="External"/><Relationship Id="rId5" Type="http://schemas.openxmlformats.org/officeDocument/2006/relationships/footnotes" Target="footnotes.xml"/><Relationship Id="rId15" Type="http://schemas.openxmlformats.org/officeDocument/2006/relationships/hyperlink" Target="https://www.theguardian.com/uk/2012/jan/03/stephen-lawrence-racist-pair-suspicion" TargetMode="External"/><Relationship Id="rId23" Type="http://schemas.openxmlformats.org/officeDocument/2006/relationships/theme" Target="theme/theme1.xml"/><Relationship Id="rId10" Type="http://schemas.openxmlformats.org/officeDocument/2006/relationships/hyperlink" Target="http://www.independent.co.uk/news/uk/crime/the-life-and-legacy-of-stephan-lawrence-6286671.html?amp"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bbc.co.uk/news/uk-16403655" TargetMode="External"/><Relationship Id="rId14" Type="http://schemas.openxmlformats.org/officeDocument/2006/relationships/hyperlink" Target="https://journals.sagepub.com/doi/abs/10.2307/1388540?journalCode=spxa" TargetMode="External"/><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54377873F4D05A47B999215DB700AA2F"/>
        <w:category>
          <w:name w:val="General"/>
          <w:gallery w:val="placeholder"/>
        </w:category>
        <w:types>
          <w:type w:val="bbPlcHdr"/>
        </w:types>
        <w:behaviors>
          <w:behavior w:val="content"/>
        </w:behaviors>
        <w:guid w:val="{E00D71C1-4CE9-414F-8300-AEBE7F335F79}"/>
      </w:docPartPr>
      <w:docPartBody>
        <w:p w:rsidR="00D24396" w:rsidRDefault="00D24396" w:rsidP="00D24396">
          <w:pPr>
            <w:pStyle w:val="54377873F4D05A47B999215DB700AA2F"/>
          </w:pPr>
          <w:r>
            <w:rPr>
              <w:rFonts w:asciiTheme="majorHAnsi" w:eastAsiaTheme="majorEastAsia" w:hAnsiTheme="majorHAnsi" w:cstheme="majorBidi"/>
              <w:caps/>
              <w:color w:val="4472C4" w:themeColor="accent1"/>
              <w:sz w:val="80"/>
              <w:szCs w:val="80"/>
            </w:rPr>
            <w:t>[Document title]</w:t>
          </w:r>
        </w:p>
      </w:docPartBody>
    </w:docPart>
    <w:docPart>
      <w:docPartPr>
        <w:name w:val="CDAA92CD790E5D4FA74C196C209F0041"/>
        <w:category>
          <w:name w:val="General"/>
          <w:gallery w:val="placeholder"/>
        </w:category>
        <w:types>
          <w:type w:val="bbPlcHdr"/>
        </w:types>
        <w:behaviors>
          <w:behavior w:val="content"/>
        </w:behaviors>
        <w:guid w:val="{DAEE9E73-3B6B-9249-A743-243398A775FA}"/>
      </w:docPartPr>
      <w:docPartBody>
        <w:p w:rsidR="00D24396" w:rsidRDefault="00D24396" w:rsidP="00D24396">
          <w:pPr>
            <w:pStyle w:val="CDAA92CD790E5D4FA74C196C209F0041"/>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Italic">
    <w:altName w:val="Times New Roman"/>
    <w:panose1 w:val="00000500000000090000"/>
    <w:charset w:val="00"/>
    <w:family w:val="auto"/>
    <w:pitch w:val="variable"/>
    <w:sig w:usb0="E00002FF" w:usb1="5000205A" w:usb2="00000000" w:usb3="00000000" w:csb0="0000019F" w:csb1="00000000"/>
  </w:font>
  <w:font w:name="Helvetica">
    <w:panose1 w:val="00000000000000000000"/>
    <w:charset w:val="00"/>
    <w:family w:val="auto"/>
    <w:pitch w:val="variable"/>
    <w:sig w:usb0="E00002FF" w:usb1="5000785B" w:usb2="00000000" w:usb3="00000000" w:csb0="0000019F" w:csb1="00000000"/>
  </w:font>
  <w:font w:name="Open Sans">
    <w:panose1 w:val="020B0606030504020204"/>
    <w:charset w:val="00"/>
    <w:family w:val="swiss"/>
    <w:pitch w:val="variable"/>
    <w:sig w:usb0="E00002EF" w:usb1="4000205B" w:usb2="00000028"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4396"/>
    <w:rsid w:val="00D243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49B999DCF05F34884A9783072CFA566">
    <w:name w:val="D49B999DCF05F34884A9783072CFA566"/>
    <w:rsid w:val="00D24396"/>
  </w:style>
  <w:style w:type="paragraph" w:customStyle="1" w:styleId="5B75AA14A788CA4D87A7DD06B9B970D1">
    <w:name w:val="5B75AA14A788CA4D87A7DD06B9B970D1"/>
    <w:rsid w:val="00D24396"/>
  </w:style>
  <w:style w:type="paragraph" w:customStyle="1" w:styleId="54377873F4D05A47B999215DB700AA2F">
    <w:name w:val="54377873F4D05A47B999215DB700AA2F"/>
    <w:rsid w:val="00D24396"/>
  </w:style>
  <w:style w:type="paragraph" w:customStyle="1" w:styleId="CDAA92CD790E5D4FA74C196C209F0041">
    <w:name w:val="CDAA92CD790E5D4FA74C196C209F0041"/>
    <w:rsid w:val="00D2439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WORD COUNT:2947</PublishDate>
  <Abstract/>
  <CompanyAddress>1700768</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999</TotalTime>
  <Pages>15</Pages>
  <Words>3578</Words>
  <Characters>20395</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STUDENT NUMBER:</Company>
  <LinksUpToDate>false</LinksUpToDate>
  <CharactersWithSpaces>23926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Historical Theories</dc:title>
  <dc:subject>Sophie Evans</dc:subject>
  <dc:creator>Sophie Evans (1700768)</dc:creator>
  <cp:keywords/>
  <dc:description/>
  <cp:lastModifiedBy>Sophie Evans (1700768)</cp:lastModifiedBy>
  <cp:revision>7</cp:revision>
  <dcterms:created xsi:type="dcterms:W3CDTF">2022-02-20T20:39:00Z</dcterms:created>
  <dcterms:modified xsi:type="dcterms:W3CDTF">2022-03-04T17:59:00Z</dcterms:modified>
</cp:coreProperties>
</file>