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0868CDA">
      <w:pPr>
        <w:rPr>
          <w:rFonts w:ascii="Arial" w:hAnsi="Arial" w:cs="Arial"/>
          <w:sz w:val="24"/>
          <w:szCs w:val="24"/>
        </w:rPr>
      </w:pPr>
    </w:p>
    <w:p w14:paraId="0C650B40">
      <w:pPr>
        <w:rPr>
          <w:rFonts w:ascii="Arial" w:hAnsi="Arial" w:cs="Arial"/>
          <w:sz w:val="24"/>
          <w:szCs w:val="24"/>
        </w:rPr>
      </w:pPr>
    </w:p>
    <w:p w14:paraId="2CB2266A">
      <w:pPr>
        <w:rPr>
          <w:rFonts w:ascii="Arial" w:hAnsi="Arial" w:cs="Arial"/>
          <w:sz w:val="24"/>
          <w:szCs w:val="24"/>
        </w:rPr>
      </w:pPr>
    </w:p>
    <w:p w14:paraId="631C5F68">
      <w:pPr>
        <w:rPr>
          <w:rFonts w:ascii="Arial" w:hAnsi="Arial" w:cs="Arial"/>
          <w:sz w:val="24"/>
          <w:szCs w:val="24"/>
        </w:rPr>
      </w:pPr>
    </w:p>
    <w:p w14:paraId="388906A0">
      <w:pPr>
        <w:rPr>
          <w:rFonts w:ascii="Arial" w:hAnsi="Arial" w:cs="Arial"/>
          <w:sz w:val="24"/>
          <w:szCs w:val="24"/>
        </w:rPr>
      </w:pPr>
    </w:p>
    <w:p w14:paraId="0D648EA3">
      <w:pPr>
        <w:rPr>
          <w:rFonts w:hint="default" w:ascii="Times New Roman" w:hAnsi="Times New Roman" w:cs="Times New Roman"/>
          <w:sz w:val="24"/>
          <w:szCs w:val="24"/>
        </w:rPr>
      </w:pPr>
    </w:p>
    <w:p w14:paraId="21805CFC">
      <w:pPr>
        <w:rPr>
          <w:rFonts w:hint="default" w:ascii="Times New Roman" w:hAnsi="Times New Roman" w:cs="Times New Roman"/>
          <w:b/>
          <w:bCs/>
          <w:sz w:val="24"/>
          <w:szCs w:val="24"/>
        </w:rPr>
      </w:pPr>
    </w:p>
    <w:p w14:paraId="499D5C03">
      <w:pPr>
        <w:rPr>
          <w:rFonts w:hint="default" w:ascii="Times New Roman" w:hAnsi="Times New Roman" w:cs="Times New Roman"/>
          <w:b/>
          <w:bCs/>
          <w:sz w:val="24"/>
          <w:szCs w:val="24"/>
        </w:rPr>
      </w:pPr>
    </w:p>
    <w:p w14:paraId="006B1B06">
      <w:pPr>
        <w:rPr>
          <w:rFonts w:hint="default" w:ascii="Times New Roman" w:hAnsi="Times New Roman" w:cs="Times New Roman"/>
          <w:b/>
          <w:bCs/>
          <w:sz w:val="24"/>
          <w:szCs w:val="24"/>
        </w:rPr>
      </w:pPr>
    </w:p>
    <w:p w14:paraId="64F8970B">
      <w:pPr>
        <w:rPr>
          <w:rFonts w:hint="default" w:ascii="Times New Roman" w:hAnsi="Times New Roman" w:cs="Times New Roman"/>
          <w:b/>
          <w:bCs/>
          <w:sz w:val="24"/>
          <w:szCs w:val="24"/>
        </w:rPr>
      </w:pPr>
    </w:p>
    <w:p w14:paraId="1075FEDD">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In the context of the climate crisis: should modern enterprises pursue profit maximization or sustainable development?</w:t>
      </w:r>
    </w:p>
    <w:p w14:paraId="489AFC14">
      <w:pPr>
        <w:rPr>
          <w:rFonts w:ascii="Arial" w:hAnsi="Arial" w:cs="Arial"/>
          <w:sz w:val="24"/>
          <w:szCs w:val="24"/>
        </w:rPr>
      </w:pPr>
    </w:p>
    <w:p w14:paraId="4BFE5105">
      <w:pPr>
        <w:rPr>
          <w:rFonts w:ascii="Arial" w:hAnsi="Arial" w:cs="Arial"/>
          <w:sz w:val="24"/>
          <w:szCs w:val="24"/>
        </w:rPr>
      </w:pPr>
    </w:p>
    <w:p w14:paraId="6E132E33">
      <w:pPr>
        <w:rPr>
          <w:rFonts w:ascii="Arial" w:hAnsi="Arial" w:cs="Arial"/>
          <w:sz w:val="24"/>
          <w:szCs w:val="24"/>
        </w:rPr>
      </w:pPr>
    </w:p>
    <w:p w14:paraId="7670692D">
      <w:pPr>
        <w:rPr>
          <w:rFonts w:ascii="Arial" w:hAnsi="Arial" w:cs="Arial"/>
          <w:sz w:val="24"/>
          <w:szCs w:val="24"/>
        </w:rPr>
      </w:pPr>
    </w:p>
    <w:p w14:paraId="4EA96F6C">
      <w:pPr>
        <w:rPr>
          <w:rFonts w:ascii="Arial" w:hAnsi="Arial" w:cs="Arial"/>
          <w:sz w:val="24"/>
          <w:szCs w:val="24"/>
        </w:rPr>
      </w:pPr>
    </w:p>
    <w:p w14:paraId="5226E364">
      <w:pPr>
        <w:rPr>
          <w:rFonts w:ascii="Arial" w:hAnsi="Arial" w:cs="Arial"/>
          <w:sz w:val="24"/>
          <w:szCs w:val="24"/>
        </w:rPr>
      </w:pPr>
    </w:p>
    <w:p w14:paraId="1359B471">
      <w:pPr>
        <w:rPr>
          <w:rFonts w:ascii="Arial" w:hAnsi="Arial" w:cs="Arial"/>
          <w:sz w:val="24"/>
          <w:szCs w:val="24"/>
        </w:rPr>
      </w:pPr>
    </w:p>
    <w:p w14:paraId="6037361F">
      <w:pPr>
        <w:rPr>
          <w:rFonts w:ascii="Arial" w:hAnsi="Arial" w:cs="Arial"/>
          <w:sz w:val="24"/>
          <w:szCs w:val="24"/>
        </w:rPr>
      </w:pPr>
    </w:p>
    <w:p w14:paraId="5105A6FE">
      <w:pPr>
        <w:rPr>
          <w:rFonts w:ascii="Arial" w:hAnsi="Arial" w:cs="Arial"/>
          <w:sz w:val="24"/>
          <w:szCs w:val="24"/>
        </w:rPr>
      </w:pPr>
    </w:p>
    <w:p w14:paraId="7265EB82">
      <w:pPr>
        <w:rPr>
          <w:rFonts w:ascii="Arial" w:hAnsi="Arial" w:cs="Arial"/>
          <w:sz w:val="24"/>
          <w:szCs w:val="24"/>
        </w:rPr>
      </w:pPr>
    </w:p>
    <w:p w14:paraId="402B220E">
      <w:pPr>
        <w:pStyle w:val="11"/>
        <w:bidi w:val="0"/>
        <w:rPr>
          <w:rFonts w:hint="eastAsia" w:eastAsia="宋体"/>
          <w:lang w:eastAsia="zh-CN"/>
        </w:rPr>
      </w:pPr>
      <w:r>
        <w:rPr>
          <w:rFonts w:hint="eastAsia" w:eastAsia="宋体"/>
          <w:lang w:val="en-US" w:eastAsia="zh-CN"/>
        </w:rPr>
        <w:t>M</w:t>
      </w:r>
      <w:r>
        <w:rPr>
          <w:rFonts w:hint="eastAsia"/>
        </w:rPr>
        <w:t xml:space="preserve">odule </w:t>
      </w:r>
      <w:r>
        <w:rPr>
          <w:rFonts w:hint="eastAsia" w:eastAsia="宋体"/>
          <w:lang w:val="en-US" w:eastAsia="zh-CN"/>
        </w:rPr>
        <w:t>C</w:t>
      </w:r>
      <w:r>
        <w:rPr>
          <w:rFonts w:hint="eastAsia"/>
        </w:rPr>
        <w:t>ode</w:t>
      </w:r>
      <w:r>
        <w:rPr>
          <w:rFonts w:hint="eastAsia" w:eastAsia="宋体"/>
          <w:lang w:eastAsia="zh-CN"/>
        </w:rPr>
        <w:t>：BMBM6008</w:t>
      </w:r>
    </w:p>
    <w:p w14:paraId="66626675">
      <w:pPr>
        <w:pStyle w:val="11"/>
        <w:bidi w:val="0"/>
        <w:rPr>
          <w:rFonts w:hint="eastAsia"/>
          <w:lang w:eastAsia="zh-CN"/>
        </w:rPr>
      </w:pPr>
      <w:r>
        <w:rPr>
          <w:rFonts w:hint="eastAsia"/>
        </w:rPr>
        <w:t>Lecturer</w:t>
      </w:r>
      <w:r>
        <w:rPr>
          <w:rFonts w:hint="eastAsia"/>
          <w:lang w:eastAsia="zh-CN"/>
        </w:rPr>
        <w:t>：Arpu Kumar</w:t>
      </w:r>
    </w:p>
    <w:p w14:paraId="3821ABD0">
      <w:pPr>
        <w:pStyle w:val="11"/>
        <w:bidi w:val="0"/>
        <w:rPr>
          <w:rFonts w:hint="eastAsia"/>
          <w:lang w:val="en-US" w:eastAsia="zh-CN"/>
        </w:rPr>
      </w:pPr>
      <w:r>
        <w:rPr>
          <w:rFonts w:hint="eastAsia"/>
          <w:lang w:val="en-US" w:eastAsia="zh-CN"/>
        </w:rPr>
        <w:t>S</w:t>
      </w:r>
      <w:r>
        <w:rPr>
          <w:rFonts w:hint="default"/>
        </w:rPr>
        <w:t xml:space="preserve">tudent </w:t>
      </w:r>
      <w:r>
        <w:rPr>
          <w:rFonts w:hint="eastAsia"/>
          <w:lang w:val="en-US" w:eastAsia="zh-CN"/>
        </w:rPr>
        <w:t>N</w:t>
      </w:r>
      <w:r>
        <w:rPr>
          <w:rFonts w:hint="default"/>
        </w:rPr>
        <w:t>ame</w:t>
      </w:r>
      <w:r>
        <w:rPr>
          <w:rFonts w:hint="eastAsia"/>
          <w:lang w:val="en-US" w:eastAsia="zh-CN"/>
        </w:rPr>
        <w:t>:Mingyang Zhang</w:t>
      </w:r>
    </w:p>
    <w:p w14:paraId="295B4051">
      <w:pPr>
        <w:pStyle w:val="11"/>
        <w:bidi w:val="0"/>
        <w:rPr>
          <w:rFonts w:hint="default"/>
          <w:lang w:val="en-US" w:eastAsia="zh-CN"/>
        </w:rPr>
      </w:pPr>
      <w:r>
        <w:rPr>
          <w:rFonts w:hint="default"/>
          <w:lang w:val="en-US" w:eastAsia="zh-CN"/>
        </w:rPr>
        <w:t>S</w:t>
      </w:r>
      <w:r>
        <w:rPr>
          <w:rFonts w:hint="default"/>
        </w:rPr>
        <w:t xml:space="preserve">tudent </w:t>
      </w:r>
      <w:r>
        <w:rPr>
          <w:rFonts w:hint="default"/>
          <w:lang w:val="en-US" w:eastAsia="zh-CN"/>
        </w:rPr>
        <w:t>ID</w:t>
      </w:r>
      <w:r>
        <w:rPr>
          <w:rFonts w:hint="eastAsia"/>
          <w:lang w:val="en-US" w:eastAsia="zh-CN"/>
        </w:rPr>
        <w:t>：2405456</w:t>
      </w:r>
    </w:p>
    <w:p w14:paraId="72848553">
      <w:pPr>
        <w:rPr>
          <w:rFonts w:ascii="Arial" w:hAnsi="Arial" w:cs="Arial"/>
          <w:sz w:val="24"/>
          <w:szCs w:val="24"/>
        </w:rPr>
      </w:pPr>
    </w:p>
    <w:p w14:paraId="0CFC3F79">
      <w:pPr>
        <w:rPr>
          <w:rFonts w:ascii="Arial" w:hAnsi="Arial" w:cs="Arial"/>
          <w:sz w:val="24"/>
          <w:szCs w:val="24"/>
        </w:rPr>
      </w:pPr>
    </w:p>
    <w:p w14:paraId="0DC3B272">
      <w:pPr>
        <w:rPr>
          <w:rFonts w:ascii="Arial" w:hAnsi="Arial" w:cs="Arial"/>
          <w:sz w:val="24"/>
          <w:szCs w:val="24"/>
        </w:rPr>
      </w:pPr>
    </w:p>
    <w:p w14:paraId="1B83C05E">
      <w:pPr>
        <w:rPr>
          <w:rFonts w:ascii="Arial" w:hAnsi="Arial" w:cs="Arial"/>
          <w:sz w:val="24"/>
          <w:szCs w:val="24"/>
        </w:rPr>
      </w:pPr>
    </w:p>
    <w:p w14:paraId="07205FA6">
      <w:pPr>
        <w:rPr>
          <w:rFonts w:ascii="Arial" w:hAnsi="Arial" w:cs="Arial"/>
          <w:sz w:val="24"/>
          <w:szCs w:val="24"/>
        </w:rPr>
      </w:pPr>
    </w:p>
    <w:p w14:paraId="6E0C8A62">
      <w:pPr>
        <w:rPr>
          <w:rFonts w:ascii="Arial" w:hAnsi="Arial" w:cs="Arial"/>
          <w:sz w:val="24"/>
          <w:szCs w:val="24"/>
        </w:rPr>
      </w:pPr>
    </w:p>
    <w:p w14:paraId="1B170E0F">
      <w:pPr>
        <w:rPr>
          <w:rFonts w:ascii="Arial" w:hAnsi="Arial" w:cs="Arial"/>
          <w:sz w:val="24"/>
          <w:szCs w:val="24"/>
        </w:rPr>
      </w:pPr>
    </w:p>
    <w:p w14:paraId="0DBBFBDB">
      <w:pPr>
        <w:rPr>
          <w:rFonts w:ascii="Arial" w:hAnsi="Arial" w:cs="Arial"/>
          <w:sz w:val="24"/>
          <w:szCs w:val="24"/>
        </w:rPr>
      </w:pPr>
    </w:p>
    <w:p w14:paraId="492BBB78">
      <w:pPr>
        <w:rPr>
          <w:rFonts w:ascii="Arial" w:hAnsi="Arial" w:cs="Arial"/>
          <w:sz w:val="24"/>
          <w:szCs w:val="24"/>
        </w:rPr>
      </w:pPr>
    </w:p>
    <w:p w14:paraId="1B269237">
      <w:pPr>
        <w:rPr>
          <w:rFonts w:ascii="Arial" w:hAnsi="Arial" w:cs="Arial"/>
          <w:sz w:val="24"/>
          <w:szCs w:val="24"/>
        </w:rPr>
      </w:pPr>
    </w:p>
    <w:p w14:paraId="5DEEBADA">
      <w:pPr>
        <w:rPr>
          <w:rFonts w:ascii="Arial" w:hAnsi="Arial" w:cs="Arial"/>
          <w:sz w:val="24"/>
          <w:szCs w:val="24"/>
        </w:rPr>
      </w:pPr>
    </w:p>
    <w:p w14:paraId="49409F1C">
      <w:pPr>
        <w:rPr>
          <w:rFonts w:ascii="Arial" w:hAnsi="Arial" w:cs="Arial"/>
          <w:sz w:val="24"/>
          <w:szCs w:val="24"/>
        </w:rPr>
      </w:pPr>
    </w:p>
    <w:p w14:paraId="30A06399">
      <w:pPr>
        <w:rPr>
          <w:rFonts w:ascii="Arial" w:hAnsi="Arial" w:cs="Arial"/>
          <w:sz w:val="24"/>
          <w:szCs w:val="24"/>
        </w:rPr>
      </w:pPr>
    </w:p>
    <w:p w14:paraId="7E4F2A78">
      <w:pPr>
        <w:rPr>
          <w:rFonts w:ascii="Arial" w:hAnsi="Arial" w:cs="Arial"/>
          <w:sz w:val="24"/>
          <w:szCs w:val="24"/>
        </w:rPr>
      </w:pPr>
    </w:p>
    <w:p w14:paraId="761BB183">
      <w:pPr>
        <w:rPr>
          <w:rFonts w:hint="default" w:ascii="Times New Roman" w:hAnsi="Times New Roman" w:cs="Times New Roman"/>
          <w:b/>
          <w:bCs/>
        </w:rPr>
      </w:pPr>
      <w:r>
        <w:rPr>
          <w:rFonts w:hint="default" w:ascii="Times New Roman" w:hAnsi="Times New Roman" w:cs="Times New Roman"/>
          <w:b/>
          <w:bCs/>
          <w:sz w:val="24"/>
          <w:szCs w:val="24"/>
        </w:rPr>
        <w:t>Abstract</w:t>
      </w:r>
    </w:p>
    <w:p w14:paraId="5B9C510F">
      <w:pPr>
        <w:pStyle w:val="11"/>
        <w:bidi w:val="0"/>
        <w:rPr>
          <w:rFonts w:hint="eastAsia"/>
        </w:rPr>
      </w:pPr>
      <w:r>
        <w:rPr>
          <w:rFonts w:hint="eastAsia"/>
        </w:rPr>
        <w:t>The accelerating climate crisis has reshaped the economic logic of modern business. Scientific evidence confirms that climate risks—ranging from extreme weather to supply chain disruption—are now material financial risks for companies . Traditional shareholder value theory argues that firms should maximise profits , while modern stakeholder and ESG perspectives emphasise wider environmental and social responsibilities .</w:t>
      </w:r>
    </w:p>
    <w:p w14:paraId="2722B187">
      <w:pPr>
        <w:pStyle w:val="11"/>
        <w:bidi w:val="0"/>
        <w:rPr>
          <w:rFonts w:hint="eastAsia"/>
        </w:rPr>
      </w:pPr>
    </w:p>
    <w:p w14:paraId="07E12D9F">
      <w:pPr>
        <w:pStyle w:val="11"/>
        <w:bidi w:val="0"/>
        <w:rPr>
          <w:rFonts w:hint="eastAsia"/>
        </w:rPr>
      </w:pPr>
      <w:r>
        <w:rPr>
          <w:rFonts w:hint="eastAsia"/>
        </w:rPr>
        <w:t>Evidence shows that sustainability is no longer only a moral obligation but a long-term strategic driver of value creation. While green investment may reduce short-term profits, firms with strong ESG strategies gain competitive advantages, lower capital costs, and better long-term financial performance . Case studies of Unilever and Tesla show two different paths: systematic ESG integration and technology-driven sustainability, both demonstrating the potential for profit–sustainability alignment.</w:t>
      </w:r>
    </w:p>
    <w:p w14:paraId="2F28CE16">
      <w:pPr>
        <w:pStyle w:val="11"/>
        <w:bidi w:val="0"/>
        <w:rPr>
          <w:rFonts w:hint="eastAsia"/>
        </w:rPr>
      </w:pPr>
    </w:p>
    <w:p w14:paraId="060D080A">
      <w:pPr>
        <w:pStyle w:val="11"/>
        <w:bidi w:val="0"/>
        <w:rPr>
          <w:rFonts w:hint="eastAsia"/>
        </w:rPr>
      </w:pPr>
      <w:r>
        <w:rPr>
          <w:rFonts w:hint="eastAsia"/>
        </w:rPr>
        <w:t>This report concludes that profit maximisation and sustainability are not mutually exclusive. Firms should embed climate goals into core strategy, strengthen governance and disclosure, and collaborate with stakeholders to achieve sustainable growth.</w:t>
      </w:r>
    </w:p>
    <w:p w14:paraId="7BEDCD10">
      <w:pPr>
        <w:rPr>
          <w:rFonts w:hint="eastAsia"/>
        </w:rPr>
      </w:pPr>
    </w:p>
    <w:p w14:paraId="3A7BB818">
      <w:pPr>
        <w:rPr>
          <w:rFonts w:hint="eastAsia"/>
        </w:rPr>
      </w:pPr>
    </w:p>
    <w:p w14:paraId="26F1C22B">
      <w:pPr>
        <w:rPr>
          <w:rFonts w:hint="eastAsia"/>
        </w:rPr>
      </w:pPr>
    </w:p>
    <w:p w14:paraId="5C22CB44">
      <w:pPr>
        <w:rPr>
          <w:rFonts w:hint="eastAsia"/>
        </w:rPr>
      </w:pPr>
    </w:p>
    <w:p w14:paraId="11371C92">
      <w:pPr>
        <w:rPr>
          <w:rFonts w:hint="eastAsia"/>
        </w:rPr>
      </w:pPr>
    </w:p>
    <w:p w14:paraId="339D91EE">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Contents</w:t>
      </w:r>
    </w:p>
    <w:p w14:paraId="28F37EFC">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\t "1,1,2,2" \h</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_Toc17895 </w:instrText>
      </w:r>
      <w:r>
        <w:rPr>
          <w:rFonts w:hint="default" w:ascii="Times New Roman" w:hAnsi="Times New Roman" w:cs="Times New Roman"/>
          <w:sz w:val="24"/>
          <w:szCs w:val="24"/>
        </w:rPr>
        <w:fldChar w:fldCharType="separate"/>
      </w:r>
      <w:r>
        <w:rPr>
          <w:rFonts w:hint="default" w:ascii="Times New Roman" w:hAnsi="Times New Roman" w:eastAsia="宋体" w:cs="Times New Roman"/>
          <w:sz w:val="24"/>
          <w:szCs w:val="24"/>
          <w:lang w:val="en-US" w:eastAsia="zh-CN"/>
        </w:rPr>
        <w:t>1.</w:t>
      </w:r>
      <w:r>
        <w:rPr>
          <w:rFonts w:hint="default" w:ascii="Times New Roman" w:hAnsi="Times New Roman"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_Toc17895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449FA38">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_Toc4007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2.What is the purpose of modern companies?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_Toc4007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AFB88A2">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_Toc17947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 Climate Crisis and Corporate Responsibility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_Toc17947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585A04D">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_Toc26961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 Profit and Sustainability: Conflict or Long Term Consistency?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_Toc26961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F4FD455">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_Toc26346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5.Two Paths for Sustainable Transformation of Global Enterprises: Unilever and Tesla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_Toc26346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66C8D59">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_Toc18336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5.1 Unilever: Moving from Ideal Vision to Practical Innovation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_Toc18336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15B474A8">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_Toc11113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5.2 Tesla: Technology Driven Sustainable Profit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_Toc11113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B1C8EF2">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_Toc30462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5.3 Conclusion: Different paths, common proposition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_Toc30462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A6050DD">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_Toc21853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6. Discussion: Can profit and sustainability be compatible?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E240C6F">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_Toc17689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7. Conclusion and Suggestions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_Toc17689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FB910C5">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_Toc10961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_Toc10961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C5BDC30">
      <w:pPr>
        <w:rPr>
          <w:rFonts w:hint="eastAsia"/>
        </w:rPr>
      </w:pPr>
      <w:r>
        <w:rPr>
          <w:rFonts w:hint="default" w:ascii="Times New Roman" w:hAnsi="Times New Roman" w:cs="Times New Roman"/>
          <w:sz w:val="24"/>
          <w:szCs w:val="24"/>
        </w:rPr>
        <w:fldChar w:fldCharType="end"/>
      </w:r>
    </w:p>
    <w:p w14:paraId="1C2FF857">
      <w:pPr>
        <w:rPr>
          <w:rFonts w:hint="eastAsia"/>
        </w:rPr>
      </w:pPr>
    </w:p>
    <w:p w14:paraId="1242569A">
      <w:pPr>
        <w:rPr>
          <w:rFonts w:hint="eastAsia"/>
        </w:rPr>
      </w:pPr>
    </w:p>
    <w:p w14:paraId="786C21C4">
      <w:pPr>
        <w:rPr>
          <w:rFonts w:hint="eastAsia"/>
        </w:rPr>
      </w:pPr>
    </w:p>
    <w:p w14:paraId="0F3DE313">
      <w:pPr>
        <w:rPr>
          <w:rFonts w:hint="eastAsia"/>
        </w:rPr>
      </w:pPr>
    </w:p>
    <w:p w14:paraId="3410CD23">
      <w:pPr>
        <w:rPr>
          <w:rFonts w:hint="eastAsia"/>
        </w:rPr>
      </w:pPr>
    </w:p>
    <w:p w14:paraId="42D08481">
      <w:pPr>
        <w:rPr>
          <w:rFonts w:hint="eastAsia"/>
        </w:rPr>
      </w:pPr>
    </w:p>
    <w:p w14:paraId="2FE22A59">
      <w:pPr>
        <w:rPr>
          <w:rFonts w:hint="eastAsia"/>
        </w:rPr>
      </w:pPr>
    </w:p>
    <w:p w14:paraId="7454D625">
      <w:pPr>
        <w:rPr>
          <w:rFonts w:hint="eastAsia"/>
        </w:rPr>
      </w:pPr>
    </w:p>
    <w:p w14:paraId="2D9D22D0">
      <w:pPr>
        <w:rPr>
          <w:rFonts w:hint="eastAsia"/>
        </w:rPr>
      </w:pPr>
    </w:p>
    <w:p w14:paraId="2E48F566">
      <w:pPr>
        <w:rPr>
          <w:rFonts w:hint="eastAsia"/>
        </w:rPr>
      </w:pPr>
    </w:p>
    <w:p w14:paraId="00DEEC99">
      <w:pPr>
        <w:rPr>
          <w:rFonts w:hint="eastAsia"/>
        </w:rPr>
      </w:pPr>
    </w:p>
    <w:p w14:paraId="2B9CB2B7">
      <w:pPr>
        <w:rPr>
          <w:rFonts w:hint="eastAsia"/>
        </w:rPr>
      </w:pPr>
    </w:p>
    <w:p w14:paraId="1DCC553C">
      <w:pPr>
        <w:rPr>
          <w:rFonts w:hint="eastAsia"/>
        </w:rPr>
      </w:pPr>
    </w:p>
    <w:p w14:paraId="7BAECAC5">
      <w:pPr>
        <w:rPr>
          <w:rFonts w:hint="eastAsia"/>
        </w:rPr>
      </w:pPr>
    </w:p>
    <w:p w14:paraId="7A58157A">
      <w:pPr>
        <w:rPr>
          <w:rFonts w:hint="eastAsia"/>
        </w:rPr>
      </w:pPr>
    </w:p>
    <w:p w14:paraId="531344DD">
      <w:pPr>
        <w:rPr>
          <w:rFonts w:hint="eastAsia"/>
        </w:rPr>
      </w:pPr>
    </w:p>
    <w:p w14:paraId="61F61FE3">
      <w:pPr>
        <w:rPr>
          <w:rFonts w:hint="eastAsia"/>
        </w:rPr>
      </w:pPr>
    </w:p>
    <w:p w14:paraId="676793C6">
      <w:pPr>
        <w:rPr>
          <w:rFonts w:hint="eastAsia"/>
        </w:rPr>
      </w:pPr>
    </w:p>
    <w:p w14:paraId="25EC2C65">
      <w:pPr>
        <w:rPr>
          <w:rFonts w:hint="eastAsia"/>
        </w:rPr>
      </w:pPr>
    </w:p>
    <w:p w14:paraId="22EA2D23">
      <w:pPr>
        <w:rPr>
          <w:rFonts w:hint="eastAsia"/>
        </w:rPr>
      </w:pPr>
    </w:p>
    <w:p w14:paraId="0D49282F">
      <w:pPr>
        <w:rPr>
          <w:rFonts w:hint="eastAsia"/>
        </w:rPr>
      </w:pPr>
    </w:p>
    <w:p w14:paraId="0F92F946">
      <w:pPr>
        <w:rPr>
          <w:rFonts w:hint="eastAsia"/>
        </w:rPr>
      </w:pPr>
    </w:p>
    <w:p w14:paraId="47DA1797">
      <w:pPr>
        <w:rPr>
          <w:rFonts w:hint="eastAsia"/>
        </w:rPr>
      </w:pPr>
    </w:p>
    <w:p w14:paraId="3BA3B8BA">
      <w:pPr>
        <w:rPr>
          <w:rFonts w:hint="eastAsia"/>
        </w:rPr>
      </w:pPr>
    </w:p>
    <w:p w14:paraId="5CB432C5">
      <w:pPr>
        <w:rPr>
          <w:rFonts w:hint="eastAsia"/>
        </w:rPr>
      </w:pPr>
    </w:p>
    <w:p w14:paraId="5A4B9892">
      <w:pPr>
        <w:rPr>
          <w:rFonts w:hint="eastAsia"/>
        </w:rPr>
      </w:pPr>
    </w:p>
    <w:p w14:paraId="3B1FFB80">
      <w:pPr>
        <w:rPr>
          <w:rFonts w:hint="eastAsia"/>
        </w:rPr>
      </w:pPr>
    </w:p>
    <w:p w14:paraId="51D93BD4">
      <w:pPr>
        <w:rPr>
          <w:rFonts w:hint="eastAsia"/>
        </w:rPr>
      </w:pPr>
    </w:p>
    <w:p w14:paraId="2FC865A4">
      <w:pPr>
        <w:rPr>
          <w:rFonts w:hint="eastAsia"/>
        </w:rPr>
      </w:pPr>
    </w:p>
    <w:p w14:paraId="31FCBEA1">
      <w:pPr>
        <w:rPr>
          <w:rFonts w:hint="eastAsia"/>
        </w:rPr>
      </w:pPr>
    </w:p>
    <w:p w14:paraId="5E4B2499">
      <w:pPr>
        <w:rPr>
          <w:rFonts w:hint="eastAsia"/>
        </w:rPr>
      </w:pPr>
    </w:p>
    <w:p w14:paraId="22DF31C3">
      <w:pPr>
        <w:pStyle w:val="12"/>
        <w:bidi w:val="0"/>
        <w:rPr>
          <w:rFonts w:hint="eastAsia" w:eastAsia="宋体"/>
          <w:lang w:val="en-US" w:eastAsia="zh-CN"/>
        </w:rPr>
        <w:sectPr>
          <w:pgSz w:w="11906" w:h="16838"/>
          <w:pgMar w:top="1440" w:right="1800" w:bottom="1440" w:left="1800" w:header="851" w:footer="992" w:gutter="0"/>
          <w:cols w:space="0" w:num="1"/>
          <w:rtlGutter w:val="0"/>
          <w:docGrid w:type="lines" w:linePitch="312" w:charSpace="0"/>
        </w:sectPr>
      </w:pPr>
      <w:bookmarkStart w:id="0" w:name="_Toc17895"/>
    </w:p>
    <w:p w14:paraId="0B6C41FC">
      <w:pPr>
        <w:pStyle w:val="12"/>
        <w:bidi w:val="0"/>
        <w:rPr>
          <w:rFonts w:hint="eastAsia"/>
        </w:rPr>
      </w:pPr>
      <w:r>
        <w:rPr>
          <w:rFonts w:hint="eastAsia" w:eastAsia="宋体"/>
          <w:lang w:val="en-US" w:eastAsia="zh-CN"/>
        </w:rPr>
        <w:t>1.</w:t>
      </w:r>
      <w:r>
        <w:t>Introduction</w:t>
      </w:r>
      <w:bookmarkEnd w:id="0"/>
    </w:p>
    <w:p w14:paraId="4BDE1A07">
      <w:pPr>
        <w:pStyle w:val="11"/>
        <w:bidi w:val="0"/>
        <w:rPr>
          <w:rFonts w:hint="eastAsia"/>
        </w:rPr>
      </w:pPr>
      <w:r>
        <w:rPr>
          <w:rFonts w:hint="eastAsia"/>
        </w:rPr>
        <w:t>Climate crisis refers to the drastic changes that occur in the Earth's climate system, particularly the cascading ecological and environmental crises caused by global warming. The Intergovernmental Panel on Climate Change (IPCC) of the United Nations has pointed out that the current rate of climate change far exceeds historical natural fluctuations, and some changes are irreversible within hundreds of years. In 2020, over 11000 scientists worldwide jointly issued a warning that the climate crisis is worsening faster than scientifically expected, and the Earth is entering a state of climate emergency, which will bring "endless suffering" to humanity. The climate crisis has become the most urgent global issue of the 21st century. The latest scientific assessment shows that human activities have led to a sharp increase in greenhouse gas concentrations in the atmosphere, causing the global average temperature to rise by about 1.1 ℃ above pre industrial levels, and triggering systemic risks such as extreme weather, rising sea levels, and irreversible ecological losses (IPCC, 2021). I believe that in this context, companies from various countries will play a crucial role in the global economic structure. Traditional business ethics holds that the primary responsibility of a company is to pursue maximum profit, while emerging perspectives emphasize that companies should also assume environmental and social responsibilities (Crane et al., 2019).</w:t>
      </w:r>
      <w:bookmarkStart w:id="11" w:name="_GoBack"/>
      <w:bookmarkEnd w:id="11"/>
    </w:p>
    <w:p w14:paraId="614654D4">
      <w:pPr>
        <w:pStyle w:val="11"/>
        <w:bidi w:val="0"/>
        <w:rPr>
          <w:rFonts w:hint="eastAsia"/>
        </w:rPr>
      </w:pPr>
      <w:r>
        <w:rPr>
          <w:rFonts w:hint="eastAsia"/>
        </w:rPr>
        <w:t>So the current issue that should be focused on is whether modern enterprises should pursue profit maximization or sustainable development in the context of the climate crisis? In fact, that the two are not binary oppositions, but can shift from short-term conflicts to long-term consistency. Sustainable development is no longer a cost, but a core strategic element that affects competitive advantage, capital costs, and risk management (Ioannou and Serafei, 2021).</w:t>
      </w:r>
    </w:p>
    <w:p w14:paraId="1E552150">
      <w:pPr>
        <w:pStyle w:val="11"/>
        <w:bidi w:val="0"/>
        <w:rPr>
          <w:rFonts w:hint="eastAsia"/>
        </w:rPr>
      </w:pPr>
    </w:p>
    <w:p w14:paraId="6B041F3F">
      <w:pPr>
        <w:pStyle w:val="12"/>
        <w:bidi w:val="0"/>
        <w:rPr>
          <w:rFonts w:hint="default"/>
          <w:lang w:val="en-US" w:eastAsia="zh-CN"/>
        </w:rPr>
      </w:pPr>
      <w:bookmarkStart w:id="1" w:name="_Toc4007"/>
      <w:r>
        <w:rPr>
          <w:rFonts w:hint="eastAsia"/>
          <w:lang w:val="en-US" w:eastAsia="zh-CN"/>
        </w:rPr>
        <w:t>2.</w:t>
      </w:r>
      <w:r>
        <w:rPr>
          <w:rFonts w:hint="default"/>
          <w:lang w:val="en-US" w:eastAsia="zh-CN"/>
        </w:rPr>
        <w:t>What is the purpose of modern companies?</w:t>
      </w:r>
      <w:bookmarkEnd w:id="1"/>
    </w:p>
    <w:p w14:paraId="3B128FB0">
      <w:pPr>
        <w:pStyle w:val="11"/>
        <w:bidi w:val="0"/>
        <w:rPr>
          <w:rFonts w:hint="default" w:eastAsia="宋体"/>
          <w:lang w:val="en-US" w:eastAsia="zh-CN"/>
        </w:rPr>
      </w:pPr>
      <w:r>
        <w:rPr>
          <w:rFonts w:hint="default" w:eastAsia="宋体"/>
          <w:lang w:val="en-US" w:eastAsia="zh-CN"/>
        </w:rPr>
        <w:t>The purpose of modern companies is not just to make profits, but to undertake broader social responsibilities and economic functions. The debate about the purpose of enterprises stems from classical economic theory. Milton Friedman proposed the shareholder value theory, which holds that the only social responsibility of a company is to create profits for shareholders, and other social expenditures belong to "non market intervention" (Friedman, 1970). This viewpoint supports decades of corporate governance concepts, such as performance evaluation systems that maximize shareholder value. On the contrary, Freeman proposed the stakeholder theory, which holds that companies are not only responsible to shareholders, but also to employees, consumers, supply chains, communities, and the natural environment (Freeman, 1984). This theory reflects the highly nested relationship between business activities and the social environment.</w:t>
      </w:r>
    </w:p>
    <w:p w14:paraId="1B27D7A5">
      <w:pPr>
        <w:pStyle w:val="11"/>
        <w:bidi w:val="0"/>
        <w:rPr>
          <w:rFonts w:hint="default" w:eastAsia="宋体"/>
          <w:lang w:val="en-US" w:eastAsia="zh-CN"/>
        </w:rPr>
      </w:pPr>
      <w:r>
        <w:rPr>
          <w:rFonts w:hint="default" w:eastAsia="宋体"/>
          <w:lang w:val="en-US" w:eastAsia="zh-CN"/>
        </w:rPr>
        <w:t>In the past decade, the rise of ESG (Environmental, Social, Governance) frameworks has driven a theoretical shift - enterprise value is no longer just a financial indicator, but also includes environmental impact, governance level, and social contribution (Khan et al., 2016). Research has shown that companies with good ESG performance receive lower risk premiums and higher long-term valuations in the capital market (Bai et al., 2024). The company's mission has shifted from the traditional perspective of maximizing shareholder interests to modern concepts of social responsibility and sustainable development. The explanation of the purpose of modern companies places greater emphasis on balancing stakeholders, including shareholders, employees, customers, suppliers, communities, and the environment. The company implements green production technology, reduces environmental pollution, enhances brand image, strengthens market competitiveness, actively fulfills social responsibilities, such as participating in public welfare activities, supporting education, etc., improves employees' sense of belonging and satisfaction, and enhances the company's social influence.</w:t>
      </w:r>
    </w:p>
    <w:p w14:paraId="541F8A2D">
      <w:pPr>
        <w:pStyle w:val="12"/>
        <w:bidi w:val="0"/>
        <w:rPr>
          <w:rFonts w:hint="eastAsia"/>
          <w:lang w:val="en-US" w:eastAsia="zh-CN"/>
        </w:rPr>
      </w:pPr>
      <w:bookmarkStart w:id="2" w:name="_Toc17947"/>
      <w:r>
        <w:rPr>
          <w:rFonts w:hint="eastAsia"/>
          <w:lang w:val="en-US" w:eastAsia="zh-CN"/>
        </w:rPr>
        <w:t>3. Climate Crisis and Corporate Responsibility</w:t>
      </w:r>
      <w:bookmarkEnd w:id="2"/>
    </w:p>
    <w:p w14:paraId="7D8F8F3E">
      <w:pPr>
        <w:pStyle w:val="11"/>
        <w:bidi w:val="0"/>
        <w:rPr>
          <w:rFonts w:hint="eastAsia" w:eastAsia="宋体"/>
          <w:lang w:val="en-US" w:eastAsia="zh-CN"/>
        </w:rPr>
      </w:pPr>
      <w:r>
        <w:rPr>
          <w:rFonts w:hint="eastAsia" w:eastAsia="宋体"/>
          <w:lang w:val="en-US" w:eastAsia="zh-CN"/>
        </w:rPr>
        <w:t>The climate crisis has a profound impact on businesses, and as the main source of carbon emissions, businesses bear an inescapable responsibility to reduce emissions. The climate crisis is not just a moral issue for businesses, but also a significant business risk. TCFD points out that businesses face two types of climate risks: physical risks (extreme weather, supply chain disruptions, energy cost fluctuations) and transition risks (policy and regulation, technology substitution, and changes in consumer preferences) (TCFD, 2017). These factors will all affect a company's cash flow, asset valuation, and cost of capital. International regulatory agencies are promoting standardization of climate information disclosure. The S2 standard issued by IFRS requires companies to disclose climate related risks and quantify their potential financial impacts (IFRS Foundation, 2023). This means that environmental impacts that were previously considered 'externalities' are being incorporated into the boundaries of financial statements.</w:t>
      </w:r>
    </w:p>
    <w:p w14:paraId="20CAAA62">
      <w:pPr>
        <w:pStyle w:val="11"/>
        <w:bidi w:val="0"/>
        <w:rPr>
          <w:rFonts w:hint="eastAsia" w:eastAsia="宋体"/>
          <w:lang w:val="en-US" w:eastAsia="zh-CN"/>
        </w:rPr>
      </w:pPr>
      <w:r>
        <w:rPr>
          <w:rFonts w:hint="eastAsia" w:eastAsia="宋体"/>
          <w:lang w:val="en-US" w:eastAsia="zh-CN"/>
        </w:rPr>
        <w:t>There are studies indicating that companies that have pre positioned themselves in the climate transition perform better in market competition, such as gaining strategic advantages through low-carbon technology innovation, brand value, and policy incentives (Porter and Kramer, 2011; Atz, 2023). Enterprises should actively adapt to the policy environment of strengthening green and low-carbon constraints, enhance their awareness and identification ability of climate risks, proactively disclose environmental and climate information, and strengthen the construction of green and low-carbon corporate culture. These measures not only help companies fulfill their environmental responsibilities, but also enhance market trust and strengthen their resilience to climate shocks.</w:t>
      </w:r>
    </w:p>
    <w:p w14:paraId="6335FFB7">
      <w:pPr>
        <w:pStyle w:val="11"/>
        <w:bidi w:val="0"/>
        <w:rPr>
          <w:rFonts w:hint="eastAsia" w:eastAsia="宋体"/>
          <w:lang w:val="en-US" w:eastAsia="zh-CN"/>
        </w:rPr>
      </w:pPr>
    </w:p>
    <w:p w14:paraId="15DCC805">
      <w:pPr>
        <w:pStyle w:val="12"/>
        <w:bidi w:val="0"/>
        <w:rPr>
          <w:rFonts w:hint="default"/>
          <w:lang w:val="en-US" w:eastAsia="zh-CN"/>
        </w:rPr>
      </w:pPr>
      <w:bookmarkStart w:id="3" w:name="_Toc26961"/>
      <w:r>
        <w:rPr>
          <w:rFonts w:hint="default"/>
          <w:lang w:val="en-US" w:eastAsia="zh-CN"/>
        </w:rPr>
        <w:t>4. Profit and Sustainability: Conflict or Long Term Consistency?</w:t>
      </w:r>
      <w:bookmarkEnd w:id="3"/>
    </w:p>
    <w:p w14:paraId="5A6E5175">
      <w:pPr>
        <w:pStyle w:val="11"/>
        <w:bidi w:val="0"/>
        <w:rPr>
          <w:rFonts w:hint="default" w:eastAsia="宋体"/>
          <w:lang w:val="en-US" w:eastAsia="zh-CN"/>
        </w:rPr>
      </w:pPr>
      <w:r>
        <w:rPr>
          <w:rFonts w:hint="default" w:eastAsia="宋体"/>
          <w:lang w:val="en-US" w:eastAsia="zh-CN"/>
        </w:rPr>
        <w:t>In today's business environment, ESG (Environmental, Social, Governance) concepts have become an important compass for business operations. More and more companies are incorporating ESG standards into their strategic decisions as an important way to enhance corporate social responsibility, reduce environmental impact, and improve governance structures. However, in the pursuit of ESG goals, companies often face the challenge of balancing short-term interests with long-term strategies. This balance is not only related to the sustainable development of enterprises, but also directly affects their financial performance and market competitiveness.</w:t>
      </w:r>
    </w:p>
    <w:p w14:paraId="2FD4B816">
      <w:pPr>
        <w:pStyle w:val="11"/>
        <w:bidi w:val="0"/>
        <w:rPr>
          <w:rFonts w:hint="default" w:eastAsia="宋体"/>
          <w:lang w:val="en-US" w:eastAsia="zh-CN"/>
        </w:rPr>
      </w:pPr>
      <w:r>
        <w:rPr>
          <w:rFonts w:hint="default" w:eastAsia="宋体"/>
          <w:lang w:val="en-US" w:eastAsia="zh-CN"/>
        </w:rPr>
        <w:t>Short term benefits usually refer to the financial gains that a company obtains in a relatively short period of time, such as quarterly profits, stock price increases, cost control, etc. In the short term, environmental investment, technological transformation, and supply chain greening may increase business costs and squeeze profits. For example, companies developing new materials or adjusting production modes to achieve emission reduction targets can lower short-term profit margins (Montgomery, 2023). This is also the practical basis for the conflict between profit and sustainability.</w:t>
      </w:r>
    </w:p>
    <w:p w14:paraId="70620ED6">
      <w:pPr>
        <w:pStyle w:val="11"/>
        <w:bidi w:val="0"/>
        <w:rPr>
          <w:rFonts w:hint="default" w:eastAsia="宋体"/>
          <w:lang w:val="en-US" w:eastAsia="zh-CN"/>
        </w:rPr>
      </w:pPr>
      <w:r>
        <w:rPr>
          <w:rFonts w:hint="default" w:eastAsia="宋体"/>
          <w:lang w:val="en-US" w:eastAsia="zh-CN"/>
        </w:rPr>
        <w:t>Long term strategy involves the sustainable development of enterprises over a longer period of time, including innovation capabilities, market expansion, brand value, and social responsibility. From a long-term perspective, the two tend to be consistent. Firstly, sustainable strategies reduce long-term risks, including policy risks and supply chain vulnerabilities (Auer et al., 2021). Secondly, the green product market is growing, and sustainable brands can gain price premiums and user loyalty (Hsu et al., 2022). Thirdly, the capital market is rewarding transparent disclosure and low-carbon transformation enterprises, making their financing conditions more favorable (Krueger et al., 2020). These measures are an important component of achieving long-term strategic goals for enterprises. How to advance ESG strategies without compromising short-term financial performance has become a core challenge that management needs to face.</w:t>
      </w:r>
    </w:p>
    <w:p w14:paraId="6648DCBB">
      <w:pPr>
        <w:pStyle w:val="11"/>
        <w:bidi w:val="0"/>
        <w:rPr>
          <w:rFonts w:hint="default" w:eastAsia="宋体"/>
          <w:lang w:val="en-US" w:eastAsia="zh-CN"/>
        </w:rPr>
      </w:pPr>
      <w:r>
        <w:rPr>
          <w:rFonts w:hint="default" w:eastAsia="宋体"/>
          <w:lang w:val="en-US" w:eastAsia="zh-CN"/>
        </w:rPr>
        <w:t>It should be noted that some companies engage in "greenwashing" behavior, which means exaggerating sustainable achievements, using vague indicators, or lacking third-party audits (Mu et al., 2023). Attempting to convince the public that its products, services, or operations are environmentally friendly. This behavior typically includes false advertising, selective disclosure of information, or the use of vague environmental terminology, with the fundamental purpose of attracting consumers and investors who are increasingly concerned about environmental issues. Research has shown that once greenwashing behavior is exposed, it will seriously damage a company's reputation and stock price (Hoffman et al., 2022).</w:t>
      </w:r>
    </w:p>
    <w:p w14:paraId="06562F88">
      <w:pPr>
        <w:pStyle w:val="11"/>
        <w:bidi w:val="0"/>
        <w:rPr>
          <w:rFonts w:hint="default" w:eastAsia="宋体"/>
          <w:lang w:val="en-US" w:eastAsia="zh-CN"/>
        </w:rPr>
      </w:pPr>
    </w:p>
    <w:p w14:paraId="02980FEF">
      <w:pPr>
        <w:pStyle w:val="12"/>
        <w:bidi w:val="0"/>
        <w:rPr>
          <w:rFonts w:hint="eastAsia" w:eastAsia="宋体"/>
          <w:lang w:val="en-US" w:eastAsia="zh-CN"/>
        </w:rPr>
      </w:pPr>
      <w:bookmarkStart w:id="4" w:name="_Toc26346"/>
      <w:r>
        <w:rPr>
          <w:rFonts w:hint="eastAsia"/>
          <w:lang w:val="en-US" w:eastAsia="zh-CN"/>
        </w:rPr>
        <w:t>5.Two Paths for Sustainable Transformation of Global Enterprises: Unilever and Tesla</w:t>
      </w:r>
      <w:bookmarkEnd w:id="4"/>
    </w:p>
    <w:p w14:paraId="1488A242">
      <w:pPr>
        <w:pStyle w:val="11"/>
        <w:bidi w:val="0"/>
        <w:rPr>
          <w:rFonts w:hint="eastAsia"/>
          <w:lang w:val="en-US" w:eastAsia="zh-CN"/>
        </w:rPr>
      </w:pPr>
      <w:r>
        <w:rPr>
          <w:rFonts w:hint="eastAsia"/>
          <w:lang w:val="en-US" w:eastAsia="zh-CN"/>
        </w:rPr>
        <w:t>Against the backdrop of the global climate crisis and increasing regulatory pressure, sustainable development of enterprises is moving from moral choices to the core of business logic. Unilever and Tesla represent two typical paths for the fast-moving consumer goods industry and new energy manufacturing, respectively: the former uses systematic ESG strategies to drive business model updates, while the latter creates environmental value and commercial returns through technological revolutions. By comparing the practical paths of the two, we can observe how contemporary enterprises find a balance between long-term mission and short-term performance.</w:t>
      </w:r>
    </w:p>
    <w:p w14:paraId="64D4E77D">
      <w:pPr>
        <w:pStyle w:val="11"/>
        <w:bidi w:val="0"/>
        <w:rPr>
          <w:rFonts w:hint="eastAsia"/>
          <w:lang w:val="en-US" w:eastAsia="zh-CN"/>
        </w:rPr>
      </w:pPr>
    </w:p>
    <w:p w14:paraId="3226C7A7">
      <w:pPr>
        <w:pStyle w:val="13"/>
        <w:bidi w:val="0"/>
        <w:rPr>
          <w:rFonts w:hint="eastAsia"/>
          <w:lang w:val="en-US" w:eastAsia="zh-CN"/>
        </w:rPr>
      </w:pPr>
      <w:bookmarkStart w:id="5" w:name="_Toc18336"/>
      <w:r>
        <w:rPr>
          <w:rFonts w:hint="eastAsia"/>
          <w:lang w:val="en-US" w:eastAsia="zh-CN"/>
        </w:rPr>
        <w:t>5.1 Unilever: Moving from Ideal Vision to Practical Innovation</w:t>
      </w:r>
      <w:bookmarkEnd w:id="5"/>
    </w:p>
    <w:p w14:paraId="68A69573">
      <w:pPr>
        <w:pStyle w:val="11"/>
        <w:bidi w:val="0"/>
        <w:rPr>
          <w:rFonts w:hint="eastAsia"/>
          <w:lang w:val="en-US" w:eastAsia="zh-CN"/>
        </w:rPr>
      </w:pPr>
      <w:r>
        <w:rPr>
          <w:rFonts w:hint="eastAsia"/>
          <w:lang w:val="en-US" w:eastAsia="zh-CN"/>
        </w:rPr>
        <w:t>Unilever is a leading global fast-moving consumer goods company, with businesses covering beauty and personal care, home cleaning, and food and beverage. It owns brands such as Dove, Lipton, and Menglong. Since the merger of Margarine Unie from the Netherlands and Lever Brothers from the UK in 1929, its globalization strategy has always been deeply tied to the concept of sustainability, with the mission of "popularizing sustainable living", and is regarded as the ESG benchmark for the daily chemical industry.</w:t>
      </w:r>
    </w:p>
    <w:p w14:paraId="173EFCC9">
      <w:pPr>
        <w:pStyle w:val="11"/>
        <w:bidi w:val="0"/>
        <w:rPr>
          <w:rFonts w:hint="eastAsia"/>
          <w:lang w:val="en-US" w:eastAsia="zh-CN"/>
        </w:rPr>
      </w:pPr>
      <w:r>
        <w:rPr>
          <w:rFonts w:hint="eastAsia"/>
          <w:lang w:val="en-US" w:eastAsia="zh-CN"/>
        </w:rPr>
        <w:t>As a global fast-moving consumer goods company, Unilever has integrated environmental goals into product design, supply chain management, and brand communication since launching its sustainable living plan in 2010 (Unilever, 2020). Research shows that sustainable product departments perform better in their internal performance, contributing more than the average growth level (Sullivan, 2021). However, as we enter the 2020s, the global climate crisis intensifies and consumer environmental awareness increases, posing new strategic challenges for Unilever. Since 2022, Unilever has reduced some of its targets and integrated its sustainability division into other business units, raising concerns about its "commitment consistency" (Financial Times, 2024). On the one hand, the company has proposed radical goals such as "no fossil fuel raw materials for clean products by 2030"; On the other hand, due to the pressure of raw material costs and slowing growth, some ESG projects will be postponed in 2024, including extending the plastic recycling target from 2025 to 2030 and reducing the original plastic reduction target. This adjustment has sparked controversy among investors and environmental organizations, and also revealed the real dilemma of sustainable transformation for large enterprises - the balance between long-term goals and short-term financial performance is not zero cost.</w:t>
      </w:r>
    </w:p>
    <w:p w14:paraId="4576AD56">
      <w:pPr>
        <w:pStyle w:val="11"/>
        <w:bidi w:val="0"/>
        <w:rPr>
          <w:rFonts w:hint="eastAsia"/>
          <w:lang w:val="en-US" w:eastAsia="zh-CN"/>
        </w:rPr>
      </w:pPr>
    </w:p>
    <w:p w14:paraId="4A102EC1">
      <w:pPr>
        <w:pStyle w:val="11"/>
        <w:bidi w:val="0"/>
        <w:rPr>
          <w:rFonts w:hint="eastAsia"/>
          <w:lang w:val="en-US" w:eastAsia="zh-CN"/>
        </w:rPr>
      </w:pPr>
      <w:r>
        <w:rPr>
          <w:rFonts w:hint="eastAsia"/>
          <w:lang w:val="en-US" w:eastAsia="zh-CN"/>
        </w:rPr>
        <w:t>However, Unilever did not stop in the controversy and instead explored technological paths to achieve sustainable growth. For example, in 2024, we collaborated with agricultural technology company Nufarm to develop "energy sugarcane", which uses genetic technology to increase plant oil content to replace petrochemical raw materials, providing a lower carbon solution for cleaning agents and personal care products. This reflects the innovative attitude of enterprises when facing pressure: shifting ESG from "ideology" to "technological competitiveness".</w:t>
      </w:r>
    </w:p>
    <w:p w14:paraId="7369EC84">
      <w:pPr>
        <w:pStyle w:val="11"/>
        <w:bidi w:val="0"/>
        <w:rPr>
          <w:rFonts w:hint="eastAsia"/>
          <w:lang w:val="en-US" w:eastAsia="zh-CN"/>
        </w:rPr>
      </w:pPr>
    </w:p>
    <w:p w14:paraId="73AFB10B">
      <w:pPr>
        <w:pStyle w:val="13"/>
        <w:bidi w:val="0"/>
        <w:rPr>
          <w:rFonts w:hint="eastAsia"/>
          <w:lang w:val="en-US" w:eastAsia="zh-CN"/>
        </w:rPr>
      </w:pPr>
      <w:bookmarkStart w:id="6" w:name="_Toc11113"/>
      <w:r>
        <w:rPr>
          <w:rFonts w:hint="eastAsia"/>
          <w:lang w:val="en-US" w:eastAsia="zh-CN"/>
        </w:rPr>
        <w:t>5.2 Tesla: Technology Driven Sustainable Profit Model</w:t>
      </w:r>
      <w:bookmarkEnd w:id="6"/>
    </w:p>
    <w:p w14:paraId="72498841">
      <w:pPr>
        <w:pStyle w:val="11"/>
        <w:bidi w:val="0"/>
        <w:rPr>
          <w:rFonts w:hint="eastAsia"/>
          <w:lang w:val="en-US" w:eastAsia="zh-CN"/>
        </w:rPr>
      </w:pPr>
      <w:r>
        <w:rPr>
          <w:rFonts w:hint="eastAsia"/>
          <w:lang w:val="en-US" w:eastAsia="zh-CN"/>
        </w:rPr>
        <w:t>Tesla's founding mission is to accelerate the world's transition to sustainable energy, with its business covering electric vehicles, energy storage, and solar technology (Tesla, 2023). Tesla has proven that sustainable technology not only has environmental significance, but can also bring huge profits - the company's gross profit, market valuation, and industry influence have significantly increased in the past five years (Bloomberg NEF, 2023), and are considered a typical case of "sustainable technology not only having environmental value, but also creating commercial value". However, in order to achieve large-scale production, Tesla's supply chain is controversial, including the potential ecological impact of lithium and battery mining, which may affect its brand and regulatory relationship if not properly managed (Harrison, 2022). This indicates that 'sustainable business models' also require strong governance. Tesla's ESG performance is highly polarized: its environmental performance is close to industry standards, but its social and governance dimensions are highly questioned. This not only reflects the characteristics of disruptive innovative enterprises, but also exposes the limitations of the current ESG evaluation system.</w:t>
      </w:r>
    </w:p>
    <w:p w14:paraId="39E10B63">
      <w:pPr>
        <w:pStyle w:val="11"/>
        <w:bidi w:val="0"/>
        <w:rPr>
          <w:rFonts w:hint="eastAsia"/>
          <w:lang w:val="en-US" w:eastAsia="zh-CN"/>
        </w:rPr>
      </w:pPr>
    </w:p>
    <w:p w14:paraId="3B579C19">
      <w:pPr>
        <w:pStyle w:val="11"/>
        <w:bidi w:val="0"/>
        <w:rPr>
          <w:rFonts w:hint="eastAsia"/>
          <w:lang w:val="en-US" w:eastAsia="zh-CN"/>
        </w:rPr>
      </w:pPr>
      <w:r>
        <w:rPr>
          <w:rFonts w:hint="eastAsia"/>
          <w:lang w:val="en-US" w:eastAsia="zh-CN"/>
        </w:rPr>
        <w:t>In terms of social responsibility, Tesla often falls into controversy, focusing on labor rights, product safety, and supply chain responsibility. In terms of labor, multiple lawsuits have revealed cultural and management system issues. For example, in the Fremont factory racial discrimination case, the company was awarded $137 million in compensation, which is one of the largest compensations for workplace discrimination in the United States. Disputes such as work-related injuries, sexual harassment, and salary continue to arise. Product safety is also a controversial issue. Although the fire rate of vehicles is much lower than that of gasoline vehicles, the frequent occurrence of autonomous driving accidents and exaggerated publicity have weakened public trust. This is related to Musk's "extreme innovation culture" - emphasizing speed and breakthroughs, but neglecting the construction of social responsibility mechanisms.</w:t>
      </w:r>
    </w:p>
    <w:p w14:paraId="4C3423EA">
      <w:pPr>
        <w:pStyle w:val="11"/>
        <w:bidi w:val="0"/>
        <w:rPr>
          <w:rFonts w:hint="eastAsia"/>
          <w:lang w:val="en-US" w:eastAsia="zh-CN"/>
        </w:rPr>
      </w:pPr>
    </w:p>
    <w:p w14:paraId="548BDDB9">
      <w:pPr>
        <w:pStyle w:val="11"/>
        <w:bidi w:val="0"/>
        <w:rPr>
          <w:rFonts w:hint="eastAsia"/>
          <w:lang w:val="en-US" w:eastAsia="zh-CN"/>
        </w:rPr>
      </w:pPr>
      <w:r>
        <w:rPr>
          <w:rFonts w:hint="eastAsia"/>
          <w:lang w:val="en-US" w:eastAsia="zh-CN"/>
        </w:rPr>
        <w:t>At the governance level, Tesla's structure is highly centralized and lacks independence. Musk has a strong influence, and the board of directors has long been questioned about the lack of oversight function. Although the SEC established a supervisory mechanism after the "privatization 420" incident, it did not change the essence of the power structure. Musk's personal actions have repeatedly triggered legal risks, from public tweets leading to securities fraud investigations to criticism of the ESG evaluation system as a "scam," all of which have put Tesla under long-term regulatory scrutiny and brought reputational risks. In terms of information disclosure, Tesla has released a more than 100 page "Impact Report", but it has been criticized for its lack of ESG governance framework, risk management system, and stakeholder analysis, resulting in vague content. New energy car companies are more mature in terms of disclosure standardization. In addition, frequent changes in executives and Musk serving as CEO of multiple companies have affected governance stability. In the early stages, centralized decision-making promotes efficiency, but the risk of a lack of checks and balances becomes increasingly apparent as the scale expands.</w:t>
      </w:r>
    </w:p>
    <w:p w14:paraId="5A0286D2">
      <w:pPr>
        <w:pStyle w:val="11"/>
        <w:bidi w:val="0"/>
        <w:rPr>
          <w:rFonts w:hint="eastAsia"/>
          <w:lang w:val="en-US" w:eastAsia="zh-CN"/>
        </w:rPr>
      </w:pPr>
    </w:p>
    <w:p w14:paraId="67F14B78">
      <w:pPr>
        <w:pStyle w:val="11"/>
        <w:bidi w:val="0"/>
        <w:rPr>
          <w:rFonts w:hint="eastAsia"/>
          <w:lang w:val="en-US" w:eastAsia="zh-CN"/>
        </w:rPr>
      </w:pPr>
      <w:r>
        <w:rPr>
          <w:rFonts w:hint="eastAsia"/>
          <w:lang w:val="en-US" w:eastAsia="zh-CN"/>
        </w:rPr>
        <w:t>Tesla embodies a typical 'ESG paradox': outstanding environmental performance, but obvious social and governance shortcomings. From the perspective of long-term sustainable development, the environment, society, and governance are inseparable, and governance and ethical risks will ultimately be transformed into financial costs and regulatory pressures. Therefore, how to achieve a balance between innovation breakthrough and normative governance is the core issue faced by Tesla.</w:t>
      </w:r>
    </w:p>
    <w:p w14:paraId="4C1D8B6A">
      <w:pPr>
        <w:pStyle w:val="11"/>
        <w:bidi w:val="0"/>
        <w:rPr>
          <w:rFonts w:hint="eastAsia"/>
          <w:lang w:val="en-US" w:eastAsia="zh-CN"/>
        </w:rPr>
      </w:pPr>
    </w:p>
    <w:p w14:paraId="3A851E3C">
      <w:pPr>
        <w:pStyle w:val="13"/>
        <w:bidi w:val="0"/>
        <w:rPr>
          <w:rFonts w:hint="eastAsia"/>
          <w:lang w:val="en-US" w:eastAsia="zh-CN"/>
        </w:rPr>
      </w:pPr>
      <w:bookmarkStart w:id="7" w:name="_Toc30462"/>
      <w:r>
        <w:rPr>
          <w:rFonts w:hint="eastAsia"/>
          <w:lang w:val="en-US" w:eastAsia="zh-CN"/>
        </w:rPr>
        <w:t>5.3 Conclusion: Different paths, common proposition</w:t>
      </w:r>
      <w:bookmarkEnd w:id="7"/>
    </w:p>
    <w:p w14:paraId="5D613CF4">
      <w:pPr>
        <w:pStyle w:val="11"/>
        <w:bidi w:val="0"/>
        <w:rPr>
          <w:rFonts w:hint="eastAsia"/>
          <w:lang w:val="en-US" w:eastAsia="zh-CN"/>
        </w:rPr>
      </w:pPr>
      <w:r>
        <w:rPr>
          <w:rFonts w:hint="eastAsia"/>
          <w:lang w:val="en-US" w:eastAsia="zh-CN"/>
        </w:rPr>
        <w:t>Unilever and Tesla represent two paths for global corporate sustainability practices: one driving business model evolution through systematic governance, and the other creating environmental value and business returns through disruptive technologies. Both reflect the common proposition of sustainable transformation: enterprises need to seek a dynamic balance between their ideal pursuits and actual costs. For traditional enterprises, sustainable development is no longer CSR, but a competition for systematic innovation capabilities; For disruptors, technological breakthroughs also require governance capabilities and social responsibility to support their long-term value. In the future, the direction of sustainable development for enterprises may no longer be "doing more ESG", but "doing truly impactful ESG". As the former CEO of Unilever once said, "The turning around of giants is not about doing more, but about being clearer about what not to do." Tesla is reminding the industry that true change makers must also fill in governance and ethical gaps. These two paths are jointly shaping the new era logic of global business.</w:t>
      </w:r>
    </w:p>
    <w:p w14:paraId="7F3E4FC3">
      <w:pPr>
        <w:pStyle w:val="11"/>
        <w:bidi w:val="0"/>
        <w:rPr>
          <w:rFonts w:hint="default" w:eastAsia="宋体"/>
          <w:lang w:val="en-US" w:eastAsia="zh-CN"/>
        </w:rPr>
      </w:pPr>
    </w:p>
    <w:p w14:paraId="76C9A2C2">
      <w:pPr>
        <w:pStyle w:val="12"/>
        <w:bidi w:val="0"/>
        <w:rPr>
          <w:rFonts w:hint="eastAsia"/>
          <w:lang w:val="en-US" w:eastAsia="zh-CN"/>
        </w:rPr>
      </w:pPr>
      <w:bookmarkStart w:id="8" w:name="_Toc21853"/>
      <w:r>
        <w:rPr>
          <w:rFonts w:hint="eastAsia"/>
          <w:lang w:val="en-US" w:eastAsia="zh-CN"/>
        </w:rPr>
        <w:t>6. Discussion: Can profit and sustainability be compatible?</w:t>
      </w:r>
      <w:bookmarkEnd w:id="8"/>
    </w:p>
    <w:p w14:paraId="615BE7BB">
      <w:pPr>
        <w:pStyle w:val="11"/>
        <w:bidi w:val="0"/>
        <w:rPr>
          <w:rFonts w:hint="eastAsia" w:eastAsia="宋体"/>
          <w:lang w:val="en-US" w:eastAsia="zh-CN"/>
        </w:rPr>
      </w:pPr>
      <w:r>
        <w:rPr>
          <w:rFonts w:hint="eastAsia" w:eastAsia="宋体"/>
          <w:lang w:val="en-US" w:eastAsia="zh-CN"/>
        </w:rPr>
        <w:t>The compatibility between corporate profits and sustainability is a complex and critical issue. Combining theory with business practice, enterprises should meet three key conditions to achieve the compatibility of profit and sustainable development. Firstly, strategic internalization: Enterprises need to embed sustainable concepts into their core business, rather than viewing them as' CSR affiliates'. For example, both Unilever and Tesla combine environmental goals with product innovation to form a "value creation" logic, rather than just cost expenditures (Porter and Kramer, 2011). Secondly, governance and transparency: Mandatory disclosure mechanisms, third-party guarantees, and quantitative indicators can help reduce the risk of greenwashing and enhance market trust (KPMG, 2024). When investors and regulators can make judgments based on real performance, the market will reward companies that truly achieve sustainable transformation. Thirdly, stakeholder collaboration: Through supply chain greening, community participation, and public policy cooperation, companies can not only reduce transformation costs but also establish long-term competitive barriers (Sullivan, 2021).</w:t>
      </w:r>
    </w:p>
    <w:p w14:paraId="47ECF37B">
      <w:pPr>
        <w:pStyle w:val="11"/>
        <w:bidi w:val="0"/>
        <w:rPr>
          <w:rFonts w:hint="eastAsia" w:eastAsia="宋体"/>
          <w:lang w:val="en-US" w:eastAsia="zh-CN"/>
        </w:rPr>
      </w:pPr>
    </w:p>
    <w:p w14:paraId="6906AC90">
      <w:pPr>
        <w:pStyle w:val="11"/>
        <w:bidi w:val="0"/>
        <w:rPr>
          <w:rFonts w:hint="eastAsia" w:eastAsia="宋体"/>
          <w:lang w:val="en-US" w:eastAsia="zh-CN"/>
        </w:rPr>
      </w:pPr>
      <w:r>
        <w:rPr>
          <w:rFonts w:hint="eastAsia" w:eastAsia="宋体"/>
          <w:lang w:val="en-US" w:eastAsia="zh-CN"/>
        </w:rPr>
        <w:t>Therefore, from a long-term perspective, maximizing profits and sustainable development are not in opposition, but rather follow the same logic across different time dimensions: sustainable development is the source of long-term profits, while short-term profits may come at the expense of sacrificing future value (Ioannou and Serafei, 2021). In other words, future competitive advantages will arise from low-carbon innovation, governance transparency, and stakeholder collaboration. Only by viewing sustainable development as a strategic investment rather than a cost burden can enterprises truly achieve the dual creation of profit growth and social value.</w:t>
      </w:r>
    </w:p>
    <w:p w14:paraId="542DD732">
      <w:pPr>
        <w:pStyle w:val="11"/>
        <w:bidi w:val="0"/>
        <w:rPr>
          <w:rFonts w:hint="eastAsia" w:eastAsia="宋体"/>
          <w:lang w:val="en-US" w:eastAsia="zh-CN"/>
        </w:rPr>
      </w:pPr>
    </w:p>
    <w:p w14:paraId="6CD6CC4C">
      <w:pPr>
        <w:pStyle w:val="12"/>
        <w:bidi w:val="0"/>
        <w:rPr>
          <w:rFonts w:hint="eastAsia"/>
          <w:lang w:val="en-US" w:eastAsia="zh-CN"/>
        </w:rPr>
      </w:pPr>
      <w:bookmarkStart w:id="9" w:name="_Toc17689"/>
      <w:r>
        <w:rPr>
          <w:rFonts w:hint="eastAsia"/>
          <w:lang w:val="en-US" w:eastAsia="zh-CN"/>
        </w:rPr>
        <w:t>7. Conclusion and Suggestions</w:t>
      </w:r>
      <w:bookmarkEnd w:id="9"/>
    </w:p>
    <w:p w14:paraId="1F0A6F6B">
      <w:pPr>
        <w:pStyle w:val="11"/>
        <w:bidi w:val="0"/>
        <w:rPr>
          <w:rFonts w:hint="eastAsia" w:eastAsia="宋体"/>
          <w:lang w:val="en-US" w:eastAsia="zh-CN"/>
        </w:rPr>
      </w:pPr>
      <w:r>
        <w:rPr>
          <w:rFonts w:hint="eastAsia" w:eastAsia="宋体"/>
          <w:lang w:val="en-US" w:eastAsia="zh-CN"/>
        </w:rPr>
        <w:t>This article argues that in the context of the climate crisis, modern enterprises should not make a binary choice between "maximizing profits" and "sustainable development". Sustainability has evolved from a moral responsibility to a core strategic factor that affects the long-term value of businesses.</w:t>
      </w:r>
    </w:p>
    <w:p w14:paraId="068557D6">
      <w:pPr>
        <w:pStyle w:val="11"/>
        <w:bidi w:val="0"/>
        <w:rPr>
          <w:rFonts w:hint="eastAsia" w:eastAsia="宋体"/>
          <w:lang w:val="en-US" w:eastAsia="zh-CN"/>
        </w:rPr>
      </w:pPr>
      <w:r>
        <w:rPr>
          <w:rFonts w:hint="eastAsia" w:eastAsia="宋体"/>
          <w:lang w:val="en-US" w:eastAsia="zh-CN"/>
        </w:rPr>
        <w:t>Firstly, regulatory agencies should promote unified climate information disclosure standards and incorporate environmental risks into the financial reporting system (IFRS Foundation, 2023). By incorporating environmental risks into the financial reporting system, companies can not only better reflect their social responsibility and sustainable development commitments, but also provide more comprehensive information for investors and regulators, thereby promoting their green transformation and sustainable development.</w:t>
      </w:r>
    </w:p>
    <w:p w14:paraId="2EDFDCAA">
      <w:pPr>
        <w:pStyle w:val="11"/>
        <w:bidi w:val="0"/>
        <w:rPr>
          <w:rFonts w:hint="eastAsia" w:eastAsia="宋体"/>
          <w:lang w:val="en-US" w:eastAsia="zh-CN"/>
        </w:rPr>
      </w:pPr>
      <w:r>
        <w:rPr>
          <w:rFonts w:hint="eastAsia" w:eastAsia="宋体"/>
          <w:lang w:val="en-US" w:eastAsia="zh-CN"/>
        </w:rPr>
        <w:t>Secondly, corporate boards should integrate climate strategies into governance structures and incorporate carbon emissions and sustainable performance into executive incentive systems (Krueger et al., 2020). This will help businesses better cope with the challenges brought by climate change, while enhancing their sustainability and long-term value.</w:t>
      </w:r>
    </w:p>
    <w:p w14:paraId="04FC5B2D">
      <w:pPr>
        <w:pStyle w:val="11"/>
        <w:bidi w:val="0"/>
        <w:rPr>
          <w:rFonts w:hint="eastAsia" w:eastAsia="宋体"/>
          <w:lang w:val="en-US" w:eastAsia="zh-CN"/>
        </w:rPr>
      </w:pPr>
      <w:r>
        <w:rPr>
          <w:rFonts w:hint="eastAsia" w:eastAsia="宋体"/>
          <w:lang w:val="en-US" w:eastAsia="zh-CN"/>
        </w:rPr>
        <w:t>The climate crisis has changed the logic of businesses: without sustainability, there can be no long-term profits. The real management challenge is not choosing one, but how to simultaneously achieve both in a complex market.</w:t>
      </w:r>
    </w:p>
    <w:p w14:paraId="7C991292">
      <w:pPr>
        <w:pStyle w:val="11"/>
        <w:bidi w:val="0"/>
        <w:rPr>
          <w:rFonts w:hint="eastAsia" w:eastAsia="宋体"/>
          <w:lang w:val="en-US" w:eastAsia="zh-CN"/>
        </w:rPr>
      </w:pPr>
    </w:p>
    <w:p w14:paraId="278D9588">
      <w:pPr>
        <w:pStyle w:val="11"/>
        <w:bidi w:val="0"/>
        <w:rPr>
          <w:rFonts w:hint="eastAsia" w:eastAsia="宋体"/>
          <w:lang w:val="en-US" w:eastAsia="zh-CN"/>
        </w:rPr>
      </w:pPr>
    </w:p>
    <w:p w14:paraId="11EA47C9">
      <w:pPr>
        <w:pStyle w:val="11"/>
        <w:bidi w:val="0"/>
        <w:rPr>
          <w:rFonts w:hint="eastAsia" w:eastAsia="宋体"/>
          <w:lang w:val="en-US" w:eastAsia="zh-CN"/>
        </w:rPr>
      </w:pPr>
    </w:p>
    <w:p w14:paraId="2A30AA02">
      <w:pPr>
        <w:pStyle w:val="11"/>
        <w:bidi w:val="0"/>
        <w:rPr>
          <w:rFonts w:hint="eastAsia" w:eastAsia="宋体"/>
          <w:lang w:val="en-US" w:eastAsia="zh-CN"/>
        </w:rPr>
      </w:pPr>
    </w:p>
    <w:p w14:paraId="533C936D">
      <w:pPr>
        <w:pStyle w:val="11"/>
        <w:bidi w:val="0"/>
        <w:rPr>
          <w:rFonts w:hint="eastAsia" w:eastAsia="宋体"/>
          <w:lang w:val="en-US" w:eastAsia="zh-CN"/>
        </w:rPr>
      </w:pPr>
    </w:p>
    <w:p w14:paraId="5807CB9A">
      <w:pPr>
        <w:pStyle w:val="11"/>
        <w:bidi w:val="0"/>
        <w:rPr>
          <w:rFonts w:hint="eastAsia" w:eastAsia="宋体"/>
          <w:lang w:val="en-US" w:eastAsia="zh-CN"/>
        </w:rPr>
      </w:pPr>
    </w:p>
    <w:p w14:paraId="06634379">
      <w:pPr>
        <w:pStyle w:val="12"/>
        <w:bidi w:val="0"/>
      </w:pPr>
      <w:bookmarkStart w:id="10" w:name="_Toc10961"/>
    </w:p>
    <w:p w14:paraId="07DF5989">
      <w:pPr>
        <w:pStyle w:val="12"/>
        <w:bidi w:val="0"/>
      </w:pPr>
    </w:p>
    <w:p w14:paraId="6CEDE2C2">
      <w:pPr>
        <w:pStyle w:val="12"/>
        <w:bidi w:val="0"/>
      </w:pPr>
    </w:p>
    <w:p w14:paraId="4C3F1026">
      <w:pPr>
        <w:pStyle w:val="12"/>
        <w:bidi w:val="0"/>
      </w:pPr>
    </w:p>
    <w:p w14:paraId="40864BA7">
      <w:pPr>
        <w:pStyle w:val="12"/>
        <w:bidi w:val="0"/>
      </w:pPr>
    </w:p>
    <w:p w14:paraId="45B60540">
      <w:pPr>
        <w:pStyle w:val="12"/>
        <w:bidi w:val="0"/>
      </w:pPr>
    </w:p>
    <w:p w14:paraId="79176019">
      <w:pPr>
        <w:pStyle w:val="12"/>
        <w:bidi w:val="0"/>
      </w:pPr>
    </w:p>
    <w:p w14:paraId="2D381D0C">
      <w:pPr>
        <w:pStyle w:val="12"/>
        <w:bidi w:val="0"/>
      </w:pPr>
    </w:p>
    <w:p w14:paraId="54B9B8BD">
      <w:pPr>
        <w:pStyle w:val="12"/>
        <w:bidi w:val="0"/>
      </w:pPr>
    </w:p>
    <w:p w14:paraId="1608BD14">
      <w:pPr>
        <w:pStyle w:val="12"/>
        <w:bidi w:val="0"/>
      </w:pPr>
    </w:p>
    <w:p w14:paraId="61122E20">
      <w:pPr>
        <w:pStyle w:val="12"/>
        <w:bidi w:val="0"/>
        <w:rPr>
          <w:rFonts w:hint="eastAsia"/>
          <w:lang w:val="en-US" w:eastAsia="zh-CN"/>
        </w:rPr>
      </w:pPr>
      <w:r>
        <w:t>Reference</w:t>
      </w:r>
      <w:bookmarkEnd w:id="10"/>
    </w:p>
    <w:p w14:paraId="5264E124">
      <w:pPr>
        <w:pStyle w:val="11"/>
        <w:bidi w:val="0"/>
        <w:rPr>
          <w:rFonts w:hint="default" w:eastAsia="宋体"/>
          <w:lang w:val="en-US" w:eastAsia="zh-CN"/>
        </w:rPr>
      </w:pPr>
      <w:r>
        <w:rPr>
          <w:rFonts w:hint="default" w:ascii="Times New Roman" w:hAnsi="Times New Roman" w:eastAsia="宋体" w:cs="Times New Roman"/>
          <w:sz w:val="24"/>
          <w:szCs w:val="24"/>
        </w:rPr>
        <w:t xml:space="preserve">Atz, U. (2023) Does sustainability generate better financial performance? Meta-analysis summary. </w:t>
      </w:r>
      <w:r>
        <w:rPr>
          <w:rStyle w:val="9"/>
          <w:rFonts w:hint="default" w:ascii="Times New Roman" w:hAnsi="Times New Roman" w:eastAsia="宋体" w:cs="Times New Roman"/>
          <w:sz w:val="24"/>
          <w:szCs w:val="24"/>
        </w:rPr>
        <w:t>Journal of Sustainable Finance</w:t>
      </w:r>
      <w:r>
        <w:rPr>
          <w:rFonts w:hint="default" w:ascii="Times New Roman" w:hAnsi="Times New Roman" w:eastAsia="宋体" w:cs="Times New Roman"/>
          <w:sz w:val="24"/>
          <w:szCs w:val="24"/>
        </w:rPr>
        <w:t>, 5(2), pp. 112–128.</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Auer, B., Schuhmacher, F. and Stöckl, S. (2021) Climate risk and equity returns. </w:t>
      </w:r>
      <w:r>
        <w:rPr>
          <w:rStyle w:val="9"/>
          <w:rFonts w:hint="default" w:ascii="Times New Roman" w:hAnsi="Times New Roman" w:eastAsia="宋体" w:cs="Times New Roman"/>
          <w:sz w:val="24"/>
          <w:szCs w:val="24"/>
        </w:rPr>
        <w:t>Finance Research Letters</w:t>
      </w:r>
      <w:r>
        <w:rPr>
          <w:rFonts w:hint="default" w:ascii="Times New Roman" w:hAnsi="Times New Roman" w:eastAsia="宋体" w:cs="Times New Roman"/>
          <w:sz w:val="24"/>
          <w:szCs w:val="24"/>
        </w:rPr>
        <w:t>, 39, pp. 101–115.</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Bai, H., Xu, S. and Li, J. (2024) Do ESG practices promote financial performance? </w:t>
      </w:r>
      <w:r>
        <w:rPr>
          <w:rStyle w:val="9"/>
          <w:rFonts w:hint="default" w:ascii="Times New Roman" w:hAnsi="Times New Roman" w:eastAsia="宋体" w:cs="Times New Roman"/>
          <w:sz w:val="24"/>
          <w:szCs w:val="24"/>
        </w:rPr>
        <w:t>Sustainability</w:t>
      </w:r>
      <w:r>
        <w:rPr>
          <w:rFonts w:hint="default" w:ascii="Times New Roman" w:hAnsi="Times New Roman" w:eastAsia="宋体" w:cs="Times New Roman"/>
          <w:sz w:val="24"/>
          <w:szCs w:val="24"/>
        </w:rPr>
        <w:t>, 16(22), p. 9810.</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BloombergNEF (2023) </w:t>
      </w:r>
      <w:r>
        <w:rPr>
          <w:rStyle w:val="9"/>
          <w:rFonts w:hint="default" w:ascii="Times New Roman" w:hAnsi="Times New Roman" w:eastAsia="宋体" w:cs="Times New Roman"/>
          <w:sz w:val="24"/>
          <w:szCs w:val="24"/>
        </w:rPr>
        <w:t>Electric Vehicle Outlook 2023</w:t>
      </w:r>
      <w:r>
        <w:rPr>
          <w:rFonts w:hint="default" w:ascii="Times New Roman" w:hAnsi="Times New Roman" w:eastAsia="宋体" w:cs="Times New Roman"/>
          <w:sz w:val="24"/>
          <w:szCs w:val="24"/>
        </w:rPr>
        <w:t>. BNEF.</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Crane, A., Matten, D. and Spence, L. (2019) </w:t>
      </w:r>
      <w:r>
        <w:rPr>
          <w:rStyle w:val="9"/>
          <w:rFonts w:hint="default" w:ascii="Times New Roman" w:hAnsi="Times New Roman" w:eastAsia="宋体" w:cs="Times New Roman"/>
          <w:sz w:val="24"/>
          <w:szCs w:val="24"/>
        </w:rPr>
        <w:t>Corporate Social Responsibility</w:t>
      </w:r>
      <w:r>
        <w:rPr>
          <w:rFonts w:hint="default" w:ascii="Times New Roman" w:hAnsi="Times New Roman" w:eastAsia="宋体" w:cs="Times New Roman"/>
          <w:sz w:val="24"/>
          <w:szCs w:val="24"/>
        </w:rPr>
        <w:t>. Routledge.</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Financial Times (2024) Unilever merges sustainability role after revising environmental goals. </w:t>
      </w:r>
      <w:r>
        <w:rPr>
          <w:rStyle w:val="9"/>
          <w:rFonts w:hint="default" w:ascii="Times New Roman" w:hAnsi="Times New Roman" w:eastAsia="宋体" w:cs="Times New Roman"/>
          <w:sz w:val="24"/>
          <w:szCs w:val="24"/>
        </w:rPr>
        <w:t>Financial Times</w:t>
      </w:r>
      <w:r>
        <w:rPr>
          <w:rFonts w:hint="default" w:ascii="Times New Roman" w:hAnsi="Times New Roman" w:eastAsia="宋体" w:cs="Times New Roman"/>
          <w:sz w:val="24"/>
          <w:szCs w:val="24"/>
        </w:rPr>
        <w:t>, 21 December.</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Freeman, R.E. (1984) </w:t>
      </w:r>
      <w:r>
        <w:rPr>
          <w:rStyle w:val="9"/>
          <w:rFonts w:hint="default" w:ascii="Times New Roman" w:hAnsi="Times New Roman" w:eastAsia="宋体" w:cs="Times New Roman"/>
          <w:sz w:val="24"/>
          <w:szCs w:val="24"/>
        </w:rPr>
        <w:t>Strategic Management: A Stakeholder Approach</w:t>
      </w:r>
      <w:r>
        <w:rPr>
          <w:rFonts w:hint="default" w:ascii="Times New Roman" w:hAnsi="Times New Roman" w:eastAsia="宋体" w:cs="Times New Roman"/>
          <w:sz w:val="24"/>
          <w:szCs w:val="24"/>
        </w:rPr>
        <w:t>. Boston: Pitman.</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Friedman, M. (1970) The social responsibility of business is to increase its profits. </w:t>
      </w:r>
      <w:r>
        <w:rPr>
          <w:rStyle w:val="9"/>
          <w:rFonts w:hint="default" w:ascii="Times New Roman" w:hAnsi="Times New Roman" w:eastAsia="宋体" w:cs="Times New Roman"/>
          <w:sz w:val="24"/>
          <w:szCs w:val="24"/>
        </w:rPr>
        <w:t>New York Times Magazine</w:t>
      </w:r>
      <w:r>
        <w:rPr>
          <w:rFonts w:hint="default" w:ascii="Times New Roman" w:hAnsi="Times New Roman" w:eastAsia="宋体" w:cs="Times New Roman"/>
          <w:sz w:val="24"/>
          <w:szCs w:val="24"/>
        </w:rPr>
        <w:t>, 13 September.</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Harrison, J. (2022) The environmental impact of lithium mining. </w:t>
      </w:r>
      <w:r>
        <w:rPr>
          <w:rStyle w:val="9"/>
          <w:rFonts w:hint="default" w:ascii="Times New Roman" w:hAnsi="Times New Roman" w:eastAsia="宋体" w:cs="Times New Roman"/>
          <w:sz w:val="24"/>
          <w:szCs w:val="24"/>
        </w:rPr>
        <w:t>Journal of Resource Economics</w:t>
      </w:r>
      <w:r>
        <w:rPr>
          <w:rFonts w:hint="default" w:ascii="Times New Roman" w:hAnsi="Times New Roman" w:eastAsia="宋体" w:cs="Times New Roman"/>
          <w:sz w:val="24"/>
          <w:szCs w:val="24"/>
        </w:rPr>
        <w:t>, 45(3), pp. 220–234.</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Hoffman, A. et al. (2022) Greenwashing and market penalties. </w:t>
      </w:r>
      <w:r>
        <w:rPr>
          <w:rStyle w:val="9"/>
          <w:rFonts w:hint="default" w:ascii="Times New Roman" w:hAnsi="Times New Roman" w:eastAsia="宋体" w:cs="Times New Roman"/>
          <w:sz w:val="24"/>
          <w:szCs w:val="24"/>
        </w:rPr>
        <w:t>Journal of Business Ethics</w:t>
      </w:r>
      <w:r>
        <w:rPr>
          <w:rFonts w:hint="default" w:ascii="Times New Roman" w:hAnsi="Times New Roman" w:eastAsia="宋体" w:cs="Times New Roman"/>
          <w:sz w:val="24"/>
          <w:szCs w:val="24"/>
        </w:rPr>
        <w:t>, 179(5), pp. 1221–1245.</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Hsu, A., Thomas, M. and Zeidan, R. (2022) The price premium of sustainable brands. </w:t>
      </w:r>
      <w:r>
        <w:rPr>
          <w:rStyle w:val="9"/>
          <w:rFonts w:hint="default" w:ascii="Times New Roman" w:hAnsi="Times New Roman" w:eastAsia="宋体" w:cs="Times New Roman"/>
          <w:sz w:val="24"/>
          <w:szCs w:val="24"/>
        </w:rPr>
        <w:t>Journal of Cleaner Production</w:t>
      </w:r>
      <w:r>
        <w:rPr>
          <w:rFonts w:hint="default" w:ascii="Times New Roman" w:hAnsi="Times New Roman" w:eastAsia="宋体" w:cs="Times New Roman"/>
          <w:sz w:val="24"/>
          <w:szCs w:val="24"/>
        </w:rPr>
        <w:t>, 354, p. 131690.</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IFRS Foundation (2023) </w:t>
      </w:r>
      <w:r>
        <w:rPr>
          <w:rStyle w:val="9"/>
          <w:rFonts w:hint="default" w:ascii="Times New Roman" w:hAnsi="Times New Roman" w:eastAsia="宋体" w:cs="Times New Roman"/>
          <w:sz w:val="24"/>
          <w:szCs w:val="24"/>
        </w:rPr>
        <w:t>IFRS S2 Climate-related Disclosures</w:t>
      </w:r>
      <w:r>
        <w:rPr>
          <w:rFonts w:hint="default" w:ascii="Times New Roman" w:hAnsi="Times New Roman" w:eastAsia="宋体" w:cs="Times New Roman"/>
          <w:sz w:val="24"/>
          <w:szCs w:val="24"/>
        </w:rPr>
        <w:t>. IFRS Foundation.</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Ioannou, I. and Serafeim, G. (2021) Corporate sustainability: Strategy and financial performance. </w:t>
      </w:r>
      <w:r>
        <w:rPr>
          <w:rStyle w:val="9"/>
          <w:rFonts w:hint="default" w:ascii="Times New Roman" w:hAnsi="Times New Roman" w:eastAsia="宋体" w:cs="Times New Roman"/>
          <w:sz w:val="24"/>
          <w:szCs w:val="24"/>
        </w:rPr>
        <w:t>Harvard Business School Working Paper</w:t>
      </w:r>
      <w:r>
        <w:rPr>
          <w:rFonts w:hint="default" w:ascii="Times New Roman" w:hAnsi="Times New Roman" w:eastAsia="宋体" w:cs="Times New Roman"/>
          <w:sz w:val="24"/>
          <w:szCs w:val="24"/>
        </w:rPr>
        <w:t>, No. 20-065.</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Khan, M., Serafeim, G. and Yoon, A. (2016) Corporate sustainability: First evidence on materiality. </w:t>
      </w:r>
      <w:r>
        <w:rPr>
          <w:rStyle w:val="9"/>
          <w:rFonts w:hint="default" w:ascii="Times New Roman" w:hAnsi="Times New Roman" w:eastAsia="宋体" w:cs="Times New Roman"/>
          <w:sz w:val="24"/>
          <w:szCs w:val="24"/>
        </w:rPr>
        <w:t>The Accounting Review</w:t>
      </w:r>
      <w:r>
        <w:rPr>
          <w:rFonts w:hint="default" w:ascii="Times New Roman" w:hAnsi="Times New Roman" w:eastAsia="宋体" w:cs="Times New Roman"/>
          <w:sz w:val="24"/>
          <w:szCs w:val="24"/>
        </w:rPr>
        <w:t>, 91(6), pp. 1697–1724.</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KPMG (2024) </w:t>
      </w:r>
      <w:r>
        <w:rPr>
          <w:rStyle w:val="9"/>
          <w:rFonts w:hint="default" w:ascii="Times New Roman" w:hAnsi="Times New Roman" w:eastAsia="宋体" w:cs="Times New Roman"/>
          <w:sz w:val="24"/>
          <w:szCs w:val="24"/>
        </w:rPr>
        <w:t>The Challenge of Greenwashing: International Regulatory Review</w:t>
      </w:r>
      <w:r>
        <w:rPr>
          <w:rFonts w:hint="default" w:ascii="Times New Roman" w:hAnsi="Times New Roman" w:eastAsia="宋体" w:cs="Times New Roman"/>
          <w:sz w:val="24"/>
          <w:szCs w:val="24"/>
        </w:rPr>
        <w:t>. KPMG Global.</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Krueger, P., Sautner, Z. and Starks, L. (2020) The importance of climate risks for institutional investors. </w:t>
      </w:r>
      <w:r>
        <w:rPr>
          <w:rStyle w:val="9"/>
          <w:rFonts w:hint="default" w:ascii="Times New Roman" w:hAnsi="Times New Roman" w:eastAsia="宋体" w:cs="Times New Roman"/>
          <w:sz w:val="24"/>
          <w:szCs w:val="24"/>
        </w:rPr>
        <w:t>The Review of Financial Studies</w:t>
      </w:r>
      <w:r>
        <w:rPr>
          <w:rFonts w:hint="default" w:ascii="Times New Roman" w:hAnsi="Times New Roman" w:eastAsia="宋体" w:cs="Times New Roman"/>
          <w:sz w:val="24"/>
          <w:szCs w:val="24"/>
        </w:rPr>
        <w:t>, 33(3), pp. 1067–1111.</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Montgomery, A.W. (2023) A review of greenwashing research. </w:t>
      </w:r>
      <w:r>
        <w:rPr>
          <w:rStyle w:val="9"/>
          <w:rFonts w:hint="default" w:ascii="Times New Roman" w:hAnsi="Times New Roman" w:eastAsia="宋体" w:cs="Times New Roman"/>
          <w:sz w:val="24"/>
          <w:szCs w:val="24"/>
        </w:rPr>
        <w:t>Sustainability</w:t>
      </w:r>
      <w:r>
        <w:rPr>
          <w:rFonts w:hint="default" w:ascii="Times New Roman" w:hAnsi="Times New Roman" w:eastAsia="宋体" w:cs="Times New Roman"/>
          <w:sz w:val="24"/>
          <w:szCs w:val="24"/>
        </w:rPr>
        <w:t>, 15(22), p. 15693.</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Mu, H., Li, Y. and Zhang, X. (2023) Greenwashing in corporate social responsibility. </w:t>
      </w:r>
      <w:r>
        <w:rPr>
          <w:rStyle w:val="9"/>
          <w:rFonts w:hint="default" w:ascii="Times New Roman" w:hAnsi="Times New Roman" w:eastAsia="宋体" w:cs="Times New Roman"/>
          <w:sz w:val="24"/>
          <w:szCs w:val="24"/>
        </w:rPr>
        <w:t>Sustainability</w:t>
      </w:r>
      <w:r>
        <w:rPr>
          <w:rFonts w:hint="default" w:ascii="Times New Roman" w:hAnsi="Times New Roman" w:eastAsia="宋体" w:cs="Times New Roman"/>
          <w:sz w:val="24"/>
          <w:szCs w:val="24"/>
        </w:rPr>
        <w:t>, 15(22), p. 15693.</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Porter, M. and Kramer, M. (2011) Creating shared value. </w:t>
      </w:r>
      <w:r>
        <w:rPr>
          <w:rStyle w:val="9"/>
          <w:rFonts w:hint="default" w:ascii="Times New Roman" w:hAnsi="Times New Roman" w:eastAsia="宋体" w:cs="Times New Roman"/>
          <w:sz w:val="24"/>
          <w:szCs w:val="24"/>
        </w:rPr>
        <w:t>Harvard Business Review</w:t>
      </w:r>
      <w:r>
        <w:rPr>
          <w:rFonts w:hint="default" w:ascii="Times New Roman" w:hAnsi="Times New Roman" w:eastAsia="宋体" w:cs="Times New Roman"/>
          <w:sz w:val="24"/>
          <w:szCs w:val="24"/>
        </w:rPr>
        <w:t>, 89(1/2), pp. 62–77.</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TCFD (2017) </w:t>
      </w:r>
      <w:r>
        <w:rPr>
          <w:rStyle w:val="9"/>
          <w:rFonts w:hint="default" w:ascii="Times New Roman" w:hAnsi="Times New Roman" w:eastAsia="宋体" w:cs="Times New Roman"/>
          <w:sz w:val="24"/>
          <w:szCs w:val="24"/>
        </w:rPr>
        <w:t>Recommendations of the Task Force on Climate-related Financial Disclosures</w:t>
      </w:r>
      <w:r>
        <w:rPr>
          <w:rFonts w:hint="default" w:ascii="Times New Roman" w:hAnsi="Times New Roman" w:eastAsia="宋体" w:cs="Times New Roman"/>
          <w:sz w:val="24"/>
          <w:szCs w:val="24"/>
        </w:rPr>
        <w:t>. Financial Stability Board.</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Tesla (2023) </w:t>
      </w:r>
      <w:r>
        <w:rPr>
          <w:rStyle w:val="9"/>
          <w:rFonts w:hint="default" w:ascii="Times New Roman" w:hAnsi="Times New Roman" w:eastAsia="宋体" w:cs="Times New Roman"/>
          <w:sz w:val="24"/>
          <w:szCs w:val="24"/>
        </w:rPr>
        <w:t>Tesla Impact Report 2023</w:t>
      </w:r>
      <w:r>
        <w:rPr>
          <w:rFonts w:hint="default" w:ascii="Times New Roman" w:hAnsi="Times New Roman" w:eastAsia="宋体" w:cs="Times New Roman"/>
          <w:sz w:val="24"/>
          <w:szCs w:val="24"/>
        </w:rPr>
        <w:t>. Tesla Inc.</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Unilever (2020) </w:t>
      </w:r>
      <w:r>
        <w:rPr>
          <w:rStyle w:val="9"/>
          <w:rFonts w:hint="default" w:ascii="Times New Roman" w:hAnsi="Times New Roman" w:eastAsia="宋体" w:cs="Times New Roman"/>
          <w:sz w:val="24"/>
          <w:szCs w:val="24"/>
        </w:rPr>
        <w:t>Unilever Sustainable Living Plan Summary 2010–2020</w:t>
      </w:r>
      <w:r>
        <w:rPr>
          <w:rFonts w:hint="default" w:ascii="Times New Roman" w:hAnsi="Times New Roman" w:eastAsia="宋体" w:cs="Times New Roman"/>
          <w:sz w:val="24"/>
          <w:szCs w:val="24"/>
        </w:rPr>
        <w:t>. Unilever.</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Sullivan, R. (2021) Sustainable brands and financial performance. </w:t>
      </w:r>
      <w:r>
        <w:rPr>
          <w:rStyle w:val="9"/>
          <w:rFonts w:hint="default" w:ascii="Times New Roman" w:hAnsi="Times New Roman" w:eastAsia="宋体" w:cs="Times New Roman"/>
          <w:sz w:val="24"/>
          <w:szCs w:val="24"/>
        </w:rPr>
        <w:t>Business Strategy and the Environment</w:t>
      </w:r>
      <w:r>
        <w:rPr>
          <w:rFonts w:hint="default" w:ascii="Times New Roman" w:hAnsi="Times New Roman" w:eastAsia="宋体" w:cs="Times New Roman"/>
          <w:sz w:val="24"/>
          <w:szCs w:val="24"/>
        </w:rPr>
        <w:t>, 30(1), pp. 15–28.</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IPCC (2021) </w:t>
      </w:r>
      <w:r>
        <w:rPr>
          <w:rStyle w:val="9"/>
          <w:rFonts w:hint="default" w:ascii="Times New Roman" w:hAnsi="Times New Roman" w:eastAsia="宋体" w:cs="Times New Roman"/>
          <w:sz w:val="24"/>
          <w:szCs w:val="24"/>
        </w:rPr>
        <w:t>Climate Change 2021: Summary for Policymakers</w:t>
      </w:r>
      <w:r>
        <w:rPr>
          <w:rFonts w:hint="default" w:ascii="Times New Roman" w:hAnsi="Times New Roman" w:eastAsia="宋体" w:cs="Times New Roman"/>
          <w:sz w:val="24"/>
          <w:szCs w:val="24"/>
        </w:rPr>
        <w:t>. IPCC.</w:t>
      </w:r>
    </w:p>
    <w:sectPr>
      <w:footerReference r:id="rId3" w:type="default"/>
      <w:pgSz w:w="11906" w:h="16838"/>
      <w:pgMar w:top="1440" w:right="1800" w:bottom="1440" w:left="1800"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F069092">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324D6DAA">
                          <w:pPr>
                            <w:pStyle w:val="2"/>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14:paraId="324D6DAA">
                    <w:pPr>
                      <w:pStyle w:val="2"/>
                    </w:pPr>
                    <w:r>
                      <w:fldChar w:fldCharType="begin"/>
                    </w:r>
                    <w:r>
                      <w:instrText xml:space="preserve"> PAGE  \* MERGEFORMAT </w:instrText>
                    </w:r>
                    <w:r>
                      <w:fldChar w:fldCharType="separate"/>
                    </w:r>
                    <w:r>
                      <w:t>4</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9FE6B66"/>
    <w:rsid w:val="013B1330"/>
    <w:rsid w:val="10432A63"/>
    <w:rsid w:val="29FE6B66"/>
    <w:rsid w:val="6D7E30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qFormat/>
    <w:uiPriority w:val="0"/>
  </w:style>
  <w:style w:type="paragraph" w:styleId="5">
    <w:name w:val="toc 2"/>
    <w:basedOn w:val="1"/>
    <w:next w:val="1"/>
    <w:uiPriority w:val="0"/>
    <w:pPr>
      <w:ind w:left="420" w:leftChars="200"/>
    </w:pPr>
  </w:style>
  <w:style w:type="character" w:styleId="8">
    <w:name w:val="Strong"/>
    <w:basedOn w:val="7"/>
    <w:qFormat/>
    <w:uiPriority w:val="0"/>
    <w:rPr>
      <w:b/>
    </w:rPr>
  </w:style>
  <w:style w:type="character" w:styleId="9">
    <w:name w:val="Emphasis"/>
    <w:basedOn w:val="7"/>
    <w:qFormat/>
    <w:uiPriority w:val="0"/>
    <w:rPr>
      <w:i/>
    </w:rPr>
  </w:style>
  <w:style w:type="character" w:styleId="10">
    <w:name w:val="Hyperlink"/>
    <w:basedOn w:val="7"/>
    <w:uiPriority w:val="0"/>
    <w:rPr>
      <w:color w:val="0000FF"/>
      <w:u w:val="single"/>
    </w:rPr>
  </w:style>
  <w:style w:type="paragraph" w:customStyle="1" w:styleId="11">
    <w:name w:val="内容"/>
    <w:basedOn w:val="1"/>
    <w:uiPriority w:val="0"/>
    <w:pPr>
      <w:spacing w:line="480" w:lineRule="auto"/>
    </w:pPr>
    <w:rPr>
      <w:rFonts w:ascii="Times New Roman" w:hAnsi="Times New Roman" w:eastAsia="Times New Roman"/>
      <w:sz w:val="24"/>
    </w:rPr>
  </w:style>
  <w:style w:type="paragraph" w:customStyle="1" w:styleId="12">
    <w:name w:val="1"/>
    <w:basedOn w:val="1"/>
    <w:uiPriority w:val="0"/>
    <w:rPr>
      <w:rFonts w:ascii="Times New Roman" w:hAnsi="Times New Roman" w:eastAsia="Times New Roman" w:cs="Arial"/>
      <w:b/>
      <w:bCs/>
      <w:sz w:val="24"/>
    </w:rPr>
  </w:style>
  <w:style w:type="paragraph" w:customStyle="1" w:styleId="13">
    <w:name w:val="2"/>
    <w:basedOn w:val="1"/>
    <w:uiPriority w:val="0"/>
    <w:pPr>
      <w:spacing w:line="480" w:lineRule="auto"/>
    </w:pPr>
    <w:rPr>
      <w:rFonts w:hint="eastAsia" w:ascii="Times New Roman" w:hAnsi="Times New Roman" w:eastAsia="Times New Roman"/>
      <w:b/>
      <w:bCs/>
      <w:sz w:val="24"/>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3307</Words>
  <Characters>20566</Characters>
  <Lines>0</Lines>
  <Paragraphs>0</Paragraphs>
  <TotalTime>14</TotalTime>
  <ScaleCrop>false</ScaleCrop>
  <LinksUpToDate>false</LinksUpToDate>
  <CharactersWithSpaces>23800</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2025-12-08T19:14:00Z</dcterms:created>
  <dc:creator>。。。</dc:creator>
  <cp:lastModifiedBy>。。。</cp:lastModifiedBy>
  <dcterms:modified xsi:type="dcterms:W3CDTF">2025-12-09T21:53:56Z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ICV">
    <vt:lpwstr>00C0368C5FBC4916BE007B5DC58C737A_11</vt:lpwstr>
  </property>
  <property fmtid="{D5CDD505-2E9C-101B-9397-08002B2CF9AE}" pid="4" name="KSOTemplateDocerSaveRecord">
    <vt:lpwstr>eyJoZGlkIjoiNzM1NzU0MDllM2FjZWZjNWViNzk5YTZmYTA4MjQ0YjciLCJ1c2VySWQiOiI0MTIwMDU2NzQifQ==</vt:lpwstr>
  </property>
</Properties>
</file>