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000001">
      <w:pPr>
        <w:keepNext/>
        <w:keepLines/>
        <w:spacing w:before="360" w:after="80" w:line="360" w:lineRule="auto"/>
        <w:jc w:val="both"/>
        <w:rPr>
          <w:rFonts w:ascii="Arial" w:hAnsi="Arial" w:eastAsia="Arial" w:cs="Arial"/>
          <w:b/>
          <w:sz w:val="24"/>
          <w:szCs w:val="24"/>
        </w:rPr>
      </w:pPr>
    </w:p>
    <w:p w14:paraId="00000002">
      <w:pPr>
        <w:shd w:val="clear" w:fill="FFFFFF"/>
        <w:rPr>
          <w:rFonts w:hint="default" w:ascii="Arial" w:hAnsi="Arial" w:eastAsia="Arial" w:cs="Arial"/>
          <w:sz w:val="32"/>
          <w:szCs w:val="32"/>
          <w:lang w:val="en-GB"/>
        </w:rPr>
      </w:pPr>
      <w:r>
        <w:rPr>
          <w:rFonts w:ascii="Arial" w:hAnsi="Arial" w:eastAsia="Arial" w:cs="Arial"/>
          <w:b/>
          <w:sz w:val="36"/>
          <w:szCs w:val="36"/>
          <w:rtl w:val="0"/>
        </w:rPr>
        <w:t>Subject:</w:t>
      </w:r>
      <w:r>
        <w:rPr>
          <w:rFonts w:ascii="Arial" w:hAnsi="Arial" w:eastAsia="Arial" w:cs="Arial"/>
          <w:b/>
          <w:sz w:val="32"/>
          <w:szCs w:val="32"/>
          <w:rtl w:val="0"/>
        </w:rPr>
        <w:t xml:space="preserve"> </w:t>
      </w:r>
      <w:r>
        <w:rPr>
          <w:rFonts w:ascii="Arial" w:hAnsi="Arial" w:eastAsia="Arial" w:cs="Arial"/>
          <w:sz w:val="32"/>
          <w:szCs w:val="32"/>
          <w:rtl w:val="0"/>
        </w:rPr>
        <w:t xml:space="preserve"> </w:t>
      </w:r>
      <w:r>
        <w:rPr>
          <w:rFonts w:hint="default" w:ascii="Arial" w:hAnsi="Arial" w:eastAsia="Arial" w:cs="Arial"/>
          <w:sz w:val="32"/>
          <w:szCs w:val="32"/>
          <w:rtl w:val="0"/>
          <w:lang w:val="en-GB"/>
        </w:rPr>
        <w:t xml:space="preserve"> </w:t>
      </w:r>
      <w:r>
        <w:rPr>
          <w:rFonts w:hint="default" w:ascii="Arial" w:hAnsi="Arial" w:eastAsia="Arial" w:cs="Arial"/>
          <w:sz w:val="44"/>
          <w:szCs w:val="44"/>
          <w:rtl w:val="0"/>
          <w:lang w:val="en-GB"/>
        </w:rPr>
        <w:t>Independent Project</w:t>
      </w:r>
    </w:p>
    <w:p w14:paraId="00000003">
      <w:pPr>
        <w:keepNext/>
        <w:keepLines/>
        <w:spacing w:after="80"/>
        <w:rPr>
          <w:rFonts w:ascii="Arial" w:hAnsi="Arial" w:eastAsia="Arial" w:cs="Arial"/>
          <w:b/>
          <w:sz w:val="40"/>
          <w:szCs w:val="40"/>
        </w:rPr>
      </w:pPr>
    </w:p>
    <w:p w14:paraId="00000004">
      <w:pPr>
        <w:keepNext/>
        <w:keepLines/>
        <w:spacing w:after="80"/>
        <w:rPr>
          <w:rFonts w:ascii="Quattrocento Sans" w:hAnsi="Quattrocento Sans" w:eastAsia="Quattrocento Sans" w:cs="Quattrocento Sans"/>
          <w:b/>
          <w:sz w:val="32"/>
          <w:szCs w:val="32"/>
        </w:rPr>
      </w:pPr>
      <w:bookmarkStart w:id="0" w:name="_gjdgxs" w:colFirst="0" w:colLast="0"/>
      <w:bookmarkEnd w:id="0"/>
      <w:r>
        <w:rPr>
          <w:rFonts w:ascii="Play" w:hAnsi="Play" w:eastAsia="Play" w:cs="Play"/>
          <w:b/>
          <w:sz w:val="36"/>
          <w:szCs w:val="36"/>
          <w:rtl w:val="0"/>
        </w:rPr>
        <w:t>MODULE CODE:</w:t>
      </w:r>
      <w:r>
        <w:rPr>
          <w:rFonts w:ascii="Play" w:hAnsi="Play" w:eastAsia="Play" w:cs="Play"/>
          <w:sz w:val="36"/>
          <w:szCs w:val="36"/>
          <w:rtl w:val="0"/>
        </w:rPr>
        <w:t xml:space="preserve"> </w:t>
      </w:r>
      <w:r>
        <w:rPr>
          <w:rFonts w:ascii="Quattrocento Sans" w:hAnsi="Quattrocento Sans" w:eastAsia="Quattrocento Sans" w:cs="Quattrocento Sans"/>
          <w:b/>
          <w:sz w:val="32"/>
          <w:szCs w:val="32"/>
          <w:rtl w:val="0"/>
        </w:rPr>
        <w:t>BMHP60</w:t>
      </w:r>
    </w:p>
    <w:p w14:paraId="00000005">
      <w:pPr>
        <w:keepNext/>
        <w:keepLines/>
        <w:spacing w:before="360" w:after="80" w:line="360" w:lineRule="auto"/>
        <w:jc w:val="both"/>
      </w:pPr>
    </w:p>
    <w:p w14:paraId="00000006">
      <w:pPr>
        <w:keepNext/>
        <w:keepLines/>
        <w:spacing w:before="360" w:after="80" w:line="360" w:lineRule="auto"/>
        <w:jc w:val="both"/>
        <w:rPr>
          <w:rFonts w:ascii="Arial" w:hAnsi="Arial" w:eastAsia="Arial" w:cs="Arial"/>
          <w:sz w:val="24"/>
          <w:szCs w:val="24"/>
        </w:rPr>
      </w:pPr>
      <w:r>
        <w:rPr>
          <w:rFonts w:ascii="Arial" w:hAnsi="Arial" w:eastAsia="Arial" w:cs="Arial"/>
          <w:b/>
          <w:sz w:val="28"/>
          <w:szCs w:val="28"/>
          <w:rtl w:val="0"/>
        </w:rPr>
        <w:t>Project Title:</w:t>
      </w:r>
      <w:r>
        <w:rPr>
          <w:rFonts w:ascii="Arial" w:hAnsi="Arial" w:eastAsia="Arial" w:cs="Arial"/>
          <w:sz w:val="24"/>
          <w:szCs w:val="24"/>
          <w:rtl w:val="0"/>
        </w:rPr>
        <w:t xml:space="preserve"> </w:t>
      </w:r>
      <w:r>
        <w:rPr>
          <w:rFonts w:ascii="Arial" w:hAnsi="Arial" w:eastAsia="Arial" w:cs="Arial"/>
          <w:b/>
          <w:i/>
          <w:sz w:val="24"/>
          <w:szCs w:val="24"/>
          <w:rtl w:val="0"/>
        </w:rPr>
        <w:t>Understanding NHS Workforce Pressures: Staff Perceptions of Burnout, Morale, and Retention – A Secondary Research Study.</w:t>
      </w:r>
    </w:p>
    <w:p w14:paraId="00000007">
      <w:pPr>
        <w:keepNext/>
        <w:keepLines/>
        <w:spacing w:before="360" w:after="80" w:line="360" w:lineRule="auto"/>
        <w:jc w:val="both"/>
        <w:rPr>
          <w:rFonts w:ascii="Arial" w:hAnsi="Arial" w:eastAsia="Arial" w:cs="Arial"/>
          <w:b/>
          <w:sz w:val="24"/>
          <w:szCs w:val="24"/>
        </w:rPr>
      </w:pPr>
    </w:p>
    <w:p w14:paraId="0000000B">
      <w:pPr>
        <w:jc w:val="both"/>
        <w:rPr>
          <w:rFonts w:hint="default" w:ascii="Play" w:hAnsi="Play" w:eastAsia="Play" w:cs="Play"/>
          <w:b/>
          <w:sz w:val="36"/>
          <w:szCs w:val="36"/>
          <w:lang w:val="en-GB"/>
        </w:rPr>
      </w:pPr>
      <w:r>
        <w:rPr>
          <w:rFonts w:hint="default" w:ascii="Play" w:hAnsi="Play" w:eastAsia="Play" w:cs="Play"/>
          <w:b/>
          <w:sz w:val="36"/>
          <w:szCs w:val="36"/>
          <w:lang w:val="en-GB"/>
        </w:rPr>
        <w:t>Submitted By: Fahmida Rahman</w:t>
      </w:r>
    </w:p>
    <w:p w14:paraId="493DE45E">
      <w:pPr>
        <w:jc w:val="both"/>
        <w:rPr>
          <w:rFonts w:hint="default" w:ascii="Play" w:hAnsi="Play" w:eastAsia="Play" w:cs="Play"/>
          <w:b/>
          <w:sz w:val="36"/>
          <w:szCs w:val="36"/>
          <w:lang w:val="en-GB"/>
        </w:rPr>
      </w:pPr>
      <w:r>
        <w:rPr>
          <w:rFonts w:hint="default" w:ascii="Play" w:hAnsi="Play" w:eastAsia="Play" w:cs="Play"/>
          <w:b/>
          <w:sz w:val="36"/>
          <w:szCs w:val="36"/>
          <w:lang w:val="en-GB"/>
        </w:rPr>
        <w:t>Student Number: 2235619</w:t>
      </w:r>
    </w:p>
    <w:p w14:paraId="12908FF5">
      <w:pPr>
        <w:jc w:val="both"/>
        <w:rPr>
          <w:rFonts w:hint="default" w:ascii="Play" w:hAnsi="Play" w:eastAsia="Play" w:cs="Play"/>
          <w:b/>
          <w:sz w:val="36"/>
          <w:szCs w:val="36"/>
          <w:lang w:val="en-GB"/>
        </w:rPr>
      </w:pPr>
      <w:r>
        <w:rPr>
          <w:rFonts w:hint="default" w:ascii="Play" w:hAnsi="Play" w:eastAsia="Play" w:cs="Play"/>
          <w:b/>
          <w:sz w:val="36"/>
          <w:szCs w:val="36"/>
          <w:lang w:val="en-GB"/>
        </w:rPr>
        <w:t>Submitted to: Chloe Harris</w:t>
      </w:r>
    </w:p>
    <w:p w14:paraId="7108BA87">
      <w:pPr>
        <w:jc w:val="both"/>
        <w:rPr>
          <w:rFonts w:hint="default" w:ascii="Play" w:hAnsi="Play" w:eastAsia="Play" w:cs="Play"/>
          <w:b/>
          <w:sz w:val="36"/>
          <w:szCs w:val="36"/>
          <w:lang w:val="en-GB"/>
        </w:rPr>
      </w:pPr>
    </w:p>
    <w:p w14:paraId="0000000C">
      <w:pPr>
        <w:jc w:val="both"/>
        <w:rPr>
          <w:rFonts w:ascii="Play" w:hAnsi="Play" w:eastAsia="Play" w:cs="Play"/>
          <w:b/>
          <w:sz w:val="36"/>
          <w:szCs w:val="36"/>
        </w:rPr>
      </w:pPr>
    </w:p>
    <w:p w14:paraId="0000000D">
      <w:pPr>
        <w:jc w:val="both"/>
        <w:rPr>
          <w:rFonts w:ascii="Play" w:hAnsi="Play" w:eastAsia="Play" w:cs="Play"/>
          <w:b/>
          <w:sz w:val="36"/>
          <w:szCs w:val="36"/>
        </w:rPr>
      </w:pPr>
    </w:p>
    <w:p w14:paraId="0000000E">
      <w:pPr>
        <w:tabs>
          <w:tab w:val="left" w:pos="2355"/>
        </w:tabs>
        <w:jc w:val="both"/>
        <w:rPr>
          <w:rFonts w:ascii="Play" w:hAnsi="Play" w:eastAsia="Play" w:cs="Play"/>
          <w:b/>
          <w:sz w:val="36"/>
          <w:szCs w:val="36"/>
        </w:rPr>
      </w:pPr>
      <w:r>
        <w:rPr>
          <w:rFonts w:ascii="Play" w:hAnsi="Play" w:eastAsia="Play" w:cs="Play"/>
          <w:b/>
          <w:sz w:val="36"/>
          <w:szCs w:val="36"/>
          <w:rtl w:val="0"/>
        </w:rPr>
        <w:tab/>
      </w:r>
    </w:p>
    <w:p w14:paraId="0000000F">
      <w:pPr>
        <w:tabs>
          <w:tab w:val="left" w:pos="2355"/>
        </w:tabs>
        <w:jc w:val="both"/>
        <w:rPr>
          <w:rFonts w:ascii="Play" w:hAnsi="Play" w:eastAsia="Play" w:cs="Play"/>
          <w:b/>
          <w:sz w:val="36"/>
          <w:szCs w:val="36"/>
        </w:rPr>
      </w:pPr>
    </w:p>
    <w:p w14:paraId="00000010">
      <w:pPr>
        <w:tabs>
          <w:tab w:val="left" w:pos="2355"/>
        </w:tabs>
        <w:jc w:val="both"/>
        <w:rPr>
          <w:rFonts w:ascii="Play" w:hAnsi="Play" w:eastAsia="Play" w:cs="Play"/>
          <w:b/>
          <w:sz w:val="36"/>
          <w:szCs w:val="36"/>
        </w:rPr>
      </w:pPr>
    </w:p>
    <w:p w14:paraId="00000011">
      <w:pPr>
        <w:tabs>
          <w:tab w:val="left" w:pos="2355"/>
        </w:tabs>
        <w:jc w:val="both"/>
        <w:rPr>
          <w:rFonts w:ascii="Play" w:hAnsi="Play" w:eastAsia="Play" w:cs="Play"/>
          <w:b/>
          <w:sz w:val="36"/>
          <w:szCs w:val="36"/>
        </w:rPr>
      </w:pPr>
    </w:p>
    <w:p w14:paraId="238720A4">
      <w:pPr>
        <w:keepNext/>
        <w:keepLines/>
        <w:spacing w:before="360" w:after="80" w:line="360" w:lineRule="auto"/>
        <w:jc w:val="both"/>
        <w:rPr>
          <w:rFonts w:ascii="Arial" w:hAnsi="Arial" w:eastAsia="Arial" w:cs="Arial"/>
          <w:b/>
          <w:sz w:val="24"/>
          <w:szCs w:val="24"/>
          <w:rtl w:val="0"/>
        </w:rPr>
      </w:pPr>
    </w:p>
    <w:p w14:paraId="00000015">
      <w:pPr>
        <w:keepNext/>
        <w:keepLines/>
        <w:spacing w:before="360" w:after="80" w:line="360" w:lineRule="auto"/>
        <w:jc w:val="both"/>
        <w:rPr>
          <w:rFonts w:ascii="Arial" w:hAnsi="Arial" w:eastAsia="Arial" w:cs="Arial"/>
          <w:sz w:val="24"/>
          <w:szCs w:val="24"/>
        </w:rPr>
      </w:pPr>
      <w:r>
        <w:rPr>
          <w:rFonts w:ascii="Arial" w:hAnsi="Arial" w:eastAsia="Arial" w:cs="Arial"/>
          <w:b/>
          <w:sz w:val="24"/>
          <w:szCs w:val="24"/>
          <w:rtl w:val="0"/>
        </w:rPr>
        <w:t>Project Title:</w:t>
      </w:r>
      <w:r>
        <w:rPr>
          <w:rFonts w:ascii="Arial" w:hAnsi="Arial" w:eastAsia="Arial" w:cs="Arial"/>
          <w:sz w:val="24"/>
          <w:szCs w:val="24"/>
          <w:rtl w:val="0"/>
        </w:rPr>
        <w:t xml:space="preserve"> </w:t>
      </w:r>
      <w:r>
        <w:rPr>
          <w:rFonts w:ascii="Arial" w:hAnsi="Arial" w:eastAsia="Arial" w:cs="Arial"/>
          <w:b/>
          <w:i/>
          <w:sz w:val="24"/>
          <w:szCs w:val="24"/>
          <w:rtl w:val="0"/>
        </w:rPr>
        <w:t>Understanding NHS Workforce Pressures: Staff Perceptions of Burnout, Morale, and Retention – A Secondary Research Study.</w:t>
      </w:r>
    </w:p>
    <w:p w14:paraId="00000016">
      <w:pPr>
        <w:keepNext/>
        <w:keepLines/>
        <w:spacing w:before="360" w:after="80" w:line="360" w:lineRule="auto"/>
        <w:jc w:val="both"/>
        <w:rPr>
          <w:rFonts w:ascii="Arial" w:hAnsi="Arial" w:eastAsia="Arial" w:cs="Arial"/>
          <w:sz w:val="36"/>
          <w:szCs w:val="36"/>
        </w:rPr>
      </w:pPr>
      <w:r>
        <w:rPr>
          <w:rFonts w:ascii="Arial" w:hAnsi="Arial" w:eastAsia="Arial" w:cs="Arial"/>
          <w:b/>
          <w:sz w:val="36"/>
          <w:szCs w:val="36"/>
          <w:rtl w:val="0"/>
        </w:rPr>
        <w:t>Chapter 1: Introduction</w:t>
      </w:r>
    </w:p>
    <w:p w14:paraId="00000017">
      <w:pPr>
        <w:keepNext/>
        <w:keepLines/>
        <w:spacing w:before="360" w:after="80" w:line="360" w:lineRule="auto"/>
        <w:jc w:val="both"/>
        <w:rPr>
          <w:rFonts w:ascii="Arial" w:hAnsi="Arial" w:eastAsia="Arial" w:cs="Arial"/>
          <w:sz w:val="24"/>
          <w:szCs w:val="24"/>
        </w:rPr>
      </w:pPr>
      <w:r>
        <w:rPr>
          <w:rFonts w:ascii="Arial" w:hAnsi="Arial" w:eastAsia="Arial" w:cs="Arial"/>
          <w:b/>
          <w:sz w:val="24"/>
          <w:szCs w:val="24"/>
          <w:rtl w:val="0"/>
        </w:rPr>
        <w:t>1.1 Introduction</w:t>
      </w:r>
    </w:p>
    <w:p w14:paraId="00000018">
      <w:pPr>
        <w:spacing w:before="280" w:after="280" w:line="360" w:lineRule="auto"/>
        <w:jc w:val="both"/>
        <w:rPr>
          <w:rFonts w:ascii="Arial" w:hAnsi="Arial" w:eastAsia="Arial" w:cs="Arial"/>
          <w:sz w:val="24"/>
          <w:szCs w:val="24"/>
        </w:rPr>
      </w:pPr>
      <w:r>
        <w:rPr>
          <w:rFonts w:ascii="Arial" w:hAnsi="Arial" w:eastAsia="Arial" w:cs="Arial"/>
          <w:sz w:val="24"/>
          <w:szCs w:val="24"/>
          <w:rtl w:val="0"/>
        </w:rPr>
        <w:t>The workforce within the National Health Service (NHS) is experiencing increasing pressures due to chronic staff shortages, rising service demands and sustained financial constraints (NHS England, 2023). The COVID-19 pandemic further intensified these issues, leading to increased workloads, heightened emotional distress and declining morale among healthcare staff (The King’s Fund, 2023; NHS Staff Survey, 2023). As a result, many NHS employees report high levels of burnout, low morale, and intentions to leave their roles, threatening both staff retention and quality of patient care (NHS Employers, 2023).</w:t>
      </w:r>
    </w:p>
    <w:p w14:paraId="00000019">
      <w:pPr>
        <w:spacing w:before="280" w:after="280" w:line="360" w:lineRule="auto"/>
        <w:jc w:val="both"/>
        <w:rPr>
          <w:rFonts w:ascii="Arial" w:hAnsi="Arial" w:eastAsia="Arial" w:cs="Arial"/>
          <w:sz w:val="24"/>
          <w:szCs w:val="24"/>
        </w:rPr>
      </w:pPr>
      <w:r>
        <w:rPr>
          <w:rFonts w:ascii="Arial" w:hAnsi="Arial" w:eastAsia="Arial" w:cs="Arial"/>
          <w:sz w:val="24"/>
          <w:szCs w:val="24"/>
          <w:rtl w:val="0"/>
        </w:rPr>
        <w:t>This dissertation aims to conduct a secondary research study analysing existing evidence on NHS workforce pressures, with a specific focus on staff perceptions of burnout, morale, and retention. The study seeks to identify the main challenges and gaps in the current understanding of workforce wellbeing while providing recommendations for sustainable improvements.</w:t>
      </w:r>
    </w:p>
    <w:p w14:paraId="0000001A">
      <w:pPr>
        <w:spacing w:before="280" w:after="280" w:line="360" w:lineRule="auto"/>
        <w:jc w:val="both"/>
        <w:rPr>
          <w:rFonts w:ascii="Arial" w:hAnsi="Arial" w:eastAsia="Arial" w:cs="Arial"/>
          <w:sz w:val="24"/>
          <w:szCs w:val="24"/>
        </w:rPr>
      </w:pPr>
      <w:r>
        <w:rPr>
          <w:rFonts w:ascii="Arial" w:hAnsi="Arial" w:eastAsia="Arial" w:cs="Arial"/>
          <w:sz w:val="24"/>
          <w:szCs w:val="24"/>
          <w:rtl w:val="0"/>
        </w:rPr>
        <w:t>The topic is highly relevant to the UK healthcare system, as a motivated and healthy workforce is crucial for maintaining high standards of care delivery. By synthesising academic studies, national surveys and policy reports, this dissertation contributes to the evidence base on staff wellbeing and retention. The structure of this dissertation is as follows: Chapter 1 introduces the research topic, defines key terminology, outlines the background, rationale, and aims; Chapter 2 provides a detailed background analysis, including historical, theoretical, and contextual perspectives; Chapter 3 outlines the research methodology; Chapter 4 presents findings; and Chapter 5 provides discussion, conclusions, and recommendations.</w:t>
      </w:r>
    </w:p>
    <w:p w14:paraId="0000001B">
      <w:pPr>
        <w:spacing w:before="280" w:after="280" w:line="360" w:lineRule="auto"/>
        <w:jc w:val="both"/>
        <w:rPr>
          <w:rFonts w:ascii="Arial" w:hAnsi="Arial" w:eastAsia="Arial" w:cs="Arial"/>
          <w:sz w:val="24"/>
          <w:szCs w:val="24"/>
        </w:rPr>
      </w:pPr>
    </w:p>
    <w:p w14:paraId="0000001C">
      <w:pPr>
        <w:spacing w:before="280" w:after="280" w:line="360" w:lineRule="auto"/>
        <w:jc w:val="both"/>
        <w:rPr>
          <w:rFonts w:ascii="Arial" w:hAnsi="Arial" w:eastAsia="Arial" w:cs="Arial"/>
          <w:sz w:val="24"/>
          <w:szCs w:val="24"/>
        </w:rPr>
      </w:pPr>
    </w:p>
    <w:p w14:paraId="0000001D">
      <w:pPr>
        <w:spacing w:before="280" w:after="280" w:line="360" w:lineRule="auto"/>
        <w:jc w:val="both"/>
        <w:rPr>
          <w:rFonts w:ascii="Arial" w:hAnsi="Arial" w:eastAsia="Arial" w:cs="Arial"/>
          <w:b/>
          <w:sz w:val="24"/>
          <w:szCs w:val="24"/>
        </w:rPr>
      </w:pPr>
      <w:r>
        <w:rPr>
          <w:rFonts w:ascii="Arial" w:hAnsi="Arial" w:eastAsia="Arial" w:cs="Arial"/>
          <w:b/>
          <w:sz w:val="24"/>
          <w:szCs w:val="24"/>
          <w:rtl w:val="0"/>
        </w:rPr>
        <w:t>1.2 Definitions and Terminology</w:t>
      </w:r>
    </w:p>
    <w:p w14:paraId="0000001E">
      <w:pPr>
        <w:spacing w:before="280" w:after="280" w:line="360" w:lineRule="auto"/>
        <w:jc w:val="both"/>
        <w:rPr>
          <w:rFonts w:ascii="Arial" w:hAnsi="Arial" w:eastAsia="Arial" w:cs="Arial"/>
          <w:sz w:val="24"/>
          <w:szCs w:val="24"/>
        </w:rPr>
      </w:pPr>
      <w:r>
        <w:rPr>
          <w:rFonts w:ascii="Arial" w:hAnsi="Arial" w:eastAsia="Arial" w:cs="Arial"/>
          <w:sz w:val="24"/>
          <w:szCs w:val="24"/>
          <w:rtl w:val="0"/>
        </w:rPr>
        <w:t>The following definitions clarify key concepts used in this dissertation:</w:t>
      </w:r>
    </w:p>
    <w:p w14:paraId="0000001F">
      <w:pPr>
        <w:numPr>
          <w:ilvl w:val="0"/>
          <w:numId w:val="1"/>
        </w:numPr>
        <w:spacing w:before="280" w:after="0" w:line="360" w:lineRule="auto"/>
        <w:ind w:left="720" w:hanging="360"/>
        <w:jc w:val="both"/>
      </w:pPr>
      <w:r>
        <w:rPr>
          <w:rFonts w:ascii="Arial" w:hAnsi="Arial" w:eastAsia="Arial" w:cs="Arial"/>
          <w:b/>
          <w:sz w:val="24"/>
          <w:szCs w:val="24"/>
          <w:rtl w:val="0"/>
        </w:rPr>
        <w:t>Burnout</w:t>
      </w:r>
      <w:r>
        <w:rPr>
          <w:rFonts w:ascii="Arial" w:hAnsi="Arial" w:eastAsia="Arial" w:cs="Arial"/>
          <w:sz w:val="24"/>
          <w:szCs w:val="24"/>
          <w:rtl w:val="0"/>
        </w:rPr>
        <w:t xml:space="preserve"> – a psychological condition characterised by emotional exhaustion, depersonalisation, and a reduced sense of personal accomplishment, typically resulting from chronic workplace stress (Maslach and Leiter, 2016).</w:t>
      </w:r>
    </w:p>
    <w:p w14:paraId="00000020">
      <w:pPr>
        <w:numPr>
          <w:ilvl w:val="0"/>
          <w:numId w:val="1"/>
        </w:numPr>
        <w:spacing w:before="0" w:after="0" w:line="360" w:lineRule="auto"/>
        <w:ind w:left="720" w:hanging="360"/>
        <w:jc w:val="both"/>
      </w:pPr>
      <w:r>
        <w:rPr>
          <w:rFonts w:ascii="Arial" w:hAnsi="Arial" w:eastAsia="Arial" w:cs="Arial"/>
          <w:b/>
          <w:sz w:val="24"/>
          <w:szCs w:val="24"/>
          <w:rtl w:val="0"/>
        </w:rPr>
        <w:t>Morale</w:t>
      </w:r>
      <w:r>
        <w:rPr>
          <w:rFonts w:ascii="Arial" w:hAnsi="Arial" w:eastAsia="Arial" w:cs="Arial"/>
          <w:sz w:val="24"/>
          <w:szCs w:val="24"/>
          <w:rtl w:val="0"/>
        </w:rPr>
        <w:t xml:space="preserve"> – the overall sense of confidence, motivation and satisfaction employees feel in their work environment, influencing engagement and productivity (West et al., 2020).</w:t>
      </w:r>
    </w:p>
    <w:p w14:paraId="00000021">
      <w:pPr>
        <w:numPr>
          <w:ilvl w:val="0"/>
          <w:numId w:val="1"/>
        </w:numPr>
        <w:spacing w:before="0" w:after="0" w:line="360" w:lineRule="auto"/>
        <w:ind w:left="720" w:hanging="360"/>
        <w:jc w:val="both"/>
      </w:pPr>
      <w:r>
        <w:rPr>
          <w:rFonts w:ascii="Arial" w:hAnsi="Arial" w:eastAsia="Arial" w:cs="Arial"/>
          <w:b/>
          <w:sz w:val="24"/>
          <w:szCs w:val="24"/>
          <w:rtl w:val="0"/>
        </w:rPr>
        <w:t>Retention</w:t>
      </w:r>
      <w:r>
        <w:rPr>
          <w:rFonts w:ascii="Arial" w:hAnsi="Arial" w:eastAsia="Arial" w:cs="Arial"/>
          <w:sz w:val="24"/>
          <w:szCs w:val="24"/>
          <w:rtl w:val="0"/>
        </w:rPr>
        <w:t xml:space="preserve"> – the ability of an organisation to maintain its workforce over time, reducing turnover and loss of skilled professionals (NHS Digital, 2023).</w:t>
      </w:r>
    </w:p>
    <w:p w14:paraId="00000022">
      <w:pPr>
        <w:numPr>
          <w:ilvl w:val="0"/>
          <w:numId w:val="1"/>
        </w:numPr>
        <w:spacing w:before="0" w:after="0" w:line="360" w:lineRule="auto"/>
        <w:ind w:left="720" w:hanging="360"/>
        <w:jc w:val="both"/>
      </w:pPr>
      <w:r>
        <w:rPr>
          <w:rFonts w:ascii="Arial" w:hAnsi="Arial" w:eastAsia="Arial" w:cs="Arial"/>
          <w:b/>
          <w:sz w:val="24"/>
          <w:szCs w:val="24"/>
          <w:rtl w:val="0"/>
        </w:rPr>
        <w:t>Workforce Pressures</w:t>
      </w:r>
      <w:r>
        <w:rPr>
          <w:rFonts w:ascii="Arial" w:hAnsi="Arial" w:eastAsia="Arial" w:cs="Arial"/>
          <w:sz w:val="24"/>
          <w:szCs w:val="24"/>
          <w:rtl w:val="0"/>
        </w:rPr>
        <w:t xml:space="preserve"> – systemic and organisational factors such as staffing shortages, workload intensity, limited resources, and work-life imbalance that negatively affect staff wellbeing (NHS England, 2023).</w:t>
      </w:r>
    </w:p>
    <w:p w14:paraId="00000023">
      <w:pPr>
        <w:numPr>
          <w:ilvl w:val="0"/>
          <w:numId w:val="1"/>
        </w:numPr>
        <w:spacing w:before="0" w:after="0" w:line="360" w:lineRule="auto"/>
        <w:ind w:left="720" w:hanging="360"/>
        <w:jc w:val="both"/>
      </w:pPr>
      <w:r>
        <w:rPr>
          <w:rFonts w:ascii="Arial" w:hAnsi="Arial" w:eastAsia="Arial" w:cs="Arial"/>
          <w:b/>
          <w:sz w:val="24"/>
          <w:szCs w:val="24"/>
          <w:rtl w:val="0"/>
        </w:rPr>
        <w:t>National Health Service (NHS)</w:t>
      </w:r>
      <w:r>
        <w:rPr>
          <w:rFonts w:ascii="Arial" w:hAnsi="Arial" w:eastAsia="Arial" w:cs="Arial"/>
          <w:sz w:val="24"/>
          <w:szCs w:val="24"/>
          <w:rtl w:val="0"/>
        </w:rPr>
        <w:t xml:space="preserve"> – the publicly funded health system in the United Kingdom, responsible for providing comprehensive healthcare services free at the point of delivery.</w:t>
      </w:r>
    </w:p>
    <w:p w14:paraId="00000024">
      <w:pPr>
        <w:numPr>
          <w:ilvl w:val="0"/>
          <w:numId w:val="1"/>
        </w:numPr>
        <w:spacing w:before="0" w:after="280" w:line="360" w:lineRule="auto"/>
        <w:ind w:left="720" w:hanging="360"/>
        <w:jc w:val="both"/>
      </w:pPr>
      <w:r>
        <w:rPr>
          <w:rFonts w:ascii="Arial" w:hAnsi="Arial" w:eastAsia="Arial" w:cs="Arial"/>
          <w:b/>
          <w:sz w:val="24"/>
          <w:szCs w:val="24"/>
          <w:rtl w:val="0"/>
        </w:rPr>
        <w:t>Secondary Research</w:t>
      </w:r>
      <w:r>
        <w:rPr>
          <w:rFonts w:ascii="Arial" w:hAnsi="Arial" w:eastAsia="Arial" w:cs="Arial"/>
          <w:sz w:val="24"/>
          <w:szCs w:val="24"/>
          <w:rtl w:val="0"/>
        </w:rPr>
        <w:t xml:space="preserve"> – a research method involving the analysis of existing literature, surveys, and policy documents rather than primary data collection (Thomas and Harden, 2008).</w:t>
      </w:r>
    </w:p>
    <w:p w14:paraId="00000025">
      <w:pPr>
        <w:spacing w:before="280" w:after="280" w:line="360" w:lineRule="auto"/>
        <w:jc w:val="both"/>
        <w:rPr>
          <w:rFonts w:ascii="Arial" w:hAnsi="Arial" w:eastAsia="Arial" w:cs="Arial"/>
          <w:b/>
          <w:sz w:val="24"/>
          <w:szCs w:val="24"/>
        </w:rPr>
      </w:pPr>
      <w:r>
        <w:rPr>
          <w:rFonts w:ascii="Arial" w:hAnsi="Arial" w:eastAsia="Arial" w:cs="Arial"/>
          <w:b/>
          <w:sz w:val="24"/>
          <w:szCs w:val="24"/>
          <w:rtl w:val="0"/>
        </w:rPr>
        <w:t>1.3 Background and Current Context</w:t>
      </w:r>
    </w:p>
    <w:p w14:paraId="00000026">
      <w:pPr>
        <w:spacing w:before="280" w:after="280" w:line="360" w:lineRule="auto"/>
        <w:jc w:val="both"/>
        <w:rPr>
          <w:rFonts w:ascii="Arial" w:hAnsi="Arial" w:eastAsia="Arial" w:cs="Arial"/>
          <w:b/>
          <w:sz w:val="24"/>
          <w:szCs w:val="24"/>
        </w:rPr>
      </w:pPr>
      <w:r>
        <w:rPr>
          <w:rFonts w:ascii="Arial" w:hAnsi="Arial" w:eastAsia="Arial" w:cs="Arial"/>
          <w:b/>
          <w:sz w:val="24"/>
          <w:szCs w:val="24"/>
          <w:rtl w:val="0"/>
        </w:rPr>
        <w:t>1.3.1 Background</w:t>
      </w:r>
    </w:p>
    <w:p w14:paraId="00000027">
      <w:pPr>
        <w:spacing w:before="280" w:after="280" w:line="360" w:lineRule="auto"/>
        <w:jc w:val="both"/>
        <w:rPr>
          <w:rFonts w:ascii="Arial" w:hAnsi="Arial" w:eastAsia="Arial" w:cs="Arial"/>
          <w:sz w:val="24"/>
          <w:szCs w:val="24"/>
        </w:rPr>
      </w:pPr>
      <w:r>
        <w:rPr>
          <w:rFonts w:ascii="Arial" w:hAnsi="Arial" w:eastAsia="Arial" w:cs="Arial"/>
          <w:sz w:val="24"/>
          <w:szCs w:val="24"/>
          <w:rtl w:val="0"/>
        </w:rPr>
        <w:t>Since its establishment in 1948, the NHS has faced recurring challenges in workforce planning, resource allocation, and staff wellbeing. Over the decades, increasing patient complexity, technological innovation, and financial austerity have compounded staffing pressures. By the early 2000s, research began to highlight the psychological burden experienced by healthcare professionals, particularly nurses, with burnout becoming recognised as a major occupational hazard (Dall’Ora, 2020).</w:t>
      </w:r>
    </w:p>
    <w:p w14:paraId="00000028">
      <w:pPr>
        <w:spacing w:before="280" w:after="280" w:line="360" w:lineRule="auto"/>
        <w:jc w:val="both"/>
        <w:rPr>
          <w:rFonts w:ascii="Arial" w:hAnsi="Arial" w:eastAsia="Arial" w:cs="Arial"/>
          <w:sz w:val="24"/>
          <w:szCs w:val="24"/>
        </w:rPr>
      </w:pPr>
      <w:r>
        <w:rPr>
          <w:rFonts w:ascii="Arial" w:hAnsi="Arial" w:eastAsia="Arial" w:cs="Arial"/>
          <w:sz w:val="24"/>
          <w:szCs w:val="24"/>
          <w:rtl w:val="0"/>
        </w:rPr>
        <w:t>The COVID-19 pandemic further exposed weaknesses in the NHS workforce infrastructure. Frontline staff experienced long working hours, redeployment, and exposure to infection risks, resulting in high levels of emotional exhaustion and moral injury (Nagle et al., 2024). These pressures accelerated discussions about the sustainability of the NHS workforce and the urgent need to address staff wellbeing and retention through systemic reform (West and Coia, 2019).</w:t>
      </w:r>
    </w:p>
    <w:p w14:paraId="00000029">
      <w:pPr>
        <w:spacing w:before="280" w:after="280" w:line="360" w:lineRule="auto"/>
        <w:jc w:val="both"/>
        <w:rPr>
          <w:rFonts w:ascii="Arial" w:hAnsi="Arial" w:eastAsia="Arial" w:cs="Arial"/>
          <w:b/>
          <w:sz w:val="24"/>
          <w:szCs w:val="24"/>
        </w:rPr>
      </w:pPr>
      <w:r>
        <w:rPr>
          <w:rFonts w:ascii="Arial" w:hAnsi="Arial" w:eastAsia="Arial" w:cs="Arial"/>
          <w:b/>
          <w:sz w:val="24"/>
          <w:szCs w:val="24"/>
          <w:rtl w:val="0"/>
        </w:rPr>
        <w:t>1.3.2 Current Context</w:t>
      </w:r>
    </w:p>
    <w:p w14:paraId="0000002A">
      <w:pPr>
        <w:spacing w:before="280" w:after="280" w:line="360" w:lineRule="auto"/>
        <w:jc w:val="both"/>
        <w:rPr>
          <w:rFonts w:ascii="Arial" w:hAnsi="Arial" w:eastAsia="Arial" w:cs="Arial"/>
          <w:sz w:val="24"/>
          <w:szCs w:val="24"/>
        </w:rPr>
      </w:pPr>
      <w:r>
        <w:rPr>
          <w:rFonts w:ascii="Arial" w:hAnsi="Arial" w:eastAsia="Arial" w:cs="Arial"/>
          <w:sz w:val="24"/>
          <w:szCs w:val="24"/>
          <w:rtl w:val="0"/>
        </w:rPr>
        <w:t>Currently, the NHS faces an unprecedented staffing crisis. The NHS Long Term Workforce Plan (NHS England, 2023) warns that without intervention, workforce shortages could exceed 260,000 to 360,000 staff by 2036/37. The 2023 NHS Staff Survey revealed that over half of staff reported feeling burnt out due to work demands, while only 31 per cent were satisfied with staffing levels. These findings align with independent analyses by The King’s Fund (2023), which identify declining morale and high attrition rates, particularly among nurses and allied health professionals. NHS Employers (2023) further report that emotional exhaustion and low morale are leading contributors to staff turnover and early retirement.</w:t>
      </w:r>
    </w:p>
    <w:p w14:paraId="0000002B">
      <w:pPr>
        <w:spacing w:before="280" w:after="280" w:line="360" w:lineRule="auto"/>
        <w:jc w:val="both"/>
        <w:rPr>
          <w:rFonts w:ascii="Arial" w:hAnsi="Arial" w:eastAsia="Arial" w:cs="Arial"/>
          <w:sz w:val="24"/>
          <w:szCs w:val="24"/>
        </w:rPr>
      </w:pPr>
      <w:r>
        <w:rPr>
          <w:rFonts w:ascii="Arial" w:hAnsi="Arial" w:eastAsia="Arial" w:cs="Arial"/>
          <w:sz w:val="24"/>
          <w:szCs w:val="24"/>
          <w:rtl w:val="0"/>
        </w:rPr>
        <w:t>This combination of burnout, low morale, and retention challenges demonstrates a cycle that threatens service delivery, staff wellbeing and organisational sustainability. Addressing these pressures is therefore essential to the long-term stability of the NHS and the quality of patient care outcomes.</w:t>
      </w:r>
    </w:p>
    <w:p w14:paraId="0000002C">
      <w:pPr>
        <w:spacing w:before="280" w:after="280" w:line="360" w:lineRule="auto"/>
        <w:jc w:val="both"/>
        <w:rPr>
          <w:rFonts w:ascii="Arial" w:hAnsi="Arial" w:eastAsia="Arial" w:cs="Arial"/>
          <w:b/>
          <w:sz w:val="24"/>
          <w:szCs w:val="24"/>
        </w:rPr>
      </w:pPr>
      <w:r>
        <w:rPr>
          <w:rFonts w:ascii="Arial" w:hAnsi="Arial" w:eastAsia="Arial" w:cs="Arial"/>
          <w:b/>
          <w:sz w:val="24"/>
          <w:szCs w:val="24"/>
          <w:rtl w:val="0"/>
        </w:rPr>
        <w:t>1.4 Rationale for Research</w:t>
      </w:r>
    </w:p>
    <w:p w14:paraId="0000002D">
      <w:pPr>
        <w:spacing w:before="280" w:after="280" w:line="360" w:lineRule="auto"/>
        <w:jc w:val="both"/>
        <w:rPr>
          <w:rFonts w:ascii="Arial" w:hAnsi="Arial" w:eastAsia="Arial" w:cs="Arial"/>
          <w:sz w:val="24"/>
          <w:szCs w:val="24"/>
        </w:rPr>
      </w:pPr>
      <w:r>
        <w:rPr>
          <w:rFonts w:ascii="Arial" w:hAnsi="Arial" w:eastAsia="Arial" w:cs="Arial"/>
          <w:sz w:val="24"/>
          <w:szCs w:val="24"/>
          <w:rtl w:val="0"/>
        </w:rPr>
        <w:t>The rationale for this dissertation lies in the growing recognition that NHS workforce wellbeing directly impacts healthcare quality and patient safety. While various studies and government reports have examined aspects of workforce pressure, the evidence remains fragmented, with insufficient integration across themes of burnout, morale, and retention (The King’s Fund, 2022).</w:t>
      </w:r>
    </w:p>
    <w:p w14:paraId="0000002E">
      <w:pPr>
        <w:spacing w:before="280" w:after="280" w:line="360" w:lineRule="auto"/>
        <w:jc w:val="both"/>
        <w:rPr>
          <w:rFonts w:ascii="Arial" w:hAnsi="Arial" w:eastAsia="Arial" w:cs="Arial"/>
          <w:sz w:val="24"/>
          <w:szCs w:val="24"/>
        </w:rPr>
      </w:pPr>
      <w:r>
        <w:rPr>
          <w:rFonts w:ascii="Arial" w:hAnsi="Arial" w:eastAsia="Arial" w:cs="Arial"/>
          <w:sz w:val="24"/>
          <w:szCs w:val="24"/>
          <w:rtl w:val="0"/>
        </w:rPr>
        <w:t>A review of recent literature reveals several gaps. First, there is limited synthesis of staff perceptions across diverse NHS roles, despite differences in workload, support structures and exposure to stressors (Nagle et al., 2024). Second, although policy initiatives such as the NHS People Plan aim to improve staff wellbeing, evaluation of their effectiveness is inconsistent (NHS Employers, 2023). Third, existing research often focuses on clinical burnout but gives less attention to organisational culture and leadership factors influencing morale and retention (West et al., 2020).</w:t>
      </w:r>
    </w:p>
    <w:p w14:paraId="0000002F">
      <w:pPr>
        <w:spacing w:before="280" w:after="280" w:line="360" w:lineRule="auto"/>
        <w:jc w:val="both"/>
        <w:rPr>
          <w:rFonts w:ascii="Arial" w:hAnsi="Arial" w:eastAsia="Arial" w:cs="Arial"/>
          <w:sz w:val="24"/>
          <w:szCs w:val="24"/>
        </w:rPr>
      </w:pPr>
      <w:r>
        <w:rPr>
          <w:rFonts w:ascii="Arial" w:hAnsi="Arial" w:eastAsia="Arial" w:cs="Arial"/>
          <w:sz w:val="24"/>
          <w:szCs w:val="24"/>
          <w:rtl w:val="0"/>
        </w:rPr>
        <w:t>This dissertation contributes by consolidating secondary data from multiple credible sources to produce a holistic analysis of staff perceptions. The outcomes will be relevant for policymakers, NHS leaders, and academics seeking to design interventions that promote workforce wellbeing and sustainability.</w:t>
      </w:r>
    </w:p>
    <w:p w14:paraId="00000030">
      <w:pPr>
        <w:spacing w:before="280" w:after="280" w:line="360" w:lineRule="auto"/>
        <w:jc w:val="both"/>
        <w:rPr>
          <w:rFonts w:ascii="Arial" w:hAnsi="Arial" w:eastAsia="Arial" w:cs="Arial"/>
          <w:sz w:val="24"/>
          <w:szCs w:val="24"/>
        </w:rPr>
      </w:pPr>
      <w:r>
        <w:rPr>
          <w:rFonts w:ascii="Arial" w:hAnsi="Arial" w:eastAsia="Arial" w:cs="Arial"/>
          <w:b/>
          <w:sz w:val="24"/>
          <w:szCs w:val="24"/>
          <w:rtl w:val="0"/>
        </w:rPr>
        <w:t>1.5 Aim and Objectives</w:t>
      </w:r>
    </w:p>
    <w:p w14:paraId="00000031">
      <w:pPr>
        <w:spacing w:before="280" w:after="280" w:line="360" w:lineRule="auto"/>
        <w:jc w:val="both"/>
        <w:rPr>
          <w:rFonts w:ascii="Arial" w:hAnsi="Arial" w:eastAsia="Arial" w:cs="Arial"/>
          <w:b/>
          <w:sz w:val="24"/>
          <w:szCs w:val="24"/>
        </w:rPr>
      </w:pPr>
      <w:r>
        <w:rPr>
          <w:rFonts w:ascii="Arial" w:hAnsi="Arial" w:eastAsia="Arial" w:cs="Arial"/>
          <w:b/>
          <w:sz w:val="24"/>
          <w:szCs w:val="24"/>
          <w:rtl w:val="0"/>
        </w:rPr>
        <w:t>1.5.1 Research Aim</w:t>
      </w:r>
    </w:p>
    <w:p w14:paraId="00000032">
      <w:pPr>
        <w:spacing w:before="280" w:after="280" w:line="360" w:lineRule="auto"/>
        <w:jc w:val="both"/>
        <w:rPr>
          <w:rFonts w:ascii="Arial" w:hAnsi="Arial" w:eastAsia="Arial" w:cs="Arial"/>
          <w:sz w:val="24"/>
          <w:szCs w:val="24"/>
        </w:rPr>
      </w:pPr>
      <w:r>
        <w:rPr>
          <w:rFonts w:ascii="Arial" w:hAnsi="Arial" w:eastAsia="Arial" w:cs="Arial"/>
          <w:sz w:val="24"/>
          <w:szCs w:val="24"/>
          <w:rtl w:val="0"/>
        </w:rPr>
        <w:t>To critically analyse secondary evidence on NHS workforce pressures, focusing on staff perceptions of burnout, morale, and retention, and to identify factors affecting workforce wellbeing and sustainability.</w:t>
      </w:r>
    </w:p>
    <w:p w14:paraId="00000033">
      <w:pPr>
        <w:spacing w:before="280" w:after="280" w:line="360" w:lineRule="auto"/>
        <w:jc w:val="both"/>
        <w:rPr>
          <w:rFonts w:ascii="Arial" w:hAnsi="Arial" w:eastAsia="Arial" w:cs="Arial"/>
          <w:b/>
          <w:sz w:val="24"/>
          <w:szCs w:val="24"/>
        </w:rPr>
      </w:pPr>
      <w:r>
        <w:rPr>
          <w:rFonts w:ascii="Arial" w:hAnsi="Arial" w:eastAsia="Arial" w:cs="Arial"/>
          <w:b/>
          <w:sz w:val="24"/>
          <w:szCs w:val="24"/>
          <w:rtl w:val="0"/>
        </w:rPr>
        <w:t>1.5.2 Research Objectives</w:t>
      </w:r>
    </w:p>
    <w:p w14:paraId="00000034">
      <w:pPr>
        <w:numPr>
          <w:ilvl w:val="0"/>
          <w:numId w:val="2"/>
        </w:numPr>
        <w:spacing w:before="280" w:after="0" w:line="360" w:lineRule="auto"/>
        <w:ind w:left="720" w:hanging="360"/>
        <w:jc w:val="both"/>
      </w:pPr>
      <w:r>
        <w:rPr>
          <w:rFonts w:ascii="Arial" w:hAnsi="Arial" w:eastAsia="Arial" w:cs="Arial"/>
          <w:rtl w:val="0"/>
        </w:rPr>
        <w:t>To define and examine the nature and causes of NHS workforce pressures as identified in secondary research.</w:t>
      </w:r>
    </w:p>
    <w:p w14:paraId="00000035">
      <w:pPr>
        <w:numPr>
          <w:ilvl w:val="0"/>
          <w:numId w:val="2"/>
        </w:numPr>
        <w:spacing w:before="0" w:after="0" w:line="360" w:lineRule="auto"/>
        <w:ind w:left="720" w:hanging="360"/>
        <w:jc w:val="both"/>
      </w:pPr>
      <w:r>
        <w:rPr>
          <w:rFonts w:ascii="Arial" w:hAnsi="Arial" w:eastAsia="Arial" w:cs="Arial"/>
          <w:rtl w:val="0"/>
        </w:rPr>
        <w:t>To analyse how staff perceptions of burnout and its impacts are reported in surveys, reports, and academic studies.</w:t>
      </w:r>
    </w:p>
    <w:p w14:paraId="00000036">
      <w:pPr>
        <w:numPr>
          <w:ilvl w:val="0"/>
          <w:numId w:val="2"/>
        </w:numPr>
        <w:spacing w:before="0" w:after="0" w:line="360" w:lineRule="auto"/>
        <w:ind w:left="720" w:hanging="360"/>
        <w:jc w:val="both"/>
      </w:pPr>
      <w:r>
        <w:rPr>
          <w:rFonts w:ascii="Arial" w:hAnsi="Arial" w:eastAsia="Arial" w:cs="Arial"/>
          <w:rtl w:val="0"/>
        </w:rPr>
        <w:t>To evaluate evidence on morale, organisational culture, and their relationship with staff retention and performance.</w:t>
      </w:r>
    </w:p>
    <w:p w14:paraId="00000037">
      <w:pPr>
        <w:numPr>
          <w:ilvl w:val="0"/>
          <w:numId w:val="2"/>
        </w:numPr>
        <w:spacing w:before="0" w:after="280" w:line="360" w:lineRule="auto"/>
        <w:ind w:left="720" w:hanging="360"/>
        <w:jc w:val="both"/>
      </w:pPr>
      <w:r>
        <w:rPr>
          <w:rFonts w:ascii="Arial" w:hAnsi="Arial" w:eastAsia="Arial" w:cs="Arial"/>
          <w:rtl w:val="0"/>
        </w:rPr>
        <w:t>To provide recommendations for improving staff wellbeing, morale, and retention strategies within the NHS, based on identified research gaps.</w:t>
      </w:r>
    </w:p>
    <w:p w14:paraId="00000038">
      <w:pPr>
        <w:spacing w:before="280" w:after="280" w:line="360" w:lineRule="auto"/>
        <w:jc w:val="both"/>
        <w:rPr>
          <w:rFonts w:ascii="Arial" w:hAnsi="Arial" w:eastAsia="Arial" w:cs="Arial"/>
          <w:b/>
          <w:sz w:val="24"/>
          <w:szCs w:val="24"/>
        </w:rPr>
      </w:pPr>
      <w:r>
        <w:rPr>
          <w:rFonts w:ascii="Arial" w:hAnsi="Arial" w:eastAsia="Arial" w:cs="Arial"/>
          <w:b/>
          <w:sz w:val="24"/>
          <w:szCs w:val="24"/>
          <w:rtl w:val="0"/>
        </w:rPr>
        <w:t>1.6 Conclusion</w:t>
      </w:r>
    </w:p>
    <w:p w14:paraId="00000039">
      <w:pPr>
        <w:spacing w:before="280" w:after="280" w:line="360" w:lineRule="auto"/>
        <w:jc w:val="both"/>
        <w:rPr>
          <w:rFonts w:ascii="Arial" w:hAnsi="Arial" w:eastAsia="Arial" w:cs="Arial"/>
        </w:rPr>
      </w:pPr>
      <w:r>
        <w:rPr>
          <w:rFonts w:ascii="Arial" w:hAnsi="Arial" w:eastAsia="Arial" w:cs="Arial"/>
          <w:rtl w:val="0"/>
        </w:rPr>
        <w:t>Chapter 1 has introduced the context and significance of the study, explained key terminology, outlined the historical and current workforce situation, justified the research rationale, and stated the research aim and objectives. The NHS workforce crisis, characterised by high burnout and poor morale, underscores the importance of this study. The next chapter will provide a detailed analysis of the historical, theoretical, and contextual foundations of workforce pressures, offering insight into how these have evolved globally and within the UK.</w:t>
      </w:r>
    </w:p>
    <w:p w14:paraId="0000003A">
      <w:pPr>
        <w:spacing w:before="280" w:after="280" w:line="240" w:lineRule="auto"/>
        <w:rPr>
          <w:rFonts w:ascii="Arial" w:hAnsi="Arial" w:eastAsia="Arial" w:cs="Arial"/>
          <w:sz w:val="24"/>
          <w:szCs w:val="24"/>
        </w:rPr>
      </w:pPr>
    </w:p>
    <w:p w14:paraId="0000003B">
      <w:pPr>
        <w:spacing w:before="280" w:after="280" w:line="240" w:lineRule="auto"/>
        <w:rPr>
          <w:rFonts w:ascii="Times New Roman" w:hAnsi="Times New Roman" w:eastAsia="Times New Roman" w:cs="Times New Roman"/>
          <w:b/>
          <w:sz w:val="36"/>
          <w:szCs w:val="36"/>
        </w:rPr>
      </w:pPr>
      <w:r>
        <w:rPr>
          <w:rFonts w:ascii="Times New Roman" w:hAnsi="Times New Roman" w:eastAsia="Times New Roman" w:cs="Times New Roman"/>
          <w:b/>
          <w:sz w:val="36"/>
          <w:szCs w:val="36"/>
          <w:rtl w:val="0"/>
        </w:rPr>
        <w:t>Chapter 2 – Background Information and Analysis</w:t>
      </w:r>
    </w:p>
    <w:p w14:paraId="0000003C">
      <w:pPr>
        <w:spacing w:before="280" w:after="280" w:line="240" w:lineRule="auto"/>
        <w:jc w:val="both"/>
        <w:rPr>
          <w:rFonts w:ascii="Arial" w:hAnsi="Arial" w:eastAsia="Arial" w:cs="Arial"/>
          <w:b/>
          <w:sz w:val="24"/>
          <w:szCs w:val="24"/>
        </w:rPr>
      </w:pPr>
      <w:r>
        <w:rPr>
          <w:rFonts w:ascii="Arial" w:hAnsi="Arial" w:eastAsia="Arial" w:cs="Arial"/>
          <w:b/>
          <w:sz w:val="24"/>
          <w:szCs w:val="24"/>
          <w:rtl w:val="0"/>
        </w:rPr>
        <w:t>2.1 Introduction:</w:t>
      </w:r>
    </w:p>
    <w:p w14:paraId="0000003D">
      <w:pPr>
        <w:spacing w:before="280" w:after="280" w:line="360" w:lineRule="auto"/>
        <w:jc w:val="both"/>
        <w:rPr>
          <w:rFonts w:ascii="Arial" w:hAnsi="Arial" w:eastAsia="Arial" w:cs="Arial"/>
          <w:sz w:val="24"/>
          <w:szCs w:val="24"/>
        </w:rPr>
      </w:pPr>
      <w:r>
        <w:rPr>
          <w:rFonts w:ascii="Arial" w:hAnsi="Arial" w:eastAsia="Arial" w:cs="Arial"/>
          <w:sz w:val="24"/>
          <w:szCs w:val="24"/>
          <w:rtl w:val="0"/>
        </w:rPr>
        <w:t>The purpose of this chapter is to establish the background and contextual foundation for exploring NHS workforce pressures, focusing specifically on staff perceptions of burnout, morale, and retention. A clear understanding of how these concepts have evolved historically, theoretically, and contextually is essential to appreciating their impact on the NHS workforce. This chapter presents a review of the historical development of workforce issues in the NHS, the theoretical frameworks underpinning our understanding of burnout and morale, and the wider international and national context influencing staff wellbeing.</w:t>
      </w:r>
    </w:p>
    <w:p w14:paraId="0000003E">
      <w:pPr>
        <w:spacing w:before="280" w:after="280" w:line="360" w:lineRule="auto"/>
        <w:jc w:val="both"/>
        <w:rPr>
          <w:rFonts w:ascii="Arial" w:hAnsi="Arial" w:eastAsia="Arial" w:cs="Arial"/>
          <w:sz w:val="24"/>
          <w:szCs w:val="24"/>
        </w:rPr>
      </w:pPr>
      <w:r>
        <w:rPr>
          <w:rFonts w:ascii="Arial" w:hAnsi="Arial" w:eastAsia="Arial" w:cs="Arial"/>
          <w:sz w:val="24"/>
          <w:szCs w:val="24"/>
          <w:rtl w:val="0"/>
        </w:rPr>
        <w:t>By providing a thorough background analysis, this chapter sets the stage for the methodological and analytical components of the research in subsequent chapters. While the focus remains on secondary research, the insights gained here will critically inform the later analysis of staff survey data, policy reports, and academic literature. Themes emerging from this context will be explored more deeply in Chapter 4, where data findings are analysed and interpreted.</w:t>
      </w:r>
    </w:p>
    <w:p w14:paraId="0000003F">
      <w:pPr>
        <w:spacing w:after="0" w:line="240" w:lineRule="auto"/>
        <w:jc w:val="both"/>
        <w:rPr>
          <w:rFonts w:ascii="Arial" w:hAnsi="Arial" w:eastAsia="Arial" w:cs="Arial"/>
          <w:sz w:val="24"/>
          <w:szCs w:val="24"/>
        </w:rPr>
      </w:pPr>
    </w:p>
    <w:p w14:paraId="00000040">
      <w:pPr>
        <w:spacing w:before="280" w:after="280" w:line="240" w:lineRule="auto"/>
        <w:rPr>
          <w:rFonts w:ascii="Times New Roman" w:hAnsi="Times New Roman" w:eastAsia="Times New Roman" w:cs="Times New Roman"/>
          <w:b/>
          <w:sz w:val="27"/>
          <w:szCs w:val="27"/>
        </w:rPr>
      </w:pPr>
      <w:r>
        <w:rPr>
          <w:rFonts w:ascii="Times New Roman" w:hAnsi="Times New Roman" w:eastAsia="Times New Roman" w:cs="Times New Roman"/>
          <w:b/>
          <w:sz w:val="27"/>
          <w:szCs w:val="27"/>
          <w:rtl w:val="0"/>
        </w:rPr>
        <w:t>2.2 Historical Background:</w:t>
      </w:r>
    </w:p>
    <w:p w14:paraId="00000041">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280" w:after="280" w:line="360" w:lineRule="auto"/>
        <w:ind w:left="0" w:right="0" w:firstLine="0"/>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Since its creation in 1948, the NHS has experienced persistent workforce challenges in recruitment, retention, and planning. However, in the last six years, these issues have intensified due to rising patient demand, an ageing population, and continued underinvestment in staffing (NHS England, 2023; NHS Digital, 2024). The growing complexity of healthcare needs—particularly in mental health, emergency, and long-term care—has placed a heavy burden on frontline workers.</w:t>
      </w:r>
    </w:p>
    <w:p w14:paraId="00000042">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280" w:after="280" w:line="360" w:lineRule="auto"/>
        <w:ind w:left="0" w:right="0" w:firstLine="0"/>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In response to these pressures, NHS leaders and researchers have increasingly focused on the link between workforce wellbeing and care quality. Performance-driven policies, designed to increase efficiency, have unintentionally increased administrative workload, decreased autonomy, and contributed to low morale—especially among nurses, junior doctors, and allied health professionals (NHS Employers, 2023; RCPsych, 2024). Staff in these roles are frequently exposed to emotional labour and high expectations with limited organisational support.</w:t>
      </w:r>
    </w:p>
    <w:p w14:paraId="00000043">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280" w:after="280" w:line="360" w:lineRule="auto"/>
        <w:ind w:left="0" w:right="0" w:firstLine="0"/>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Recent surveys confirm the deteriorating state of staff wellbeing. The NHS Staff Survey 2024 reported that nearly half of NHS workers experienced work-related stress, while burnout was particularly high in mental health, emergency care, and community services (NHS Staff Surveys, 2024). Myles Wellbeing (2024) also highlighted that burnout is disproportionately affecting younger and early-career staff, contributing to higher turnover and workforce instability. Meredith (2025) noted that a lack of emotional and professional support has left many considering career changes or early retirement.</w:t>
      </w:r>
    </w:p>
    <w:p w14:paraId="00000044">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280" w:after="280" w:line="360" w:lineRule="auto"/>
        <w:ind w:left="0" w:right="0" w:firstLine="0"/>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Although the Francis Report (2013) falls outside the six-year range, its findings are still relevant to contemporary workforce issues. The report exposed how poor staffing levels, inadequate leadership, and organisational neglect led to unsafe care and staff distress. Recent national reviews reaffirm that compassionate leadership, psychological safety, and inclusive workplace cultures are essential for quality care and sustainable staffing (NHS England, 2023; RCPsych, 2024).</w:t>
      </w:r>
    </w:p>
    <w:p w14:paraId="00000045">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280" w:after="280" w:line="360" w:lineRule="auto"/>
        <w:ind w:left="0" w:right="0" w:firstLine="0"/>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The COVID-19 pandemic (2020–2022) significantly deepened these issues. NHS staff faced unprecedented working conditions—including extended hours, redeployment, moral injury, and infection risk—which led to a substantial rise in burnout and psychological strain (Nagle et al., 2024). According to UNISON (2024), almost one-third of NHS staff took mental health-related leave during the previous year, highlighting the prolonged emotional toll.</w:t>
      </w:r>
    </w:p>
    <w:p w14:paraId="00000046">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280" w:after="280" w:line="360" w:lineRule="auto"/>
        <w:ind w:left="0" w:right="0" w:firstLine="0"/>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 xml:space="preserve">In response, NHS England introduced the </w:t>
      </w:r>
      <w:r>
        <w:rPr>
          <w:rFonts w:ascii="Arial" w:hAnsi="Arial" w:eastAsia="Arial" w:cs="Arial"/>
          <w:b w:val="0"/>
          <w:i/>
          <w:smallCaps w:val="0"/>
          <w:strike w:val="0"/>
          <w:color w:val="000000"/>
          <w:sz w:val="24"/>
          <w:szCs w:val="24"/>
          <w:u w:val="none"/>
          <w:shd w:val="clear" w:fill="auto"/>
          <w:vertAlign w:val="baseline"/>
          <w:rtl w:val="0"/>
        </w:rPr>
        <w:t>People Plan</w:t>
      </w:r>
      <w:r>
        <w:rPr>
          <w:rFonts w:ascii="Arial" w:hAnsi="Arial" w:eastAsia="Arial" w:cs="Arial"/>
          <w:b w:val="0"/>
          <w:i w:val="0"/>
          <w:smallCaps w:val="0"/>
          <w:strike w:val="0"/>
          <w:color w:val="000000"/>
          <w:sz w:val="24"/>
          <w:szCs w:val="24"/>
          <w:u w:val="none"/>
          <w:shd w:val="clear" w:fill="auto"/>
          <w:vertAlign w:val="baseline"/>
          <w:rtl w:val="0"/>
        </w:rPr>
        <w:t xml:space="preserve"> (2020), which emphasised immediate staff support through wellbeing resources and inclusive leadership. Its successor, the </w:t>
      </w:r>
      <w:r>
        <w:rPr>
          <w:rFonts w:ascii="Arial" w:hAnsi="Arial" w:eastAsia="Arial" w:cs="Arial"/>
          <w:b w:val="0"/>
          <w:i/>
          <w:smallCaps w:val="0"/>
          <w:strike w:val="0"/>
          <w:color w:val="000000"/>
          <w:sz w:val="24"/>
          <w:szCs w:val="24"/>
          <w:u w:val="none"/>
          <w:shd w:val="clear" w:fill="auto"/>
          <w:vertAlign w:val="baseline"/>
          <w:rtl w:val="0"/>
        </w:rPr>
        <w:t>NHS Long Term Workforce Plan</w:t>
      </w:r>
      <w:r>
        <w:rPr>
          <w:rFonts w:ascii="Arial" w:hAnsi="Arial" w:eastAsia="Arial" w:cs="Arial"/>
          <w:b w:val="0"/>
          <w:i w:val="0"/>
          <w:smallCaps w:val="0"/>
          <w:strike w:val="0"/>
          <w:color w:val="000000"/>
          <w:sz w:val="24"/>
          <w:szCs w:val="24"/>
          <w:u w:val="none"/>
          <w:shd w:val="clear" w:fill="auto"/>
          <w:vertAlign w:val="baseline"/>
          <w:rtl w:val="0"/>
        </w:rPr>
        <w:t xml:space="preserve"> (2023), focuses on sustainable workforce development. The plan prioritises recruitment, retention, flexible working, and creating positive work environments (NHS Employers, 2024; Meredith, 2025).</w:t>
      </w:r>
    </w:p>
    <w:p w14:paraId="0000004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280" w:after="280" w:line="360" w:lineRule="auto"/>
        <w:ind w:left="0" w:right="0" w:firstLine="0"/>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In conclusion, NHS workforce pressures are not recent anomalies but long-standing and systemic challenges exacerbated by crises like COVID-19. The past six years have brought renewed urgency and attention to the importance of valuing, supporting, and sustaining the workforce through structural reform and cultural change (NHS England, 2023; RCPsych, 2024).</w:t>
      </w:r>
    </w:p>
    <w:p w14:paraId="00000048">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280" w:after="280" w:line="360" w:lineRule="auto"/>
        <w:ind w:left="0" w:right="0" w:firstLine="0"/>
        <w:jc w:val="both"/>
        <w:rPr>
          <w:rFonts w:ascii="Arial" w:hAnsi="Arial" w:eastAsia="Arial" w:cs="Arial"/>
          <w:b w:val="0"/>
          <w:i w:val="0"/>
          <w:smallCaps w:val="0"/>
          <w:strike w:val="0"/>
          <w:color w:val="000000"/>
          <w:sz w:val="24"/>
          <w:szCs w:val="24"/>
          <w:u w:val="none"/>
          <w:shd w:val="clear" w:fill="auto"/>
          <w:vertAlign w:val="baseline"/>
        </w:rPr>
      </w:pPr>
    </w:p>
    <w:p w14:paraId="00000049">
      <w:pPr>
        <w:spacing w:after="0" w:line="240" w:lineRule="auto"/>
        <w:jc w:val="both"/>
        <w:rPr>
          <w:rFonts w:ascii="Arial" w:hAnsi="Arial" w:eastAsia="Arial" w:cs="Arial"/>
          <w:b/>
          <w:sz w:val="28"/>
          <w:szCs w:val="28"/>
        </w:rPr>
      </w:pPr>
      <w:r>
        <w:rPr>
          <w:rFonts w:ascii="Arial" w:hAnsi="Arial" w:eastAsia="Arial" w:cs="Arial"/>
          <w:b/>
          <w:sz w:val="28"/>
          <w:szCs w:val="28"/>
          <w:rtl w:val="0"/>
        </w:rPr>
        <w:t>2.3 Theoretical Background:</w:t>
      </w:r>
    </w:p>
    <w:p w14:paraId="0000004A">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280" w:after="280" w:line="360" w:lineRule="auto"/>
        <w:ind w:left="0" w:right="0" w:firstLine="0"/>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Understanding the experiences of NHS staff facing burnout, low morale, and retention challenges requires the application of robust psychological and organisational theories. Three key frameworks—</w:t>
      </w:r>
      <w:r>
        <w:rPr>
          <w:rFonts w:ascii="Arial" w:hAnsi="Arial" w:eastAsia="Arial" w:cs="Arial"/>
          <w:b/>
          <w:i w:val="0"/>
          <w:smallCaps w:val="0"/>
          <w:strike w:val="0"/>
          <w:color w:val="000000"/>
          <w:sz w:val="24"/>
          <w:szCs w:val="24"/>
          <w:u w:val="none"/>
          <w:shd w:val="clear" w:fill="auto"/>
          <w:vertAlign w:val="baseline"/>
          <w:rtl w:val="0"/>
        </w:rPr>
        <w:t>Job Demands–Resources (JD-R) Model</w:t>
      </w:r>
      <w:r>
        <w:rPr>
          <w:rFonts w:ascii="Arial" w:hAnsi="Arial" w:eastAsia="Arial" w:cs="Arial"/>
          <w:b w:val="0"/>
          <w:i w:val="0"/>
          <w:smallCaps w:val="0"/>
          <w:strike w:val="0"/>
          <w:color w:val="000000"/>
          <w:sz w:val="24"/>
          <w:szCs w:val="24"/>
          <w:u w:val="none"/>
          <w:shd w:val="clear" w:fill="auto"/>
          <w:vertAlign w:val="baseline"/>
          <w:rtl w:val="0"/>
        </w:rPr>
        <w:t xml:space="preserve">, </w:t>
      </w:r>
      <w:r>
        <w:rPr>
          <w:rFonts w:ascii="Arial" w:hAnsi="Arial" w:eastAsia="Arial" w:cs="Arial"/>
          <w:b/>
          <w:i w:val="0"/>
          <w:smallCaps w:val="0"/>
          <w:strike w:val="0"/>
          <w:color w:val="000000"/>
          <w:sz w:val="24"/>
          <w:szCs w:val="24"/>
          <w:u w:val="none"/>
          <w:shd w:val="clear" w:fill="auto"/>
          <w:vertAlign w:val="baseline"/>
          <w:rtl w:val="0"/>
        </w:rPr>
        <w:t>Self-Determination Theory (SDT)</w:t>
      </w:r>
      <w:r>
        <w:rPr>
          <w:rFonts w:ascii="Arial" w:hAnsi="Arial" w:eastAsia="Arial" w:cs="Arial"/>
          <w:b w:val="0"/>
          <w:i w:val="0"/>
          <w:smallCaps w:val="0"/>
          <w:strike w:val="0"/>
          <w:color w:val="000000"/>
          <w:sz w:val="24"/>
          <w:szCs w:val="24"/>
          <w:u w:val="none"/>
          <w:shd w:val="clear" w:fill="auto"/>
          <w:vertAlign w:val="baseline"/>
          <w:rtl w:val="0"/>
        </w:rPr>
        <w:t xml:space="preserve">, and </w:t>
      </w:r>
      <w:r>
        <w:rPr>
          <w:rFonts w:ascii="Arial" w:hAnsi="Arial" w:eastAsia="Arial" w:cs="Arial"/>
          <w:b/>
          <w:i w:val="0"/>
          <w:smallCaps w:val="0"/>
          <w:strike w:val="0"/>
          <w:color w:val="000000"/>
          <w:sz w:val="24"/>
          <w:szCs w:val="24"/>
          <w:u w:val="none"/>
          <w:shd w:val="clear" w:fill="auto"/>
          <w:vertAlign w:val="baseline"/>
          <w:rtl w:val="0"/>
        </w:rPr>
        <w:t>Social Exchange Theory (SET)</w:t>
      </w:r>
      <w:r>
        <w:rPr>
          <w:rFonts w:ascii="Arial" w:hAnsi="Arial" w:eastAsia="Arial" w:cs="Arial"/>
          <w:b w:val="0"/>
          <w:i w:val="0"/>
          <w:smallCaps w:val="0"/>
          <w:strike w:val="0"/>
          <w:color w:val="000000"/>
          <w:sz w:val="24"/>
          <w:szCs w:val="24"/>
          <w:u w:val="none"/>
          <w:shd w:val="clear" w:fill="auto"/>
          <w:vertAlign w:val="baseline"/>
          <w:rtl w:val="0"/>
        </w:rPr>
        <w:t>—offer valuable lenses through which to explore staff wellbeing and workplace dynamics.</w:t>
      </w:r>
    </w:p>
    <w:p w14:paraId="0000004B">
      <w:pPr>
        <w:spacing w:before="280" w:after="280" w:line="360" w:lineRule="auto"/>
        <w:jc w:val="both"/>
        <w:rPr>
          <w:rFonts w:ascii="Arial" w:hAnsi="Arial" w:eastAsia="Arial" w:cs="Arial"/>
          <w:b/>
          <w:sz w:val="24"/>
          <w:szCs w:val="24"/>
        </w:rPr>
      </w:pPr>
      <w:r>
        <w:rPr>
          <w:rFonts w:ascii="Arial" w:hAnsi="Arial" w:eastAsia="Arial" w:cs="Arial"/>
          <w:b/>
          <w:sz w:val="24"/>
          <w:szCs w:val="24"/>
          <w:rtl w:val="0"/>
        </w:rPr>
        <w:t>2.3.1 Key Theories and Concepts:</w:t>
      </w:r>
    </w:p>
    <w:p w14:paraId="0000004C">
      <w:pPr>
        <w:spacing w:before="280" w:after="280" w:line="360" w:lineRule="auto"/>
        <w:jc w:val="both"/>
        <w:rPr>
          <w:rFonts w:ascii="Arial" w:hAnsi="Arial" w:eastAsia="Arial" w:cs="Arial"/>
          <w:sz w:val="24"/>
          <w:szCs w:val="24"/>
        </w:rPr>
      </w:pPr>
      <w:r>
        <w:rPr>
          <w:rFonts w:ascii="Arial" w:hAnsi="Arial" w:eastAsia="Arial" w:cs="Arial"/>
          <w:sz w:val="24"/>
          <w:szCs w:val="24"/>
          <w:rtl w:val="0"/>
        </w:rPr>
        <w:t xml:space="preserve">The </w:t>
      </w:r>
      <w:r>
        <w:rPr>
          <w:rFonts w:ascii="Arial" w:hAnsi="Arial" w:eastAsia="Arial" w:cs="Arial"/>
          <w:b/>
          <w:sz w:val="24"/>
          <w:szCs w:val="24"/>
          <w:rtl w:val="0"/>
        </w:rPr>
        <w:t>JD-R Model</w:t>
      </w:r>
      <w:r>
        <w:rPr>
          <w:rFonts w:ascii="Arial" w:hAnsi="Arial" w:eastAsia="Arial" w:cs="Arial"/>
          <w:sz w:val="24"/>
          <w:szCs w:val="24"/>
          <w:rtl w:val="0"/>
        </w:rPr>
        <w:t>, proposed by Bakker and Demerouti (2017), suggests that burnout arises when job demands (e.g., workload, time pressure, emotional labour) exceed available resources (e.g., support, autonomy, recognition). When job resources are adequate, they can mitigate the effects of high demands, increasing engagement and job satisfaction. The model’s adaptability to various work environments has made it particularly relevant to the NHS, where healthcare workers face fluctuating demands and resource limitations (Dall’Ora, 2020).</w:t>
      </w:r>
    </w:p>
    <w:p w14:paraId="0000004D">
      <w:pPr>
        <w:spacing w:before="280" w:after="280" w:line="360" w:lineRule="auto"/>
        <w:jc w:val="both"/>
        <w:rPr>
          <w:rFonts w:ascii="Arial" w:hAnsi="Arial" w:eastAsia="Arial" w:cs="Arial"/>
          <w:sz w:val="24"/>
          <w:szCs w:val="24"/>
        </w:rPr>
      </w:pPr>
      <w:r>
        <w:rPr>
          <w:rFonts w:ascii="Arial" w:hAnsi="Arial" w:eastAsia="Arial" w:cs="Arial"/>
          <w:b/>
          <w:sz w:val="24"/>
          <w:szCs w:val="24"/>
          <w:rtl w:val="0"/>
        </w:rPr>
        <w:t>Self-Determination Theory (SDT)</w:t>
      </w:r>
      <w:r>
        <w:rPr>
          <w:rFonts w:ascii="Arial" w:hAnsi="Arial" w:eastAsia="Arial" w:cs="Arial"/>
          <w:sz w:val="24"/>
          <w:szCs w:val="24"/>
          <w:rtl w:val="0"/>
        </w:rPr>
        <w:t>, developed by Deci and Ryan (2008), posits that motivation and psychological wellbeing depend on satisfying three core needs: autonomy, competence, and relatedness. When these needs are met, individuals are more likely to be motivated, resilient, and committed. In contrast, unmet needs lead to stress, low morale, and reduced engagement.</w:t>
      </w:r>
    </w:p>
    <w:p w14:paraId="0000004E">
      <w:pPr>
        <w:spacing w:before="280" w:after="280" w:line="360" w:lineRule="auto"/>
        <w:jc w:val="both"/>
        <w:rPr>
          <w:rFonts w:ascii="Arial" w:hAnsi="Arial" w:eastAsia="Arial" w:cs="Arial"/>
          <w:sz w:val="24"/>
          <w:szCs w:val="24"/>
        </w:rPr>
      </w:pPr>
      <w:r>
        <w:rPr>
          <w:rFonts w:ascii="Arial" w:hAnsi="Arial" w:eastAsia="Arial" w:cs="Arial"/>
          <w:b/>
          <w:sz w:val="24"/>
          <w:szCs w:val="24"/>
          <w:rtl w:val="0"/>
        </w:rPr>
        <w:t>Social Exchange Theory (SET)</w:t>
      </w:r>
      <w:r>
        <w:rPr>
          <w:rFonts w:ascii="Arial" w:hAnsi="Arial" w:eastAsia="Arial" w:cs="Arial"/>
          <w:sz w:val="24"/>
          <w:szCs w:val="24"/>
          <w:rtl w:val="0"/>
        </w:rPr>
        <w:t>, as articulated by Cropanzano and Mitchell (2005), focuses on the reciprocal relationship between employees and employers. Staff who perceive organisational support, fairness, and investment in their development tend to respond with loyalty and discretionary effort. However, perceived neglect or inequity can lead to disengagement and increased turnover intentions.</w:t>
      </w:r>
    </w:p>
    <w:p w14:paraId="0000004F">
      <w:pPr>
        <w:spacing w:before="280" w:after="280" w:line="360" w:lineRule="auto"/>
        <w:jc w:val="both"/>
        <w:rPr>
          <w:rFonts w:ascii="Arial" w:hAnsi="Arial" w:eastAsia="Arial" w:cs="Arial"/>
          <w:sz w:val="24"/>
          <w:szCs w:val="24"/>
        </w:rPr>
      </w:pPr>
    </w:p>
    <w:p w14:paraId="00000050">
      <w:pPr>
        <w:spacing w:before="280" w:after="280" w:line="360" w:lineRule="auto"/>
        <w:jc w:val="both"/>
        <w:rPr>
          <w:rFonts w:ascii="Arial" w:hAnsi="Arial" w:eastAsia="Arial" w:cs="Arial"/>
          <w:b/>
          <w:sz w:val="24"/>
          <w:szCs w:val="24"/>
        </w:rPr>
      </w:pPr>
      <w:r>
        <w:rPr>
          <w:rFonts w:ascii="Arial" w:hAnsi="Arial" w:eastAsia="Arial" w:cs="Arial"/>
          <w:b/>
          <w:sz w:val="24"/>
          <w:szCs w:val="24"/>
          <w:rtl w:val="0"/>
        </w:rPr>
        <w:t>2.3.2 Application in NHS Context:</w:t>
      </w:r>
    </w:p>
    <w:p w14:paraId="00000051">
      <w:pPr>
        <w:spacing w:before="280" w:after="280" w:line="360" w:lineRule="auto"/>
        <w:jc w:val="both"/>
        <w:rPr>
          <w:rFonts w:ascii="Arial" w:hAnsi="Arial" w:eastAsia="Arial" w:cs="Arial"/>
          <w:sz w:val="24"/>
          <w:szCs w:val="24"/>
        </w:rPr>
      </w:pPr>
      <w:r>
        <w:rPr>
          <w:rFonts w:ascii="Arial" w:hAnsi="Arial" w:eastAsia="Arial" w:cs="Arial"/>
          <w:sz w:val="24"/>
          <w:szCs w:val="24"/>
          <w:rtl w:val="0"/>
        </w:rPr>
        <w:t>These theories have been applied in numerous NHS workforce studies. For example, Dall’Ora (2020) applied the JD-R model to explore predictors of burnout among nurses, identifying lack of staffing, support, and role clarity as key drivers. Ghasemi Kooktapeh et al. (2023) extended this analysis, linking nurse burnout to insufficient institutional support and persistent emotional demands.</w:t>
      </w:r>
    </w:p>
    <w:p w14:paraId="00000052">
      <w:pPr>
        <w:spacing w:before="280" w:after="280" w:line="360" w:lineRule="auto"/>
        <w:jc w:val="both"/>
        <w:rPr>
          <w:rFonts w:ascii="Arial" w:hAnsi="Arial" w:eastAsia="Arial" w:cs="Arial"/>
          <w:sz w:val="24"/>
          <w:szCs w:val="24"/>
        </w:rPr>
      </w:pPr>
      <w:r>
        <w:rPr>
          <w:rFonts w:ascii="Arial" w:hAnsi="Arial" w:eastAsia="Arial" w:cs="Arial"/>
          <w:sz w:val="24"/>
          <w:szCs w:val="24"/>
          <w:rtl w:val="0"/>
        </w:rPr>
        <w:t>SDT has been used to analyse junior doctors’ morale, showing that poor supervision, lack of autonomy, and limited feedback contribute to disengagement (Spencer et al., 2019). In similar research, West et al. (2020) applied SET to assess morale across NHS trusts, concluding that organisational fairness and inclusive leadership were essential to building a resilient workforce.</w:t>
      </w:r>
    </w:p>
    <w:p w14:paraId="00000053">
      <w:pPr>
        <w:spacing w:before="280" w:after="280" w:line="360" w:lineRule="auto"/>
        <w:jc w:val="both"/>
        <w:rPr>
          <w:rFonts w:ascii="Arial" w:hAnsi="Arial" w:eastAsia="Arial" w:cs="Arial"/>
          <w:sz w:val="24"/>
          <w:szCs w:val="24"/>
        </w:rPr>
      </w:pPr>
      <w:r>
        <w:rPr>
          <w:rFonts w:ascii="Arial" w:hAnsi="Arial" w:eastAsia="Arial" w:cs="Arial"/>
          <w:sz w:val="24"/>
          <w:szCs w:val="24"/>
          <w:rtl w:val="0"/>
        </w:rPr>
        <w:t>Post-pandemic studies have further highlighted the relevance of these frameworks. Chan et al. (2025) developed a predictive model using JD-R principles to monitor clinician burnout in real-time. Their study found that burnout peaks during periods of high patient volume and low perceived support—validating the model’s predictive accuracy in NHS environments.</w:t>
      </w:r>
    </w:p>
    <w:p w14:paraId="00000054">
      <w:pPr>
        <w:spacing w:before="280" w:after="280" w:line="360" w:lineRule="auto"/>
        <w:jc w:val="both"/>
        <w:rPr>
          <w:rFonts w:ascii="Arial" w:hAnsi="Arial" w:eastAsia="Arial" w:cs="Arial"/>
          <w:b/>
          <w:sz w:val="24"/>
          <w:szCs w:val="24"/>
        </w:rPr>
      </w:pPr>
      <w:r>
        <w:rPr>
          <w:rFonts w:ascii="Arial" w:hAnsi="Arial" w:eastAsia="Arial" w:cs="Arial"/>
          <w:b/>
          <w:sz w:val="24"/>
          <w:szCs w:val="24"/>
          <w:rtl w:val="0"/>
        </w:rPr>
        <w:t>2.3.3 Critical Evaluation:</w:t>
      </w:r>
    </w:p>
    <w:p w14:paraId="00000055">
      <w:pPr>
        <w:spacing w:before="280" w:after="280" w:line="360" w:lineRule="auto"/>
        <w:jc w:val="both"/>
        <w:rPr>
          <w:rFonts w:ascii="Arial" w:hAnsi="Arial" w:eastAsia="Arial" w:cs="Arial"/>
          <w:sz w:val="24"/>
          <w:szCs w:val="24"/>
        </w:rPr>
      </w:pPr>
      <w:r>
        <w:rPr>
          <w:rFonts w:ascii="Arial" w:hAnsi="Arial" w:eastAsia="Arial" w:cs="Arial"/>
          <w:sz w:val="24"/>
          <w:szCs w:val="24"/>
          <w:rtl w:val="0"/>
        </w:rPr>
        <w:t>Despite their strengths, these models have limitations. The JD-R model, while flexible, can overemphasise individual coping strategies and underplay systemic or structural drivers of burnout such as policy constraints or chronic underfunding (Schaufeli and Taris, 2014). SDT, though effective in explaining intrinsic motivation, does not always account for social inequalities or organisational hierarchies, which can undermine its assumptions (Kline, 2022).</w:t>
      </w:r>
    </w:p>
    <w:p w14:paraId="00000056">
      <w:pPr>
        <w:spacing w:before="280" w:after="280" w:line="360" w:lineRule="auto"/>
        <w:jc w:val="both"/>
        <w:rPr>
          <w:rFonts w:ascii="Arial" w:hAnsi="Arial" w:eastAsia="Arial" w:cs="Arial"/>
          <w:sz w:val="24"/>
          <w:szCs w:val="24"/>
        </w:rPr>
      </w:pPr>
      <w:r>
        <w:rPr>
          <w:rFonts w:ascii="Arial" w:hAnsi="Arial" w:eastAsia="Arial" w:cs="Arial"/>
          <w:sz w:val="24"/>
          <w:szCs w:val="24"/>
          <w:rtl w:val="0"/>
        </w:rPr>
        <w:t>Similarly, SET assumes a degree of equity in staff-employer relations that may not reflect real power dynamics in large institutions like the NHS. It also presumes that reciprocal exchanges are the primary driver of motivation, which may overlook intrinsic values or cultural influences.</w:t>
      </w:r>
    </w:p>
    <w:p w14:paraId="00000057">
      <w:pPr>
        <w:spacing w:before="280" w:after="280" w:line="360" w:lineRule="auto"/>
        <w:jc w:val="both"/>
        <w:rPr>
          <w:rFonts w:ascii="Arial" w:hAnsi="Arial" w:eastAsia="Arial" w:cs="Arial"/>
          <w:sz w:val="24"/>
          <w:szCs w:val="24"/>
        </w:rPr>
      </w:pPr>
      <w:r>
        <w:rPr>
          <w:rFonts w:ascii="Arial" w:hAnsi="Arial" w:eastAsia="Arial" w:cs="Arial"/>
          <w:sz w:val="24"/>
          <w:szCs w:val="24"/>
          <w:rtl w:val="0"/>
        </w:rPr>
        <w:t>Nevertheless, when combined, these theories provide a comprehensive, multi-level framework for understanding NHS workforce challenges. They underscore the importance of investing in supportive leadership, recognising staff contributions, and creating psychologically safe environments to improve morale and retain a skilled and motivated workforce.</w:t>
      </w:r>
    </w:p>
    <w:p w14:paraId="00000058">
      <w:pPr>
        <w:spacing w:before="280" w:after="280" w:line="360" w:lineRule="auto"/>
        <w:jc w:val="both"/>
        <w:rPr>
          <w:rFonts w:ascii="Arial" w:hAnsi="Arial" w:eastAsia="Arial" w:cs="Arial"/>
          <w:sz w:val="24"/>
          <w:szCs w:val="24"/>
        </w:rPr>
      </w:pPr>
    </w:p>
    <w:p w14:paraId="00000059">
      <w:pPr>
        <w:spacing w:before="280" w:after="280" w:line="360" w:lineRule="auto"/>
        <w:jc w:val="both"/>
        <w:rPr>
          <w:rFonts w:ascii="Arial" w:hAnsi="Arial" w:eastAsia="Arial" w:cs="Arial"/>
          <w:b/>
          <w:sz w:val="24"/>
          <w:szCs w:val="24"/>
        </w:rPr>
      </w:pPr>
      <w:r>
        <w:rPr>
          <w:rFonts w:ascii="Arial" w:hAnsi="Arial" w:eastAsia="Arial" w:cs="Arial"/>
          <w:b/>
          <w:sz w:val="24"/>
          <w:szCs w:val="24"/>
          <w:rtl w:val="0"/>
        </w:rPr>
        <w:t>2.4 International Context:</w:t>
      </w:r>
    </w:p>
    <w:p w14:paraId="0000005A">
      <w:pPr>
        <w:spacing w:before="280" w:after="280" w:line="360" w:lineRule="auto"/>
        <w:jc w:val="both"/>
        <w:rPr>
          <w:rFonts w:ascii="Arial" w:hAnsi="Arial" w:eastAsia="Arial" w:cs="Arial"/>
          <w:b/>
          <w:sz w:val="24"/>
          <w:szCs w:val="24"/>
        </w:rPr>
      </w:pPr>
      <w:r>
        <w:rPr>
          <w:rFonts w:ascii="Arial" w:hAnsi="Arial" w:eastAsia="Arial" w:cs="Arial"/>
          <w:b/>
          <w:sz w:val="24"/>
          <w:szCs w:val="24"/>
          <w:rtl w:val="0"/>
        </w:rPr>
        <w:t>2.4.1 Global Workforce Pressures</w:t>
      </w:r>
    </w:p>
    <w:p w14:paraId="0000005B">
      <w:pPr>
        <w:spacing w:before="280" w:after="280" w:line="360" w:lineRule="auto"/>
        <w:jc w:val="both"/>
        <w:rPr>
          <w:rFonts w:ascii="Arial" w:hAnsi="Arial" w:eastAsia="Arial" w:cs="Arial"/>
          <w:sz w:val="24"/>
          <w:szCs w:val="24"/>
        </w:rPr>
      </w:pPr>
      <w:r>
        <w:rPr>
          <w:rFonts w:ascii="Arial" w:hAnsi="Arial" w:eastAsia="Arial" w:cs="Arial"/>
          <w:sz w:val="24"/>
          <w:szCs w:val="24"/>
          <w:rtl w:val="0"/>
        </w:rPr>
        <w:t>Workforce pressures in healthcare are a global issue and not confined to the NHS. According to the World Health Organization (2023), there is a projected global shortfall of 10 million health workers, posing a significant threat to the sustainability of health systems worldwide. Even in high-income countries, staff burnout, high turnover rates, and insufficient wellbeing support are widespread (Ghasemi Kooktapeh et al., 2023). These issues have become more acute in the post-COVID landscape, with many healthcare systems struggling to recover and rebuild resilient workforces.</w:t>
      </w:r>
    </w:p>
    <w:p w14:paraId="0000005C">
      <w:pPr>
        <w:spacing w:before="280" w:after="280" w:line="360" w:lineRule="auto"/>
        <w:jc w:val="both"/>
        <w:rPr>
          <w:rFonts w:ascii="Arial" w:hAnsi="Arial" w:eastAsia="Arial" w:cs="Arial"/>
          <w:sz w:val="24"/>
          <w:szCs w:val="24"/>
        </w:rPr>
      </w:pPr>
      <w:r>
        <w:rPr>
          <w:rFonts w:ascii="Arial" w:hAnsi="Arial" w:eastAsia="Arial" w:cs="Arial"/>
          <w:sz w:val="24"/>
          <w:szCs w:val="24"/>
          <w:rtl w:val="0"/>
        </w:rPr>
        <w:t xml:space="preserve">The World Health Organization's </w:t>
      </w:r>
      <w:r>
        <w:rPr>
          <w:rFonts w:ascii="Arial" w:hAnsi="Arial" w:eastAsia="Arial" w:cs="Arial"/>
          <w:i/>
          <w:sz w:val="24"/>
          <w:szCs w:val="24"/>
          <w:rtl w:val="0"/>
        </w:rPr>
        <w:t>Global Strategy on Human Resources for Health: Workforce 2030</w:t>
      </w:r>
      <w:r>
        <w:rPr>
          <w:rFonts w:ascii="Arial" w:hAnsi="Arial" w:eastAsia="Arial" w:cs="Arial"/>
          <w:sz w:val="24"/>
          <w:szCs w:val="24"/>
          <w:rtl w:val="0"/>
        </w:rPr>
        <w:t xml:space="preserve"> emphasises the importance of equitable workforce distribution, better working conditions, and investment in staff wellbeing to achieve universal health coverage (WHO, 2023). These global challenges mirror many of the concerns seen in the NHS, offering both cautionary tales and models of best practice for reform.</w:t>
      </w:r>
    </w:p>
    <w:p w14:paraId="0000005D">
      <w:pPr>
        <w:spacing w:before="280" w:after="280" w:line="360" w:lineRule="auto"/>
        <w:jc w:val="both"/>
        <w:rPr>
          <w:rFonts w:ascii="Arial" w:hAnsi="Arial" w:eastAsia="Arial" w:cs="Arial"/>
          <w:sz w:val="24"/>
          <w:szCs w:val="24"/>
        </w:rPr>
      </w:pPr>
    </w:p>
    <w:p w14:paraId="0000005E">
      <w:pPr>
        <w:spacing w:before="280" w:after="280" w:line="360" w:lineRule="auto"/>
        <w:jc w:val="both"/>
        <w:rPr>
          <w:rFonts w:ascii="Arial" w:hAnsi="Arial" w:eastAsia="Arial" w:cs="Arial"/>
          <w:b/>
          <w:sz w:val="24"/>
          <w:szCs w:val="24"/>
        </w:rPr>
      </w:pPr>
      <w:r>
        <w:rPr>
          <w:rFonts w:ascii="Arial" w:hAnsi="Arial" w:eastAsia="Arial" w:cs="Arial"/>
          <w:b/>
          <w:sz w:val="24"/>
          <w:szCs w:val="24"/>
          <w:rtl w:val="0"/>
        </w:rPr>
        <w:t>2.4.2 Comparative Analysis:</w:t>
      </w:r>
    </w:p>
    <w:p w14:paraId="0000005F">
      <w:pPr>
        <w:spacing w:before="280" w:after="280" w:line="360" w:lineRule="auto"/>
        <w:jc w:val="both"/>
        <w:rPr>
          <w:rFonts w:ascii="Arial" w:hAnsi="Arial" w:eastAsia="Arial" w:cs="Arial"/>
          <w:sz w:val="24"/>
          <w:szCs w:val="24"/>
        </w:rPr>
      </w:pPr>
      <w:r>
        <w:rPr>
          <w:rFonts w:ascii="Arial" w:hAnsi="Arial" w:eastAsia="Arial" w:cs="Arial"/>
          <w:sz w:val="24"/>
          <w:szCs w:val="24"/>
          <w:rtl w:val="0"/>
        </w:rPr>
        <w:t>In the Netherlands, shared governance models that involve nurses and frontline staff in decision-making have been associated with lower burnout levels and higher job satisfaction. These participatory structures help improve morale and reduce turnover by giving staff more control over their practice environments (van Bogaert et al., 2017).</w:t>
      </w:r>
    </w:p>
    <w:p w14:paraId="00000060">
      <w:pPr>
        <w:spacing w:before="280" w:after="280" w:line="360" w:lineRule="auto"/>
        <w:jc w:val="both"/>
        <w:rPr>
          <w:rFonts w:ascii="Arial" w:hAnsi="Arial" w:eastAsia="Arial" w:cs="Arial"/>
          <w:sz w:val="24"/>
          <w:szCs w:val="24"/>
        </w:rPr>
      </w:pPr>
      <w:r>
        <w:rPr>
          <w:rFonts w:ascii="Arial" w:hAnsi="Arial" w:eastAsia="Arial" w:cs="Arial"/>
          <w:sz w:val="24"/>
          <w:szCs w:val="24"/>
          <w:rtl w:val="0"/>
        </w:rPr>
        <w:t xml:space="preserve">Australia’s </w:t>
      </w:r>
      <w:r>
        <w:rPr>
          <w:rFonts w:ascii="Arial" w:hAnsi="Arial" w:eastAsia="Arial" w:cs="Arial"/>
          <w:i/>
          <w:sz w:val="24"/>
          <w:szCs w:val="24"/>
          <w:rtl w:val="0"/>
        </w:rPr>
        <w:t>National Health Workforce Strategy 2022–2032</w:t>
      </w:r>
      <w:r>
        <w:rPr>
          <w:rFonts w:ascii="Arial" w:hAnsi="Arial" w:eastAsia="Arial" w:cs="Arial"/>
          <w:sz w:val="24"/>
          <w:szCs w:val="24"/>
          <w:rtl w:val="0"/>
        </w:rPr>
        <w:t xml:space="preserve"> focuses on workforce sustainability through rural workforce incentives, digital training platforms, and culturally safe work environments (Department of Health Australia, 2022). Additionally, flexible working policies and investment in early-career health professionals have contributed to greater job satisfaction and retention.</w:t>
      </w:r>
    </w:p>
    <w:p w14:paraId="00000061">
      <w:pPr>
        <w:spacing w:before="280" w:after="280" w:line="360" w:lineRule="auto"/>
        <w:jc w:val="both"/>
        <w:rPr>
          <w:rFonts w:ascii="Arial" w:hAnsi="Arial" w:eastAsia="Arial" w:cs="Arial"/>
          <w:sz w:val="24"/>
          <w:szCs w:val="24"/>
        </w:rPr>
      </w:pPr>
      <w:r>
        <w:rPr>
          <w:rFonts w:ascii="Arial" w:hAnsi="Arial" w:eastAsia="Arial" w:cs="Arial"/>
          <w:sz w:val="24"/>
          <w:szCs w:val="24"/>
          <w:rtl w:val="0"/>
        </w:rPr>
        <w:t>In Scandinavia, healthcare workers consistently report high levels of workplace satisfaction. Sweden and Norway, in particular, are noted for their emphasis on psychological safety, shorter working hours, and a balanced work-life culture (Lundqvist and Sandström, 2023). These countries have invested in leadership development and employee voice mechanisms that foster open communication and reduce hierarchical barriers—contributing to healthier organisational climates.</w:t>
      </w:r>
    </w:p>
    <w:p w14:paraId="00000062">
      <w:pPr>
        <w:spacing w:before="280" w:after="280" w:line="360" w:lineRule="auto"/>
        <w:jc w:val="both"/>
        <w:rPr>
          <w:rFonts w:ascii="Arial" w:hAnsi="Arial" w:eastAsia="Arial" w:cs="Arial"/>
          <w:sz w:val="24"/>
          <w:szCs w:val="24"/>
        </w:rPr>
      </w:pPr>
      <w:r>
        <w:rPr>
          <w:rFonts w:ascii="Arial" w:hAnsi="Arial" w:eastAsia="Arial" w:cs="Arial"/>
          <w:sz w:val="24"/>
          <w:szCs w:val="24"/>
          <w:rtl w:val="0"/>
        </w:rPr>
        <w:t>In contrast, the United States faces severe burnout and turnover rates, particularly among physicians and nurses. This is largely attributed to a profit-driven healthcare model, administrative overload, and inconsistent access to mental health resources (Shanafelt et al., 2019). However, some US healthcare systems have implemented resilience training programmes and peer-support initiatives to reduce psychological strain and promote emotional wellbeing.</w:t>
      </w:r>
    </w:p>
    <w:p w14:paraId="00000063">
      <w:pPr>
        <w:spacing w:before="280" w:after="280" w:line="360" w:lineRule="auto"/>
        <w:jc w:val="both"/>
        <w:rPr>
          <w:rFonts w:ascii="Arial" w:hAnsi="Arial" w:eastAsia="Arial" w:cs="Arial"/>
          <w:b/>
          <w:sz w:val="24"/>
          <w:szCs w:val="24"/>
        </w:rPr>
      </w:pPr>
      <w:r>
        <w:rPr>
          <w:rFonts w:ascii="Arial" w:hAnsi="Arial" w:eastAsia="Arial" w:cs="Arial"/>
          <w:b/>
          <w:sz w:val="24"/>
          <w:szCs w:val="24"/>
          <w:rtl w:val="0"/>
        </w:rPr>
        <w:t>2.4.3 Case Studies and Global Initiatives:</w:t>
      </w:r>
    </w:p>
    <w:p w14:paraId="00000064">
      <w:pPr>
        <w:spacing w:before="280" w:after="280" w:line="360" w:lineRule="auto"/>
        <w:jc w:val="both"/>
        <w:rPr>
          <w:rFonts w:ascii="Arial" w:hAnsi="Arial" w:eastAsia="Arial" w:cs="Arial"/>
          <w:sz w:val="24"/>
          <w:szCs w:val="24"/>
        </w:rPr>
      </w:pPr>
      <w:r>
        <w:rPr>
          <w:rFonts w:ascii="Arial" w:hAnsi="Arial" w:eastAsia="Arial" w:cs="Arial"/>
          <w:sz w:val="24"/>
          <w:szCs w:val="24"/>
          <w:rtl w:val="0"/>
        </w:rPr>
        <w:t>A notable case study from New Zealand’s Waikato District Health Board involved a post-COVID stress debriefing programme. This intervention led to a 35% reduction in sickness absence within six months and was later scaled across multiple regions (Ministry of Health NZ, 2023). It demonstrates how targeted mental health initiatives can produce measurable workforce improvements.</w:t>
      </w:r>
    </w:p>
    <w:p w14:paraId="00000065">
      <w:pPr>
        <w:spacing w:before="280" w:after="280" w:line="360" w:lineRule="auto"/>
        <w:jc w:val="both"/>
        <w:rPr>
          <w:rFonts w:ascii="Arial" w:hAnsi="Arial" w:eastAsia="Arial" w:cs="Arial"/>
          <w:sz w:val="24"/>
          <w:szCs w:val="24"/>
        </w:rPr>
      </w:pPr>
      <w:r>
        <w:rPr>
          <w:rFonts w:ascii="Arial" w:hAnsi="Arial" w:eastAsia="Arial" w:cs="Arial"/>
          <w:sz w:val="24"/>
          <w:szCs w:val="24"/>
          <w:rtl w:val="0"/>
        </w:rPr>
        <w:t xml:space="preserve">On a broader scale, WHO-led global initiatives such as the </w:t>
      </w:r>
      <w:r>
        <w:rPr>
          <w:rFonts w:ascii="Arial" w:hAnsi="Arial" w:eastAsia="Arial" w:cs="Arial"/>
          <w:i/>
          <w:sz w:val="24"/>
          <w:szCs w:val="24"/>
          <w:rtl w:val="0"/>
        </w:rPr>
        <w:t>Workforce 2030 Strategy</w:t>
      </w:r>
      <w:r>
        <w:rPr>
          <w:rFonts w:ascii="Arial" w:hAnsi="Arial" w:eastAsia="Arial" w:cs="Arial"/>
          <w:sz w:val="24"/>
          <w:szCs w:val="24"/>
          <w:rtl w:val="0"/>
        </w:rPr>
        <w:t xml:space="preserve"> advocate for national governments to integrate mental health, gender equality, and decent work principles into their health workforce policies (WHO, 2023). The strategy highlights the importance of international collaboration, especially in light of cross-border recruitment and migration trends that impact workforce stability globally.</w:t>
      </w:r>
    </w:p>
    <w:p w14:paraId="00000066">
      <w:pPr>
        <w:spacing w:before="280" w:after="280" w:line="360" w:lineRule="auto"/>
        <w:jc w:val="both"/>
        <w:rPr>
          <w:rFonts w:ascii="Arial" w:hAnsi="Arial" w:eastAsia="Arial" w:cs="Arial"/>
          <w:sz w:val="24"/>
          <w:szCs w:val="24"/>
        </w:rPr>
      </w:pPr>
      <w:r>
        <w:rPr>
          <w:rFonts w:ascii="Arial" w:hAnsi="Arial" w:eastAsia="Arial" w:cs="Arial"/>
          <w:sz w:val="24"/>
          <w:szCs w:val="24"/>
          <w:rtl w:val="0"/>
        </w:rPr>
        <w:t>The global context reveals that while healthcare systems vary in structure and resources, many face similar challenges in supporting and retaining their staff. Countries that prioritise flexible working, leadership development, and psychological wellbeing show better workforce outcomes. These international insights provide a valuable comparative framework for informing NHS workforce reforms and promoting sustainable staff wellbeing.</w:t>
      </w:r>
    </w:p>
    <w:p w14:paraId="00000067">
      <w:pPr>
        <w:spacing w:before="280" w:after="280" w:line="360" w:lineRule="auto"/>
        <w:jc w:val="both"/>
        <w:rPr>
          <w:rFonts w:ascii="Arial" w:hAnsi="Arial" w:eastAsia="Arial" w:cs="Arial"/>
          <w:sz w:val="24"/>
          <w:szCs w:val="24"/>
        </w:rPr>
      </w:pPr>
    </w:p>
    <w:p w14:paraId="00000068">
      <w:pPr>
        <w:spacing w:before="280" w:after="280" w:line="240" w:lineRule="auto"/>
        <w:jc w:val="both"/>
        <w:rPr>
          <w:rFonts w:ascii="Arial" w:hAnsi="Arial" w:eastAsia="Arial" w:cs="Arial"/>
          <w:b/>
          <w:sz w:val="24"/>
          <w:szCs w:val="24"/>
        </w:rPr>
      </w:pPr>
      <w:r>
        <w:rPr>
          <w:rFonts w:ascii="Arial" w:hAnsi="Arial" w:eastAsia="Arial" w:cs="Arial"/>
          <w:b/>
          <w:sz w:val="24"/>
          <w:szCs w:val="24"/>
          <w:rtl w:val="0"/>
        </w:rPr>
        <w:t>2.5 National/Local UK Context:</w:t>
      </w:r>
    </w:p>
    <w:p w14:paraId="00000069">
      <w:pPr>
        <w:spacing w:before="280" w:after="280" w:line="360" w:lineRule="auto"/>
        <w:jc w:val="both"/>
        <w:rPr>
          <w:rFonts w:ascii="Arial" w:hAnsi="Arial" w:eastAsia="Arial" w:cs="Arial"/>
          <w:b/>
          <w:sz w:val="24"/>
          <w:szCs w:val="24"/>
        </w:rPr>
      </w:pPr>
      <w:r>
        <w:rPr>
          <w:rFonts w:ascii="Arial" w:hAnsi="Arial" w:eastAsia="Arial" w:cs="Arial"/>
          <w:b/>
          <w:sz w:val="24"/>
          <w:szCs w:val="24"/>
          <w:rtl w:val="0"/>
        </w:rPr>
        <w:t>2.5.1 UK National Workforce Trends:</w:t>
      </w:r>
    </w:p>
    <w:p w14:paraId="0000006A">
      <w:pPr>
        <w:spacing w:before="280" w:after="280" w:line="360" w:lineRule="auto"/>
        <w:jc w:val="both"/>
        <w:rPr>
          <w:rFonts w:ascii="Arial" w:hAnsi="Arial" w:eastAsia="Arial" w:cs="Arial"/>
          <w:sz w:val="24"/>
          <w:szCs w:val="24"/>
        </w:rPr>
      </w:pPr>
      <w:r>
        <w:rPr>
          <w:rFonts w:ascii="Arial" w:hAnsi="Arial" w:eastAsia="Arial" w:cs="Arial"/>
          <w:sz w:val="24"/>
          <w:szCs w:val="24"/>
          <w:rtl w:val="0"/>
        </w:rPr>
        <w:t>The NHS is facing an unprecedented workforce crisis, with a projected shortfall of between 260,000 and 360,000 staff by 2036 if corrective action is not taken (NHS England, 2023). The current staffing gap affects nearly every healthcare profession, with particularly severe shortages among nurses, mental health workers, and general practitioners. Contributing factors include an ageing workforce, insufficient domestic training capacity, and high attrition rates across clinical roles.</w:t>
      </w:r>
    </w:p>
    <w:p w14:paraId="0000006B">
      <w:pPr>
        <w:spacing w:before="280" w:after="280" w:line="360" w:lineRule="auto"/>
        <w:jc w:val="both"/>
        <w:rPr>
          <w:rFonts w:ascii="Arial" w:hAnsi="Arial" w:eastAsia="Arial" w:cs="Arial"/>
          <w:sz w:val="24"/>
          <w:szCs w:val="24"/>
        </w:rPr>
      </w:pPr>
      <w:r>
        <w:rPr>
          <w:rFonts w:ascii="Arial" w:hAnsi="Arial" w:eastAsia="Arial" w:cs="Arial"/>
          <w:sz w:val="24"/>
          <w:szCs w:val="24"/>
          <w:rtl w:val="0"/>
        </w:rPr>
        <w:t>The 2024 NHS Staff Survey reported that more than half of NHS employees experience burnout, with workload intensity, poor leadership quality, and chronic understaffing cited as the most significant stressors (NHS Staff Surveys, 2024). Meredith (2025) further notes that feelings of being undervalued, unsupported, or overburdened are leading to an increase in staff considering career exits or early retirement.</w:t>
      </w:r>
    </w:p>
    <w:p w14:paraId="0000006C">
      <w:pPr>
        <w:spacing w:before="280" w:after="280" w:line="360" w:lineRule="auto"/>
        <w:jc w:val="both"/>
        <w:rPr>
          <w:rFonts w:ascii="Arial" w:hAnsi="Arial" w:eastAsia="Arial" w:cs="Arial"/>
          <w:sz w:val="24"/>
          <w:szCs w:val="24"/>
        </w:rPr>
      </w:pPr>
      <w:r>
        <w:rPr>
          <w:rFonts w:ascii="Arial" w:hAnsi="Arial" w:eastAsia="Arial" w:cs="Arial"/>
          <w:sz w:val="24"/>
          <w:szCs w:val="24"/>
          <w:rtl w:val="0"/>
        </w:rPr>
        <w:t>These challenges have been exacerbated by the residual effects of the COVID-19 pandemic, which increased emotional fatigue and left many staff without adequate recovery time. Healthcare organisations now face a dual challenge: meeting rising service demand while supporting a workforce that is physically and emotionally stretched.</w:t>
      </w:r>
    </w:p>
    <w:p w14:paraId="0000006D">
      <w:pPr>
        <w:spacing w:before="280" w:after="280" w:line="360" w:lineRule="auto"/>
        <w:jc w:val="both"/>
        <w:rPr>
          <w:rFonts w:ascii="Arial" w:hAnsi="Arial" w:eastAsia="Arial" w:cs="Arial"/>
          <w:b/>
          <w:sz w:val="24"/>
          <w:szCs w:val="24"/>
        </w:rPr>
      </w:pPr>
      <w:r>
        <w:rPr>
          <w:rFonts w:ascii="Arial" w:hAnsi="Arial" w:eastAsia="Arial" w:cs="Arial"/>
          <w:b/>
          <w:sz w:val="24"/>
          <w:szCs w:val="24"/>
          <w:rtl w:val="0"/>
        </w:rPr>
        <w:t>2.5.2 Policy and Regulation:</w:t>
      </w:r>
    </w:p>
    <w:p w14:paraId="0000006E">
      <w:pPr>
        <w:spacing w:before="280" w:after="280" w:line="360" w:lineRule="auto"/>
        <w:jc w:val="both"/>
        <w:rPr>
          <w:rFonts w:ascii="Arial" w:hAnsi="Arial" w:eastAsia="Arial" w:cs="Arial"/>
          <w:sz w:val="24"/>
          <w:szCs w:val="24"/>
        </w:rPr>
      </w:pPr>
      <w:r>
        <w:rPr>
          <w:rFonts w:ascii="Arial" w:hAnsi="Arial" w:eastAsia="Arial" w:cs="Arial"/>
          <w:sz w:val="24"/>
          <w:szCs w:val="24"/>
          <w:rtl w:val="0"/>
        </w:rPr>
        <w:t xml:space="preserve">In response, several national strategies have been introduced. The </w:t>
      </w:r>
      <w:r>
        <w:rPr>
          <w:rFonts w:ascii="Arial" w:hAnsi="Arial" w:eastAsia="Arial" w:cs="Arial"/>
          <w:i/>
          <w:sz w:val="24"/>
          <w:szCs w:val="24"/>
          <w:rtl w:val="0"/>
        </w:rPr>
        <w:t>NHS People Plan</w:t>
      </w:r>
      <w:r>
        <w:rPr>
          <w:rFonts w:ascii="Arial" w:hAnsi="Arial" w:eastAsia="Arial" w:cs="Arial"/>
          <w:sz w:val="24"/>
          <w:szCs w:val="24"/>
          <w:rtl w:val="0"/>
        </w:rPr>
        <w:t xml:space="preserve"> (2020) set out immediate actions to support staff through wellbeing initiatives, flexible working, and compassionate leadership. This was followed by the </w:t>
      </w:r>
      <w:r>
        <w:rPr>
          <w:rFonts w:ascii="Arial" w:hAnsi="Arial" w:eastAsia="Arial" w:cs="Arial"/>
          <w:i/>
          <w:sz w:val="24"/>
          <w:szCs w:val="24"/>
          <w:rtl w:val="0"/>
        </w:rPr>
        <w:t>NHS Long Term Workforce Plan</w:t>
      </w:r>
      <w:r>
        <w:rPr>
          <w:rFonts w:ascii="Arial" w:hAnsi="Arial" w:eastAsia="Arial" w:cs="Arial"/>
          <w:sz w:val="24"/>
          <w:szCs w:val="24"/>
          <w:rtl w:val="0"/>
        </w:rPr>
        <w:t xml:space="preserve"> (2023), which provides a strategic roadmap for training, recruitment, and retention, including investment in digital innovation and education reform (NHS England, 2023).</w:t>
      </w:r>
    </w:p>
    <w:p w14:paraId="0000006F">
      <w:pPr>
        <w:spacing w:before="280" w:after="280" w:line="360" w:lineRule="auto"/>
        <w:jc w:val="both"/>
        <w:rPr>
          <w:rFonts w:ascii="Arial" w:hAnsi="Arial" w:eastAsia="Arial" w:cs="Arial"/>
          <w:sz w:val="24"/>
          <w:szCs w:val="24"/>
        </w:rPr>
      </w:pPr>
      <w:r>
        <w:rPr>
          <w:rFonts w:ascii="Arial" w:hAnsi="Arial" w:eastAsia="Arial" w:cs="Arial"/>
          <w:sz w:val="24"/>
          <w:szCs w:val="24"/>
          <w:rtl w:val="0"/>
        </w:rPr>
        <w:t xml:space="preserve">These strategies are supported by legislative frameworks such as the </w:t>
      </w:r>
      <w:r>
        <w:rPr>
          <w:rFonts w:ascii="Arial" w:hAnsi="Arial" w:eastAsia="Arial" w:cs="Arial"/>
          <w:i/>
          <w:sz w:val="24"/>
          <w:szCs w:val="24"/>
          <w:rtl w:val="0"/>
        </w:rPr>
        <w:t>Care Act 2014</w:t>
      </w:r>
      <w:r>
        <w:rPr>
          <w:rFonts w:ascii="Arial" w:hAnsi="Arial" w:eastAsia="Arial" w:cs="Arial"/>
          <w:sz w:val="24"/>
          <w:szCs w:val="24"/>
          <w:rtl w:val="0"/>
        </w:rPr>
        <w:t xml:space="preserve">, the </w:t>
      </w:r>
      <w:r>
        <w:rPr>
          <w:rFonts w:ascii="Arial" w:hAnsi="Arial" w:eastAsia="Arial" w:cs="Arial"/>
          <w:i/>
          <w:sz w:val="24"/>
          <w:szCs w:val="24"/>
          <w:rtl w:val="0"/>
        </w:rPr>
        <w:t>Equality Act 2010</w:t>
      </w:r>
      <w:r>
        <w:rPr>
          <w:rFonts w:ascii="Arial" w:hAnsi="Arial" w:eastAsia="Arial" w:cs="Arial"/>
          <w:sz w:val="24"/>
          <w:szCs w:val="24"/>
          <w:rtl w:val="0"/>
        </w:rPr>
        <w:t xml:space="preserve">, and the </w:t>
      </w:r>
      <w:r>
        <w:rPr>
          <w:rFonts w:ascii="Arial" w:hAnsi="Arial" w:eastAsia="Arial" w:cs="Arial"/>
          <w:i/>
          <w:sz w:val="24"/>
          <w:szCs w:val="24"/>
          <w:rtl w:val="0"/>
        </w:rPr>
        <w:t>Health and Care Act 2022</w:t>
      </w:r>
      <w:r>
        <w:rPr>
          <w:rFonts w:ascii="Arial" w:hAnsi="Arial" w:eastAsia="Arial" w:cs="Arial"/>
          <w:sz w:val="24"/>
          <w:szCs w:val="24"/>
          <w:rtl w:val="0"/>
        </w:rPr>
        <w:t>, which collectively mandate fair treatment, workforce equity, and safe staffing standards. Despite these policies, however, there remains a substantial implementation gap between national ambition and local reality (NHS Employers, 2024).</w:t>
      </w:r>
    </w:p>
    <w:p w14:paraId="00000070">
      <w:pPr>
        <w:spacing w:before="280" w:after="280" w:line="360" w:lineRule="auto"/>
        <w:jc w:val="both"/>
        <w:rPr>
          <w:rFonts w:ascii="Arial" w:hAnsi="Arial" w:eastAsia="Arial" w:cs="Arial"/>
          <w:sz w:val="24"/>
          <w:szCs w:val="24"/>
        </w:rPr>
      </w:pPr>
      <w:r>
        <w:rPr>
          <w:rFonts w:ascii="Arial" w:hAnsi="Arial" w:eastAsia="Arial" w:cs="Arial"/>
          <w:sz w:val="24"/>
          <w:szCs w:val="24"/>
          <w:rtl w:val="0"/>
        </w:rPr>
        <w:t>A 2024 NHS Employers report found significant variation in the rollout of staff wellbeing initiatives. While some NHS trusts have embedded resilience training, peer support, and wellbeing infrastructure into their organisational culture, others continue to rely on ad hoc or minimal provisions—especially in areas with high patient demand and limited funding.</w:t>
      </w:r>
    </w:p>
    <w:p w14:paraId="00000071">
      <w:pPr>
        <w:spacing w:before="280" w:after="280" w:line="360" w:lineRule="auto"/>
        <w:jc w:val="both"/>
        <w:rPr>
          <w:rFonts w:ascii="Arial" w:hAnsi="Arial" w:eastAsia="Arial" w:cs="Arial"/>
          <w:b/>
          <w:sz w:val="24"/>
          <w:szCs w:val="24"/>
        </w:rPr>
      </w:pPr>
      <w:r>
        <w:rPr>
          <w:rFonts w:ascii="Arial" w:hAnsi="Arial" w:eastAsia="Arial" w:cs="Arial"/>
          <w:b/>
          <w:sz w:val="24"/>
          <w:szCs w:val="24"/>
          <w:rtl w:val="0"/>
        </w:rPr>
        <w:t>2.5.3 Local Initiatives:</w:t>
      </w:r>
    </w:p>
    <w:p w14:paraId="00000072">
      <w:pPr>
        <w:spacing w:before="280" w:after="280" w:line="360" w:lineRule="auto"/>
        <w:jc w:val="both"/>
        <w:rPr>
          <w:rFonts w:ascii="Arial" w:hAnsi="Arial" w:eastAsia="Arial" w:cs="Arial"/>
          <w:sz w:val="24"/>
          <w:szCs w:val="24"/>
        </w:rPr>
      </w:pPr>
      <w:r>
        <w:rPr>
          <w:rFonts w:ascii="Arial" w:hAnsi="Arial" w:eastAsia="Arial" w:cs="Arial"/>
          <w:sz w:val="24"/>
          <w:szCs w:val="24"/>
          <w:rtl w:val="0"/>
        </w:rPr>
        <w:t>At the local level, individual NHS trusts have adopted innovative practices to address workforce pressures. For example, Guy’s and St Thomas’ NHS Foundation Trust introduced a “Wellbeing Guardian” role to advocate for staff wellbeing at the executive level. Similarly, Oxleas NHS Foundation Trust has piloted flexible rotas, staff listening sessions, and peer support groups, all of which have been positively received (Picker Institute and NHS England, 2024).</w:t>
      </w:r>
    </w:p>
    <w:p w14:paraId="00000073">
      <w:pPr>
        <w:spacing w:before="280" w:after="280" w:line="360" w:lineRule="auto"/>
        <w:jc w:val="both"/>
        <w:rPr>
          <w:rFonts w:ascii="Arial" w:hAnsi="Arial" w:eastAsia="Arial" w:cs="Arial"/>
          <w:sz w:val="24"/>
          <w:szCs w:val="24"/>
        </w:rPr>
      </w:pPr>
      <w:r>
        <w:rPr>
          <w:rFonts w:ascii="Arial" w:hAnsi="Arial" w:eastAsia="Arial" w:cs="Arial"/>
          <w:sz w:val="24"/>
          <w:szCs w:val="24"/>
          <w:rtl w:val="0"/>
        </w:rPr>
        <w:t>However, rural and coastal areas such as North Cumbria continue to face recruitment and retention challenges due to geographic isolation, fewer career progression opportunities, and limited access to amenities (Myles Wellbeing, 2024). These factors contribute to a cycle of workforce instability in underserved regions.</w:t>
      </w:r>
    </w:p>
    <w:p w14:paraId="00000074">
      <w:pPr>
        <w:spacing w:before="280" w:after="280" w:line="360" w:lineRule="auto"/>
        <w:jc w:val="both"/>
        <w:rPr>
          <w:rFonts w:ascii="Arial" w:hAnsi="Arial" w:eastAsia="Arial" w:cs="Arial"/>
          <w:sz w:val="24"/>
          <w:szCs w:val="24"/>
        </w:rPr>
      </w:pPr>
      <w:r>
        <w:rPr>
          <w:rFonts w:ascii="Arial" w:hAnsi="Arial" w:eastAsia="Arial" w:cs="Arial"/>
          <w:sz w:val="24"/>
          <w:szCs w:val="24"/>
          <w:rtl w:val="0"/>
        </w:rPr>
        <w:t>Demographic disparities persist nationally. Research by Kline (2022) highlights that ethnic minority NHS staff report lower morale, higher rates of bullying, and less access to promotion, despite the presence of equality and diversity policies. These inequities indicate a need for deeper structural reform that goes beyond policy rhetoric.</w:t>
      </w:r>
    </w:p>
    <w:p w14:paraId="00000075">
      <w:pPr>
        <w:spacing w:before="280" w:after="280" w:line="360" w:lineRule="auto"/>
        <w:jc w:val="both"/>
        <w:rPr>
          <w:rFonts w:ascii="Arial" w:hAnsi="Arial" w:eastAsia="Arial" w:cs="Arial"/>
          <w:sz w:val="24"/>
          <w:szCs w:val="24"/>
        </w:rPr>
      </w:pPr>
      <w:r>
        <w:rPr>
          <w:rFonts w:ascii="Arial" w:hAnsi="Arial" w:eastAsia="Arial" w:cs="Arial"/>
          <w:sz w:val="24"/>
          <w:szCs w:val="24"/>
          <w:rtl w:val="0"/>
        </w:rPr>
        <w:t>To achieve a sustainable and equitable workforce, the NHS must bridge the gap between national policy and local implementation. A cohesive, system-wide approach—tailored to local contexts yet aligned with national priorities—is essential for improving staff morale, retention, and overall service delivery across the UK.</w:t>
      </w:r>
    </w:p>
    <w:p w14:paraId="00000076">
      <w:pPr>
        <w:spacing w:after="0" w:line="240" w:lineRule="auto"/>
        <w:jc w:val="both"/>
        <w:rPr>
          <w:rFonts w:ascii="Arial" w:hAnsi="Arial" w:eastAsia="Arial" w:cs="Arial"/>
          <w:sz w:val="24"/>
          <w:szCs w:val="24"/>
        </w:rPr>
      </w:pPr>
    </w:p>
    <w:p w14:paraId="00000077">
      <w:pPr>
        <w:spacing w:before="280" w:after="280" w:line="240" w:lineRule="auto"/>
        <w:jc w:val="both"/>
        <w:rPr>
          <w:rFonts w:ascii="Arial" w:hAnsi="Arial" w:eastAsia="Arial" w:cs="Arial"/>
          <w:b/>
          <w:sz w:val="24"/>
          <w:szCs w:val="24"/>
        </w:rPr>
      </w:pPr>
      <w:r>
        <w:rPr>
          <w:rFonts w:ascii="Arial" w:hAnsi="Arial" w:eastAsia="Arial" w:cs="Arial"/>
          <w:b/>
          <w:sz w:val="24"/>
          <w:szCs w:val="24"/>
          <w:rtl w:val="0"/>
        </w:rPr>
        <w:t>2.6 Conclusion:</w:t>
      </w:r>
    </w:p>
    <w:p w14:paraId="00000078">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280" w:after="280" w:line="360" w:lineRule="auto"/>
        <w:ind w:left="0" w:right="0" w:firstLine="0"/>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This chapter has explored the multifaceted background to NHS workforce pressures by examining their historical development, theoretical foundations, international trends, and national and local contexts. From the introduction of performance-driven reforms in the late 20th century to the unprecedented stressors of the COVID-19 pandemic, the NHS has encountered long-standing and evolving challenges related to burnout, morale, and staff retention.</w:t>
      </w:r>
    </w:p>
    <w:p w14:paraId="00000079">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280" w:after="280" w:line="360" w:lineRule="auto"/>
        <w:ind w:left="0" w:right="0" w:firstLine="0"/>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Theoretical frameworks such as the Job Demands–Resources (JD-R) model, Self-Determination Theory (SDT), and Social Exchange Theory (SET) offer critical insights into the psychological and organisational factors affecting staff wellbeing. However, these must be understood within broader structural and systemic contexts.</w:t>
      </w:r>
    </w:p>
    <w:p w14:paraId="0000007A">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280" w:after="280" w:line="360" w:lineRule="auto"/>
        <w:ind w:left="0" w:right="0" w:firstLine="0"/>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International comparisons demonstrate that sustained investment in staff wellbeing, flexible working, and inclusive leadership can yield positive outcomes. Yet in the UK, a disconnect often exists between national policy ambitions and local implementation.</w:t>
      </w:r>
    </w:p>
    <w:p w14:paraId="0000007B">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280" w:after="280" w:line="360" w:lineRule="auto"/>
        <w:ind w:left="0" w:right="0" w:firstLine="0"/>
        <w:jc w:val="both"/>
        <w:rPr>
          <w:rFonts w:ascii="Arial" w:hAnsi="Arial" w:eastAsia="Arial" w:cs="Arial"/>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This background lays the foundation for Chapter 3, which will outline the methodology of this secondary research, including the literature selection process, analytical approach, and ethical considerations.</w:t>
      </w:r>
    </w:p>
    <w:p w14:paraId="0000007C">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280" w:after="280" w:line="360" w:lineRule="auto"/>
        <w:ind w:left="0" w:right="0" w:firstLine="0"/>
        <w:jc w:val="both"/>
        <w:rPr>
          <w:rFonts w:ascii="Arial" w:hAnsi="Arial" w:eastAsia="Arial" w:cs="Arial"/>
          <w:b w:val="0"/>
          <w:i w:val="0"/>
          <w:smallCaps w:val="0"/>
          <w:strike w:val="0"/>
          <w:color w:val="000000"/>
          <w:sz w:val="24"/>
          <w:szCs w:val="24"/>
          <w:u w:val="none"/>
          <w:shd w:val="clear" w:fill="auto"/>
          <w:vertAlign w:val="baseline"/>
        </w:rPr>
      </w:pPr>
    </w:p>
    <w:p w14:paraId="0000007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280" w:after="280" w:line="360" w:lineRule="auto"/>
        <w:ind w:left="0" w:right="0" w:firstLine="0"/>
        <w:jc w:val="both"/>
        <w:rPr>
          <w:rFonts w:ascii="Arial" w:hAnsi="Arial" w:eastAsia="Arial" w:cs="Arial"/>
          <w:b w:val="0"/>
          <w:i w:val="0"/>
          <w:smallCaps w:val="0"/>
          <w:strike w:val="0"/>
          <w:color w:val="000000"/>
          <w:sz w:val="24"/>
          <w:szCs w:val="24"/>
          <w:u w:val="none"/>
          <w:shd w:val="clear" w:fill="auto"/>
          <w:vertAlign w:val="baseline"/>
        </w:rPr>
      </w:pPr>
    </w:p>
    <w:p w14:paraId="0000007E">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280" w:after="280" w:line="360" w:lineRule="auto"/>
        <w:ind w:left="0" w:right="0" w:firstLine="0"/>
        <w:jc w:val="both"/>
        <w:rPr>
          <w:rFonts w:ascii="Arial" w:hAnsi="Arial" w:eastAsia="Arial" w:cs="Arial"/>
          <w:b w:val="0"/>
          <w:i w:val="0"/>
          <w:smallCaps w:val="0"/>
          <w:strike w:val="0"/>
          <w:color w:val="000000"/>
          <w:sz w:val="24"/>
          <w:szCs w:val="24"/>
          <w:u w:val="none"/>
          <w:shd w:val="clear" w:fill="auto"/>
          <w:vertAlign w:val="baseline"/>
        </w:rPr>
      </w:pPr>
    </w:p>
    <w:p w14:paraId="0000007F">
      <w:pPr>
        <w:spacing w:before="280" w:after="280" w:line="360" w:lineRule="auto"/>
        <w:jc w:val="both"/>
        <w:rPr>
          <w:rFonts w:ascii="Arial" w:hAnsi="Arial" w:eastAsia="Arial" w:cs="Arial"/>
          <w:b/>
          <w:sz w:val="36"/>
          <w:szCs w:val="36"/>
        </w:rPr>
      </w:pPr>
    </w:p>
    <w:p w14:paraId="00000080">
      <w:pPr>
        <w:spacing w:before="280" w:after="280" w:line="360" w:lineRule="auto"/>
        <w:jc w:val="both"/>
        <w:rPr>
          <w:rFonts w:ascii="Arial" w:hAnsi="Arial" w:eastAsia="Arial" w:cs="Arial"/>
          <w:b/>
          <w:sz w:val="36"/>
          <w:szCs w:val="36"/>
        </w:rPr>
      </w:pPr>
    </w:p>
    <w:p w14:paraId="00000081">
      <w:pPr>
        <w:spacing w:before="280" w:after="280" w:line="360" w:lineRule="auto"/>
        <w:jc w:val="both"/>
        <w:rPr>
          <w:rFonts w:ascii="Arial" w:hAnsi="Arial" w:eastAsia="Arial" w:cs="Arial"/>
          <w:b/>
          <w:sz w:val="36"/>
          <w:szCs w:val="36"/>
        </w:rPr>
      </w:pPr>
      <w:r>
        <w:rPr>
          <w:rFonts w:ascii="Arial" w:hAnsi="Arial" w:eastAsia="Arial" w:cs="Arial"/>
          <w:b/>
          <w:sz w:val="36"/>
          <w:szCs w:val="36"/>
          <w:rtl w:val="0"/>
        </w:rPr>
        <w:t>Chapter 3: Methods and Search Strategy</w:t>
      </w:r>
    </w:p>
    <w:p w14:paraId="00000082">
      <w:pPr>
        <w:spacing w:before="280" w:after="280" w:line="360" w:lineRule="auto"/>
        <w:jc w:val="both"/>
        <w:rPr>
          <w:rFonts w:ascii="Arial" w:hAnsi="Arial" w:eastAsia="Arial" w:cs="Arial"/>
          <w:b/>
          <w:sz w:val="36"/>
          <w:szCs w:val="36"/>
        </w:rPr>
      </w:pPr>
      <w:r>
        <w:rPr>
          <w:rFonts w:ascii="Arial" w:hAnsi="Arial" w:eastAsia="Arial" w:cs="Arial"/>
          <w:b/>
          <w:sz w:val="36"/>
          <w:szCs w:val="36"/>
          <w:rtl w:val="0"/>
        </w:rPr>
        <w:t>3.1 Introduction</w:t>
      </w:r>
    </w:p>
    <w:p w14:paraId="00000083">
      <w:pPr>
        <w:spacing w:before="280" w:after="280" w:line="360" w:lineRule="auto"/>
        <w:jc w:val="both"/>
        <w:rPr>
          <w:rFonts w:ascii="Arial" w:hAnsi="Arial" w:eastAsia="Arial" w:cs="Arial"/>
          <w:sz w:val="24"/>
          <w:szCs w:val="24"/>
        </w:rPr>
      </w:pPr>
      <w:r>
        <w:rPr>
          <w:rFonts w:ascii="Arial" w:hAnsi="Arial" w:eastAsia="Arial" w:cs="Arial"/>
          <w:sz w:val="24"/>
          <w:szCs w:val="24"/>
          <w:rtl w:val="0"/>
        </w:rPr>
        <w:t>This chapter outlines the research design and methodology employed for this study. As a desk-based, literature-based investigation, it explains the systematic approach used to collect, evaluate, and synthesise secondary data concerning NHS workforce pressures, particularly in relation to staff burnout, morale, and retention.</w:t>
      </w:r>
    </w:p>
    <w:p w14:paraId="00000084">
      <w:pPr>
        <w:spacing w:before="280" w:after="280" w:line="360" w:lineRule="auto"/>
        <w:jc w:val="both"/>
        <w:rPr>
          <w:rFonts w:ascii="Arial" w:hAnsi="Arial" w:eastAsia="Arial" w:cs="Arial"/>
          <w:sz w:val="24"/>
          <w:szCs w:val="24"/>
        </w:rPr>
      </w:pPr>
      <w:r>
        <w:rPr>
          <w:rFonts w:ascii="Arial" w:hAnsi="Arial" w:eastAsia="Arial" w:cs="Arial"/>
          <w:sz w:val="24"/>
          <w:szCs w:val="24"/>
          <w:rtl w:val="0"/>
        </w:rPr>
        <w:t>The chapter builds upon the Academic Methodology Poster developed earlier, expanding on its visual summary by providing detailed explanations of the search strategy, validation techniques, inclusion and exclusion criteria, thematic analysis process, and ethical considerations. The methods used form the foundation for identifying and analysing literature that informs the thematic findings presented in Chapter 4 (Thomas and Harden, 2008).</w:t>
      </w:r>
    </w:p>
    <w:p w14:paraId="00000085">
      <w:pPr>
        <w:spacing w:after="0" w:line="360" w:lineRule="auto"/>
        <w:jc w:val="both"/>
        <w:rPr>
          <w:rFonts w:ascii="Arial" w:hAnsi="Arial" w:eastAsia="Arial" w:cs="Arial"/>
          <w:sz w:val="24"/>
          <w:szCs w:val="24"/>
        </w:rPr>
      </w:pPr>
    </w:p>
    <w:p w14:paraId="00000086">
      <w:pPr>
        <w:spacing w:before="280" w:after="280" w:line="360" w:lineRule="auto"/>
        <w:jc w:val="both"/>
        <w:rPr>
          <w:rFonts w:ascii="Arial" w:hAnsi="Arial" w:eastAsia="Arial" w:cs="Arial"/>
          <w:b/>
          <w:sz w:val="36"/>
          <w:szCs w:val="36"/>
        </w:rPr>
      </w:pPr>
      <w:r>
        <w:rPr>
          <w:rFonts w:ascii="Arial" w:hAnsi="Arial" w:eastAsia="Arial" w:cs="Arial"/>
          <w:b/>
          <w:sz w:val="36"/>
          <w:szCs w:val="36"/>
          <w:rtl w:val="0"/>
        </w:rPr>
        <w:t>3.2 Search Strategy</w:t>
      </w:r>
    </w:p>
    <w:p w14:paraId="00000087">
      <w:pPr>
        <w:spacing w:before="280" w:after="280" w:line="360" w:lineRule="auto"/>
        <w:jc w:val="both"/>
        <w:rPr>
          <w:rFonts w:ascii="Arial" w:hAnsi="Arial" w:eastAsia="Arial" w:cs="Arial"/>
          <w:sz w:val="24"/>
          <w:szCs w:val="24"/>
        </w:rPr>
      </w:pPr>
      <w:r>
        <w:rPr>
          <w:rFonts w:ascii="Arial" w:hAnsi="Arial" w:eastAsia="Arial" w:cs="Arial"/>
          <w:sz w:val="24"/>
          <w:szCs w:val="24"/>
          <w:rtl w:val="0"/>
        </w:rPr>
        <w:t>The research adopted a structured and replicable search strategy to ensure comprehensive coverage of relevant evidence. The search process was guided by the research aim—to understand NHS workforce pressures through the analysis of secondary sources addressing burnout, morale, and retention.</w:t>
      </w:r>
    </w:p>
    <w:p w14:paraId="00000088">
      <w:pPr>
        <w:spacing w:before="280" w:after="280" w:line="360" w:lineRule="auto"/>
        <w:jc w:val="both"/>
        <w:rPr>
          <w:rFonts w:ascii="Arial" w:hAnsi="Arial" w:eastAsia="Arial" w:cs="Arial"/>
          <w:b/>
          <w:sz w:val="27"/>
          <w:szCs w:val="27"/>
        </w:rPr>
      </w:pPr>
      <w:r>
        <w:rPr>
          <w:rFonts w:ascii="Arial" w:hAnsi="Arial" w:eastAsia="Arial" w:cs="Arial"/>
          <w:b/>
          <w:sz w:val="27"/>
          <w:szCs w:val="27"/>
          <w:rtl w:val="0"/>
        </w:rPr>
        <w:t>Developing Keywords</w:t>
      </w:r>
    </w:p>
    <w:p w14:paraId="00000089">
      <w:pPr>
        <w:spacing w:before="280" w:after="280" w:line="360" w:lineRule="auto"/>
        <w:jc w:val="both"/>
        <w:rPr>
          <w:rFonts w:ascii="Arial" w:hAnsi="Arial" w:eastAsia="Arial" w:cs="Arial"/>
          <w:sz w:val="24"/>
          <w:szCs w:val="24"/>
        </w:rPr>
      </w:pPr>
      <w:r>
        <w:rPr>
          <w:rFonts w:ascii="Arial" w:hAnsi="Arial" w:eastAsia="Arial" w:cs="Arial"/>
          <w:sz w:val="24"/>
          <w:szCs w:val="24"/>
          <w:rtl w:val="0"/>
        </w:rPr>
        <w:t xml:space="preserve">Keywords were derived directly from the dissertation title and objectives. Core terms included </w:t>
      </w:r>
      <w:r>
        <w:rPr>
          <w:rFonts w:ascii="Arial" w:hAnsi="Arial" w:eastAsia="Arial" w:cs="Arial"/>
          <w:i/>
          <w:sz w:val="24"/>
          <w:szCs w:val="24"/>
          <w:rtl w:val="0"/>
        </w:rPr>
        <w:t>“NHS workforce”</w:t>
      </w:r>
      <w:r>
        <w:rPr>
          <w:rFonts w:ascii="Arial" w:hAnsi="Arial" w:eastAsia="Arial" w:cs="Arial"/>
          <w:sz w:val="24"/>
          <w:szCs w:val="24"/>
          <w:rtl w:val="0"/>
        </w:rPr>
        <w:t xml:space="preserve">, </w:t>
      </w:r>
      <w:r>
        <w:rPr>
          <w:rFonts w:ascii="Arial" w:hAnsi="Arial" w:eastAsia="Arial" w:cs="Arial"/>
          <w:i/>
          <w:sz w:val="24"/>
          <w:szCs w:val="24"/>
          <w:rtl w:val="0"/>
        </w:rPr>
        <w:t>“burnout”</w:t>
      </w:r>
      <w:r>
        <w:rPr>
          <w:rFonts w:ascii="Arial" w:hAnsi="Arial" w:eastAsia="Arial" w:cs="Arial"/>
          <w:sz w:val="24"/>
          <w:szCs w:val="24"/>
          <w:rtl w:val="0"/>
        </w:rPr>
        <w:t xml:space="preserve">, </w:t>
      </w:r>
      <w:r>
        <w:rPr>
          <w:rFonts w:ascii="Arial" w:hAnsi="Arial" w:eastAsia="Arial" w:cs="Arial"/>
          <w:i/>
          <w:sz w:val="24"/>
          <w:szCs w:val="24"/>
          <w:rtl w:val="0"/>
        </w:rPr>
        <w:t>“morale”</w:t>
      </w:r>
      <w:r>
        <w:rPr>
          <w:rFonts w:ascii="Arial" w:hAnsi="Arial" w:eastAsia="Arial" w:cs="Arial"/>
          <w:sz w:val="24"/>
          <w:szCs w:val="24"/>
          <w:rtl w:val="0"/>
        </w:rPr>
        <w:t xml:space="preserve">, </w:t>
      </w:r>
      <w:r>
        <w:rPr>
          <w:rFonts w:ascii="Arial" w:hAnsi="Arial" w:eastAsia="Arial" w:cs="Arial"/>
          <w:i/>
          <w:sz w:val="24"/>
          <w:szCs w:val="24"/>
          <w:rtl w:val="0"/>
        </w:rPr>
        <w:t>“retention”</w:t>
      </w:r>
      <w:r>
        <w:rPr>
          <w:rFonts w:ascii="Arial" w:hAnsi="Arial" w:eastAsia="Arial" w:cs="Arial"/>
          <w:sz w:val="24"/>
          <w:szCs w:val="24"/>
          <w:rtl w:val="0"/>
        </w:rPr>
        <w:t xml:space="preserve">, </w:t>
      </w:r>
      <w:r>
        <w:rPr>
          <w:rFonts w:ascii="Arial" w:hAnsi="Arial" w:eastAsia="Arial" w:cs="Arial"/>
          <w:i/>
          <w:sz w:val="24"/>
          <w:szCs w:val="24"/>
          <w:rtl w:val="0"/>
        </w:rPr>
        <w:t>“staff wellbeing”</w:t>
      </w:r>
      <w:r>
        <w:rPr>
          <w:rFonts w:ascii="Arial" w:hAnsi="Arial" w:eastAsia="Arial" w:cs="Arial"/>
          <w:sz w:val="24"/>
          <w:szCs w:val="24"/>
          <w:rtl w:val="0"/>
        </w:rPr>
        <w:t xml:space="preserve">, </w:t>
      </w:r>
      <w:r>
        <w:rPr>
          <w:rFonts w:ascii="Arial" w:hAnsi="Arial" w:eastAsia="Arial" w:cs="Arial"/>
          <w:i/>
          <w:sz w:val="24"/>
          <w:szCs w:val="24"/>
          <w:rtl w:val="0"/>
        </w:rPr>
        <w:t>“workforce pressures”</w:t>
      </w:r>
      <w:r>
        <w:rPr>
          <w:rFonts w:ascii="Arial" w:hAnsi="Arial" w:eastAsia="Arial" w:cs="Arial"/>
          <w:sz w:val="24"/>
          <w:szCs w:val="24"/>
          <w:rtl w:val="0"/>
        </w:rPr>
        <w:t xml:space="preserve">, and </w:t>
      </w:r>
      <w:r>
        <w:rPr>
          <w:rFonts w:ascii="Arial" w:hAnsi="Arial" w:eastAsia="Arial" w:cs="Arial"/>
          <w:i/>
          <w:sz w:val="24"/>
          <w:szCs w:val="24"/>
          <w:rtl w:val="0"/>
        </w:rPr>
        <w:t>“organisational culture”</w:t>
      </w:r>
      <w:r>
        <w:rPr>
          <w:rFonts w:ascii="Arial" w:hAnsi="Arial" w:eastAsia="Arial" w:cs="Arial"/>
          <w:sz w:val="24"/>
          <w:szCs w:val="24"/>
          <w:rtl w:val="0"/>
        </w:rPr>
        <w:t xml:space="preserve">. To enhance search breadth, professional synonyms and related terms such as </w:t>
      </w:r>
      <w:r>
        <w:rPr>
          <w:rFonts w:ascii="Arial" w:hAnsi="Arial" w:eastAsia="Arial" w:cs="Arial"/>
          <w:i/>
          <w:sz w:val="24"/>
          <w:szCs w:val="24"/>
          <w:rtl w:val="0"/>
        </w:rPr>
        <w:t>“occupational stress”</w:t>
      </w:r>
      <w:r>
        <w:rPr>
          <w:rFonts w:ascii="Arial" w:hAnsi="Arial" w:eastAsia="Arial" w:cs="Arial"/>
          <w:sz w:val="24"/>
          <w:szCs w:val="24"/>
          <w:rtl w:val="0"/>
        </w:rPr>
        <w:t xml:space="preserve">, </w:t>
      </w:r>
      <w:r>
        <w:rPr>
          <w:rFonts w:ascii="Arial" w:hAnsi="Arial" w:eastAsia="Arial" w:cs="Arial"/>
          <w:i/>
          <w:sz w:val="24"/>
          <w:szCs w:val="24"/>
          <w:rtl w:val="0"/>
        </w:rPr>
        <w:t>“job satisfaction”</w:t>
      </w:r>
      <w:r>
        <w:rPr>
          <w:rFonts w:ascii="Arial" w:hAnsi="Arial" w:eastAsia="Arial" w:cs="Arial"/>
          <w:sz w:val="24"/>
          <w:szCs w:val="24"/>
          <w:rtl w:val="0"/>
        </w:rPr>
        <w:t xml:space="preserve">, </w:t>
      </w:r>
      <w:r>
        <w:rPr>
          <w:rFonts w:ascii="Arial" w:hAnsi="Arial" w:eastAsia="Arial" w:cs="Arial"/>
          <w:i/>
          <w:sz w:val="24"/>
          <w:szCs w:val="24"/>
          <w:rtl w:val="0"/>
        </w:rPr>
        <w:t>“work engagement”</w:t>
      </w:r>
      <w:r>
        <w:rPr>
          <w:rFonts w:ascii="Arial" w:hAnsi="Arial" w:eastAsia="Arial" w:cs="Arial"/>
          <w:sz w:val="24"/>
          <w:szCs w:val="24"/>
          <w:rtl w:val="0"/>
        </w:rPr>
        <w:t xml:space="preserve">, and </w:t>
      </w:r>
      <w:r>
        <w:rPr>
          <w:rFonts w:ascii="Arial" w:hAnsi="Arial" w:eastAsia="Arial" w:cs="Arial"/>
          <w:i/>
          <w:sz w:val="24"/>
          <w:szCs w:val="24"/>
          <w:rtl w:val="0"/>
        </w:rPr>
        <w:t>“turnover intentions”</w:t>
      </w:r>
      <w:r>
        <w:rPr>
          <w:rFonts w:ascii="Arial" w:hAnsi="Arial" w:eastAsia="Arial" w:cs="Arial"/>
          <w:sz w:val="24"/>
          <w:szCs w:val="24"/>
          <w:rtl w:val="0"/>
        </w:rPr>
        <w:t xml:space="preserve"> were also applied (Bakker and Demerouti, 2017).</w:t>
      </w:r>
    </w:p>
    <w:p w14:paraId="0000008A">
      <w:pPr>
        <w:spacing w:before="280" w:after="280" w:line="360" w:lineRule="auto"/>
        <w:jc w:val="both"/>
        <w:rPr>
          <w:rFonts w:ascii="Arial" w:hAnsi="Arial" w:eastAsia="Arial" w:cs="Arial"/>
          <w:sz w:val="24"/>
          <w:szCs w:val="24"/>
        </w:rPr>
      </w:pPr>
    </w:p>
    <w:p w14:paraId="0000008B">
      <w:pPr>
        <w:spacing w:before="280" w:after="280" w:line="360" w:lineRule="auto"/>
        <w:jc w:val="both"/>
        <w:rPr>
          <w:rFonts w:ascii="Arial" w:hAnsi="Arial" w:eastAsia="Arial" w:cs="Arial"/>
          <w:b/>
          <w:sz w:val="27"/>
          <w:szCs w:val="27"/>
        </w:rPr>
      </w:pPr>
      <w:r>
        <w:rPr>
          <w:rFonts w:ascii="Arial" w:hAnsi="Arial" w:eastAsia="Arial" w:cs="Arial"/>
          <w:b/>
          <w:sz w:val="27"/>
          <w:szCs w:val="27"/>
          <w:rtl w:val="0"/>
        </w:rPr>
        <w:t>Boolean Operators</w:t>
      </w:r>
    </w:p>
    <w:p w14:paraId="0000008C">
      <w:pPr>
        <w:spacing w:before="280" w:after="280" w:line="360" w:lineRule="auto"/>
        <w:jc w:val="both"/>
        <w:rPr>
          <w:rFonts w:ascii="Arial" w:hAnsi="Arial" w:eastAsia="Arial" w:cs="Arial"/>
          <w:sz w:val="24"/>
          <w:szCs w:val="24"/>
        </w:rPr>
      </w:pPr>
      <w:r>
        <w:rPr>
          <w:rFonts w:ascii="Arial" w:hAnsi="Arial" w:eastAsia="Arial" w:cs="Arial"/>
          <w:sz w:val="24"/>
          <w:szCs w:val="24"/>
          <w:rtl w:val="0"/>
        </w:rPr>
        <w:t>Boolean operators (AND, OR, NOT) were used to refine searches and improve accuracy. For instance:</w:t>
      </w:r>
    </w:p>
    <w:p w14:paraId="0000008D">
      <w:pPr>
        <w:numPr>
          <w:ilvl w:val="0"/>
          <w:numId w:val="3"/>
        </w:numPr>
        <w:spacing w:before="280" w:after="0" w:line="360" w:lineRule="auto"/>
        <w:ind w:left="720" w:hanging="360"/>
        <w:jc w:val="both"/>
      </w:pPr>
      <w:r>
        <w:rPr>
          <w:rFonts w:ascii="Arial" w:hAnsi="Arial" w:eastAsia="Arial" w:cs="Arial"/>
          <w:sz w:val="24"/>
          <w:szCs w:val="24"/>
          <w:rtl w:val="0"/>
        </w:rPr>
        <w:t>“NHS AND burnout AND retention”</w:t>
      </w:r>
    </w:p>
    <w:p w14:paraId="0000008E">
      <w:pPr>
        <w:numPr>
          <w:ilvl w:val="0"/>
          <w:numId w:val="3"/>
        </w:numPr>
        <w:spacing w:before="0" w:after="0" w:line="360" w:lineRule="auto"/>
        <w:ind w:left="720" w:hanging="360"/>
        <w:jc w:val="both"/>
      </w:pPr>
      <w:r>
        <w:rPr>
          <w:rFonts w:ascii="Arial" w:hAnsi="Arial" w:eastAsia="Arial" w:cs="Arial"/>
          <w:sz w:val="24"/>
          <w:szCs w:val="24"/>
          <w:rtl w:val="0"/>
        </w:rPr>
        <w:t>“healthcare staff OR nurses AND morale OR wellbeing”</w:t>
      </w:r>
    </w:p>
    <w:p w14:paraId="0000008F">
      <w:pPr>
        <w:numPr>
          <w:ilvl w:val="0"/>
          <w:numId w:val="3"/>
        </w:numPr>
        <w:spacing w:before="0" w:after="280" w:line="360" w:lineRule="auto"/>
        <w:ind w:left="720" w:hanging="360"/>
        <w:jc w:val="both"/>
      </w:pPr>
      <w:r>
        <w:rPr>
          <w:rFonts w:ascii="Arial" w:hAnsi="Arial" w:eastAsia="Arial" w:cs="Arial"/>
          <w:sz w:val="24"/>
          <w:szCs w:val="24"/>
          <w:rtl w:val="0"/>
        </w:rPr>
        <w:t>“workforce pressures AND stress NOT student nurses”</w:t>
      </w:r>
    </w:p>
    <w:p w14:paraId="00000090">
      <w:pPr>
        <w:spacing w:before="280" w:after="280" w:line="360" w:lineRule="auto"/>
        <w:jc w:val="both"/>
        <w:rPr>
          <w:rFonts w:ascii="Arial" w:hAnsi="Arial" w:eastAsia="Arial" w:cs="Arial"/>
          <w:sz w:val="24"/>
          <w:szCs w:val="24"/>
        </w:rPr>
      </w:pPr>
      <w:r>
        <w:rPr>
          <w:rFonts w:ascii="Arial" w:hAnsi="Arial" w:eastAsia="Arial" w:cs="Arial"/>
          <w:sz w:val="24"/>
          <w:szCs w:val="24"/>
          <w:rtl w:val="0"/>
        </w:rPr>
        <w:t>This approach enabled targeted retrieval of literature addressing the intersection of burnout, morale, and retention among NHS employees (Thomas and Harden, 2008).</w:t>
      </w:r>
    </w:p>
    <w:p w14:paraId="00000091">
      <w:pPr>
        <w:spacing w:before="280" w:after="280" w:line="360" w:lineRule="auto"/>
        <w:jc w:val="both"/>
        <w:rPr>
          <w:rFonts w:ascii="Arial" w:hAnsi="Arial" w:eastAsia="Arial" w:cs="Arial"/>
          <w:b/>
          <w:sz w:val="27"/>
          <w:szCs w:val="27"/>
        </w:rPr>
      </w:pPr>
      <w:r>
        <w:rPr>
          <w:rFonts w:ascii="Arial" w:hAnsi="Arial" w:eastAsia="Arial" w:cs="Arial"/>
          <w:b/>
          <w:sz w:val="27"/>
          <w:szCs w:val="27"/>
          <w:rtl w:val="0"/>
        </w:rPr>
        <w:t>Structured Search Plan</w:t>
      </w:r>
    </w:p>
    <w:p w14:paraId="00000092">
      <w:pPr>
        <w:spacing w:before="280" w:after="280" w:line="360" w:lineRule="auto"/>
        <w:jc w:val="both"/>
        <w:rPr>
          <w:rFonts w:ascii="Arial" w:hAnsi="Arial" w:eastAsia="Arial" w:cs="Arial"/>
          <w:sz w:val="24"/>
          <w:szCs w:val="24"/>
        </w:rPr>
      </w:pPr>
      <w:r>
        <w:rPr>
          <w:rFonts w:ascii="Arial" w:hAnsi="Arial" w:eastAsia="Arial" w:cs="Arial"/>
          <w:sz w:val="24"/>
          <w:szCs w:val="24"/>
          <w:rtl w:val="0"/>
        </w:rPr>
        <w:t>A structured search plan was created to ensure consistency. Search terms, date ranges, and inclusion decisions were recorded in a research log. This audit trail enhanced transparency and allowed the search process to be repeated and verified (Coughlan, Cronin and Ryan, 2017).</w:t>
      </w:r>
    </w:p>
    <w:p w14:paraId="00000093">
      <w:pPr>
        <w:spacing w:after="0" w:line="360" w:lineRule="auto"/>
        <w:jc w:val="both"/>
        <w:rPr>
          <w:rFonts w:ascii="Arial" w:hAnsi="Arial" w:eastAsia="Arial" w:cs="Arial"/>
          <w:sz w:val="24"/>
          <w:szCs w:val="24"/>
        </w:rPr>
      </w:pPr>
    </w:p>
    <w:p w14:paraId="00000094">
      <w:pPr>
        <w:spacing w:before="280" w:after="280" w:line="360" w:lineRule="auto"/>
        <w:jc w:val="both"/>
        <w:rPr>
          <w:rFonts w:ascii="Arial" w:hAnsi="Arial" w:eastAsia="Arial" w:cs="Arial"/>
          <w:b/>
          <w:sz w:val="36"/>
          <w:szCs w:val="36"/>
        </w:rPr>
      </w:pPr>
      <w:r>
        <w:rPr>
          <w:rFonts w:ascii="Arial" w:hAnsi="Arial" w:eastAsia="Arial" w:cs="Arial"/>
          <w:b/>
          <w:sz w:val="36"/>
          <w:szCs w:val="36"/>
          <w:rtl w:val="0"/>
        </w:rPr>
        <w:t>3.3 Searching for Information</w:t>
      </w:r>
    </w:p>
    <w:p w14:paraId="00000095">
      <w:pPr>
        <w:spacing w:before="280" w:after="280" w:line="360" w:lineRule="auto"/>
        <w:jc w:val="both"/>
        <w:rPr>
          <w:rFonts w:ascii="Arial" w:hAnsi="Arial" w:eastAsia="Arial" w:cs="Arial"/>
          <w:b/>
          <w:sz w:val="27"/>
          <w:szCs w:val="27"/>
        </w:rPr>
      </w:pPr>
      <w:r>
        <w:rPr>
          <w:rFonts w:ascii="Arial" w:hAnsi="Arial" w:eastAsia="Arial" w:cs="Arial"/>
          <w:b/>
          <w:sz w:val="27"/>
          <w:szCs w:val="27"/>
          <w:rtl w:val="0"/>
        </w:rPr>
        <w:t>Databases and Platforms</w:t>
      </w:r>
    </w:p>
    <w:p w14:paraId="00000096">
      <w:pPr>
        <w:spacing w:before="280" w:after="280" w:line="360" w:lineRule="auto"/>
        <w:jc w:val="both"/>
        <w:rPr>
          <w:rFonts w:ascii="Arial" w:hAnsi="Arial" w:eastAsia="Arial" w:cs="Arial"/>
          <w:sz w:val="24"/>
          <w:szCs w:val="24"/>
        </w:rPr>
      </w:pPr>
      <w:r>
        <w:rPr>
          <w:rFonts w:ascii="Arial" w:hAnsi="Arial" w:eastAsia="Arial" w:cs="Arial"/>
          <w:sz w:val="24"/>
          <w:szCs w:val="24"/>
          <w:rtl w:val="0"/>
        </w:rPr>
        <w:t xml:space="preserve">Searches were conducted across multiple databases to ensure validity and coverage. The primary databases included </w:t>
      </w:r>
      <w:r>
        <w:rPr>
          <w:rFonts w:ascii="Arial" w:hAnsi="Arial" w:eastAsia="Arial" w:cs="Arial"/>
          <w:b/>
          <w:sz w:val="24"/>
          <w:szCs w:val="24"/>
          <w:rtl w:val="0"/>
        </w:rPr>
        <w:t>PubMed</w:t>
      </w:r>
      <w:r>
        <w:rPr>
          <w:rFonts w:ascii="Arial" w:hAnsi="Arial" w:eastAsia="Arial" w:cs="Arial"/>
          <w:sz w:val="24"/>
          <w:szCs w:val="24"/>
          <w:rtl w:val="0"/>
        </w:rPr>
        <w:t xml:space="preserve">, </w:t>
      </w:r>
      <w:r>
        <w:rPr>
          <w:rFonts w:ascii="Arial" w:hAnsi="Arial" w:eastAsia="Arial" w:cs="Arial"/>
          <w:b/>
          <w:sz w:val="24"/>
          <w:szCs w:val="24"/>
          <w:rtl w:val="0"/>
        </w:rPr>
        <w:t>CINAHL</w:t>
      </w:r>
      <w:r>
        <w:rPr>
          <w:rFonts w:ascii="Arial" w:hAnsi="Arial" w:eastAsia="Arial" w:cs="Arial"/>
          <w:sz w:val="24"/>
          <w:szCs w:val="24"/>
          <w:rtl w:val="0"/>
        </w:rPr>
        <w:t xml:space="preserve">, </w:t>
      </w:r>
      <w:r>
        <w:rPr>
          <w:rFonts w:ascii="Arial" w:hAnsi="Arial" w:eastAsia="Arial" w:cs="Arial"/>
          <w:b/>
          <w:sz w:val="24"/>
          <w:szCs w:val="24"/>
          <w:rtl w:val="0"/>
        </w:rPr>
        <w:t>Scopus</w:t>
      </w:r>
      <w:r>
        <w:rPr>
          <w:rFonts w:ascii="Arial" w:hAnsi="Arial" w:eastAsia="Arial" w:cs="Arial"/>
          <w:sz w:val="24"/>
          <w:szCs w:val="24"/>
          <w:rtl w:val="0"/>
        </w:rPr>
        <w:t xml:space="preserve">, and the </w:t>
      </w:r>
      <w:r>
        <w:rPr>
          <w:rFonts w:ascii="Arial" w:hAnsi="Arial" w:eastAsia="Arial" w:cs="Arial"/>
          <w:b/>
          <w:sz w:val="24"/>
          <w:szCs w:val="24"/>
          <w:rtl w:val="0"/>
        </w:rPr>
        <w:t>UWTSD Library Discovery platform</w:t>
      </w:r>
      <w:r>
        <w:rPr>
          <w:rFonts w:ascii="Arial" w:hAnsi="Arial" w:eastAsia="Arial" w:cs="Arial"/>
          <w:sz w:val="24"/>
          <w:szCs w:val="24"/>
          <w:rtl w:val="0"/>
        </w:rPr>
        <w:t xml:space="preserve">, which provide peer-reviewed health and social care literature. Supplementary searches were also performed through </w:t>
      </w:r>
      <w:r>
        <w:rPr>
          <w:rFonts w:ascii="Arial" w:hAnsi="Arial" w:eastAsia="Arial" w:cs="Arial"/>
          <w:b/>
          <w:sz w:val="24"/>
          <w:szCs w:val="24"/>
          <w:rtl w:val="0"/>
        </w:rPr>
        <w:t>Google Scholar</w:t>
      </w:r>
      <w:r>
        <w:rPr>
          <w:rFonts w:ascii="Arial" w:hAnsi="Arial" w:eastAsia="Arial" w:cs="Arial"/>
          <w:sz w:val="24"/>
          <w:szCs w:val="24"/>
          <w:rtl w:val="0"/>
        </w:rPr>
        <w:t xml:space="preserve"> for grey literature and </w:t>
      </w:r>
      <w:r>
        <w:rPr>
          <w:rFonts w:ascii="Arial" w:hAnsi="Arial" w:eastAsia="Arial" w:cs="Arial"/>
          <w:b/>
          <w:sz w:val="24"/>
          <w:szCs w:val="24"/>
          <w:rtl w:val="0"/>
        </w:rPr>
        <w:t>institutional repositories</w:t>
      </w:r>
      <w:r>
        <w:rPr>
          <w:rFonts w:ascii="Arial" w:hAnsi="Arial" w:eastAsia="Arial" w:cs="Arial"/>
          <w:sz w:val="24"/>
          <w:szCs w:val="24"/>
          <w:rtl w:val="0"/>
        </w:rPr>
        <w:t xml:space="preserve"> such as </w:t>
      </w:r>
      <w:r>
        <w:rPr>
          <w:rFonts w:ascii="Arial" w:hAnsi="Arial" w:eastAsia="Arial" w:cs="Arial"/>
          <w:b/>
          <w:sz w:val="24"/>
          <w:szCs w:val="24"/>
          <w:rtl w:val="0"/>
        </w:rPr>
        <w:t>NHS England</w:t>
      </w:r>
      <w:r>
        <w:rPr>
          <w:rFonts w:ascii="Arial" w:hAnsi="Arial" w:eastAsia="Arial" w:cs="Arial"/>
          <w:sz w:val="24"/>
          <w:szCs w:val="24"/>
          <w:rtl w:val="0"/>
        </w:rPr>
        <w:t xml:space="preserve">, </w:t>
      </w:r>
      <w:r>
        <w:rPr>
          <w:rFonts w:ascii="Arial" w:hAnsi="Arial" w:eastAsia="Arial" w:cs="Arial"/>
          <w:b/>
          <w:sz w:val="24"/>
          <w:szCs w:val="24"/>
          <w:rtl w:val="0"/>
        </w:rPr>
        <w:t>The King’s Fund</w:t>
      </w:r>
      <w:r>
        <w:rPr>
          <w:rFonts w:ascii="Arial" w:hAnsi="Arial" w:eastAsia="Arial" w:cs="Arial"/>
          <w:sz w:val="24"/>
          <w:szCs w:val="24"/>
          <w:rtl w:val="0"/>
        </w:rPr>
        <w:t xml:space="preserve">, </w:t>
      </w:r>
      <w:r>
        <w:rPr>
          <w:rFonts w:ascii="Arial" w:hAnsi="Arial" w:eastAsia="Arial" w:cs="Arial"/>
          <w:b/>
          <w:sz w:val="24"/>
          <w:szCs w:val="24"/>
          <w:rtl w:val="0"/>
        </w:rPr>
        <w:t>NHS Digital</w:t>
      </w:r>
      <w:r>
        <w:rPr>
          <w:rFonts w:ascii="Arial" w:hAnsi="Arial" w:eastAsia="Arial" w:cs="Arial"/>
          <w:sz w:val="24"/>
          <w:szCs w:val="24"/>
          <w:rtl w:val="0"/>
        </w:rPr>
        <w:t xml:space="preserve">, and </w:t>
      </w:r>
      <w:r>
        <w:rPr>
          <w:rFonts w:ascii="Arial" w:hAnsi="Arial" w:eastAsia="Arial" w:cs="Arial"/>
          <w:b/>
          <w:sz w:val="24"/>
          <w:szCs w:val="24"/>
          <w:rtl w:val="0"/>
        </w:rPr>
        <w:t>NHS Employers</w:t>
      </w:r>
      <w:r>
        <w:rPr>
          <w:rFonts w:ascii="Arial" w:hAnsi="Arial" w:eastAsia="Arial" w:cs="Arial"/>
          <w:sz w:val="24"/>
          <w:szCs w:val="24"/>
          <w:rtl w:val="0"/>
        </w:rPr>
        <w:t>.</w:t>
      </w:r>
    </w:p>
    <w:p w14:paraId="00000097">
      <w:pPr>
        <w:spacing w:before="280" w:after="280" w:line="360" w:lineRule="auto"/>
        <w:jc w:val="both"/>
        <w:rPr>
          <w:rFonts w:ascii="Arial" w:hAnsi="Arial" w:eastAsia="Arial" w:cs="Arial"/>
          <w:sz w:val="24"/>
          <w:szCs w:val="24"/>
        </w:rPr>
      </w:pPr>
      <w:r>
        <w:rPr>
          <w:rFonts w:ascii="Arial" w:hAnsi="Arial" w:eastAsia="Arial" w:cs="Arial"/>
          <w:sz w:val="24"/>
          <w:szCs w:val="24"/>
          <w:rtl w:val="0"/>
        </w:rPr>
        <w:t>These databases were chosen because they host high-quality, peer-reviewed publications and authoritative policy documents central to understanding NHS workforce challenges (Greenhalgh et al., 2018).</w:t>
      </w:r>
    </w:p>
    <w:p w14:paraId="00000098">
      <w:pPr>
        <w:spacing w:before="280" w:after="280" w:line="360" w:lineRule="auto"/>
        <w:jc w:val="both"/>
        <w:rPr>
          <w:rFonts w:ascii="Arial" w:hAnsi="Arial" w:eastAsia="Arial" w:cs="Arial"/>
          <w:b/>
          <w:sz w:val="27"/>
          <w:szCs w:val="27"/>
        </w:rPr>
      </w:pPr>
      <w:r>
        <w:rPr>
          <w:rFonts w:ascii="Arial" w:hAnsi="Arial" w:eastAsia="Arial" w:cs="Arial"/>
          <w:b/>
          <w:sz w:val="27"/>
          <w:szCs w:val="27"/>
          <w:rtl w:val="0"/>
        </w:rPr>
        <w:t>Using Filters</w:t>
      </w:r>
    </w:p>
    <w:p w14:paraId="00000099">
      <w:pPr>
        <w:spacing w:before="280" w:after="280" w:line="360" w:lineRule="auto"/>
        <w:jc w:val="both"/>
        <w:rPr>
          <w:rFonts w:ascii="Arial" w:hAnsi="Arial" w:eastAsia="Arial" w:cs="Arial"/>
          <w:sz w:val="24"/>
          <w:szCs w:val="24"/>
        </w:rPr>
      </w:pPr>
      <w:r>
        <w:rPr>
          <w:rFonts w:ascii="Arial" w:hAnsi="Arial" w:eastAsia="Arial" w:cs="Arial"/>
          <w:sz w:val="24"/>
          <w:szCs w:val="24"/>
          <w:rtl w:val="0"/>
        </w:rPr>
        <w:t>Filters were applied to refine search results:</w:t>
      </w:r>
    </w:p>
    <w:p w14:paraId="0000009A">
      <w:pPr>
        <w:numPr>
          <w:ilvl w:val="0"/>
          <w:numId w:val="4"/>
        </w:numPr>
        <w:spacing w:before="280" w:after="0" w:line="360" w:lineRule="auto"/>
        <w:ind w:left="720" w:hanging="360"/>
        <w:jc w:val="both"/>
      </w:pPr>
      <w:r>
        <w:rPr>
          <w:rFonts w:ascii="Arial" w:hAnsi="Arial" w:eastAsia="Arial" w:cs="Arial"/>
          <w:b/>
          <w:sz w:val="24"/>
          <w:szCs w:val="24"/>
          <w:rtl w:val="0"/>
        </w:rPr>
        <w:t>Date Range:</w:t>
      </w:r>
      <w:r>
        <w:rPr>
          <w:rFonts w:ascii="Arial" w:hAnsi="Arial" w:eastAsia="Arial" w:cs="Arial"/>
          <w:sz w:val="24"/>
          <w:szCs w:val="24"/>
          <w:rtl w:val="0"/>
        </w:rPr>
        <w:t xml:space="preserve"> 2015–2024, ensuring relevance to post-pandemic workforce challenges (NHS England, 2023).</w:t>
      </w:r>
    </w:p>
    <w:p w14:paraId="0000009B">
      <w:pPr>
        <w:numPr>
          <w:ilvl w:val="0"/>
          <w:numId w:val="4"/>
        </w:numPr>
        <w:spacing w:before="0" w:after="0" w:line="360" w:lineRule="auto"/>
        <w:ind w:left="720" w:hanging="360"/>
        <w:jc w:val="both"/>
      </w:pPr>
      <w:r>
        <w:rPr>
          <w:rFonts w:ascii="Arial" w:hAnsi="Arial" w:eastAsia="Arial" w:cs="Arial"/>
          <w:b/>
          <w:sz w:val="24"/>
          <w:szCs w:val="24"/>
          <w:rtl w:val="0"/>
        </w:rPr>
        <w:t>Language:</w:t>
      </w:r>
      <w:r>
        <w:rPr>
          <w:rFonts w:ascii="Arial" w:hAnsi="Arial" w:eastAsia="Arial" w:cs="Arial"/>
          <w:sz w:val="24"/>
          <w:szCs w:val="24"/>
          <w:rtl w:val="0"/>
        </w:rPr>
        <w:t xml:space="preserve"> English only.</w:t>
      </w:r>
    </w:p>
    <w:p w14:paraId="0000009C">
      <w:pPr>
        <w:numPr>
          <w:ilvl w:val="0"/>
          <w:numId w:val="4"/>
        </w:numPr>
        <w:spacing w:before="0" w:after="0" w:line="360" w:lineRule="auto"/>
        <w:ind w:left="720" w:hanging="360"/>
        <w:jc w:val="both"/>
      </w:pPr>
      <w:r>
        <w:rPr>
          <w:rFonts w:ascii="Arial" w:hAnsi="Arial" w:eastAsia="Arial" w:cs="Arial"/>
          <w:b/>
          <w:sz w:val="24"/>
          <w:szCs w:val="24"/>
          <w:rtl w:val="0"/>
        </w:rPr>
        <w:t>Publication Type:</w:t>
      </w:r>
      <w:r>
        <w:rPr>
          <w:rFonts w:ascii="Arial" w:hAnsi="Arial" w:eastAsia="Arial" w:cs="Arial"/>
          <w:sz w:val="24"/>
          <w:szCs w:val="24"/>
          <w:rtl w:val="0"/>
        </w:rPr>
        <w:t xml:space="preserve"> Peer-reviewed journals, official NHS reports, and policy analyses.</w:t>
      </w:r>
    </w:p>
    <w:p w14:paraId="0000009D">
      <w:pPr>
        <w:numPr>
          <w:ilvl w:val="0"/>
          <w:numId w:val="4"/>
        </w:numPr>
        <w:spacing w:before="0" w:after="280" w:line="360" w:lineRule="auto"/>
        <w:ind w:left="720" w:hanging="360"/>
        <w:jc w:val="both"/>
      </w:pPr>
      <w:r>
        <w:rPr>
          <w:rFonts w:ascii="Arial" w:hAnsi="Arial" w:eastAsia="Arial" w:cs="Arial"/>
          <w:b/>
          <w:sz w:val="24"/>
          <w:szCs w:val="24"/>
          <w:rtl w:val="0"/>
        </w:rPr>
        <w:t>Geographical Focus:</w:t>
      </w:r>
      <w:r>
        <w:rPr>
          <w:rFonts w:ascii="Arial" w:hAnsi="Arial" w:eastAsia="Arial" w:cs="Arial"/>
          <w:sz w:val="24"/>
          <w:szCs w:val="24"/>
          <w:rtl w:val="0"/>
        </w:rPr>
        <w:t xml:space="preserve"> Primarily UK-based studies with relevant international comparisons.</w:t>
      </w:r>
    </w:p>
    <w:p w14:paraId="0000009E">
      <w:pPr>
        <w:spacing w:before="280" w:after="280" w:line="360" w:lineRule="auto"/>
        <w:jc w:val="both"/>
        <w:rPr>
          <w:rFonts w:ascii="Arial" w:hAnsi="Arial" w:eastAsia="Arial" w:cs="Arial"/>
          <w:b/>
          <w:sz w:val="27"/>
          <w:szCs w:val="27"/>
        </w:rPr>
      </w:pPr>
      <w:r>
        <w:rPr>
          <w:rFonts w:ascii="Arial" w:hAnsi="Arial" w:eastAsia="Arial" w:cs="Arial"/>
          <w:b/>
          <w:sz w:val="27"/>
          <w:szCs w:val="27"/>
          <w:rtl w:val="0"/>
        </w:rPr>
        <w:t>Search Process</w:t>
      </w:r>
    </w:p>
    <w:p w14:paraId="0000009F">
      <w:pPr>
        <w:spacing w:before="280" w:after="280" w:line="360" w:lineRule="auto"/>
        <w:jc w:val="both"/>
        <w:rPr>
          <w:rFonts w:ascii="Arial" w:hAnsi="Arial" w:eastAsia="Arial" w:cs="Arial"/>
          <w:sz w:val="24"/>
          <w:szCs w:val="24"/>
        </w:rPr>
      </w:pPr>
      <w:r>
        <w:rPr>
          <w:rFonts w:ascii="Arial" w:hAnsi="Arial" w:eastAsia="Arial" w:cs="Arial"/>
          <w:sz w:val="24"/>
          <w:szCs w:val="24"/>
          <w:rtl w:val="0"/>
        </w:rPr>
        <w:t xml:space="preserve">An initial exploratory search produced over 300 results. Using filters and relevance screening, this was reduced to 70 articles for abstract review and 25 core sources for full-text analysis. The process was iterative: after reviewing initial results, new keywords such as </w:t>
      </w:r>
      <w:r>
        <w:rPr>
          <w:rFonts w:ascii="Arial" w:hAnsi="Arial" w:eastAsia="Arial" w:cs="Arial"/>
          <w:i/>
          <w:sz w:val="24"/>
          <w:szCs w:val="24"/>
          <w:rtl w:val="0"/>
        </w:rPr>
        <w:t>“resilience”</w:t>
      </w:r>
      <w:r>
        <w:rPr>
          <w:rFonts w:ascii="Arial" w:hAnsi="Arial" w:eastAsia="Arial" w:cs="Arial"/>
          <w:sz w:val="24"/>
          <w:szCs w:val="24"/>
          <w:rtl w:val="0"/>
        </w:rPr>
        <w:t xml:space="preserve"> and </w:t>
      </w:r>
      <w:r>
        <w:rPr>
          <w:rFonts w:ascii="Arial" w:hAnsi="Arial" w:eastAsia="Arial" w:cs="Arial"/>
          <w:i/>
          <w:sz w:val="24"/>
          <w:szCs w:val="24"/>
          <w:rtl w:val="0"/>
        </w:rPr>
        <w:t>“staff engagement”</w:t>
      </w:r>
      <w:r>
        <w:rPr>
          <w:rFonts w:ascii="Arial" w:hAnsi="Arial" w:eastAsia="Arial" w:cs="Arial"/>
          <w:sz w:val="24"/>
          <w:szCs w:val="24"/>
          <w:rtl w:val="0"/>
        </w:rPr>
        <w:t xml:space="preserve"> were incorporated to broaden scope (Dall’Ora, 2020).</w:t>
      </w:r>
    </w:p>
    <w:p w14:paraId="000000A0">
      <w:pPr>
        <w:spacing w:before="280" w:after="280" w:line="360" w:lineRule="auto"/>
        <w:jc w:val="both"/>
        <w:rPr>
          <w:rFonts w:ascii="Arial" w:hAnsi="Arial" w:eastAsia="Arial" w:cs="Arial"/>
          <w:sz w:val="24"/>
          <w:szCs w:val="24"/>
        </w:rPr>
      </w:pPr>
      <w:r>
        <w:rPr>
          <w:rFonts w:ascii="Arial" w:hAnsi="Arial" w:eastAsia="Arial" w:cs="Arial"/>
          <w:sz w:val="24"/>
          <w:szCs w:val="24"/>
          <w:rtl w:val="0"/>
        </w:rPr>
        <w:t xml:space="preserve">A </w:t>
      </w:r>
      <w:r>
        <w:rPr>
          <w:rFonts w:ascii="Arial" w:hAnsi="Arial" w:eastAsia="Arial" w:cs="Arial"/>
          <w:b/>
          <w:sz w:val="24"/>
          <w:szCs w:val="24"/>
          <w:rtl w:val="0"/>
        </w:rPr>
        <w:t>Source Tracking Table</w:t>
      </w:r>
      <w:r>
        <w:rPr>
          <w:rFonts w:ascii="Arial" w:hAnsi="Arial" w:eastAsia="Arial" w:cs="Arial"/>
          <w:sz w:val="24"/>
          <w:szCs w:val="24"/>
          <w:rtl w:val="0"/>
        </w:rPr>
        <w:t xml:space="preserve"> (see Appendix A) recorded authors, year, study design, focus, and key findings. This enabled systematic comparison and identification of recurring patterns.</w:t>
      </w:r>
    </w:p>
    <w:p w14:paraId="000000A1">
      <w:pPr>
        <w:spacing w:after="0" w:line="360" w:lineRule="auto"/>
        <w:jc w:val="both"/>
        <w:rPr>
          <w:rFonts w:ascii="Arial" w:hAnsi="Arial" w:eastAsia="Arial" w:cs="Arial"/>
          <w:sz w:val="24"/>
          <w:szCs w:val="24"/>
        </w:rPr>
      </w:pPr>
    </w:p>
    <w:p w14:paraId="000000A2">
      <w:pPr>
        <w:spacing w:before="280" w:after="280" w:line="360" w:lineRule="auto"/>
        <w:jc w:val="both"/>
        <w:rPr>
          <w:rFonts w:ascii="Arial" w:hAnsi="Arial" w:eastAsia="Arial" w:cs="Arial"/>
          <w:b/>
          <w:sz w:val="36"/>
          <w:szCs w:val="36"/>
        </w:rPr>
      </w:pPr>
      <w:r>
        <w:rPr>
          <w:rFonts w:ascii="Arial" w:hAnsi="Arial" w:eastAsia="Arial" w:cs="Arial"/>
          <w:b/>
          <w:sz w:val="36"/>
          <w:szCs w:val="36"/>
          <w:rtl w:val="0"/>
        </w:rPr>
        <w:t>3.4 Research Validation</w:t>
      </w:r>
    </w:p>
    <w:p w14:paraId="000000A3">
      <w:pPr>
        <w:spacing w:before="280" w:after="280" w:line="360" w:lineRule="auto"/>
        <w:jc w:val="both"/>
        <w:rPr>
          <w:rFonts w:ascii="Arial" w:hAnsi="Arial" w:eastAsia="Arial" w:cs="Arial"/>
          <w:sz w:val="24"/>
          <w:szCs w:val="24"/>
        </w:rPr>
      </w:pPr>
      <w:r>
        <w:rPr>
          <w:rFonts w:ascii="Arial" w:hAnsi="Arial" w:eastAsia="Arial" w:cs="Arial"/>
          <w:sz w:val="24"/>
          <w:szCs w:val="24"/>
          <w:rtl w:val="0"/>
        </w:rPr>
        <w:t xml:space="preserve">Ensuring the quality of included studies was critical for maintaining research rigour. Therefore, a two-step validation process combining </w:t>
      </w:r>
      <w:r>
        <w:rPr>
          <w:rFonts w:ascii="Arial" w:hAnsi="Arial" w:eastAsia="Arial" w:cs="Arial"/>
          <w:b/>
          <w:sz w:val="24"/>
          <w:szCs w:val="24"/>
          <w:rtl w:val="0"/>
        </w:rPr>
        <w:t>skimming techniques</w:t>
      </w:r>
      <w:r>
        <w:rPr>
          <w:rFonts w:ascii="Arial" w:hAnsi="Arial" w:eastAsia="Arial" w:cs="Arial"/>
          <w:sz w:val="24"/>
          <w:szCs w:val="24"/>
          <w:rtl w:val="0"/>
        </w:rPr>
        <w:t xml:space="preserve"> and the </w:t>
      </w:r>
      <w:r>
        <w:rPr>
          <w:rFonts w:ascii="Arial" w:hAnsi="Arial" w:eastAsia="Arial" w:cs="Arial"/>
          <w:b/>
          <w:sz w:val="24"/>
          <w:szCs w:val="24"/>
          <w:rtl w:val="0"/>
        </w:rPr>
        <w:t>CRAAP test</w:t>
      </w:r>
      <w:r>
        <w:rPr>
          <w:rFonts w:ascii="Arial" w:hAnsi="Arial" w:eastAsia="Arial" w:cs="Arial"/>
          <w:sz w:val="24"/>
          <w:szCs w:val="24"/>
          <w:rtl w:val="0"/>
        </w:rPr>
        <w:t xml:space="preserve"> (Currency, Relevance, Authority, Accuracy, Purpose) was used (Blaxter, Hughes and Tight, 2019).</w:t>
      </w:r>
    </w:p>
    <w:p w14:paraId="000000A4">
      <w:pPr>
        <w:spacing w:before="280" w:after="280" w:line="360" w:lineRule="auto"/>
        <w:jc w:val="both"/>
        <w:rPr>
          <w:rFonts w:ascii="Arial" w:hAnsi="Arial" w:eastAsia="Arial" w:cs="Arial"/>
          <w:sz w:val="24"/>
          <w:szCs w:val="24"/>
        </w:rPr>
      </w:pPr>
    </w:p>
    <w:p w14:paraId="000000A5">
      <w:pPr>
        <w:spacing w:before="280" w:after="280" w:line="360" w:lineRule="auto"/>
        <w:jc w:val="both"/>
        <w:rPr>
          <w:rFonts w:ascii="Arial" w:hAnsi="Arial" w:eastAsia="Arial" w:cs="Arial"/>
          <w:sz w:val="24"/>
          <w:szCs w:val="24"/>
        </w:rPr>
      </w:pPr>
    </w:p>
    <w:p w14:paraId="000000A6">
      <w:pPr>
        <w:spacing w:before="280" w:after="280" w:line="360" w:lineRule="auto"/>
        <w:jc w:val="both"/>
        <w:rPr>
          <w:rFonts w:ascii="Arial" w:hAnsi="Arial" w:eastAsia="Arial" w:cs="Arial"/>
          <w:b/>
          <w:sz w:val="27"/>
          <w:szCs w:val="27"/>
        </w:rPr>
      </w:pPr>
      <w:r>
        <w:rPr>
          <w:rFonts w:ascii="Arial" w:hAnsi="Arial" w:eastAsia="Arial" w:cs="Arial"/>
          <w:b/>
          <w:sz w:val="27"/>
          <w:szCs w:val="27"/>
          <w:rtl w:val="0"/>
        </w:rPr>
        <w:t>Skimming Techniques</w:t>
      </w:r>
    </w:p>
    <w:p w14:paraId="000000A7">
      <w:pPr>
        <w:spacing w:before="280" w:after="280" w:line="360" w:lineRule="auto"/>
        <w:jc w:val="both"/>
        <w:rPr>
          <w:rFonts w:ascii="Arial" w:hAnsi="Arial" w:eastAsia="Arial" w:cs="Arial"/>
          <w:sz w:val="24"/>
          <w:szCs w:val="24"/>
        </w:rPr>
      </w:pPr>
      <w:r>
        <w:rPr>
          <w:rFonts w:ascii="Arial" w:hAnsi="Arial" w:eastAsia="Arial" w:cs="Arial"/>
          <w:sz w:val="24"/>
          <w:szCs w:val="24"/>
          <w:rtl w:val="0"/>
        </w:rPr>
        <w:t>Articles were skimmed by reading titles, abstracts, introductions, and conclusions to quickly assess relevance. Studies directly addressing NHS staff burnout, morale, or retention were shortlisted for detailed review (Nagle et al., 2024).</w:t>
      </w:r>
    </w:p>
    <w:p w14:paraId="000000A8">
      <w:pPr>
        <w:spacing w:before="280" w:after="280" w:line="360" w:lineRule="auto"/>
        <w:jc w:val="both"/>
        <w:rPr>
          <w:rFonts w:ascii="Arial" w:hAnsi="Arial" w:eastAsia="Arial" w:cs="Arial"/>
          <w:b/>
          <w:sz w:val="27"/>
          <w:szCs w:val="27"/>
        </w:rPr>
      </w:pPr>
      <w:r>
        <w:rPr>
          <w:rFonts w:ascii="Arial" w:hAnsi="Arial" w:eastAsia="Arial" w:cs="Arial"/>
          <w:b/>
          <w:sz w:val="27"/>
          <w:szCs w:val="27"/>
          <w:rtl w:val="0"/>
        </w:rPr>
        <w:t>CRAAP Test Application</w:t>
      </w:r>
    </w:p>
    <w:p w14:paraId="000000A9">
      <w:pPr>
        <w:numPr>
          <w:ilvl w:val="0"/>
          <w:numId w:val="5"/>
        </w:numPr>
        <w:spacing w:before="280" w:after="0" w:line="360" w:lineRule="auto"/>
        <w:ind w:left="720" w:hanging="360"/>
        <w:jc w:val="both"/>
      </w:pPr>
      <w:r>
        <w:rPr>
          <w:rFonts w:ascii="Arial" w:hAnsi="Arial" w:eastAsia="Arial" w:cs="Arial"/>
          <w:b/>
          <w:sz w:val="24"/>
          <w:szCs w:val="24"/>
          <w:rtl w:val="0"/>
        </w:rPr>
        <w:t>Currency:</w:t>
      </w:r>
      <w:r>
        <w:rPr>
          <w:rFonts w:ascii="Arial" w:hAnsi="Arial" w:eastAsia="Arial" w:cs="Arial"/>
          <w:sz w:val="24"/>
          <w:szCs w:val="24"/>
          <w:rtl w:val="0"/>
        </w:rPr>
        <w:t xml:space="preserve"> Only sources from the past decade were included to ensure up-to-date data (2015–2024).</w:t>
      </w:r>
    </w:p>
    <w:p w14:paraId="000000AA">
      <w:pPr>
        <w:numPr>
          <w:ilvl w:val="0"/>
          <w:numId w:val="5"/>
        </w:numPr>
        <w:spacing w:before="0" w:after="0" w:line="360" w:lineRule="auto"/>
        <w:ind w:left="720" w:hanging="360"/>
        <w:jc w:val="both"/>
      </w:pPr>
      <w:r>
        <w:rPr>
          <w:rFonts w:ascii="Arial" w:hAnsi="Arial" w:eastAsia="Arial" w:cs="Arial"/>
          <w:b/>
          <w:sz w:val="24"/>
          <w:szCs w:val="24"/>
          <w:rtl w:val="0"/>
        </w:rPr>
        <w:t>Relevance:</w:t>
      </w:r>
      <w:r>
        <w:rPr>
          <w:rFonts w:ascii="Arial" w:hAnsi="Arial" w:eastAsia="Arial" w:cs="Arial"/>
          <w:sz w:val="24"/>
          <w:szCs w:val="24"/>
          <w:rtl w:val="0"/>
        </w:rPr>
        <w:t xml:space="preserve"> Studies were selected based on their applicability to NHS workforce challenges.</w:t>
      </w:r>
    </w:p>
    <w:p w14:paraId="000000AB">
      <w:pPr>
        <w:numPr>
          <w:ilvl w:val="0"/>
          <w:numId w:val="5"/>
        </w:numPr>
        <w:spacing w:before="0" w:after="0" w:line="360" w:lineRule="auto"/>
        <w:ind w:left="720" w:hanging="360"/>
        <w:jc w:val="both"/>
      </w:pPr>
      <w:r>
        <w:rPr>
          <w:rFonts w:ascii="Arial" w:hAnsi="Arial" w:eastAsia="Arial" w:cs="Arial"/>
          <w:b/>
          <w:sz w:val="24"/>
          <w:szCs w:val="24"/>
          <w:rtl w:val="0"/>
        </w:rPr>
        <w:t>Authority:</w:t>
      </w:r>
      <w:r>
        <w:rPr>
          <w:rFonts w:ascii="Arial" w:hAnsi="Arial" w:eastAsia="Arial" w:cs="Arial"/>
          <w:sz w:val="24"/>
          <w:szCs w:val="24"/>
          <w:rtl w:val="0"/>
        </w:rPr>
        <w:t xml:space="preserve"> Peer-reviewed journals and government or professional bodies were prioritised (NHS Employers, 2023).</w:t>
      </w:r>
    </w:p>
    <w:p w14:paraId="000000AC">
      <w:pPr>
        <w:numPr>
          <w:ilvl w:val="0"/>
          <w:numId w:val="5"/>
        </w:numPr>
        <w:spacing w:before="0" w:after="0" w:line="360" w:lineRule="auto"/>
        <w:ind w:left="720" w:hanging="360"/>
        <w:jc w:val="both"/>
      </w:pPr>
      <w:r>
        <w:rPr>
          <w:rFonts w:ascii="Arial" w:hAnsi="Arial" w:eastAsia="Arial" w:cs="Arial"/>
          <w:b/>
          <w:sz w:val="24"/>
          <w:szCs w:val="24"/>
          <w:rtl w:val="0"/>
        </w:rPr>
        <w:t>Accuracy:</w:t>
      </w:r>
      <w:r>
        <w:rPr>
          <w:rFonts w:ascii="Arial" w:hAnsi="Arial" w:eastAsia="Arial" w:cs="Arial"/>
          <w:sz w:val="24"/>
          <w:szCs w:val="24"/>
          <w:rtl w:val="0"/>
        </w:rPr>
        <w:t xml:space="preserve"> Only studies with clear methodology and reliable data reporting were accepted.</w:t>
      </w:r>
    </w:p>
    <w:p w14:paraId="000000AD">
      <w:pPr>
        <w:numPr>
          <w:ilvl w:val="0"/>
          <w:numId w:val="5"/>
        </w:numPr>
        <w:spacing w:before="0" w:after="280" w:line="360" w:lineRule="auto"/>
        <w:ind w:left="720" w:hanging="360"/>
        <w:jc w:val="both"/>
      </w:pPr>
      <w:r>
        <w:rPr>
          <w:rFonts w:ascii="Arial" w:hAnsi="Arial" w:eastAsia="Arial" w:cs="Arial"/>
          <w:b/>
          <w:sz w:val="24"/>
          <w:szCs w:val="24"/>
          <w:rtl w:val="0"/>
        </w:rPr>
        <w:t>Purpose:</w:t>
      </w:r>
      <w:r>
        <w:rPr>
          <w:rFonts w:ascii="Arial" w:hAnsi="Arial" w:eastAsia="Arial" w:cs="Arial"/>
          <w:sz w:val="24"/>
          <w:szCs w:val="24"/>
          <w:rtl w:val="0"/>
        </w:rPr>
        <w:t xml:space="preserve"> Preference was given to objective, evidence-based analyses over opinion-led sources.</w:t>
      </w:r>
    </w:p>
    <w:p w14:paraId="000000AE">
      <w:pPr>
        <w:spacing w:before="280" w:after="280" w:line="360" w:lineRule="auto"/>
        <w:jc w:val="both"/>
        <w:rPr>
          <w:rFonts w:ascii="Arial" w:hAnsi="Arial" w:eastAsia="Arial" w:cs="Arial"/>
          <w:b/>
          <w:sz w:val="27"/>
          <w:szCs w:val="27"/>
        </w:rPr>
      </w:pPr>
      <w:r>
        <w:rPr>
          <w:rFonts w:ascii="Arial" w:hAnsi="Arial" w:eastAsia="Arial" w:cs="Arial"/>
          <w:b/>
          <w:sz w:val="27"/>
          <w:szCs w:val="27"/>
          <w:rtl w:val="0"/>
        </w:rPr>
        <w:t>Decision-Making Example</w:t>
      </w:r>
    </w:p>
    <w:p w14:paraId="000000AF">
      <w:pPr>
        <w:spacing w:before="280" w:after="280" w:line="360" w:lineRule="auto"/>
        <w:jc w:val="both"/>
        <w:rPr>
          <w:rFonts w:ascii="Arial" w:hAnsi="Arial" w:eastAsia="Arial" w:cs="Arial"/>
          <w:sz w:val="24"/>
          <w:szCs w:val="24"/>
        </w:rPr>
      </w:pPr>
      <w:r>
        <w:rPr>
          <w:rFonts w:ascii="Arial" w:hAnsi="Arial" w:eastAsia="Arial" w:cs="Arial"/>
          <w:sz w:val="24"/>
          <w:szCs w:val="24"/>
          <w:rtl w:val="0"/>
        </w:rPr>
        <w:t xml:space="preserve">For example, </w:t>
      </w:r>
      <w:r>
        <w:rPr>
          <w:rFonts w:ascii="Arial" w:hAnsi="Arial" w:eastAsia="Arial" w:cs="Arial"/>
          <w:i/>
          <w:sz w:val="24"/>
          <w:szCs w:val="24"/>
          <w:rtl w:val="0"/>
        </w:rPr>
        <w:t>The King’s Fund (2023)</w:t>
      </w:r>
      <w:r>
        <w:rPr>
          <w:rFonts w:ascii="Arial" w:hAnsi="Arial" w:eastAsia="Arial" w:cs="Arial"/>
          <w:sz w:val="24"/>
          <w:szCs w:val="24"/>
          <w:rtl w:val="0"/>
        </w:rPr>
        <w:t xml:space="preserve"> report on NHS workforce morale met all CRAAP criteria—current, authoritative, and directly relevant—whereas pre-2010 studies were excluded as outdated or contextually irrelevant.</w:t>
      </w:r>
    </w:p>
    <w:p w14:paraId="000000B0">
      <w:pPr>
        <w:spacing w:after="0" w:line="360" w:lineRule="auto"/>
        <w:jc w:val="both"/>
        <w:rPr>
          <w:rFonts w:ascii="Arial" w:hAnsi="Arial" w:eastAsia="Arial" w:cs="Arial"/>
          <w:sz w:val="24"/>
          <w:szCs w:val="24"/>
        </w:rPr>
      </w:pPr>
    </w:p>
    <w:p w14:paraId="000000B1">
      <w:pPr>
        <w:spacing w:before="280" w:after="280" w:line="360" w:lineRule="auto"/>
        <w:jc w:val="both"/>
        <w:rPr>
          <w:rFonts w:ascii="Arial" w:hAnsi="Arial" w:eastAsia="Arial" w:cs="Arial"/>
          <w:b/>
          <w:sz w:val="36"/>
          <w:szCs w:val="36"/>
        </w:rPr>
      </w:pPr>
      <w:r>
        <w:rPr>
          <w:rFonts w:ascii="Arial" w:hAnsi="Arial" w:eastAsia="Arial" w:cs="Arial"/>
          <w:b/>
          <w:sz w:val="36"/>
          <w:szCs w:val="36"/>
          <w:rtl w:val="0"/>
        </w:rPr>
        <w:t>3.5 Inclusion and Exclusion Criteria</w:t>
      </w:r>
    </w:p>
    <w:p w14:paraId="000000B2">
      <w:pPr>
        <w:spacing w:before="280" w:after="280" w:line="360" w:lineRule="auto"/>
        <w:jc w:val="both"/>
        <w:rPr>
          <w:rFonts w:ascii="Arial" w:hAnsi="Arial" w:eastAsia="Arial" w:cs="Arial"/>
          <w:b/>
          <w:sz w:val="27"/>
          <w:szCs w:val="27"/>
        </w:rPr>
      </w:pPr>
      <w:r>
        <w:rPr>
          <w:rFonts w:ascii="Arial" w:hAnsi="Arial" w:eastAsia="Arial" w:cs="Arial"/>
          <w:b/>
          <w:sz w:val="27"/>
          <w:szCs w:val="27"/>
          <w:rtl w:val="0"/>
        </w:rPr>
        <w:t>Inclusion Criteria</w:t>
      </w:r>
    </w:p>
    <w:p w14:paraId="000000B3">
      <w:pPr>
        <w:numPr>
          <w:ilvl w:val="0"/>
          <w:numId w:val="6"/>
        </w:numPr>
        <w:spacing w:before="280" w:after="0" w:line="360" w:lineRule="auto"/>
        <w:ind w:left="720" w:hanging="360"/>
        <w:jc w:val="both"/>
      </w:pPr>
      <w:r>
        <w:rPr>
          <w:rFonts w:ascii="Arial" w:hAnsi="Arial" w:eastAsia="Arial" w:cs="Arial"/>
          <w:sz w:val="24"/>
          <w:szCs w:val="24"/>
          <w:rtl w:val="0"/>
        </w:rPr>
        <w:t>Peer-reviewed journal articles and official policy reports (2015–2024).</w:t>
      </w:r>
    </w:p>
    <w:p w14:paraId="000000B4">
      <w:pPr>
        <w:numPr>
          <w:ilvl w:val="0"/>
          <w:numId w:val="6"/>
        </w:numPr>
        <w:spacing w:before="0" w:after="0" w:line="360" w:lineRule="auto"/>
        <w:ind w:left="720" w:hanging="360"/>
        <w:jc w:val="both"/>
      </w:pPr>
      <w:r>
        <w:rPr>
          <w:rFonts w:ascii="Arial" w:hAnsi="Arial" w:eastAsia="Arial" w:cs="Arial"/>
          <w:sz w:val="24"/>
          <w:szCs w:val="24"/>
          <w:rtl w:val="0"/>
        </w:rPr>
        <w:t>Focus on NHS or UK healthcare staff.</w:t>
      </w:r>
    </w:p>
    <w:p w14:paraId="000000B5">
      <w:pPr>
        <w:numPr>
          <w:ilvl w:val="0"/>
          <w:numId w:val="6"/>
        </w:numPr>
        <w:spacing w:before="0" w:after="0" w:line="360" w:lineRule="auto"/>
        <w:ind w:left="720" w:hanging="360"/>
        <w:jc w:val="both"/>
      </w:pPr>
      <w:r>
        <w:rPr>
          <w:rFonts w:ascii="Arial" w:hAnsi="Arial" w:eastAsia="Arial" w:cs="Arial"/>
          <w:sz w:val="24"/>
          <w:szCs w:val="24"/>
          <w:rtl w:val="0"/>
        </w:rPr>
        <w:t>Discussion of burnout, morale, retention, or wellbeing.</w:t>
      </w:r>
    </w:p>
    <w:p w14:paraId="000000B6">
      <w:pPr>
        <w:numPr>
          <w:ilvl w:val="0"/>
          <w:numId w:val="6"/>
        </w:numPr>
        <w:spacing w:before="0" w:after="280" w:line="360" w:lineRule="auto"/>
        <w:ind w:left="720" w:hanging="360"/>
        <w:jc w:val="both"/>
      </w:pPr>
      <w:r>
        <w:rPr>
          <w:rFonts w:ascii="Arial" w:hAnsi="Arial" w:eastAsia="Arial" w:cs="Arial"/>
          <w:sz w:val="24"/>
          <w:szCs w:val="24"/>
          <w:rtl w:val="0"/>
        </w:rPr>
        <w:t>English-language publications with accessible full text.</w:t>
      </w:r>
    </w:p>
    <w:p w14:paraId="000000B7">
      <w:pPr>
        <w:spacing w:before="280" w:after="280" w:line="360" w:lineRule="auto"/>
        <w:jc w:val="both"/>
        <w:rPr>
          <w:rFonts w:ascii="Arial" w:hAnsi="Arial" w:eastAsia="Arial" w:cs="Arial"/>
          <w:b/>
          <w:sz w:val="27"/>
          <w:szCs w:val="27"/>
        </w:rPr>
      </w:pPr>
      <w:r>
        <w:rPr>
          <w:rFonts w:ascii="Arial" w:hAnsi="Arial" w:eastAsia="Arial" w:cs="Arial"/>
          <w:b/>
          <w:sz w:val="27"/>
          <w:szCs w:val="27"/>
          <w:rtl w:val="0"/>
        </w:rPr>
        <w:t>Exclusion Criteria</w:t>
      </w:r>
    </w:p>
    <w:p w14:paraId="000000B8">
      <w:pPr>
        <w:numPr>
          <w:ilvl w:val="0"/>
          <w:numId w:val="7"/>
        </w:numPr>
        <w:spacing w:before="280" w:after="0" w:line="360" w:lineRule="auto"/>
        <w:ind w:left="720" w:hanging="360"/>
        <w:jc w:val="both"/>
      </w:pPr>
      <w:r>
        <w:rPr>
          <w:rFonts w:ascii="Arial" w:hAnsi="Arial" w:eastAsia="Arial" w:cs="Arial"/>
          <w:sz w:val="24"/>
          <w:szCs w:val="24"/>
          <w:rtl w:val="0"/>
        </w:rPr>
        <w:t>Non-peer-reviewed or opinion-based articles.</w:t>
      </w:r>
    </w:p>
    <w:p w14:paraId="000000B9">
      <w:pPr>
        <w:numPr>
          <w:ilvl w:val="0"/>
          <w:numId w:val="7"/>
        </w:numPr>
        <w:spacing w:before="0" w:after="0" w:line="360" w:lineRule="auto"/>
        <w:ind w:left="720" w:hanging="360"/>
        <w:jc w:val="both"/>
      </w:pPr>
      <w:r>
        <w:rPr>
          <w:rFonts w:ascii="Arial" w:hAnsi="Arial" w:eastAsia="Arial" w:cs="Arial"/>
          <w:sz w:val="24"/>
          <w:szCs w:val="24"/>
          <w:rtl w:val="0"/>
        </w:rPr>
        <w:t>Publications before 2015.</w:t>
      </w:r>
    </w:p>
    <w:p w14:paraId="000000BA">
      <w:pPr>
        <w:numPr>
          <w:ilvl w:val="0"/>
          <w:numId w:val="7"/>
        </w:numPr>
        <w:spacing w:before="0" w:after="0" w:line="360" w:lineRule="auto"/>
        <w:ind w:left="720" w:hanging="360"/>
        <w:jc w:val="both"/>
      </w:pPr>
      <w:r>
        <w:rPr>
          <w:rFonts w:ascii="Arial" w:hAnsi="Arial" w:eastAsia="Arial" w:cs="Arial"/>
          <w:sz w:val="24"/>
          <w:szCs w:val="24"/>
          <w:rtl w:val="0"/>
        </w:rPr>
        <w:t>Studies not specific to healthcare settings.</w:t>
      </w:r>
    </w:p>
    <w:p w14:paraId="000000BB">
      <w:pPr>
        <w:numPr>
          <w:ilvl w:val="0"/>
          <w:numId w:val="7"/>
        </w:numPr>
        <w:spacing w:before="0" w:after="280" w:line="360" w:lineRule="auto"/>
        <w:ind w:left="720" w:hanging="360"/>
        <w:jc w:val="both"/>
      </w:pPr>
      <w:r>
        <w:rPr>
          <w:rFonts w:ascii="Arial" w:hAnsi="Arial" w:eastAsia="Arial" w:cs="Arial"/>
          <w:sz w:val="24"/>
          <w:szCs w:val="24"/>
          <w:rtl w:val="0"/>
        </w:rPr>
        <w:t>Non-English or inaccessible texts.</w:t>
      </w:r>
    </w:p>
    <w:p w14:paraId="000000BC">
      <w:pPr>
        <w:spacing w:before="280" w:after="280" w:line="360" w:lineRule="auto"/>
        <w:jc w:val="both"/>
        <w:rPr>
          <w:rFonts w:ascii="Arial" w:hAnsi="Arial" w:eastAsia="Arial" w:cs="Arial"/>
          <w:b/>
          <w:sz w:val="27"/>
          <w:szCs w:val="27"/>
        </w:rPr>
      </w:pPr>
      <w:r>
        <w:rPr>
          <w:rFonts w:ascii="Arial" w:hAnsi="Arial" w:eastAsia="Arial" w:cs="Arial"/>
          <w:b/>
          <w:sz w:val="27"/>
          <w:szCs w:val="27"/>
          <w:rtl w:val="0"/>
        </w:rPr>
        <w:t>Justification</w:t>
      </w:r>
    </w:p>
    <w:p w14:paraId="000000BD">
      <w:pPr>
        <w:spacing w:before="280" w:after="280" w:line="360" w:lineRule="auto"/>
        <w:jc w:val="both"/>
        <w:rPr>
          <w:rFonts w:ascii="Arial" w:hAnsi="Arial" w:eastAsia="Arial" w:cs="Arial"/>
          <w:sz w:val="24"/>
          <w:szCs w:val="24"/>
        </w:rPr>
      </w:pPr>
      <w:r>
        <w:rPr>
          <w:rFonts w:ascii="Arial" w:hAnsi="Arial" w:eastAsia="Arial" w:cs="Arial"/>
          <w:sz w:val="24"/>
          <w:szCs w:val="24"/>
          <w:rtl w:val="0"/>
        </w:rPr>
        <w:t>These criteria ensured that all included sources were recent, credible, and relevant to the NHS context, thereby enhancing validity and focus (Greenhalgh et al., 2018).</w:t>
      </w:r>
    </w:p>
    <w:p w14:paraId="000000BE">
      <w:pPr>
        <w:spacing w:after="0" w:line="360" w:lineRule="auto"/>
        <w:jc w:val="both"/>
        <w:rPr>
          <w:rFonts w:ascii="Arial" w:hAnsi="Arial" w:eastAsia="Arial" w:cs="Arial"/>
          <w:sz w:val="24"/>
          <w:szCs w:val="24"/>
        </w:rPr>
      </w:pPr>
    </w:p>
    <w:p w14:paraId="000000BF">
      <w:pPr>
        <w:spacing w:before="280" w:after="280" w:line="360" w:lineRule="auto"/>
        <w:jc w:val="both"/>
        <w:rPr>
          <w:rFonts w:ascii="Arial" w:hAnsi="Arial" w:eastAsia="Arial" w:cs="Arial"/>
          <w:b/>
          <w:sz w:val="36"/>
          <w:szCs w:val="36"/>
        </w:rPr>
      </w:pPr>
      <w:r>
        <w:rPr>
          <w:rFonts w:ascii="Arial" w:hAnsi="Arial" w:eastAsia="Arial" w:cs="Arial"/>
          <w:b/>
          <w:sz w:val="36"/>
          <w:szCs w:val="36"/>
          <w:rtl w:val="0"/>
        </w:rPr>
        <w:t>3.6 Analysing Research</w:t>
      </w:r>
    </w:p>
    <w:p w14:paraId="000000C0">
      <w:pPr>
        <w:spacing w:before="280" w:after="280" w:line="360" w:lineRule="auto"/>
        <w:jc w:val="both"/>
        <w:rPr>
          <w:rFonts w:ascii="Arial" w:hAnsi="Arial" w:eastAsia="Arial" w:cs="Arial"/>
          <w:b/>
          <w:sz w:val="27"/>
          <w:szCs w:val="27"/>
        </w:rPr>
      </w:pPr>
      <w:r>
        <w:rPr>
          <w:rFonts w:ascii="Arial" w:hAnsi="Arial" w:eastAsia="Arial" w:cs="Arial"/>
          <w:b/>
          <w:sz w:val="27"/>
          <w:szCs w:val="27"/>
          <w:rtl w:val="0"/>
        </w:rPr>
        <w:t>Thematic Coding Approach</w:t>
      </w:r>
    </w:p>
    <w:p w14:paraId="000000C1">
      <w:pPr>
        <w:spacing w:before="280" w:after="280" w:line="360" w:lineRule="auto"/>
        <w:jc w:val="both"/>
        <w:rPr>
          <w:rFonts w:ascii="Arial" w:hAnsi="Arial" w:eastAsia="Arial" w:cs="Arial"/>
          <w:sz w:val="24"/>
          <w:szCs w:val="24"/>
        </w:rPr>
      </w:pPr>
      <w:r>
        <w:rPr>
          <w:rFonts w:ascii="Arial" w:hAnsi="Arial" w:eastAsia="Arial" w:cs="Arial"/>
          <w:sz w:val="24"/>
          <w:szCs w:val="24"/>
          <w:rtl w:val="0"/>
        </w:rPr>
        <w:t xml:space="preserve">A </w:t>
      </w:r>
      <w:r>
        <w:rPr>
          <w:rFonts w:ascii="Arial" w:hAnsi="Arial" w:eastAsia="Arial" w:cs="Arial"/>
          <w:b/>
          <w:sz w:val="24"/>
          <w:szCs w:val="24"/>
          <w:rtl w:val="0"/>
        </w:rPr>
        <w:t>thematic analysis</w:t>
      </w:r>
      <w:r>
        <w:rPr>
          <w:rFonts w:ascii="Arial" w:hAnsi="Arial" w:eastAsia="Arial" w:cs="Arial"/>
          <w:sz w:val="24"/>
          <w:szCs w:val="24"/>
          <w:rtl w:val="0"/>
        </w:rPr>
        <w:t xml:space="preserve"> approach was used to interpret the selected literature. This followed the three-step process outlined by Thomas and Harden (2008):</w:t>
      </w:r>
    </w:p>
    <w:p w14:paraId="000000C2">
      <w:pPr>
        <w:numPr>
          <w:ilvl w:val="0"/>
          <w:numId w:val="8"/>
        </w:numPr>
        <w:spacing w:before="280" w:after="0" w:line="360" w:lineRule="auto"/>
        <w:ind w:left="720" w:hanging="360"/>
        <w:jc w:val="both"/>
        <w:rPr>
          <w:rFonts w:ascii="Arial" w:hAnsi="Arial" w:eastAsia="Arial" w:cs="Arial"/>
          <w:sz w:val="24"/>
          <w:szCs w:val="24"/>
        </w:rPr>
      </w:pPr>
      <w:r>
        <w:rPr>
          <w:rFonts w:ascii="Arial" w:hAnsi="Arial" w:eastAsia="Arial" w:cs="Arial"/>
          <w:b/>
          <w:sz w:val="24"/>
          <w:szCs w:val="24"/>
          <w:rtl w:val="0"/>
        </w:rPr>
        <w:t>Initial Coding:</w:t>
      </w:r>
      <w:r>
        <w:rPr>
          <w:rFonts w:ascii="Arial" w:hAnsi="Arial" w:eastAsia="Arial" w:cs="Arial"/>
          <w:sz w:val="24"/>
          <w:szCs w:val="24"/>
          <w:rtl w:val="0"/>
        </w:rPr>
        <w:t xml:space="preserve"> Each article was read and coded for recurring concepts such as </w:t>
      </w:r>
      <w:r>
        <w:rPr>
          <w:rFonts w:ascii="Arial" w:hAnsi="Arial" w:eastAsia="Arial" w:cs="Arial"/>
          <w:i/>
          <w:sz w:val="24"/>
          <w:szCs w:val="24"/>
          <w:rtl w:val="0"/>
        </w:rPr>
        <w:t>burnout causes</w:t>
      </w:r>
      <w:r>
        <w:rPr>
          <w:rFonts w:ascii="Arial" w:hAnsi="Arial" w:eastAsia="Arial" w:cs="Arial"/>
          <w:sz w:val="24"/>
          <w:szCs w:val="24"/>
          <w:rtl w:val="0"/>
        </w:rPr>
        <w:t xml:space="preserve">, </w:t>
      </w:r>
      <w:r>
        <w:rPr>
          <w:rFonts w:ascii="Arial" w:hAnsi="Arial" w:eastAsia="Arial" w:cs="Arial"/>
          <w:i/>
          <w:sz w:val="24"/>
          <w:szCs w:val="24"/>
          <w:rtl w:val="0"/>
        </w:rPr>
        <w:t>morale influences</w:t>
      </w:r>
      <w:r>
        <w:rPr>
          <w:rFonts w:ascii="Arial" w:hAnsi="Arial" w:eastAsia="Arial" w:cs="Arial"/>
          <w:sz w:val="24"/>
          <w:szCs w:val="24"/>
          <w:rtl w:val="0"/>
        </w:rPr>
        <w:t xml:space="preserve">, </w:t>
      </w:r>
      <w:r>
        <w:rPr>
          <w:rFonts w:ascii="Arial" w:hAnsi="Arial" w:eastAsia="Arial" w:cs="Arial"/>
          <w:i/>
          <w:sz w:val="24"/>
          <w:szCs w:val="24"/>
          <w:rtl w:val="0"/>
        </w:rPr>
        <w:t>organisational culture</w:t>
      </w:r>
      <w:r>
        <w:rPr>
          <w:rFonts w:ascii="Arial" w:hAnsi="Arial" w:eastAsia="Arial" w:cs="Arial"/>
          <w:sz w:val="24"/>
          <w:szCs w:val="24"/>
          <w:rtl w:val="0"/>
        </w:rPr>
        <w:t xml:space="preserve">, and </w:t>
      </w:r>
      <w:r>
        <w:rPr>
          <w:rFonts w:ascii="Arial" w:hAnsi="Arial" w:eastAsia="Arial" w:cs="Arial"/>
          <w:i/>
          <w:sz w:val="24"/>
          <w:szCs w:val="24"/>
          <w:rtl w:val="0"/>
        </w:rPr>
        <w:t>retention barriers</w:t>
      </w:r>
      <w:r>
        <w:rPr>
          <w:rFonts w:ascii="Arial" w:hAnsi="Arial" w:eastAsia="Arial" w:cs="Arial"/>
          <w:sz w:val="24"/>
          <w:szCs w:val="24"/>
          <w:rtl w:val="0"/>
        </w:rPr>
        <w:t>.</w:t>
      </w:r>
    </w:p>
    <w:p w14:paraId="000000C3">
      <w:pPr>
        <w:numPr>
          <w:ilvl w:val="0"/>
          <w:numId w:val="8"/>
        </w:numPr>
        <w:spacing w:before="0" w:after="0" w:line="360" w:lineRule="auto"/>
        <w:ind w:left="720" w:hanging="360"/>
        <w:jc w:val="both"/>
        <w:rPr>
          <w:rFonts w:ascii="Arial" w:hAnsi="Arial" w:eastAsia="Arial" w:cs="Arial"/>
          <w:sz w:val="24"/>
          <w:szCs w:val="24"/>
        </w:rPr>
      </w:pPr>
      <w:r>
        <w:rPr>
          <w:rFonts w:ascii="Arial" w:hAnsi="Arial" w:eastAsia="Arial" w:cs="Arial"/>
          <w:b/>
          <w:sz w:val="24"/>
          <w:szCs w:val="24"/>
          <w:rtl w:val="0"/>
        </w:rPr>
        <w:t>Developing Descriptive Themes:</w:t>
      </w:r>
      <w:r>
        <w:rPr>
          <w:rFonts w:ascii="Arial" w:hAnsi="Arial" w:eastAsia="Arial" w:cs="Arial"/>
          <w:sz w:val="24"/>
          <w:szCs w:val="24"/>
          <w:rtl w:val="0"/>
        </w:rPr>
        <w:t xml:space="preserve"> Similar codes were grouped together into categories that aligned with the research objectives (Braun and Clarke, 2019).</w:t>
      </w:r>
    </w:p>
    <w:p w14:paraId="000000C4">
      <w:pPr>
        <w:numPr>
          <w:ilvl w:val="0"/>
          <w:numId w:val="8"/>
        </w:numPr>
        <w:spacing w:before="0" w:after="280" w:line="360" w:lineRule="auto"/>
        <w:ind w:left="720" w:hanging="360"/>
        <w:jc w:val="both"/>
        <w:rPr>
          <w:rFonts w:ascii="Arial" w:hAnsi="Arial" w:eastAsia="Arial" w:cs="Arial"/>
          <w:sz w:val="24"/>
          <w:szCs w:val="24"/>
        </w:rPr>
      </w:pPr>
      <w:r>
        <w:rPr>
          <w:rFonts w:ascii="Arial" w:hAnsi="Arial" w:eastAsia="Arial" w:cs="Arial"/>
          <w:b/>
          <w:sz w:val="24"/>
          <w:szCs w:val="24"/>
          <w:rtl w:val="0"/>
        </w:rPr>
        <w:t>Generating Analytical Themes:</w:t>
      </w:r>
      <w:r>
        <w:rPr>
          <w:rFonts w:ascii="Arial" w:hAnsi="Arial" w:eastAsia="Arial" w:cs="Arial"/>
          <w:sz w:val="24"/>
          <w:szCs w:val="24"/>
          <w:rtl w:val="0"/>
        </w:rPr>
        <w:t xml:space="preserve"> Broader themes were formed to synthesise findings across multiple studies.</w:t>
      </w:r>
    </w:p>
    <w:p w14:paraId="000000C5">
      <w:pPr>
        <w:spacing w:before="280" w:after="280" w:line="360" w:lineRule="auto"/>
        <w:jc w:val="both"/>
        <w:rPr>
          <w:rFonts w:ascii="Arial" w:hAnsi="Arial" w:eastAsia="Arial" w:cs="Arial"/>
          <w:b/>
          <w:sz w:val="27"/>
          <w:szCs w:val="27"/>
        </w:rPr>
      </w:pPr>
      <w:r>
        <w:rPr>
          <w:rFonts w:ascii="Arial" w:hAnsi="Arial" w:eastAsia="Arial" w:cs="Arial"/>
          <w:b/>
          <w:sz w:val="27"/>
          <w:szCs w:val="27"/>
          <w:rtl w:val="0"/>
        </w:rPr>
        <w:t>Developing Themes</w:t>
      </w:r>
    </w:p>
    <w:p w14:paraId="000000C6">
      <w:pPr>
        <w:spacing w:before="280" w:after="280" w:line="360" w:lineRule="auto"/>
        <w:jc w:val="both"/>
        <w:rPr>
          <w:rFonts w:ascii="Arial" w:hAnsi="Arial" w:eastAsia="Arial" w:cs="Arial"/>
          <w:sz w:val="24"/>
          <w:szCs w:val="24"/>
        </w:rPr>
      </w:pPr>
      <w:r>
        <w:rPr>
          <w:rFonts w:ascii="Arial" w:hAnsi="Arial" w:eastAsia="Arial" w:cs="Arial"/>
          <w:sz w:val="24"/>
          <w:szCs w:val="24"/>
          <w:rtl w:val="0"/>
        </w:rPr>
        <w:t>Four major themes emerged:</w:t>
      </w:r>
    </w:p>
    <w:p w14:paraId="000000C7">
      <w:pPr>
        <w:numPr>
          <w:ilvl w:val="0"/>
          <w:numId w:val="9"/>
        </w:numPr>
        <w:spacing w:before="280" w:after="0" w:line="360" w:lineRule="auto"/>
        <w:ind w:left="720" w:hanging="360"/>
        <w:jc w:val="both"/>
        <w:rPr>
          <w:rFonts w:ascii="Arial" w:hAnsi="Arial" w:eastAsia="Arial" w:cs="Arial"/>
          <w:sz w:val="24"/>
          <w:szCs w:val="24"/>
        </w:rPr>
      </w:pPr>
      <w:r>
        <w:rPr>
          <w:rFonts w:ascii="Arial" w:hAnsi="Arial" w:eastAsia="Arial" w:cs="Arial"/>
          <w:b/>
          <w:sz w:val="24"/>
          <w:szCs w:val="24"/>
          <w:rtl w:val="0"/>
        </w:rPr>
        <w:t>Causes and manifestations of burnout among NHS staff.</w:t>
      </w:r>
    </w:p>
    <w:p w14:paraId="000000C8">
      <w:pPr>
        <w:numPr>
          <w:ilvl w:val="0"/>
          <w:numId w:val="9"/>
        </w:numPr>
        <w:spacing w:before="0" w:after="0" w:line="360" w:lineRule="auto"/>
        <w:ind w:left="720" w:hanging="360"/>
        <w:jc w:val="both"/>
        <w:rPr>
          <w:rFonts w:ascii="Arial" w:hAnsi="Arial" w:eastAsia="Arial" w:cs="Arial"/>
          <w:sz w:val="24"/>
          <w:szCs w:val="24"/>
        </w:rPr>
      </w:pPr>
      <w:r>
        <w:rPr>
          <w:rFonts w:ascii="Arial" w:hAnsi="Arial" w:eastAsia="Arial" w:cs="Arial"/>
          <w:b/>
          <w:sz w:val="24"/>
          <w:szCs w:val="24"/>
          <w:rtl w:val="0"/>
        </w:rPr>
        <w:t>Impact of organisational culture and leadership on morale.</w:t>
      </w:r>
    </w:p>
    <w:p w14:paraId="000000C9">
      <w:pPr>
        <w:numPr>
          <w:ilvl w:val="0"/>
          <w:numId w:val="9"/>
        </w:numPr>
        <w:spacing w:before="0" w:after="0" w:line="360" w:lineRule="auto"/>
        <w:ind w:left="720" w:hanging="360"/>
        <w:jc w:val="both"/>
        <w:rPr>
          <w:rFonts w:ascii="Arial" w:hAnsi="Arial" w:eastAsia="Arial" w:cs="Arial"/>
          <w:sz w:val="24"/>
          <w:szCs w:val="24"/>
        </w:rPr>
      </w:pPr>
      <w:r>
        <w:rPr>
          <w:rFonts w:ascii="Arial" w:hAnsi="Arial" w:eastAsia="Arial" w:cs="Arial"/>
          <w:b/>
          <w:sz w:val="24"/>
          <w:szCs w:val="24"/>
          <w:rtl w:val="0"/>
        </w:rPr>
        <w:t>Determinants of staff retention and turnover.</w:t>
      </w:r>
    </w:p>
    <w:p w14:paraId="000000CA">
      <w:pPr>
        <w:numPr>
          <w:ilvl w:val="0"/>
          <w:numId w:val="9"/>
        </w:numPr>
        <w:spacing w:before="0" w:after="280" w:line="360" w:lineRule="auto"/>
        <w:ind w:left="720" w:hanging="360"/>
        <w:jc w:val="both"/>
        <w:rPr>
          <w:rFonts w:ascii="Arial" w:hAnsi="Arial" w:eastAsia="Arial" w:cs="Arial"/>
          <w:sz w:val="24"/>
          <w:szCs w:val="24"/>
        </w:rPr>
      </w:pPr>
      <w:r>
        <w:rPr>
          <w:rFonts w:ascii="Arial" w:hAnsi="Arial" w:eastAsia="Arial" w:cs="Arial"/>
          <w:b/>
          <w:sz w:val="24"/>
          <w:szCs w:val="24"/>
          <w:rtl w:val="0"/>
        </w:rPr>
        <w:t>Strategies and interventions to improve workforce wellbeing.</w:t>
      </w:r>
    </w:p>
    <w:p w14:paraId="000000CB">
      <w:pPr>
        <w:spacing w:before="280" w:after="280" w:line="360" w:lineRule="auto"/>
        <w:jc w:val="both"/>
        <w:rPr>
          <w:rFonts w:ascii="Arial" w:hAnsi="Arial" w:eastAsia="Arial" w:cs="Arial"/>
          <w:b/>
          <w:sz w:val="27"/>
          <w:szCs w:val="27"/>
        </w:rPr>
      </w:pPr>
      <w:r>
        <w:rPr>
          <w:rFonts w:ascii="Arial" w:hAnsi="Arial" w:eastAsia="Arial" w:cs="Arial"/>
          <w:b/>
          <w:sz w:val="27"/>
          <w:szCs w:val="27"/>
          <w:rtl w:val="0"/>
        </w:rPr>
        <w:t>Organisation and Data Management</w:t>
      </w:r>
    </w:p>
    <w:p w14:paraId="000000CC">
      <w:pPr>
        <w:spacing w:before="280" w:after="280" w:line="360" w:lineRule="auto"/>
        <w:jc w:val="both"/>
        <w:rPr>
          <w:rFonts w:ascii="Arial" w:hAnsi="Arial" w:eastAsia="Arial" w:cs="Arial"/>
          <w:sz w:val="24"/>
          <w:szCs w:val="24"/>
        </w:rPr>
      </w:pPr>
      <w:r>
        <w:rPr>
          <w:rFonts w:ascii="Arial" w:hAnsi="Arial" w:eastAsia="Arial" w:cs="Arial"/>
          <w:sz w:val="24"/>
          <w:szCs w:val="24"/>
          <w:rtl w:val="0"/>
        </w:rPr>
        <w:t>Themes were organised and tracked using Microsoft Excel spreadsheets. A colour-coded system helped categorise codes and manage cross-references between studies (Nowell et al., 2017). This approach ensured transparency and supported a logical foundation for the findings discussed in Chapter 4.</w:t>
      </w:r>
    </w:p>
    <w:p w14:paraId="000000CD">
      <w:pPr>
        <w:spacing w:after="0" w:line="360" w:lineRule="auto"/>
        <w:jc w:val="both"/>
        <w:rPr>
          <w:rFonts w:ascii="Arial" w:hAnsi="Arial" w:eastAsia="Arial" w:cs="Arial"/>
          <w:sz w:val="24"/>
          <w:szCs w:val="24"/>
        </w:rPr>
      </w:pPr>
    </w:p>
    <w:p w14:paraId="000000CE">
      <w:pPr>
        <w:spacing w:before="280" w:after="280" w:line="360" w:lineRule="auto"/>
        <w:jc w:val="both"/>
        <w:rPr>
          <w:rFonts w:ascii="Arial" w:hAnsi="Arial" w:eastAsia="Arial" w:cs="Arial"/>
          <w:b/>
          <w:sz w:val="36"/>
          <w:szCs w:val="36"/>
        </w:rPr>
      </w:pPr>
      <w:r>
        <w:rPr>
          <w:rFonts w:ascii="Arial" w:hAnsi="Arial" w:eastAsia="Arial" w:cs="Arial"/>
          <w:b/>
          <w:sz w:val="36"/>
          <w:szCs w:val="36"/>
          <w:rtl w:val="0"/>
        </w:rPr>
        <w:t>3.7 Ethical Considerations</w:t>
      </w:r>
    </w:p>
    <w:p w14:paraId="000000CF">
      <w:pPr>
        <w:spacing w:before="280" w:after="280" w:line="360" w:lineRule="auto"/>
        <w:jc w:val="both"/>
        <w:rPr>
          <w:rFonts w:ascii="Arial" w:hAnsi="Arial" w:eastAsia="Arial" w:cs="Arial"/>
          <w:sz w:val="24"/>
          <w:szCs w:val="24"/>
        </w:rPr>
      </w:pPr>
      <w:r>
        <w:rPr>
          <w:rFonts w:ascii="Arial" w:hAnsi="Arial" w:eastAsia="Arial" w:cs="Arial"/>
          <w:sz w:val="24"/>
          <w:szCs w:val="24"/>
          <w:rtl w:val="0"/>
        </w:rPr>
        <w:t xml:space="preserve">Because this study is based entirely on secondary research, no new data collection or human participation took place. Therefore, ethical considerations primarily concerned the </w:t>
      </w:r>
      <w:r>
        <w:rPr>
          <w:rFonts w:ascii="Arial" w:hAnsi="Arial" w:eastAsia="Arial" w:cs="Arial"/>
          <w:b/>
          <w:sz w:val="24"/>
          <w:szCs w:val="24"/>
          <w:rtl w:val="0"/>
        </w:rPr>
        <w:t>integrity, accuracy, and transparency</w:t>
      </w:r>
      <w:r>
        <w:rPr>
          <w:rFonts w:ascii="Arial" w:hAnsi="Arial" w:eastAsia="Arial" w:cs="Arial"/>
          <w:sz w:val="24"/>
          <w:szCs w:val="24"/>
          <w:rtl w:val="0"/>
        </w:rPr>
        <w:t xml:space="preserve"> of the research process.</w:t>
      </w:r>
    </w:p>
    <w:p w14:paraId="000000D0">
      <w:pPr>
        <w:spacing w:before="280" w:after="280" w:line="360" w:lineRule="auto"/>
        <w:jc w:val="both"/>
        <w:rPr>
          <w:rFonts w:ascii="Arial" w:hAnsi="Arial" w:eastAsia="Arial" w:cs="Arial"/>
          <w:sz w:val="24"/>
          <w:szCs w:val="24"/>
        </w:rPr>
      </w:pPr>
      <w:r>
        <w:rPr>
          <w:rFonts w:ascii="Arial" w:hAnsi="Arial" w:eastAsia="Arial" w:cs="Arial"/>
          <w:sz w:val="24"/>
          <w:szCs w:val="24"/>
          <w:rtl w:val="0"/>
        </w:rPr>
        <w:t xml:space="preserve">All sources were referenced accurately using the </w:t>
      </w:r>
      <w:r>
        <w:rPr>
          <w:rFonts w:ascii="Arial" w:hAnsi="Arial" w:eastAsia="Arial" w:cs="Arial"/>
          <w:b/>
          <w:sz w:val="24"/>
          <w:szCs w:val="24"/>
          <w:rtl w:val="0"/>
        </w:rPr>
        <w:t>Harvard Referencing System</w:t>
      </w:r>
      <w:r>
        <w:rPr>
          <w:rFonts w:ascii="Arial" w:hAnsi="Arial" w:eastAsia="Arial" w:cs="Arial"/>
          <w:sz w:val="24"/>
          <w:szCs w:val="24"/>
          <w:rtl w:val="0"/>
        </w:rPr>
        <w:t xml:space="preserve"> to maintain academic honesty and prevent plagiarism (University of Wales Trinity Saint David, 2024). Care was taken to represent authors’ ideas faithfully without distortion or misinterpretation. The researcher also ensured that institutional policies on research ethics and data protection were followed.</w:t>
      </w:r>
    </w:p>
    <w:p w14:paraId="000000D1">
      <w:pPr>
        <w:spacing w:before="280" w:after="280" w:line="360" w:lineRule="auto"/>
        <w:jc w:val="both"/>
        <w:rPr>
          <w:rFonts w:ascii="Arial" w:hAnsi="Arial" w:eastAsia="Arial" w:cs="Arial"/>
          <w:sz w:val="24"/>
          <w:szCs w:val="24"/>
        </w:rPr>
      </w:pPr>
      <w:r>
        <w:rPr>
          <w:rFonts w:ascii="Arial" w:hAnsi="Arial" w:eastAsia="Arial" w:cs="Arial"/>
          <w:sz w:val="24"/>
          <w:szCs w:val="24"/>
          <w:rtl w:val="0"/>
        </w:rPr>
        <w:t>Academic integrity was maintained through rigorous paraphrasing, consistent citation, and critical engagement with the material. Where bias or subjectivity was identified in source materials, these limitations were noted within the analysis to uphold objectivity (West and Coia, 2019).</w:t>
      </w:r>
    </w:p>
    <w:p w14:paraId="000000D2">
      <w:pPr>
        <w:spacing w:after="0" w:line="360" w:lineRule="auto"/>
        <w:jc w:val="both"/>
        <w:rPr>
          <w:rFonts w:ascii="Arial" w:hAnsi="Arial" w:eastAsia="Arial" w:cs="Arial"/>
          <w:sz w:val="24"/>
          <w:szCs w:val="24"/>
        </w:rPr>
      </w:pPr>
    </w:p>
    <w:p w14:paraId="000000D3">
      <w:pPr>
        <w:spacing w:before="280" w:after="280" w:line="360" w:lineRule="auto"/>
        <w:jc w:val="both"/>
        <w:rPr>
          <w:rFonts w:ascii="Arial" w:hAnsi="Arial" w:eastAsia="Arial" w:cs="Arial"/>
          <w:b/>
          <w:sz w:val="36"/>
          <w:szCs w:val="36"/>
        </w:rPr>
      </w:pPr>
      <w:r>
        <w:rPr>
          <w:rFonts w:ascii="Arial" w:hAnsi="Arial" w:eastAsia="Arial" w:cs="Arial"/>
          <w:b/>
          <w:sz w:val="36"/>
          <w:szCs w:val="36"/>
          <w:rtl w:val="0"/>
        </w:rPr>
        <w:t>3.8 Chapter Conclusion</w:t>
      </w:r>
    </w:p>
    <w:p w14:paraId="000000D4">
      <w:pPr>
        <w:spacing w:before="280" w:after="280" w:line="360" w:lineRule="auto"/>
        <w:jc w:val="both"/>
        <w:rPr>
          <w:rFonts w:ascii="Arial" w:hAnsi="Arial" w:eastAsia="Arial" w:cs="Arial"/>
          <w:sz w:val="24"/>
          <w:szCs w:val="24"/>
        </w:rPr>
      </w:pPr>
      <w:r>
        <w:rPr>
          <w:rFonts w:ascii="Arial" w:hAnsi="Arial" w:eastAsia="Arial" w:cs="Arial"/>
          <w:sz w:val="24"/>
          <w:szCs w:val="24"/>
          <w:rtl w:val="0"/>
        </w:rPr>
        <w:t>This chapter has detailed the methodological framework for the dissertation. A comprehensive search strategy using multiple academic databases and institutional repositories ensured inclusion of credible and recent literature. The CRAAP test and clear inclusion/exclusion criteria enhanced source reliability. A thematic analysis method enabled systematic synthesis of data into coherent themes aligned with the research objectives.</w:t>
      </w:r>
    </w:p>
    <w:p w14:paraId="000000D5">
      <w:pPr>
        <w:spacing w:before="280" w:after="280" w:line="360" w:lineRule="auto"/>
        <w:jc w:val="both"/>
        <w:rPr>
          <w:rFonts w:ascii="Arial" w:hAnsi="Arial" w:eastAsia="Arial" w:cs="Arial"/>
          <w:sz w:val="24"/>
          <w:szCs w:val="24"/>
        </w:rPr>
      </w:pPr>
      <w:bookmarkStart w:id="1" w:name="_30j0zll" w:colFirst="0" w:colLast="0"/>
      <w:bookmarkEnd w:id="1"/>
      <w:r>
        <w:rPr>
          <w:rFonts w:ascii="Arial" w:hAnsi="Arial" w:eastAsia="Arial" w:cs="Arial"/>
          <w:sz w:val="24"/>
          <w:szCs w:val="24"/>
          <w:rtl w:val="0"/>
        </w:rPr>
        <w:t xml:space="preserve">These methodological processes underpin the credibility and transparency of the study. The next chapter will present the </w:t>
      </w:r>
      <w:r>
        <w:rPr>
          <w:rFonts w:ascii="Arial" w:hAnsi="Arial" w:eastAsia="Arial" w:cs="Arial"/>
          <w:b/>
          <w:sz w:val="24"/>
          <w:szCs w:val="24"/>
          <w:rtl w:val="0"/>
        </w:rPr>
        <w:t>findings and thematic analysis</w:t>
      </w:r>
      <w:r>
        <w:rPr>
          <w:rFonts w:ascii="Arial" w:hAnsi="Arial" w:eastAsia="Arial" w:cs="Arial"/>
          <w:sz w:val="24"/>
          <w:szCs w:val="24"/>
          <w:rtl w:val="0"/>
        </w:rPr>
        <w:t>, organised around four themes: workforce burnout, organisational culture and morale, retention factors, and strategies to improve wellbeing and sustainability within the NHS.</w:t>
      </w:r>
    </w:p>
    <w:p w14:paraId="000000D6">
      <w:pPr>
        <w:spacing w:after="0" w:line="360" w:lineRule="auto"/>
        <w:jc w:val="both"/>
        <w:rPr>
          <w:rFonts w:ascii="Arial" w:hAnsi="Arial" w:eastAsia="Arial" w:cs="Arial"/>
          <w:sz w:val="24"/>
          <w:szCs w:val="24"/>
        </w:rPr>
      </w:pPr>
    </w:p>
    <w:p w14:paraId="000000D7">
      <w:pPr>
        <w:tabs>
          <w:tab w:val="left" w:pos="2355"/>
        </w:tabs>
        <w:jc w:val="both"/>
        <w:rPr>
          <w:rFonts w:ascii="Play" w:hAnsi="Play" w:eastAsia="Play" w:cs="Play"/>
          <w:b/>
          <w:sz w:val="36"/>
          <w:szCs w:val="36"/>
        </w:rPr>
      </w:pPr>
    </w:p>
    <w:p w14:paraId="000000D8">
      <w:pPr>
        <w:jc w:val="both"/>
        <w:rPr>
          <w:rFonts w:ascii="Play" w:hAnsi="Play" w:eastAsia="Play" w:cs="Play"/>
          <w:b/>
          <w:sz w:val="36"/>
          <w:szCs w:val="36"/>
        </w:rPr>
      </w:pPr>
      <w:r>
        <w:rPr>
          <w:rFonts w:ascii="Play" w:hAnsi="Play" w:eastAsia="Play" w:cs="Play"/>
          <w:b/>
          <w:sz w:val="36"/>
          <w:szCs w:val="36"/>
          <w:rtl w:val="0"/>
        </w:rPr>
        <w:t>References ( Chapter1,2,3)</w:t>
      </w:r>
    </w:p>
    <w:p w14:paraId="000000D9">
      <w:pPr>
        <w:jc w:val="both"/>
        <w:rPr>
          <w:rFonts w:ascii="Play" w:hAnsi="Play" w:eastAsia="Play" w:cs="Play"/>
          <w:b/>
          <w:sz w:val="36"/>
          <w:szCs w:val="36"/>
        </w:rPr>
      </w:pPr>
    </w:p>
    <w:p w14:paraId="000000DA">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16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 xml:space="preserve">Bakker, A.B. and Demerouti, E. (2017) ‘Job demands–resources theory: taking stock and looking forward’, </w:t>
      </w:r>
      <w:r>
        <w:rPr>
          <w:rFonts w:ascii="Arial" w:hAnsi="Arial" w:eastAsia="Arial" w:cs="Arial"/>
          <w:b w:val="0"/>
          <w:i/>
          <w:smallCaps w:val="0"/>
          <w:strike w:val="0"/>
          <w:color w:val="000000"/>
          <w:sz w:val="22"/>
          <w:szCs w:val="22"/>
          <w:u w:val="none"/>
          <w:shd w:val="clear" w:fill="auto"/>
          <w:vertAlign w:val="baseline"/>
          <w:rtl w:val="0"/>
        </w:rPr>
        <w:t>Journal of Occupational Health Psychology</w:t>
      </w:r>
      <w:r>
        <w:rPr>
          <w:rFonts w:ascii="Arial" w:hAnsi="Arial" w:eastAsia="Arial" w:cs="Arial"/>
          <w:b w:val="0"/>
          <w:i w:val="0"/>
          <w:smallCaps w:val="0"/>
          <w:strike w:val="0"/>
          <w:color w:val="000000"/>
          <w:sz w:val="22"/>
          <w:szCs w:val="22"/>
          <w:u w:val="none"/>
          <w:shd w:val="clear" w:fill="auto"/>
          <w:vertAlign w:val="baseline"/>
          <w:rtl w:val="0"/>
        </w:rPr>
        <w:t>, 22(3), pp. 273–285.</w:t>
      </w:r>
    </w:p>
    <w:p w14:paraId="000000DB">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16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 xml:space="preserve">Blaxter, L., Hughes, C. and Tight, M. (2019) </w:t>
      </w:r>
      <w:r>
        <w:rPr>
          <w:rFonts w:ascii="Arial" w:hAnsi="Arial" w:eastAsia="Arial" w:cs="Arial"/>
          <w:b w:val="0"/>
          <w:i/>
          <w:smallCaps w:val="0"/>
          <w:strike w:val="0"/>
          <w:color w:val="000000"/>
          <w:sz w:val="22"/>
          <w:szCs w:val="22"/>
          <w:u w:val="none"/>
          <w:shd w:val="clear" w:fill="auto"/>
          <w:vertAlign w:val="baseline"/>
          <w:rtl w:val="0"/>
        </w:rPr>
        <w:t>How to Research</w:t>
      </w:r>
      <w:r>
        <w:rPr>
          <w:rFonts w:ascii="Arial" w:hAnsi="Arial" w:eastAsia="Arial" w:cs="Arial"/>
          <w:b w:val="0"/>
          <w:i w:val="0"/>
          <w:smallCaps w:val="0"/>
          <w:strike w:val="0"/>
          <w:color w:val="000000"/>
          <w:sz w:val="22"/>
          <w:szCs w:val="22"/>
          <w:u w:val="none"/>
          <w:shd w:val="clear" w:fill="auto"/>
          <w:vertAlign w:val="baseline"/>
          <w:rtl w:val="0"/>
        </w:rPr>
        <w:t>. 5th edn. Maidenhead: Open University Press.</w:t>
      </w:r>
    </w:p>
    <w:p w14:paraId="000000DC">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16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 xml:space="preserve">BMJ Open (2023) ‘Work stress, workload and understaffing driving out health professionals from NHS’, </w:t>
      </w:r>
      <w:r>
        <w:rPr>
          <w:rFonts w:ascii="Arial" w:hAnsi="Arial" w:eastAsia="Arial" w:cs="Arial"/>
          <w:b w:val="0"/>
          <w:i/>
          <w:smallCaps w:val="0"/>
          <w:strike w:val="0"/>
          <w:color w:val="000000"/>
          <w:sz w:val="22"/>
          <w:szCs w:val="22"/>
          <w:u w:val="none"/>
          <w:shd w:val="clear" w:fill="auto"/>
          <w:vertAlign w:val="baseline"/>
          <w:rtl w:val="0"/>
        </w:rPr>
        <w:t>BMJ Open</w:t>
      </w:r>
      <w:r>
        <w:rPr>
          <w:rFonts w:ascii="Arial" w:hAnsi="Arial" w:eastAsia="Arial" w:cs="Arial"/>
          <w:b w:val="0"/>
          <w:i w:val="0"/>
          <w:smallCaps w:val="0"/>
          <w:strike w:val="0"/>
          <w:color w:val="000000"/>
          <w:sz w:val="22"/>
          <w:szCs w:val="22"/>
          <w:u w:val="none"/>
          <w:shd w:val="clear" w:fill="auto"/>
          <w:vertAlign w:val="baseline"/>
          <w:rtl w:val="0"/>
        </w:rPr>
        <w:t>, 13, e066140.</w:t>
      </w:r>
    </w:p>
    <w:p w14:paraId="000000D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16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 xml:space="preserve">Braun, V. and Clarke, V. (2019) ‘Reflecting on reflexive thematic analysis’, </w:t>
      </w:r>
      <w:r>
        <w:rPr>
          <w:rFonts w:ascii="Arial" w:hAnsi="Arial" w:eastAsia="Arial" w:cs="Arial"/>
          <w:b w:val="0"/>
          <w:i/>
          <w:smallCaps w:val="0"/>
          <w:strike w:val="0"/>
          <w:color w:val="000000"/>
          <w:sz w:val="22"/>
          <w:szCs w:val="22"/>
          <w:u w:val="none"/>
          <w:shd w:val="clear" w:fill="auto"/>
          <w:vertAlign w:val="baseline"/>
          <w:rtl w:val="0"/>
        </w:rPr>
        <w:t>Qualitative Research in Sport, Exercise and Health</w:t>
      </w:r>
      <w:r>
        <w:rPr>
          <w:rFonts w:ascii="Arial" w:hAnsi="Arial" w:eastAsia="Arial" w:cs="Arial"/>
          <w:b w:val="0"/>
          <w:i w:val="0"/>
          <w:smallCaps w:val="0"/>
          <w:strike w:val="0"/>
          <w:color w:val="000000"/>
          <w:sz w:val="22"/>
          <w:szCs w:val="22"/>
          <w:u w:val="none"/>
          <w:shd w:val="clear" w:fill="auto"/>
          <w:vertAlign w:val="baseline"/>
          <w:rtl w:val="0"/>
        </w:rPr>
        <w:t>, 11(4), pp. 589–597.</w:t>
      </w:r>
    </w:p>
    <w:p w14:paraId="000000DE">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16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 xml:space="preserve">Chan, B., Bukhari, S.A., Keshtkar, F. and Meczkowska, A. (2025) ‘A narrative-driven computational framework for clinician burnout surveillance’, </w:t>
      </w:r>
      <w:r>
        <w:rPr>
          <w:rFonts w:ascii="Arial" w:hAnsi="Arial" w:eastAsia="Arial" w:cs="Arial"/>
          <w:b w:val="0"/>
          <w:i/>
          <w:smallCaps w:val="0"/>
          <w:strike w:val="0"/>
          <w:color w:val="000000"/>
          <w:sz w:val="22"/>
          <w:szCs w:val="22"/>
          <w:u w:val="none"/>
          <w:shd w:val="clear" w:fill="auto"/>
          <w:vertAlign w:val="baseline"/>
          <w:rtl w:val="0"/>
        </w:rPr>
        <w:t>arXiv preprint</w:t>
      </w:r>
      <w:r>
        <w:rPr>
          <w:rFonts w:ascii="Arial" w:hAnsi="Arial" w:eastAsia="Arial" w:cs="Arial"/>
          <w:b w:val="0"/>
          <w:i w:val="0"/>
          <w:smallCaps w:val="0"/>
          <w:strike w:val="0"/>
          <w:color w:val="000000"/>
          <w:sz w:val="22"/>
          <w:szCs w:val="22"/>
          <w:u w:val="none"/>
          <w:shd w:val="clear" w:fill="auto"/>
          <w:vertAlign w:val="baseline"/>
          <w:rtl w:val="0"/>
        </w:rPr>
        <w:t>, arXiv:2509.04497.</w:t>
      </w:r>
    </w:p>
    <w:p w14:paraId="000000DF">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16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 xml:space="preserve">Coughlan, M., Cronin, P. and Ryan, F. (2017) </w:t>
      </w:r>
      <w:r>
        <w:rPr>
          <w:rFonts w:ascii="Arial" w:hAnsi="Arial" w:eastAsia="Arial" w:cs="Arial"/>
          <w:b w:val="0"/>
          <w:i/>
          <w:smallCaps w:val="0"/>
          <w:strike w:val="0"/>
          <w:color w:val="000000"/>
          <w:sz w:val="22"/>
          <w:szCs w:val="22"/>
          <w:u w:val="none"/>
          <w:shd w:val="clear" w:fill="auto"/>
          <w:vertAlign w:val="baseline"/>
          <w:rtl w:val="0"/>
        </w:rPr>
        <w:t>Doing a Literature Review in Nursing, Health and Social Care</w:t>
      </w:r>
      <w:r>
        <w:rPr>
          <w:rFonts w:ascii="Arial" w:hAnsi="Arial" w:eastAsia="Arial" w:cs="Arial"/>
          <w:b w:val="0"/>
          <w:i w:val="0"/>
          <w:smallCaps w:val="0"/>
          <w:strike w:val="0"/>
          <w:color w:val="000000"/>
          <w:sz w:val="22"/>
          <w:szCs w:val="22"/>
          <w:u w:val="none"/>
          <w:shd w:val="clear" w:fill="auto"/>
          <w:vertAlign w:val="baseline"/>
          <w:rtl w:val="0"/>
        </w:rPr>
        <w:t>. 3rd edn. London: SAGE.</w:t>
      </w:r>
    </w:p>
    <w:p w14:paraId="000000E0">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16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 xml:space="preserve">Cropanzano, R. and Mitchell, M.S. (2005) ‘Social exchange theory: an interdisciplinary review’, </w:t>
      </w:r>
      <w:r>
        <w:rPr>
          <w:rFonts w:ascii="Arial" w:hAnsi="Arial" w:eastAsia="Arial" w:cs="Arial"/>
          <w:b w:val="0"/>
          <w:i/>
          <w:smallCaps w:val="0"/>
          <w:strike w:val="0"/>
          <w:color w:val="000000"/>
          <w:sz w:val="22"/>
          <w:szCs w:val="22"/>
          <w:u w:val="none"/>
          <w:shd w:val="clear" w:fill="auto"/>
          <w:vertAlign w:val="baseline"/>
          <w:rtl w:val="0"/>
        </w:rPr>
        <w:t>Journal of Management</w:t>
      </w:r>
      <w:r>
        <w:rPr>
          <w:rFonts w:ascii="Arial" w:hAnsi="Arial" w:eastAsia="Arial" w:cs="Arial"/>
          <w:b w:val="0"/>
          <w:i w:val="0"/>
          <w:smallCaps w:val="0"/>
          <w:strike w:val="0"/>
          <w:color w:val="000000"/>
          <w:sz w:val="22"/>
          <w:szCs w:val="22"/>
          <w:u w:val="none"/>
          <w:shd w:val="clear" w:fill="auto"/>
          <w:vertAlign w:val="baseline"/>
          <w:rtl w:val="0"/>
        </w:rPr>
        <w:t>, 31(6), pp. 874–900.</w:t>
      </w:r>
    </w:p>
    <w:p w14:paraId="000000E1">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16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 xml:space="preserve">Dall’Ora, C. (2020) ‘Burnout in nursing: a theoretical review’, </w:t>
      </w:r>
      <w:r>
        <w:rPr>
          <w:rFonts w:ascii="Arial" w:hAnsi="Arial" w:eastAsia="Arial" w:cs="Arial"/>
          <w:b w:val="0"/>
          <w:i/>
          <w:smallCaps w:val="0"/>
          <w:strike w:val="0"/>
          <w:color w:val="000000"/>
          <w:sz w:val="22"/>
          <w:szCs w:val="22"/>
          <w:u w:val="none"/>
          <w:shd w:val="clear" w:fill="auto"/>
          <w:vertAlign w:val="baseline"/>
          <w:rtl w:val="0"/>
        </w:rPr>
        <w:t>Journal of Nursing Scholarship</w:t>
      </w:r>
      <w:r>
        <w:rPr>
          <w:rFonts w:ascii="Arial" w:hAnsi="Arial" w:eastAsia="Arial" w:cs="Arial"/>
          <w:b w:val="0"/>
          <w:i w:val="0"/>
          <w:smallCaps w:val="0"/>
          <w:strike w:val="0"/>
          <w:color w:val="000000"/>
          <w:sz w:val="22"/>
          <w:szCs w:val="22"/>
          <w:u w:val="none"/>
          <w:shd w:val="clear" w:fill="auto"/>
          <w:vertAlign w:val="baseline"/>
          <w:rtl w:val="0"/>
        </w:rPr>
        <w:t>, 52(2), pp. 169–177.</w:t>
      </w:r>
    </w:p>
    <w:p w14:paraId="000000E2">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16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 xml:space="preserve">Deci, E.L. and Ryan, R.M. (2008) ‘Self-determination theory: a macro theory of human motivation, development, and health’, </w:t>
      </w:r>
      <w:r>
        <w:rPr>
          <w:rFonts w:ascii="Arial" w:hAnsi="Arial" w:eastAsia="Arial" w:cs="Arial"/>
          <w:b w:val="0"/>
          <w:i/>
          <w:smallCaps w:val="0"/>
          <w:strike w:val="0"/>
          <w:color w:val="000000"/>
          <w:sz w:val="22"/>
          <w:szCs w:val="22"/>
          <w:u w:val="none"/>
          <w:shd w:val="clear" w:fill="auto"/>
          <w:vertAlign w:val="baseline"/>
          <w:rtl w:val="0"/>
        </w:rPr>
        <w:t>Canadian Psychology</w:t>
      </w:r>
      <w:r>
        <w:rPr>
          <w:rFonts w:ascii="Arial" w:hAnsi="Arial" w:eastAsia="Arial" w:cs="Arial"/>
          <w:b w:val="0"/>
          <w:i w:val="0"/>
          <w:smallCaps w:val="0"/>
          <w:strike w:val="0"/>
          <w:color w:val="000000"/>
          <w:sz w:val="22"/>
          <w:szCs w:val="22"/>
          <w:u w:val="none"/>
          <w:shd w:val="clear" w:fill="auto"/>
          <w:vertAlign w:val="baseline"/>
          <w:rtl w:val="0"/>
        </w:rPr>
        <w:t>, 49(3), pp. 182–185.</w:t>
      </w:r>
    </w:p>
    <w:p w14:paraId="000000E3">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16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 xml:space="preserve">Department of Health Australia (2022) </w:t>
      </w:r>
      <w:r>
        <w:rPr>
          <w:rFonts w:ascii="Arial" w:hAnsi="Arial" w:eastAsia="Arial" w:cs="Arial"/>
          <w:b w:val="0"/>
          <w:i/>
          <w:smallCaps w:val="0"/>
          <w:strike w:val="0"/>
          <w:color w:val="000000"/>
          <w:sz w:val="22"/>
          <w:szCs w:val="22"/>
          <w:u w:val="none"/>
          <w:shd w:val="clear" w:fill="auto"/>
          <w:vertAlign w:val="baseline"/>
          <w:rtl w:val="0"/>
        </w:rPr>
        <w:t>National Health Workforce Strategy 2022–2032</w:t>
      </w:r>
      <w:r>
        <w:rPr>
          <w:rFonts w:ascii="Arial" w:hAnsi="Arial" w:eastAsia="Arial" w:cs="Arial"/>
          <w:b w:val="0"/>
          <w:i w:val="0"/>
          <w:smallCaps w:val="0"/>
          <w:strike w:val="0"/>
          <w:color w:val="000000"/>
          <w:sz w:val="22"/>
          <w:szCs w:val="22"/>
          <w:u w:val="none"/>
          <w:shd w:val="clear" w:fill="auto"/>
          <w:vertAlign w:val="baseline"/>
          <w:rtl w:val="0"/>
        </w:rPr>
        <w:t>. Canberra: Australian Government.</w:t>
      </w:r>
    </w:p>
    <w:p w14:paraId="000000E4">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16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 xml:space="preserve">Francis, R. (2013) </w:t>
      </w:r>
      <w:r>
        <w:rPr>
          <w:rFonts w:ascii="Arial" w:hAnsi="Arial" w:eastAsia="Arial" w:cs="Arial"/>
          <w:b w:val="0"/>
          <w:i/>
          <w:smallCaps w:val="0"/>
          <w:strike w:val="0"/>
          <w:color w:val="000000"/>
          <w:sz w:val="22"/>
          <w:szCs w:val="22"/>
          <w:u w:val="none"/>
          <w:shd w:val="clear" w:fill="auto"/>
          <w:vertAlign w:val="baseline"/>
          <w:rtl w:val="0"/>
        </w:rPr>
        <w:t>Report of the Mid Staffordshire NHS Foundation Trust Public Inquiry</w:t>
      </w:r>
      <w:r>
        <w:rPr>
          <w:rFonts w:ascii="Arial" w:hAnsi="Arial" w:eastAsia="Arial" w:cs="Arial"/>
          <w:b w:val="0"/>
          <w:i w:val="0"/>
          <w:smallCaps w:val="0"/>
          <w:strike w:val="0"/>
          <w:color w:val="000000"/>
          <w:sz w:val="22"/>
          <w:szCs w:val="22"/>
          <w:u w:val="none"/>
          <w:shd w:val="clear" w:fill="auto"/>
          <w:vertAlign w:val="baseline"/>
          <w:rtl w:val="0"/>
        </w:rPr>
        <w:t>. London: The Stationery Office.</w:t>
      </w:r>
    </w:p>
    <w:p w14:paraId="000000E5">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16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 xml:space="preserve">Ghasemi Kooktapeh, Z., Dustmohammadloo, H., Mehrdoost, H. and Fatehi, F. (2023) ‘In the line of fire: a systematic review and meta-analysis of job burnout among nurses’, </w:t>
      </w:r>
      <w:r>
        <w:rPr>
          <w:rFonts w:ascii="Arial" w:hAnsi="Arial" w:eastAsia="Arial" w:cs="Arial"/>
          <w:b w:val="0"/>
          <w:i/>
          <w:smallCaps w:val="0"/>
          <w:strike w:val="0"/>
          <w:color w:val="000000"/>
          <w:sz w:val="22"/>
          <w:szCs w:val="22"/>
          <w:u w:val="none"/>
          <w:shd w:val="clear" w:fill="auto"/>
          <w:vertAlign w:val="baseline"/>
          <w:rtl w:val="0"/>
        </w:rPr>
        <w:t>arXiv preprint</w:t>
      </w:r>
      <w:r>
        <w:rPr>
          <w:rFonts w:ascii="Arial" w:hAnsi="Arial" w:eastAsia="Arial" w:cs="Arial"/>
          <w:b w:val="0"/>
          <w:i w:val="0"/>
          <w:smallCaps w:val="0"/>
          <w:strike w:val="0"/>
          <w:color w:val="000000"/>
          <w:sz w:val="22"/>
          <w:szCs w:val="22"/>
          <w:u w:val="none"/>
          <w:shd w:val="clear" w:fill="auto"/>
          <w:vertAlign w:val="baseline"/>
          <w:rtl w:val="0"/>
        </w:rPr>
        <w:t>, arXiv:2312.14853.</w:t>
      </w:r>
    </w:p>
    <w:p w14:paraId="000000E6">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16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 xml:space="preserve">Gemine, R., Davies, G.R., Tarrant, S., Davies, R.M., James, M. and Lewis, K. (2022) ‘Factors associated with work-related burnout in NHS staff during COVID-19: a cross-sectional mixed-methods study’, </w:t>
      </w:r>
      <w:r>
        <w:rPr>
          <w:rFonts w:ascii="Arial" w:hAnsi="Arial" w:eastAsia="Arial" w:cs="Arial"/>
          <w:b w:val="0"/>
          <w:i/>
          <w:smallCaps w:val="0"/>
          <w:strike w:val="0"/>
          <w:color w:val="000000"/>
          <w:sz w:val="22"/>
          <w:szCs w:val="22"/>
          <w:u w:val="none"/>
          <w:shd w:val="clear" w:fill="auto"/>
          <w:vertAlign w:val="baseline"/>
          <w:rtl w:val="0"/>
        </w:rPr>
        <w:t>BMJ Open</w:t>
      </w:r>
      <w:r>
        <w:rPr>
          <w:rFonts w:ascii="Arial" w:hAnsi="Arial" w:eastAsia="Arial" w:cs="Arial"/>
          <w:b w:val="0"/>
          <w:i w:val="0"/>
          <w:smallCaps w:val="0"/>
          <w:strike w:val="0"/>
          <w:color w:val="000000"/>
          <w:sz w:val="22"/>
          <w:szCs w:val="22"/>
          <w:u w:val="none"/>
          <w:shd w:val="clear" w:fill="auto"/>
          <w:vertAlign w:val="baseline"/>
          <w:rtl w:val="0"/>
        </w:rPr>
        <w:t>, 12, e058832.</w:t>
      </w:r>
    </w:p>
    <w:p w14:paraId="000000E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16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 xml:space="preserve">Greenhalgh, T., Wherton, J., Papoutsi, C., Lynch, J. and Hughes, G. (2018) ‘Analysing the role of context in health policy and practice’, </w:t>
      </w:r>
      <w:r>
        <w:rPr>
          <w:rFonts w:ascii="Arial" w:hAnsi="Arial" w:eastAsia="Arial" w:cs="Arial"/>
          <w:b w:val="0"/>
          <w:i/>
          <w:smallCaps w:val="0"/>
          <w:strike w:val="0"/>
          <w:color w:val="000000"/>
          <w:sz w:val="22"/>
          <w:szCs w:val="22"/>
          <w:u w:val="none"/>
          <w:shd w:val="clear" w:fill="auto"/>
          <w:vertAlign w:val="baseline"/>
          <w:rtl w:val="0"/>
        </w:rPr>
        <w:t>BMC Medicine</w:t>
      </w:r>
      <w:r>
        <w:rPr>
          <w:rFonts w:ascii="Arial" w:hAnsi="Arial" w:eastAsia="Arial" w:cs="Arial"/>
          <w:b w:val="0"/>
          <w:i w:val="0"/>
          <w:smallCaps w:val="0"/>
          <w:strike w:val="0"/>
          <w:color w:val="000000"/>
          <w:sz w:val="22"/>
          <w:szCs w:val="22"/>
          <w:u w:val="none"/>
          <w:shd w:val="clear" w:fill="auto"/>
          <w:vertAlign w:val="baseline"/>
          <w:rtl w:val="0"/>
        </w:rPr>
        <w:t>, 16(1), pp. 1–12.</w:t>
      </w:r>
    </w:p>
    <w:p w14:paraId="000000E8">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16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 xml:space="preserve">Ham, C. (2009) </w:t>
      </w:r>
      <w:r>
        <w:rPr>
          <w:rFonts w:ascii="Arial" w:hAnsi="Arial" w:eastAsia="Arial" w:cs="Arial"/>
          <w:b w:val="0"/>
          <w:i/>
          <w:smallCaps w:val="0"/>
          <w:strike w:val="0"/>
          <w:color w:val="000000"/>
          <w:sz w:val="22"/>
          <w:szCs w:val="22"/>
          <w:u w:val="none"/>
          <w:shd w:val="clear" w:fill="auto"/>
          <w:vertAlign w:val="baseline"/>
          <w:rtl w:val="0"/>
        </w:rPr>
        <w:t>Health Policy in Britain: The Politics and Organisation of the National Health Service</w:t>
      </w:r>
      <w:r>
        <w:rPr>
          <w:rFonts w:ascii="Arial" w:hAnsi="Arial" w:eastAsia="Arial" w:cs="Arial"/>
          <w:b w:val="0"/>
          <w:i w:val="0"/>
          <w:smallCaps w:val="0"/>
          <w:strike w:val="0"/>
          <w:color w:val="000000"/>
          <w:sz w:val="22"/>
          <w:szCs w:val="22"/>
          <w:u w:val="none"/>
          <w:shd w:val="clear" w:fill="auto"/>
          <w:vertAlign w:val="baseline"/>
          <w:rtl w:val="0"/>
        </w:rPr>
        <w:t>. 6th edn. Basingstoke: Palgrave Macmillan.</w:t>
      </w:r>
    </w:p>
    <w:p w14:paraId="000000E9">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16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 xml:space="preserve">Hewage, H.C. and Rostami Tabar, B. (2024) ‘A hybrid predictive and prescriptive modelling framework for long-term mental health care workforce planning’, </w:t>
      </w:r>
      <w:r>
        <w:rPr>
          <w:rFonts w:ascii="Arial" w:hAnsi="Arial" w:eastAsia="Arial" w:cs="Arial"/>
          <w:b w:val="0"/>
          <w:i/>
          <w:smallCaps w:val="0"/>
          <w:strike w:val="0"/>
          <w:color w:val="000000"/>
          <w:sz w:val="22"/>
          <w:szCs w:val="22"/>
          <w:u w:val="none"/>
          <w:shd w:val="clear" w:fill="auto"/>
          <w:vertAlign w:val="baseline"/>
          <w:rtl w:val="0"/>
        </w:rPr>
        <w:t>arXiv preprint</w:t>
      </w:r>
      <w:r>
        <w:rPr>
          <w:rFonts w:ascii="Arial" w:hAnsi="Arial" w:eastAsia="Arial" w:cs="Arial"/>
          <w:b w:val="0"/>
          <w:i w:val="0"/>
          <w:smallCaps w:val="0"/>
          <w:strike w:val="0"/>
          <w:color w:val="000000"/>
          <w:sz w:val="22"/>
          <w:szCs w:val="22"/>
          <w:u w:val="none"/>
          <w:shd w:val="clear" w:fill="auto"/>
          <w:vertAlign w:val="baseline"/>
          <w:rtl w:val="0"/>
        </w:rPr>
        <w:t>, arXiv:2406.17463.</w:t>
      </w:r>
    </w:p>
    <w:p w14:paraId="000000EA">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16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 xml:space="preserve">Johnson, J. (2018) ‘Mental healthcare staff wellbeing and burnout’, </w:t>
      </w:r>
      <w:r>
        <w:rPr>
          <w:rFonts w:ascii="Arial" w:hAnsi="Arial" w:eastAsia="Arial" w:cs="Arial"/>
          <w:b w:val="0"/>
          <w:i/>
          <w:smallCaps w:val="0"/>
          <w:strike w:val="0"/>
          <w:color w:val="000000"/>
          <w:sz w:val="22"/>
          <w:szCs w:val="22"/>
          <w:u w:val="none"/>
          <w:shd w:val="clear" w:fill="auto"/>
          <w:vertAlign w:val="baseline"/>
          <w:rtl w:val="0"/>
        </w:rPr>
        <w:t>British Journal of Healthcare Management</w:t>
      </w:r>
      <w:r>
        <w:rPr>
          <w:rFonts w:ascii="Arial" w:hAnsi="Arial" w:eastAsia="Arial" w:cs="Arial"/>
          <w:b w:val="0"/>
          <w:i w:val="0"/>
          <w:smallCaps w:val="0"/>
          <w:strike w:val="0"/>
          <w:color w:val="000000"/>
          <w:sz w:val="22"/>
          <w:szCs w:val="22"/>
          <w:u w:val="none"/>
          <w:shd w:val="clear" w:fill="auto"/>
          <w:vertAlign w:val="baseline"/>
          <w:rtl w:val="0"/>
        </w:rPr>
        <w:t>, 24(9), pp. 430–436.</w:t>
      </w:r>
    </w:p>
    <w:p w14:paraId="000000EB">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16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 xml:space="preserve">Kirkpatrick, I., Ackroyd, S. and Walker, R. (2005) </w:t>
      </w:r>
      <w:r>
        <w:rPr>
          <w:rFonts w:ascii="Arial" w:hAnsi="Arial" w:eastAsia="Arial" w:cs="Arial"/>
          <w:b w:val="0"/>
          <w:i/>
          <w:smallCaps w:val="0"/>
          <w:strike w:val="0"/>
          <w:color w:val="000000"/>
          <w:sz w:val="22"/>
          <w:szCs w:val="22"/>
          <w:u w:val="none"/>
          <w:shd w:val="clear" w:fill="auto"/>
          <w:vertAlign w:val="baseline"/>
          <w:rtl w:val="0"/>
        </w:rPr>
        <w:t>The New Managerialism and Public Service Professions</w:t>
      </w:r>
      <w:r>
        <w:rPr>
          <w:rFonts w:ascii="Arial" w:hAnsi="Arial" w:eastAsia="Arial" w:cs="Arial"/>
          <w:b w:val="0"/>
          <w:i w:val="0"/>
          <w:smallCaps w:val="0"/>
          <w:strike w:val="0"/>
          <w:color w:val="000000"/>
          <w:sz w:val="22"/>
          <w:szCs w:val="22"/>
          <w:u w:val="none"/>
          <w:shd w:val="clear" w:fill="auto"/>
          <w:vertAlign w:val="baseline"/>
          <w:rtl w:val="0"/>
        </w:rPr>
        <w:t>. Basingstoke: Palgrave Macmillan.</w:t>
      </w:r>
    </w:p>
    <w:p w14:paraId="000000EC">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16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 xml:space="preserve">Kline, R. (2022) </w:t>
      </w:r>
      <w:r>
        <w:rPr>
          <w:rFonts w:ascii="Arial" w:hAnsi="Arial" w:eastAsia="Arial" w:cs="Arial"/>
          <w:b w:val="0"/>
          <w:i/>
          <w:smallCaps w:val="0"/>
          <w:strike w:val="0"/>
          <w:color w:val="000000"/>
          <w:sz w:val="22"/>
          <w:szCs w:val="22"/>
          <w:u w:val="none"/>
          <w:shd w:val="clear" w:fill="auto"/>
          <w:vertAlign w:val="baseline"/>
          <w:rtl w:val="0"/>
        </w:rPr>
        <w:t>Race Inequality in the NHS Workforce: Addressing Inequality and Promoting Inclusion</w:t>
      </w:r>
      <w:r>
        <w:rPr>
          <w:rFonts w:ascii="Arial" w:hAnsi="Arial" w:eastAsia="Arial" w:cs="Arial"/>
          <w:b w:val="0"/>
          <w:i w:val="0"/>
          <w:smallCaps w:val="0"/>
          <w:strike w:val="0"/>
          <w:color w:val="000000"/>
          <w:sz w:val="22"/>
          <w:szCs w:val="22"/>
          <w:u w:val="none"/>
          <w:shd w:val="clear" w:fill="auto"/>
          <w:vertAlign w:val="baseline"/>
          <w:rtl w:val="0"/>
        </w:rPr>
        <w:t>. London: NHS Confederation.</w:t>
      </w:r>
    </w:p>
    <w:p w14:paraId="000000E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16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 xml:space="preserve">Lundqvist, L. and Sandström, M. (2023) ‘Creating psychologically safe healthcare environments: lessons from Scandinavian welfare models’, </w:t>
      </w:r>
      <w:r>
        <w:rPr>
          <w:rFonts w:ascii="Arial" w:hAnsi="Arial" w:eastAsia="Arial" w:cs="Arial"/>
          <w:b w:val="0"/>
          <w:i/>
          <w:smallCaps w:val="0"/>
          <w:strike w:val="0"/>
          <w:color w:val="000000"/>
          <w:sz w:val="22"/>
          <w:szCs w:val="22"/>
          <w:u w:val="none"/>
          <w:shd w:val="clear" w:fill="auto"/>
          <w:vertAlign w:val="baseline"/>
          <w:rtl w:val="0"/>
        </w:rPr>
        <w:t>Health Policy Journal</w:t>
      </w:r>
      <w:r>
        <w:rPr>
          <w:rFonts w:ascii="Arial" w:hAnsi="Arial" w:eastAsia="Arial" w:cs="Arial"/>
          <w:b w:val="0"/>
          <w:i w:val="0"/>
          <w:smallCaps w:val="0"/>
          <w:strike w:val="0"/>
          <w:color w:val="000000"/>
          <w:sz w:val="22"/>
          <w:szCs w:val="22"/>
          <w:u w:val="none"/>
          <w:shd w:val="clear" w:fill="auto"/>
          <w:vertAlign w:val="baseline"/>
          <w:rtl w:val="0"/>
        </w:rPr>
        <w:t>, 127(4), pp. 562–574.</w:t>
      </w:r>
    </w:p>
    <w:p w14:paraId="000000EE">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16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 xml:space="preserve">Maben, J., Adams, M., Peccei, R., Murrells, T. and Robertson, D. (2012) ‘“Poppets and parcels”: the links between staff experience of work and acutely ill patients’ experiences of hospital care’, </w:t>
      </w:r>
      <w:r>
        <w:rPr>
          <w:rFonts w:ascii="Arial" w:hAnsi="Arial" w:eastAsia="Arial" w:cs="Arial"/>
          <w:b w:val="0"/>
          <w:i/>
          <w:smallCaps w:val="0"/>
          <w:strike w:val="0"/>
          <w:color w:val="000000"/>
          <w:sz w:val="22"/>
          <w:szCs w:val="22"/>
          <w:u w:val="none"/>
          <w:shd w:val="clear" w:fill="auto"/>
          <w:vertAlign w:val="baseline"/>
          <w:rtl w:val="0"/>
        </w:rPr>
        <w:t>International Journal of Nursing Studies</w:t>
      </w:r>
      <w:r>
        <w:rPr>
          <w:rFonts w:ascii="Arial" w:hAnsi="Arial" w:eastAsia="Arial" w:cs="Arial"/>
          <w:b w:val="0"/>
          <w:i w:val="0"/>
          <w:smallCaps w:val="0"/>
          <w:strike w:val="0"/>
          <w:color w:val="000000"/>
          <w:sz w:val="22"/>
          <w:szCs w:val="22"/>
          <w:u w:val="none"/>
          <w:shd w:val="clear" w:fill="auto"/>
          <w:vertAlign w:val="baseline"/>
          <w:rtl w:val="0"/>
        </w:rPr>
        <w:t>, 49(8), pp. 1057–1068.</w:t>
      </w:r>
    </w:p>
    <w:p w14:paraId="000000EF">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16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 xml:space="preserve">Maslach, C. and Leiter, M.P. (2016) ‘Burnout’, in Fink, G. (ed.) </w:t>
      </w:r>
      <w:r>
        <w:rPr>
          <w:rFonts w:ascii="Arial" w:hAnsi="Arial" w:eastAsia="Arial" w:cs="Arial"/>
          <w:b w:val="0"/>
          <w:i/>
          <w:smallCaps w:val="0"/>
          <w:strike w:val="0"/>
          <w:color w:val="000000"/>
          <w:sz w:val="22"/>
          <w:szCs w:val="22"/>
          <w:u w:val="none"/>
          <w:shd w:val="clear" w:fill="auto"/>
          <w:vertAlign w:val="baseline"/>
          <w:rtl w:val="0"/>
        </w:rPr>
        <w:t>Stress: Concepts, Cognition, Emotion, and Behavior</w:t>
      </w:r>
      <w:r>
        <w:rPr>
          <w:rFonts w:ascii="Arial" w:hAnsi="Arial" w:eastAsia="Arial" w:cs="Arial"/>
          <w:b w:val="0"/>
          <w:i w:val="0"/>
          <w:smallCaps w:val="0"/>
          <w:strike w:val="0"/>
          <w:color w:val="000000"/>
          <w:sz w:val="22"/>
          <w:szCs w:val="22"/>
          <w:u w:val="none"/>
          <w:shd w:val="clear" w:fill="auto"/>
          <w:vertAlign w:val="baseline"/>
          <w:rtl w:val="0"/>
        </w:rPr>
        <w:t>. Amsterdam: Elsevier, pp. 351–357.</w:t>
      </w:r>
    </w:p>
    <w:p w14:paraId="000000F0">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16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 xml:space="preserve">Meredith, S. (2025) ‘NHS Staff Survey shows less burnout but ongoing concerns’, </w:t>
      </w:r>
      <w:r>
        <w:rPr>
          <w:rFonts w:ascii="Arial" w:hAnsi="Arial" w:eastAsia="Arial" w:cs="Arial"/>
          <w:b w:val="0"/>
          <w:i/>
          <w:smallCaps w:val="0"/>
          <w:strike w:val="0"/>
          <w:color w:val="000000"/>
          <w:sz w:val="22"/>
          <w:szCs w:val="22"/>
          <w:u w:val="none"/>
          <w:shd w:val="clear" w:fill="auto"/>
          <w:vertAlign w:val="baseline"/>
          <w:rtl w:val="0"/>
        </w:rPr>
        <w:t>Medscape UK</w:t>
      </w:r>
      <w:r>
        <w:rPr>
          <w:rFonts w:ascii="Arial" w:hAnsi="Arial" w:eastAsia="Arial" w:cs="Arial"/>
          <w:b w:val="0"/>
          <w:i w:val="0"/>
          <w:smallCaps w:val="0"/>
          <w:strike w:val="0"/>
          <w:color w:val="000000"/>
          <w:sz w:val="22"/>
          <w:szCs w:val="22"/>
          <w:u w:val="none"/>
          <w:shd w:val="clear" w:fill="auto"/>
          <w:vertAlign w:val="baseline"/>
          <w:rtl w:val="0"/>
        </w:rPr>
        <w:t xml:space="preserve">, 17 March. Available at: </w:t>
      </w:r>
      <w:r>
        <w:fldChar w:fldCharType="begin"/>
      </w:r>
      <w:r>
        <w:instrText xml:space="preserve"> HYPERLINK "https://www.medscape.com" \h </w:instrText>
      </w:r>
      <w:r>
        <w:fldChar w:fldCharType="separate"/>
      </w:r>
      <w:r>
        <w:rPr>
          <w:rFonts w:ascii="Arial" w:hAnsi="Arial" w:eastAsia="Arial" w:cs="Arial"/>
          <w:b w:val="0"/>
          <w:i w:val="0"/>
          <w:smallCaps w:val="0"/>
          <w:strike w:val="0"/>
          <w:color w:val="0000FF"/>
          <w:sz w:val="22"/>
          <w:szCs w:val="22"/>
          <w:u w:val="single"/>
          <w:shd w:val="clear" w:fill="auto"/>
          <w:vertAlign w:val="baseline"/>
          <w:rtl w:val="0"/>
        </w:rPr>
        <w:t>https://www.medscape.com</w:t>
      </w:r>
      <w:r>
        <w:rPr>
          <w:rFonts w:ascii="Arial" w:hAnsi="Arial" w:eastAsia="Arial" w:cs="Arial"/>
          <w:b w:val="0"/>
          <w:i w:val="0"/>
          <w:smallCaps w:val="0"/>
          <w:strike w:val="0"/>
          <w:color w:val="0000FF"/>
          <w:sz w:val="22"/>
          <w:szCs w:val="22"/>
          <w:u w:val="single"/>
          <w:shd w:val="clear" w:fill="auto"/>
          <w:vertAlign w:val="baseline"/>
          <w:rtl w:val="0"/>
        </w:rPr>
        <w:fldChar w:fldCharType="end"/>
      </w:r>
      <w:r>
        <w:rPr>
          <w:rFonts w:ascii="Arial" w:hAnsi="Arial" w:eastAsia="Arial" w:cs="Arial"/>
          <w:b w:val="0"/>
          <w:i w:val="0"/>
          <w:smallCaps w:val="0"/>
          <w:strike w:val="0"/>
          <w:color w:val="000000"/>
          <w:sz w:val="22"/>
          <w:szCs w:val="22"/>
          <w:u w:val="none"/>
          <w:shd w:val="clear" w:fill="auto"/>
          <w:vertAlign w:val="baseline"/>
          <w:rtl w:val="0"/>
        </w:rPr>
        <w:t xml:space="preserve"> (Accessed: 10 November 2025).</w:t>
      </w:r>
    </w:p>
    <w:p w14:paraId="000000F1">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16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 xml:space="preserve">Ministry of Health New Zealand (2023) </w:t>
      </w:r>
      <w:r>
        <w:rPr>
          <w:rFonts w:ascii="Arial" w:hAnsi="Arial" w:eastAsia="Arial" w:cs="Arial"/>
          <w:b w:val="0"/>
          <w:i/>
          <w:smallCaps w:val="0"/>
          <w:strike w:val="0"/>
          <w:color w:val="000000"/>
          <w:sz w:val="22"/>
          <w:szCs w:val="22"/>
          <w:u w:val="none"/>
          <w:shd w:val="clear" w:fill="auto"/>
          <w:vertAlign w:val="baseline"/>
          <w:rtl w:val="0"/>
        </w:rPr>
        <w:t>Waikato District Health Board Post-COVID Stress Management Programme Evaluation</w:t>
      </w:r>
      <w:r>
        <w:rPr>
          <w:rFonts w:ascii="Arial" w:hAnsi="Arial" w:eastAsia="Arial" w:cs="Arial"/>
          <w:b w:val="0"/>
          <w:i w:val="0"/>
          <w:smallCaps w:val="0"/>
          <w:strike w:val="0"/>
          <w:color w:val="000000"/>
          <w:sz w:val="22"/>
          <w:szCs w:val="22"/>
          <w:u w:val="none"/>
          <w:shd w:val="clear" w:fill="auto"/>
          <w:vertAlign w:val="baseline"/>
          <w:rtl w:val="0"/>
        </w:rPr>
        <w:t>. Wellington: New Zealand Government.</w:t>
      </w:r>
    </w:p>
    <w:p w14:paraId="000000F2">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16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 xml:space="preserve">Myles Wellbeing (2024) ‘Which NHS staff are most burnt out according to the Staff Survey 2023?’, </w:t>
      </w:r>
      <w:r>
        <w:rPr>
          <w:rFonts w:ascii="Arial" w:hAnsi="Arial" w:eastAsia="Arial" w:cs="Arial"/>
          <w:b w:val="0"/>
          <w:i/>
          <w:smallCaps w:val="0"/>
          <w:strike w:val="0"/>
          <w:color w:val="000000"/>
          <w:sz w:val="22"/>
          <w:szCs w:val="22"/>
          <w:u w:val="none"/>
          <w:shd w:val="clear" w:fill="auto"/>
          <w:vertAlign w:val="baseline"/>
          <w:rtl w:val="0"/>
        </w:rPr>
        <w:t>Myles Wellbeing Blog</w:t>
      </w:r>
      <w:r>
        <w:rPr>
          <w:rFonts w:ascii="Arial" w:hAnsi="Arial" w:eastAsia="Arial" w:cs="Arial"/>
          <w:b w:val="0"/>
          <w:i w:val="0"/>
          <w:smallCaps w:val="0"/>
          <w:strike w:val="0"/>
          <w:color w:val="000000"/>
          <w:sz w:val="22"/>
          <w:szCs w:val="22"/>
          <w:u w:val="none"/>
          <w:shd w:val="clear" w:fill="auto"/>
          <w:vertAlign w:val="baseline"/>
          <w:rtl w:val="0"/>
        </w:rPr>
        <w:t xml:space="preserve">, 7 March. Available at: </w:t>
      </w:r>
      <w:r>
        <w:fldChar w:fldCharType="begin"/>
      </w:r>
      <w:r>
        <w:instrText xml:space="preserve"> HYPERLINK "https://www.myleswellbeing.com" \h </w:instrText>
      </w:r>
      <w:r>
        <w:fldChar w:fldCharType="separate"/>
      </w:r>
      <w:r>
        <w:rPr>
          <w:rFonts w:ascii="Arial" w:hAnsi="Arial" w:eastAsia="Arial" w:cs="Arial"/>
          <w:b w:val="0"/>
          <w:i w:val="0"/>
          <w:smallCaps w:val="0"/>
          <w:strike w:val="0"/>
          <w:color w:val="0000FF"/>
          <w:sz w:val="22"/>
          <w:szCs w:val="22"/>
          <w:u w:val="single"/>
          <w:shd w:val="clear" w:fill="auto"/>
          <w:vertAlign w:val="baseline"/>
          <w:rtl w:val="0"/>
        </w:rPr>
        <w:t>https://www.myleswellbeing.com</w:t>
      </w:r>
      <w:r>
        <w:rPr>
          <w:rFonts w:ascii="Arial" w:hAnsi="Arial" w:eastAsia="Arial" w:cs="Arial"/>
          <w:b w:val="0"/>
          <w:i w:val="0"/>
          <w:smallCaps w:val="0"/>
          <w:strike w:val="0"/>
          <w:color w:val="0000FF"/>
          <w:sz w:val="22"/>
          <w:szCs w:val="22"/>
          <w:u w:val="single"/>
          <w:shd w:val="clear" w:fill="auto"/>
          <w:vertAlign w:val="baseline"/>
          <w:rtl w:val="0"/>
        </w:rPr>
        <w:fldChar w:fldCharType="end"/>
      </w:r>
      <w:r>
        <w:rPr>
          <w:rFonts w:ascii="Arial" w:hAnsi="Arial" w:eastAsia="Arial" w:cs="Arial"/>
          <w:b w:val="0"/>
          <w:i w:val="0"/>
          <w:smallCaps w:val="0"/>
          <w:strike w:val="0"/>
          <w:color w:val="000000"/>
          <w:sz w:val="22"/>
          <w:szCs w:val="22"/>
          <w:u w:val="none"/>
          <w:shd w:val="clear" w:fill="auto"/>
          <w:vertAlign w:val="baseline"/>
          <w:rtl w:val="0"/>
        </w:rPr>
        <w:t xml:space="preserve"> (Accessed: 10 November 2025).</w:t>
      </w:r>
    </w:p>
    <w:p w14:paraId="000000F3">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16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 xml:space="preserve">Nagle, E., McDonald, K., Patel, R. and Sethi, T. (2024) ‘Factors affecting healthcare workers’ burnout and their conceptual models: a scoping review’, </w:t>
      </w:r>
      <w:r>
        <w:rPr>
          <w:rFonts w:ascii="Arial" w:hAnsi="Arial" w:eastAsia="Arial" w:cs="Arial"/>
          <w:b w:val="0"/>
          <w:i/>
          <w:smallCaps w:val="0"/>
          <w:strike w:val="0"/>
          <w:color w:val="000000"/>
          <w:sz w:val="22"/>
          <w:szCs w:val="22"/>
          <w:u w:val="none"/>
          <w:shd w:val="clear" w:fill="auto"/>
          <w:vertAlign w:val="baseline"/>
          <w:rtl w:val="0"/>
        </w:rPr>
        <w:t>BMC Psychology</w:t>
      </w:r>
      <w:r>
        <w:rPr>
          <w:rFonts w:ascii="Arial" w:hAnsi="Arial" w:eastAsia="Arial" w:cs="Arial"/>
          <w:b w:val="0"/>
          <w:i w:val="0"/>
          <w:smallCaps w:val="0"/>
          <w:strike w:val="0"/>
          <w:color w:val="000000"/>
          <w:sz w:val="22"/>
          <w:szCs w:val="22"/>
          <w:u w:val="none"/>
          <w:shd w:val="clear" w:fill="auto"/>
          <w:vertAlign w:val="baseline"/>
          <w:rtl w:val="0"/>
        </w:rPr>
        <w:t>, 12, Article 637.</w:t>
      </w:r>
    </w:p>
    <w:p w14:paraId="000000F4">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16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 xml:space="preserve">NHS Digital (2024) </w:t>
      </w:r>
      <w:r>
        <w:rPr>
          <w:rFonts w:ascii="Arial" w:hAnsi="Arial" w:eastAsia="Arial" w:cs="Arial"/>
          <w:b w:val="0"/>
          <w:i/>
          <w:smallCaps w:val="0"/>
          <w:strike w:val="0"/>
          <w:color w:val="000000"/>
          <w:sz w:val="22"/>
          <w:szCs w:val="22"/>
          <w:u w:val="none"/>
          <w:shd w:val="clear" w:fill="auto"/>
          <w:vertAlign w:val="baseline"/>
          <w:rtl w:val="0"/>
        </w:rPr>
        <w:t>NHS Workforce Statistics – March 2024</w:t>
      </w:r>
      <w:r>
        <w:rPr>
          <w:rFonts w:ascii="Arial" w:hAnsi="Arial" w:eastAsia="Arial" w:cs="Arial"/>
          <w:b w:val="0"/>
          <w:i w:val="0"/>
          <w:smallCaps w:val="0"/>
          <w:strike w:val="0"/>
          <w:color w:val="000000"/>
          <w:sz w:val="22"/>
          <w:szCs w:val="22"/>
          <w:u w:val="none"/>
          <w:shd w:val="clear" w:fill="auto"/>
          <w:vertAlign w:val="baseline"/>
          <w:rtl w:val="0"/>
        </w:rPr>
        <w:t xml:space="preserve">. London: NHS Digital. Available at: </w:t>
      </w:r>
      <w:r>
        <w:fldChar w:fldCharType="begin"/>
      </w:r>
      <w:r>
        <w:instrText xml:space="preserve"> HYPERLINK "https://digital.nhs.uk" \h </w:instrText>
      </w:r>
      <w:r>
        <w:fldChar w:fldCharType="separate"/>
      </w:r>
      <w:r>
        <w:rPr>
          <w:rFonts w:ascii="Arial" w:hAnsi="Arial" w:eastAsia="Arial" w:cs="Arial"/>
          <w:b w:val="0"/>
          <w:i w:val="0"/>
          <w:smallCaps w:val="0"/>
          <w:strike w:val="0"/>
          <w:color w:val="0000FF"/>
          <w:sz w:val="22"/>
          <w:szCs w:val="22"/>
          <w:u w:val="single"/>
          <w:shd w:val="clear" w:fill="auto"/>
          <w:vertAlign w:val="baseline"/>
          <w:rtl w:val="0"/>
        </w:rPr>
        <w:t>https://digital.nhs.uk</w:t>
      </w:r>
      <w:r>
        <w:rPr>
          <w:rFonts w:ascii="Arial" w:hAnsi="Arial" w:eastAsia="Arial" w:cs="Arial"/>
          <w:b w:val="0"/>
          <w:i w:val="0"/>
          <w:smallCaps w:val="0"/>
          <w:strike w:val="0"/>
          <w:color w:val="0000FF"/>
          <w:sz w:val="22"/>
          <w:szCs w:val="22"/>
          <w:u w:val="single"/>
          <w:shd w:val="clear" w:fill="auto"/>
          <w:vertAlign w:val="baseline"/>
          <w:rtl w:val="0"/>
        </w:rPr>
        <w:fldChar w:fldCharType="end"/>
      </w:r>
      <w:r>
        <w:rPr>
          <w:rFonts w:ascii="Arial" w:hAnsi="Arial" w:eastAsia="Arial" w:cs="Arial"/>
          <w:b w:val="0"/>
          <w:i w:val="0"/>
          <w:smallCaps w:val="0"/>
          <w:strike w:val="0"/>
          <w:color w:val="000000"/>
          <w:sz w:val="22"/>
          <w:szCs w:val="22"/>
          <w:u w:val="none"/>
          <w:shd w:val="clear" w:fill="auto"/>
          <w:vertAlign w:val="baseline"/>
          <w:rtl w:val="0"/>
        </w:rPr>
        <w:t xml:space="preserve"> (Accessed: 10 November 2025).</w:t>
      </w:r>
    </w:p>
    <w:p w14:paraId="000000F5">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16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 xml:space="preserve">NHS Employers (2023) </w:t>
      </w:r>
      <w:r>
        <w:rPr>
          <w:rFonts w:ascii="Arial" w:hAnsi="Arial" w:eastAsia="Arial" w:cs="Arial"/>
          <w:b w:val="0"/>
          <w:i/>
          <w:smallCaps w:val="0"/>
          <w:strike w:val="0"/>
          <w:color w:val="000000"/>
          <w:sz w:val="22"/>
          <w:szCs w:val="22"/>
          <w:u w:val="none"/>
          <w:shd w:val="clear" w:fill="auto"/>
          <w:vertAlign w:val="baseline"/>
          <w:rtl w:val="0"/>
        </w:rPr>
        <w:t>Beating Burnout in the NHS</w:t>
      </w:r>
      <w:r>
        <w:rPr>
          <w:rFonts w:ascii="Arial" w:hAnsi="Arial" w:eastAsia="Arial" w:cs="Arial"/>
          <w:b w:val="0"/>
          <w:i w:val="0"/>
          <w:smallCaps w:val="0"/>
          <w:strike w:val="0"/>
          <w:color w:val="000000"/>
          <w:sz w:val="22"/>
          <w:szCs w:val="22"/>
          <w:u w:val="none"/>
          <w:shd w:val="clear" w:fill="auto"/>
          <w:vertAlign w:val="baseline"/>
          <w:rtl w:val="0"/>
        </w:rPr>
        <w:t>. London: NHS Employers.</w:t>
      </w:r>
    </w:p>
    <w:p w14:paraId="000000F6">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16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 xml:space="preserve">NHS Employers (2024) </w:t>
      </w:r>
      <w:r>
        <w:rPr>
          <w:rFonts w:ascii="Arial" w:hAnsi="Arial" w:eastAsia="Arial" w:cs="Arial"/>
          <w:b w:val="0"/>
          <w:i/>
          <w:smallCaps w:val="0"/>
          <w:strike w:val="0"/>
          <w:color w:val="000000"/>
          <w:sz w:val="22"/>
          <w:szCs w:val="22"/>
          <w:u w:val="none"/>
          <w:shd w:val="clear" w:fill="auto"/>
          <w:vertAlign w:val="baseline"/>
          <w:rtl w:val="0"/>
        </w:rPr>
        <w:t>NHS Staff Survey 2024 – Health and Wellbeing Overview</w:t>
      </w:r>
      <w:r>
        <w:rPr>
          <w:rFonts w:ascii="Arial" w:hAnsi="Arial" w:eastAsia="Arial" w:cs="Arial"/>
          <w:b w:val="0"/>
          <w:i w:val="0"/>
          <w:smallCaps w:val="0"/>
          <w:strike w:val="0"/>
          <w:color w:val="000000"/>
          <w:sz w:val="22"/>
          <w:szCs w:val="22"/>
          <w:u w:val="none"/>
          <w:shd w:val="clear" w:fill="auto"/>
          <w:vertAlign w:val="baseline"/>
          <w:rtl w:val="0"/>
        </w:rPr>
        <w:t>. London: NHS Employers.</w:t>
      </w:r>
    </w:p>
    <w:p w14:paraId="000000F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16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 xml:space="preserve">NHS England (2023) </w:t>
      </w:r>
      <w:r>
        <w:rPr>
          <w:rFonts w:ascii="Arial" w:hAnsi="Arial" w:eastAsia="Arial" w:cs="Arial"/>
          <w:b w:val="0"/>
          <w:i/>
          <w:smallCaps w:val="0"/>
          <w:strike w:val="0"/>
          <w:color w:val="000000"/>
          <w:sz w:val="22"/>
          <w:szCs w:val="22"/>
          <w:u w:val="none"/>
          <w:shd w:val="clear" w:fill="auto"/>
          <w:vertAlign w:val="baseline"/>
          <w:rtl w:val="0"/>
        </w:rPr>
        <w:t>NHS Long Term Workforce Plan</w:t>
      </w:r>
      <w:r>
        <w:rPr>
          <w:rFonts w:ascii="Arial" w:hAnsi="Arial" w:eastAsia="Arial" w:cs="Arial"/>
          <w:b w:val="0"/>
          <w:i w:val="0"/>
          <w:smallCaps w:val="0"/>
          <w:strike w:val="0"/>
          <w:color w:val="000000"/>
          <w:sz w:val="22"/>
          <w:szCs w:val="22"/>
          <w:u w:val="none"/>
          <w:shd w:val="clear" w:fill="auto"/>
          <w:vertAlign w:val="baseline"/>
          <w:rtl w:val="0"/>
        </w:rPr>
        <w:t>. London: NHS England.</w:t>
      </w:r>
    </w:p>
    <w:p w14:paraId="000000F8">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16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 xml:space="preserve">NHS Staff Surveys (2024) </w:t>
      </w:r>
      <w:r>
        <w:rPr>
          <w:rFonts w:ascii="Arial" w:hAnsi="Arial" w:eastAsia="Arial" w:cs="Arial"/>
          <w:b w:val="0"/>
          <w:i/>
          <w:smallCaps w:val="0"/>
          <w:strike w:val="0"/>
          <w:color w:val="000000"/>
          <w:sz w:val="22"/>
          <w:szCs w:val="22"/>
          <w:u w:val="none"/>
          <w:shd w:val="clear" w:fill="auto"/>
          <w:vertAlign w:val="baseline"/>
          <w:rtl w:val="0"/>
        </w:rPr>
        <w:t>National Results – NHS Staff Survey 2024</w:t>
      </w:r>
      <w:r>
        <w:rPr>
          <w:rFonts w:ascii="Arial" w:hAnsi="Arial" w:eastAsia="Arial" w:cs="Arial"/>
          <w:b w:val="0"/>
          <w:i w:val="0"/>
          <w:smallCaps w:val="0"/>
          <w:strike w:val="0"/>
          <w:color w:val="000000"/>
          <w:sz w:val="22"/>
          <w:szCs w:val="22"/>
          <w:u w:val="none"/>
          <w:shd w:val="clear" w:fill="auto"/>
          <w:vertAlign w:val="baseline"/>
          <w:rtl w:val="0"/>
        </w:rPr>
        <w:t>. Oxford: NHS Staff Survey Coordination Centre.</w:t>
      </w:r>
    </w:p>
    <w:p w14:paraId="000000F9">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16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 xml:space="preserve">NIHR Evidence (2023) </w:t>
      </w:r>
      <w:r>
        <w:rPr>
          <w:rFonts w:ascii="Arial" w:hAnsi="Arial" w:eastAsia="Arial" w:cs="Arial"/>
          <w:b w:val="0"/>
          <w:i/>
          <w:smallCaps w:val="0"/>
          <w:strike w:val="0"/>
          <w:color w:val="000000"/>
          <w:sz w:val="22"/>
          <w:szCs w:val="22"/>
          <w:u w:val="none"/>
          <w:shd w:val="clear" w:fill="auto"/>
          <w:vertAlign w:val="baseline"/>
          <w:rtl w:val="0"/>
        </w:rPr>
        <w:t>NHS staff psychological wellbeing: system-level changes are essential</w:t>
      </w:r>
      <w:r>
        <w:rPr>
          <w:rFonts w:ascii="Arial" w:hAnsi="Arial" w:eastAsia="Arial" w:cs="Arial"/>
          <w:b w:val="0"/>
          <w:i w:val="0"/>
          <w:smallCaps w:val="0"/>
          <w:strike w:val="0"/>
          <w:color w:val="000000"/>
          <w:sz w:val="22"/>
          <w:szCs w:val="22"/>
          <w:u w:val="none"/>
          <w:shd w:val="clear" w:fill="auto"/>
          <w:vertAlign w:val="baseline"/>
          <w:rtl w:val="0"/>
        </w:rPr>
        <w:t xml:space="preserve">. Available at: </w:t>
      </w:r>
      <w:r>
        <w:fldChar w:fldCharType="begin"/>
      </w:r>
      <w:r>
        <w:instrText xml:space="preserve"> HYPERLINK "https://evidence.nihr.ac.uk" \h </w:instrText>
      </w:r>
      <w:r>
        <w:fldChar w:fldCharType="separate"/>
      </w:r>
      <w:r>
        <w:rPr>
          <w:rFonts w:ascii="Arial" w:hAnsi="Arial" w:eastAsia="Arial" w:cs="Arial"/>
          <w:b w:val="0"/>
          <w:i w:val="0"/>
          <w:smallCaps w:val="0"/>
          <w:strike w:val="0"/>
          <w:color w:val="0000FF"/>
          <w:sz w:val="22"/>
          <w:szCs w:val="22"/>
          <w:u w:val="single"/>
          <w:shd w:val="clear" w:fill="auto"/>
          <w:vertAlign w:val="baseline"/>
          <w:rtl w:val="0"/>
        </w:rPr>
        <w:t>https://evidence.nihr.ac.uk</w:t>
      </w:r>
      <w:r>
        <w:rPr>
          <w:rFonts w:ascii="Arial" w:hAnsi="Arial" w:eastAsia="Arial" w:cs="Arial"/>
          <w:b w:val="0"/>
          <w:i w:val="0"/>
          <w:smallCaps w:val="0"/>
          <w:strike w:val="0"/>
          <w:color w:val="0000FF"/>
          <w:sz w:val="22"/>
          <w:szCs w:val="22"/>
          <w:u w:val="single"/>
          <w:shd w:val="clear" w:fill="auto"/>
          <w:vertAlign w:val="baseline"/>
          <w:rtl w:val="0"/>
        </w:rPr>
        <w:fldChar w:fldCharType="end"/>
      </w:r>
      <w:r>
        <w:rPr>
          <w:rFonts w:ascii="Arial" w:hAnsi="Arial" w:eastAsia="Arial" w:cs="Arial"/>
          <w:b w:val="0"/>
          <w:i w:val="0"/>
          <w:smallCaps w:val="0"/>
          <w:strike w:val="0"/>
          <w:color w:val="000000"/>
          <w:sz w:val="22"/>
          <w:szCs w:val="22"/>
          <w:u w:val="none"/>
          <w:shd w:val="clear" w:fill="auto"/>
          <w:vertAlign w:val="baseline"/>
          <w:rtl w:val="0"/>
        </w:rPr>
        <w:t xml:space="preserve"> (Accessed: 10 November 2025).</w:t>
      </w:r>
    </w:p>
    <w:p w14:paraId="000000FA">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16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 xml:space="preserve">Oleeo (2024) ‘The NHS burnout crisis: a recruitment and retention threat’. Available at: </w:t>
      </w:r>
      <w:r>
        <w:fldChar w:fldCharType="begin"/>
      </w:r>
      <w:r>
        <w:instrText xml:space="preserve"> HYPERLINK "https://www.oleeo.com" \h </w:instrText>
      </w:r>
      <w:r>
        <w:fldChar w:fldCharType="separate"/>
      </w:r>
      <w:r>
        <w:rPr>
          <w:rFonts w:ascii="Arial" w:hAnsi="Arial" w:eastAsia="Arial" w:cs="Arial"/>
          <w:b w:val="0"/>
          <w:i w:val="0"/>
          <w:smallCaps w:val="0"/>
          <w:strike w:val="0"/>
          <w:color w:val="0000FF"/>
          <w:sz w:val="22"/>
          <w:szCs w:val="22"/>
          <w:u w:val="single"/>
          <w:shd w:val="clear" w:fill="auto"/>
          <w:vertAlign w:val="baseline"/>
          <w:rtl w:val="0"/>
        </w:rPr>
        <w:t>https://www.oleeo.com</w:t>
      </w:r>
      <w:r>
        <w:rPr>
          <w:rFonts w:ascii="Arial" w:hAnsi="Arial" w:eastAsia="Arial" w:cs="Arial"/>
          <w:b w:val="0"/>
          <w:i w:val="0"/>
          <w:smallCaps w:val="0"/>
          <w:strike w:val="0"/>
          <w:color w:val="0000FF"/>
          <w:sz w:val="22"/>
          <w:szCs w:val="22"/>
          <w:u w:val="single"/>
          <w:shd w:val="clear" w:fill="auto"/>
          <w:vertAlign w:val="baseline"/>
          <w:rtl w:val="0"/>
        </w:rPr>
        <w:fldChar w:fldCharType="end"/>
      </w:r>
      <w:r>
        <w:rPr>
          <w:rFonts w:ascii="Arial" w:hAnsi="Arial" w:eastAsia="Arial" w:cs="Arial"/>
          <w:b w:val="0"/>
          <w:i w:val="0"/>
          <w:smallCaps w:val="0"/>
          <w:strike w:val="0"/>
          <w:color w:val="000000"/>
          <w:sz w:val="22"/>
          <w:szCs w:val="22"/>
          <w:u w:val="none"/>
          <w:shd w:val="clear" w:fill="auto"/>
          <w:vertAlign w:val="baseline"/>
          <w:rtl w:val="0"/>
        </w:rPr>
        <w:t xml:space="preserve"> (Accessed: 10 November 2025).</w:t>
      </w:r>
    </w:p>
    <w:p w14:paraId="000000FB">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16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 xml:space="preserve">Picker Institute and NHS England (2024) </w:t>
      </w:r>
      <w:r>
        <w:rPr>
          <w:rFonts w:ascii="Arial" w:hAnsi="Arial" w:eastAsia="Arial" w:cs="Arial"/>
          <w:b w:val="0"/>
          <w:i/>
          <w:smallCaps w:val="0"/>
          <w:strike w:val="0"/>
          <w:color w:val="000000"/>
          <w:sz w:val="22"/>
          <w:szCs w:val="22"/>
          <w:u w:val="none"/>
          <w:shd w:val="clear" w:fill="auto"/>
          <w:vertAlign w:val="baseline"/>
          <w:rtl w:val="0"/>
        </w:rPr>
        <w:t>NHS Staff Report Continuing Improvements in Their Experiences of Work</w:t>
      </w:r>
      <w:r>
        <w:rPr>
          <w:rFonts w:ascii="Arial" w:hAnsi="Arial" w:eastAsia="Arial" w:cs="Arial"/>
          <w:b w:val="0"/>
          <w:i w:val="0"/>
          <w:smallCaps w:val="0"/>
          <w:strike w:val="0"/>
          <w:color w:val="000000"/>
          <w:sz w:val="22"/>
          <w:szCs w:val="22"/>
          <w:u w:val="none"/>
          <w:shd w:val="clear" w:fill="auto"/>
          <w:vertAlign w:val="baseline"/>
          <w:rtl w:val="0"/>
        </w:rPr>
        <w:t>. London: Picker Institute.</w:t>
      </w:r>
    </w:p>
    <w:p w14:paraId="000000FC">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16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 xml:space="preserve">Public Accounts Committee (2023) </w:t>
      </w:r>
      <w:r>
        <w:rPr>
          <w:rFonts w:ascii="Arial" w:hAnsi="Arial" w:eastAsia="Arial" w:cs="Arial"/>
          <w:b w:val="0"/>
          <w:i/>
          <w:smallCaps w:val="0"/>
          <w:strike w:val="0"/>
          <w:color w:val="000000"/>
          <w:sz w:val="22"/>
          <w:szCs w:val="22"/>
          <w:u w:val="none"/>
          <w:shd w:val="clear" w:fill="auto"/>
          <w:vertAlign w:val="baseline"/>
          <w:rtl w:val="0"/>
        </w:rPr>
        <w:t>Concerning pressures on NHS mental health staff causing vicious cycle of staff shortages</w:t>
      </w:r>
      <w:r>
        <w:rPr>
          <w:rFonts w:ascii="Arial" w:hAnsi="Arial" w:eastAsia="Arial" w:cs="Arial"/>
          <w:b w:val="0"/>
          <w:i w:val="0"/>
          <w:smallCaps w:val="0"/>
          <w:strike w:val="0"/>
          <w:color w:val="000000"/>
          <w:sz w:val="22"/>
          <w:szCs w:val="22"/>
          <w:u w:val="none"/>
          <w:shd w:val="clear" w:fill="auto"/>
          <w:vertAlign w:val="baseline"/>
          <w:rtl w:val="0"/>
        </w:rPr>
        <w:t>. London: UK Parliament.</w:t>
      </w:r>
    </w:p>
    <w:p w14:paraId="000000F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16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 xml:space="preserve">RCPsych (2024) </w:t>
      </w:r>
      <w:r>
        <w:rPr>
          <w:rFonts w:ascii="Arial" w:hAnsi="Arial" w:eastAsia="Arial" w:cs="Arial"/>
          <w:b w:val="0"/>
          <w:i/>
          <w:smallCaps w:val="0"/>
          <w:strike w:val="0"/>
          <w:color w:val="000000"/>
          <w:sz w:val="22"/>
          <w:szCs w:val="22"/>
          <w:u w:val="none"/>
          <w:shd w:val="clear" w:fill="auto"/>
          <w:vertAlign w:val="baseline"/>
          <w:rtl w:val="0"/>
        </w:rPr>
        <w:t>NHS staff struggling with burnout need more support</w:t>
      </w:r>
      <w:r>
        <w:rPr>
          <w:rFonts w:ascii="Arial" w:hAnsi="Arial" w:eastAsia="Arial" w:cs="Arial"/>
          <w:b w:val="0"/>
          <w:i w:val="0"/>
          <w:smallCaps w:val="0"/>
          <w:strike w:val="0"/>
          <w:color w:val="000000"/>
          <w:sz w:val="22"/>
          <w:szCs w:val="22"/>
          <w:u w:val="none"/>
          <w:shd w:val="clear" w:fill="auto"/>
          <w:vertAlign w:val="baseline"/>
          <w:rtl w:val="0"/>
        </w:rPr>
        <w:t>. London: Royal College of Psychiatrists.</w:t>
      </w:r>
    </w:p>
    <w:p w14:paraId="000000FE">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16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 xml:space="preserve">Schaufeli, W.B. and Taris, T.W. (2014) ‘A meta-analysis of the Job Demands–Resources model’, </w:t>
      </w:r>
      <w:r>
        <w:rPr>
          <w:rFonts w:ascii="Arial" w:hAnsi="Arial" w:eastAsia="Arial" w:cs="Arial"/>
          <w:b w:val="0"/>
          <w:i/>
          <w:smallCaps w:val="0"/>
          <w:strike w:val="0"/>
          <w:color w:val="000000"/>
          <w:sz w:val="22"/>
          <w:szCs w:val="22"/>
          <w:u w:val="none"/>
          <w:shd w:val="clear" w:fill="auto"/>
          <w:vertAlign w:val="baseline"/>
          <w:rtl w:val="0"/>
        </w:rPr>
        <w:t>Journal of Occupational Health Psychology</w:t>
      </w:r>
      <w:r>
        <w:rPr>
          <w:rFonts w:ascii="Arial" w:hAnsi="Arial" w:eastAsia="Arial" w:cs="Arial"/>
          <w:b w:val="0"/>
          <w:i w:val="0"/>
          <w:smallCaps w:val="0"/>
          <w:strike w:val="0"/>
          <w:color w:val="000000"/>
          <w:sz w:val="22"/>
          <w:szCs w:val="22"/>
          <w:u w:val="none"/>
          <w:shd w:val="clear" w:fill="auto"/>
          <w:vertAlign w:val="baseline"/>
          <w:rtl w:val="0"/>
        </w:rPr>
        <w:t>, 19(1), pp. 1–14.</w:t>
      </w:r>
    </w:p>
    <w:p w14:paraId="000000FF">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16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 xml:space="preserve">Shanafelt, T.D., West, C.P. and Dyrbye, L.N. (2019) ‘Addressing physician burnout: the way forward’, </w:t>
      </w:r>
      <w:r>
        <w:rPr>
          <w:rFonts w:ascii="Arial" w:hAnsi="Arial" w:eastAsia="Arial" w:cs="Arial"/>
          <w:b w:val="0"/>
          <w:i/>
          <w:smallCaps w:val="0"/>
          <w:strike w:val="0"/>
          <w:color w:val="000000"/>
          <w:sz w:val="22"/>
          <w:szCs w:val="22"/>
          <w:u w:val="none"/>
          <w:shd w:val="clear" w:fill="auto"/>
          <w:vertAlign w:val="baseline"/>
          <w:rtl w:val="0"/>
        </w:rPr>
        <w:t>JAMA</w:t>
      </w:r>
      <w:r>
        <w:rPr>
          <w:rFonts w:ascii="Arial" w:hAnsi="Arial" w:eastAsia="Arial" w:cs="Arial"/>
          <w:b w:val="0"/>
          <w:i w:val="0"/>
          <w:smallCaps w:val="0"/>
          <w:strike w:val="0"/>
          <w:color w:val="000000"/>
          <w:sz w:val="22"/>
          <w:szCs w:val="22"/>
          <w:u w:val="none"/>
          <w:shd w:val="clear" w:fill="auto"/>
          <w:vertAlign w:val="baseline"/>
          <w:rtl w:val="0"/>
        </w:rPr>
        <w:t>, 322(6), pp. 499–500.</w:t>
      </w:r>
    </w:p>
    <w:p w14:paraId="00000100">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16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 xml:space="preserve">Spencer, L., Watmough, S. and Taylor, D. (2019) ‘Exploring junior doctors’ motivation using self-determination theory’, </w:t>
      </w:r>
      <w:r>
        <w:rPr>
          <w:rFonts w:ascii="Arial" w:hAnsi="Arial" w:eastAsia="Arial" w:cs="Arial"/>
          <w:b w:val="0"/>
          <w:i/>
          <w:smallCaps w:val="0"/>
          <w:strike w:val="0"/>
          <w:color w:val="000000"/>
          <w:sz w:val="22"/>
          <w:szCs w:val="22"/>
          <w:u w:val="none"/>
          <w:shd w:val="clear" w:fill="auto"/>
          <w:vertAlign w:val="baseline"/>
          <w:rtl w:val="0"/>
        </w:rPr>
        <w:t>Medical Education</w:t>
      </w:r>
      <w:r>
        <w:rPr>
          <w:rFonts w:ascii="Arial" w:hAnsi="Arial" w:eastAsia="Arial" w:cs="Arial"/>
          <w:b w:val="0"/>
          <w:i w:val="0"/>
          <w:smallCaps w:val="0"/>
          <w:strike w:val="0"/>
          <w:color w:val="000000"/>
          <w:sz w:val="22"/>
          <w:szCs w:val="22"/>
          <w:u w:val="none"/>
          <w:shd w:val="clear" w:fill="auto"/>
          <w:vertAlign w:val="baseline"/>
          <w:rtl w:val="0"/>
        </w:rPr>
        <w:t>, 53(9), pp. 879–890.</w:t>
      </w:r>
    </w:p>
    <w:p w14:paraId="00000101">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16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 xml:space="preserve">Thomas, J. and Harden, A. (2008) ‘Methods for the thematic synthesis of qualitative research in systematic reviews’, </w:t>
      </w:r>
      <w:r>
        <w:rPr>
          <w:rFonts w:ascii="Arial" w:hAnsi="Arial" w:eastAsia="Arial" w:cs="Arial"/>
          <w:b w:val="0"/>
          <w:i/>
          <w:smallCaps w:val="0"/>
          <w:strike w:val="0"/>
          <w:color w:val="000000"/>
          <w:sz w:val="22"/>
          <w:szCs w:val="22"/>
          <w:u w:val="none"/>
          <w:shd w:val="clear" w:fill="auto"/>
          <w:vertAlign w:val="baseline"/>
          <w:rtl w:val="0"/>
        </w:rPr>
        <w:t>BMC Medical Research Methodology</w:t>
      </w:r>
      <w:r>
        <w:rPr>
          <w:rFonts w:ascii="Arial" w:hAnsi="Arial" w:eastAsia="Arial" w:cs="Arial"/>
          <w:b w:val="0"/>
          <w:i w:val="0"/>
          <w:smallCaps w:val="0"/>
          <w:strike w:val="0"/>
          <w:color w:val="000000"/>
          <w:sz w:val="22"/>
          <w:szCs w:val="22"/>
          <w:u w:val="none"/>
          <w:shd w:val="clear" w:fill="auto"/>
          <w:vertAlign w:val="baseline"/>
          <w:rtl w:val="0"/>
        </w:rPr>
        <w:t>, 8, 45.</w:t>
      </w:r>
    </w:p>
    <w:p w14:paraId="00000102">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16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 xml:space="preserve">Timmins, N. (2017) </w:t>
      </w:r>
      <w:r>
        <w:rPr>
          <w:rFonts w:ascii="Arial" w:hAnsi="Arial" w:eastAsia="Arial" w:cs="Arial"/>
          <w:b w:val="0"/>
          <w:i/>
          <w:smallCaps w:val="0"/>
          <w:strike w:val="0"/>
          <w:color w:val="000000"/>
          <w:sz w:val="22"/>
          <w:szCs w:val="22"/>
          <w:u w:val="none"/>
          <w:shd w:val="clear" w:fill="auto"/>
          <w:vertAlign w:val="baseline"/>
          <w:rtl w:val="0"/>
        </w:rPr>
        <w:t>The Five Giants: A Biography of the Welfare State</w:t>
      </w:r>
      <w:r>
        <w:rPr>
          <w:rFonts w:ascii="Arial" w:hAnsi="Arial" w:eastAsia="Arial" w:cs="Arial"/>
          <w:b w:val="0"/>
          <w:i w:val="0"/>
          <w:smallCaps w:val="0"/>
          <w:strike w:val="0"/>
          <w:color w:val="000000"/>
          <w:sz w:val="22"/>
          <w:szCs w:val="22"/>
          <w:u w:val="none"/>
          <w:shd w:val="clear" w:fill="auto"/>
          <w:vertAlign w:val="baseline"/>
          <w:rtl w:val="0"/>
        </w:rPr>
        <w:t>. 4th edn. London: HarperCollins.</w:t>
      </w:r>
    </w:p>
    <w:p w14:paraId="00000103">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16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 xml:space="preserve">UNISON (2024) </w:t>
      </w:r>
      <w:r>
        <w:rPr>
          <w:rFonts w:ascii="Arial" w:hAnsi="Arial" w:eastAsia="Arial" w:cs="Arial"/>
          <w:b w:val="0"/>
          <w:i/>
          <w:smallCaps w:val="0"/>
          <w:strike w:val="0"/>
          <w:color w:val="000000"/>
          <w:sz w:val="22"/>
          <w:szCs w:val="22"/>
          <w:u w:val="none"/>
          <w:shd w:val="clear" w:fill="auto"/>
          <w:vertAlign w:val="baseline"/>
          <w:rtl w:val="0"/>
        </w:rPr>
        <w:t>Survey: 31% of NHS employees have taken time off for mental health issues in past year</w:t>
      </w:r>
      <w:r>
        <w:rPr>
          <w:rFonts w:ascii="Arial" w:hAnsi="Arial" w:eastAsia="Arial" w:cs="Arial"/>
          <w:b w:val="0"/>
          <w:i w:val="0"/>
          <w:smallCaps w:val="0"/>
          <w:strike w:val="0"/>
          <w:color w:val="000000"/>
          <w:sz w:val="22"/>
          <w:szCs w:val="22"/>
          <w:u w:val="none"/>
          <w:shd w:val="clear" w:fill="auto"/>
          <w:vertAlign w:val="baseline"/>
          <w:rtl w:val="0"/>
        </w:rPr>
        <w:t>. London: UNISON.</w:t>
      </w:r>
    </w:p>
    <w:p w14:paraId="00000104">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16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 xml:space="preserve">University of Wales Trinity Saint David (2024) </w:t>
      </w:r>
      <w:r>
        <w:rPr>
          <w:rFonts w:ascii="Arial" w:hAnsi="Arial" w:eastAsia="Arial" w:cs="Arial"/>
          <w:b w:val="0"/>
          <w:i/>
          <w:smallCaps w:val="0"/>
          <w:strike w:val="0"/>
          <w:color w:val="000000"/>
          <w:sz w:val="22"/>
          <w:szCs w:val="22"/>
          <w:u w:val="none"/>
          <w:shd w:val="clear" w:fill="auto"/>
          <w:vertAlign w:val="baseline"/>
          <w:rtl w:val="0"/>
        </w:rPr>
        <w:t>Research Ethics and Academic Integrity Handbook</w:t>
      </w:r>
      <w:r>
        <w:rPr>
          <w:rFonts w:ascii="Arial" w:hAnsi="Arial" w:eastAsia="Arial" w:cs="Arial"/>
          <w:b w:val="0"/>
          <w:i w:val="0"/>
          <w:smallCaps w:val="0"/>
          <w:strike w:val="0"/>
          <w:color w:val="000000"/>
          <w:sz w:val="22"/>
          <w:szCs w:val="22"/>
          <w:u w:val="none"/>
          <w:shd w:val="clear" w:fill="auto"/>
          <w:vertAlign w:val="baseline"/>
          <w:rtl w:val="0"/>
        </w:rPr>
        <w:t>. Swansea: UWTSD.</w:t>
      </w:r>
    </w:p>
    <w:p w14:paraId="00000105">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16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 xml:space="preserve">van Bogaert, P., Clarke, S., Willems, R. and Mondelaers, M. (2017) ‘Nurse practice environment, workload, burnout and quality of care’, </w:t>
      </w:r>
      <w:r>
        <w:rPr>
          <w:rFonts w:ascii="Arial" w:hAnsi="Arial" w:eastAsia="Arial" w:cs="Arial"/>
          <w:b w:val="0"/>
          <w:i/>
          <w:smallCaps w:val="0"/>
          <w:strike w:val="0"/>
          <w:color w:val="000000"/>
          <w:sz w:val="22"/>
          <w:szCs w:val="22"/>
          <w:u w:val="none"/>
          <w:shd w:val="clear" w:fill="auto"/>
          <w:vertAlign w:val="baseline"/>
          <w:rtl w:val="0"/>
        </w:rPr>
        <w:t>Journal of Advanced Nursing</w:t>
      </w:r>
      <w:r>
        <w:rPr>
          <w:rFonts w:ascii="Arial" w:hAnsi="Arial" w:eastAsia="Arial" w:cs="Arial"/>
          <w:b w:val="0"/>
          <w:i w:val="0"/>
          <w:smallCaps w:val="0"/>
          <w:strike w:val="0"/>
          <w:color w:val="000000"/>
          <w:sz w:val="22"/>
          <w:szCs w:val="22"/>
          <w:u w:val="none"/>
          <w:shd w:val="clear" w:fill="auto"/>
          <w:vertAlign w:val="baseline"/>
          <w:rtl w:val="0"/>
        </w:rPr>
        <w:t xml:space="preserve">, 73(11), </w:t>
      </w:r>
      <w:bookmarkStart w:id="2" w:name="_GoBack"/>
      <w:bookmarkEnd w:id="2"/>
      <w:r>
        <w:rPr>
          <w:rFonts w:ascii="Arial" w:hAnsi="Arial" w:eastAsia="Arial" w:cs="Arial"/>
          <w:b w:val="0"/>
          <w:i w:val="0"/>
          <w:smallCaps w:val="0"/>
          <w:strike w:val="0"/>
          <w:color w:val="000000"/>
          <w:sz w:val="22"/>
          <w:szCs w:val="22"/>
          <w:u w:val="none"/>
          <w:shd w:val="clear" w:fill="auto"/>
          <w:vertAlign w:val="baseline"/>
          <w:rtl w:val="0"/>
        </w:rPr>
        <w:t>pp. 3023–3033.</w:t>
      </w:r>
    </w:p>
    <w:p w14:paraId="00000106">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16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 xml:space="preserve">West, M. and Coia, D. (2019) </w:t>
      </w:r>
      <w:r>
        <w:rPr>
          <w:rFonts w:ascii="Arial" w:hAnsi="Arial" w:eastAsia="Arial" w:cs="Arial"/>
          <w:b w:val="0"/>
          <w:i/>
          <w:smallCaps w:val="0"/>
          <w:strike w:val="0"/>
          <w:color w:val="000000"/>
          <w:sz w:val="22"/>
          <w:szCs w:val="22"/>
          <w:u w:val="none"/>
          <w:shd w:val="clear" w:fill="auto"/>
          <w:vertAlign w:val="baseline"/>
          <w:rtl w:val="0"/>
        </w:rPr>
        <w:t>Caring for Doctors, Caring for Patients</w:t>
      </w:r>
      <w:r>
        <w:rPr>
          <w:rFonts w:ascii="Arial" w:hAnsi="Arial" w:eastAsia="Arial" w:cs="Arial"/>
          <w:b w:val="0"/>
          <w:i w:val="0"/>
          <w:smallCaps w:val="0"/>
          <w:strike w:val="0"/>
          <w:color w:val="000000"/>
          <w:sz w:val="22"/>
          <w:szCs w:val="22"/>
          <w:u w:val="none"/>
          <w:shd w:val="clear" w:fill="auto"/>
          <w:vertAlign w:val="baseline"/>
          <w:rtl w:val="0"/>
        </w:rPr>
        <w:t>. London: General Medical Council.</w:t>
      </w:r>
    </w:p>
    <w:p w14:paraId="0000010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16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 xml:space="preserve">West, M., Coia, D. and The King’s Fund (2020) </w:t>
      </w:r>
      <w:r>
        <w:rPr>
          <w:rFonts w:ascii="Arial" w:hAnsi="Arial" w:eastAsia="Arial" w:cs="Arial"/>
          <w:b w:val="0"/>
          <w:i/>
          <w:smallCaps w:val="0"/>
          <w:strike w:val="0"/>
          <w:color w:val="000000"/>
          <w:sz w:val="22"/>
          <w:szCs w:val="22"/>
          <w:u w:val="none"/>
          <w:shd w:val="clear" w:fill="auto"/>
          <w:vertAlign w:val="baseline"/>
          <w:rtl w:val="0"/>
        </w:rPr>
        <w:t>The Courage of Compassion</w:t>
      </w:r>
      <w:r>
        <w:rPr>
          <w:rFonts w:ascii="Arial" w:hAnsi="Arial" w:eastAsia="Arial" w:cs="Arial"/>
          <w:b w:val="0"/>
          <w:i w:val="0"/>
          <w:smallCaps w:val="0"/>
          <w:strike w:val="0"/>
          <w:color w:val="000000"/>
          <w:sz w:val="22"/>
          <w:szCs w:val="22"/>
          <w:u w:val="none"/>
          <w:shd w:val="clear" w:fill="auto"/>
          <w:vertAlign w:val="baseline"/>
          <w:rtl w:val="0"/>
        </w:rPr>
        <w:t>. London: The King’s Fund.</w:t>
      </w:r>
    </w:p>
    <w:p w14:paraId="00000108">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16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 xml:space="preserve">World Health Organization (2023) </w:t>
      </w:r>
      <w:r>
        <w:rPr>
          <w:rFonts w:ascii="Arial" w:hAnsi="Arial" w:eastAsia="Arial" w:cs="Arial"/>
          <w:b w:val="0"/>
          <w:i/>
          <w:smallCaps w:val="0"/>
          <w:strike w:val="0"/>
          <w:color w:val="000000"/>
          <w:sz w:val="22"/>
          <w:szCs w:val="22"/>
          <w:u w:val="none"/>
          <w:shd w:val="clear" w:fill="auto"/>
          <w:vertAlign w:val="baseline"/>
          <w:rtl w:val="0"/>
        </w:rPr>
        <w:t>Global Strategy on Human Resources for Health: Workforce 2030</w:t>
      </w:r>
      <w:r>
        <w:rPr>
          <w:rFonts w:ascii="Arial" w:hAnsi="Arial" w:eastAsia="Arial" w:cs="Arial"/>
          <w:b w:val="0"/>
          <w:i w:val="0"/>
          <w:smallCaps w:val="0"/>
          <w:strike w:val="0"/>
          <w:color w:val="000000"/>
          <w:sz w:val="22"/>
          <w:szCs w:val="22"/>
          <w:u w:val="none"/>
          <w:shd w:val="clear" w:fill="auto"/>
          <w:vertAlign w:val="baseline"/>
          <w:rtl w:val="0"/>
        </w:rPr>
        <w:t>. Geneva: WHO.</w:t>
      </w:r>
    </w:p>
    <w:p w14:paraId="00000109">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160" w:line="240" w:lineRule="auto"/>
        <w:ind w:left="0" w:right="0" w:firstLine="0"/>
        <w:jc w:val="left"/>
        <w:rPr>
          <w:rFonts w:ascii="Arial" w:hAnsi="Arial" w:eastAsia="Arial" w:cs="Arial"/>
          <w:b w:val="0"/>
          <w:i/>
          <w:smallCaps w:val="0"/>
          <w:strike w:val="0"/>
          <w:color w:val="000000"/>
          <w:sz w:val="22"/>
          <w:szCs w:val="22"/>
          <w:u w:val="none"/>
          <w:shd w:val="clear" w:fill="auto"/>
          <w:vertAlign w:val="baseline"/>
        </w:rPr>
      </w:pPr>
      <w:r>
        <w:rPr>
          <w:rFonts w:ascii="Arial" w:hAnsi="Arial" w:eastAsia="Arial" w:cs="Arial"/>
          <w:b w:val="0"/>
          <w:i w:val="0"/>
          <w:smallCaps w:val="0"/>
          <w:strike w:val="0"/>
          <w:color w:val="000000"/>
          <w:sz w:val="22"/>
          <w:szCs w:val="22"/>
          <w:u w:val="none"/>
          <w:shd w:val="clear" w:fill="auto"/>
          <w:vertAlign w:val="baseline"/>
          <w:rtl w:val="0"/>
        </w:rPr>
        <w:t xml:space="preserve">YouGov (2024) </w:t>
      </w:r>
      <w:r>
        <w:rPr>
          <w:rFonts w:ascii="Arial" w:hAnsi="Arial" w:eastAsia="Arial" w:cs="Arial"/>
          <w:b w:val="0"/>
          <w:i/>
          <w:smallCaps w:val="0"/>
          <w:strike w:val="0"/>
          <w:color w:val="000000"/>
          <w:sz w:val="22"/>
          <w:szCs w:val="22"/>
          <w:u w:val="none"/>
          <w:shd w:val="clear" w:fill="auto"/>
          <w:vertAlign w:val="baseline"/>
          <w:rtl w:val="0"/>
        </w:rPr>
        <w:t>Most NHS staff say staff shortages and burnout are impa</w:t>
      </w:r>
    </w:p>
    <w:p w14:paraId="0000010A">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16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Pr>
          <w:rFonts w:ascii="Arial" w:hAnsi="Arial" w:eastAsia="Arial" w:cs="Arial"/>
          <w:b w:val="0"/>
          <w:i/>
          <w:smallCaps w:val="0"/>
          <w:strike w:val="0"/>
          <w:color w:val="000000"/>
          <w:sz w:val="22"/>
          <w:szCs w:val="22"/>
          <w:u w:val="none"/>
          <w:shd w:val="clear" w:fill="auto"/>
          <w:vertAlign w:val="baseline"/>
          <w:rtl w:val="0"/>
        </w:rPr>
        <w:t>cting patient care</w:t>
      </w:r>
      <w:r>
        <w:rPr>
          <w:rFonts w:ascii="Arial" w:hAnsi="Arial" w:eastAsia="Arial" w:cs="Arial"/>
          <w:b w:val="0"/>
          <w:i w:val="0"/>
          <w:smallCaps w:val="0"/>
          <w:strike w:val="0"/>
          <w:color w:val="000000"/>
          <w:sz w:val="22"/>
          <w:szCs w:val="22"/>
          <w:u w:val="none"/>
          <w:shd w:val="clear" w:fill="auto"/>
          <w:vertAlign w:val="baseline"/>
          <w:rtl w:val="0"/>
        </w:rPr>
        <w:t xml:space="preserve">. Available at: </w:t>
      </w:r>
      <w:r>
        <w:fldChar w:fldCharType="begin"/>
      </w:r>
      <w:r>
        <w:instrText xml:space="preserve"> HYPERLINK "https://yougov.co.uk" \h </w:instrText>
      </w:r>
      <w:r>
        <w:fldChar w:fldCharType="separate"/>
      </w:r>
      <w:r>
        <w:rPr>
          <w:rFonts w:ascii="Arial" w:hAnsi="Arial" w:eastAsia="Arial" w:cs="Arial"/>
          <w:b w:val="0"/>
          <w:i w:val="0"/>
          <w:smallCaps w:val="0"/>
          <w:strike w:val="0"/>
          <w:color w:val="0000FF"/>
          <w:sz w:val="22"/>
          <w:szCs w:val="22"/>
          <w:u w:val="single"/>
          <w:shd w:val="clear" w:fill="auto"/>
          <w:vertAlign w:val="baseline"/>
          <w:rtl w:val="0"/>
        </w:rPr>
        <w:t>https://yougov.co.uk</w:t>
      </w:r>
      <w:r>
        <w:rPr>
          <w:rFonts w:ascii="Arial" w:hAnsi="Arial" w:eastAsia="Arial" w:cs="Arial"/>
          <w:b w:val="0"/>
          <w:i w:val="0"/>
          <w:smallCaps w:val="0"/>
          <w:strike w:val="0"/>
          <w:color w:val="0000FF"/>
          <w:sz w:val="22"/>
          <w:szCs w:val="22"/>
          <w:u w:val="single"/>
          <w:shd w:val="clear" w:fill="auto"/>
          <w:vertAlign w:val="baseline"/>
          <w:rtl w:val="0"/>
        </w:rPr>
        <w:fldChar w:fldCharType="end"/>
      </w:r>
      <w:r>
        <w:rPr>
          <w:rFonts w:ascii="Arial" w:hAnsi="Arial" w:eastAsia="Arial" w:cs="Arial"/>
          <w:b w:val="0"/>
          <w:i w:val="0"/>
          <w:smallCaps w:val="0"/>
          <w:strike w:val="0"/>
          <w:color w:val="000000"/>
          <w:sz w:val="22"/>
          <w:szCs w:val="22"/>
          <w:u w:val="none"/>
          <w:shd w:val="clear" w:fill="auto"/>
          <w:vertAlign w:val="baseline"/>
          <w:rtl w:val="0"/>
        </w:rPr>
        <w:t xml:space="preserve"> (Accessed: 10 November 2025).</w:t>
      </w:r>
    </w:p>
    <w:p w14:paraId="0000010B">
      <w:pPr>
        <w:jc w:val="both"/>
        <w:rPr>
          <w:rFonts w:ascii="Play" w:hAnsi="Play" w:eastAsia="Play" w:cs="Play"/>
          <w:b/>
        </w:rPr>
      </w:pPr>
    </w:p>
    <w:p w14:paraId="0000010C">
      <w:pPr>
        <w:jc w:val="both"/>
        <w:rPr>
          <w:rFonts w:ascii="Play" w:hAnsi="Play" w:eastAsia="Play" w:cs="Play"/>
          <w:b/>
        </w:rPr>
      </w:pPr>
    </w:p>
    <w:p w14:paraId="0000010D">
      <w:pPr>
        <w:jc w:val="both"/>
        <w:rPr>
          <w:rFonts w:ascii="Play" w:hAnsi="Play" w:eastAsia="Play" w:cs="Play"/>
          <w:b/>
        </w:rPr>
      </w:pPr>
      <w:r>
        <w:rPr>
          <w:rFonts w:ascii="Play" w:hAnsi="Play" w:eastAsia="Play" w:cs="Play"/>
          <w:b/>
          <w:rtl w:val="0"/>
        </w:rPr>
        <w:t>Appendix:</w:t>
      </w:r>
    </w:p>
    <w:p w14:paraId="0000010E">
      <w:pPr>
        <w:pStyle w:val="3"/>
        <w:rPr>
          <w:rFonts w:ascii="Arial" w:hAnsi="Arial" w:eastAsia="Arial" w:cs="Arial"/>
          <w:color w:val="000000"/>
          <w:sz w:val="20"/>
          <w:szCs w:val="20"/>
        </w:rPr>
      </w:pPr>
      <w:r>
        <w:rPr>
          <w:rFonts w:ascii="Arial" w:hAnsi="Arial" w:eastAsia="Arial" w:cs="Arial"/>
          <w:color w:val="000000"/>
          <w:sz w:val="20"/>
          <w:szCs w:val="20"/>
          <w:rtl w:val="0"/>
        </w:rPr>
        <w:t>Table 1: Thematic Coding of 10 Key Sources</w:t>
      </w:r>
    </w:p>
    <w:tbl>
      <w:tblPr>
        <w:tblStyle w:val="13"/>
        <w:tblW w:w="90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67"/>
        <w:gridCol w:w="1300"/>
        <w:gridCol w:w="1585"/>
        <w:gridCol w:w="1552"/>
        <w:gridCol w:w="1508"/>
        <w:gridCol w:w="1804"/>
      </w:tblGrid>
      <w:tr w14:paraId="3451A1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p w14:paraId="0000010F">
            <w:pPr>
              <w:spacing w:after="0" w:line="240" w:lineRule="auto"/>
              <w:rPr>
                <w:rFonts w:ascii="Arial" w:hAnsi="Arial" w:eastAsia="Arial" w:cs="Arial"/>
                <w:sz w:val="20"/>
                <w:szCs w:val="20"/>
              </w:rPr>
            </w:pPr>
            <w:r>
              <w:rPr>
                <w:rFonts w:ascii="Arial" w:hAnsi="Arial" w:eastAsia="Arial" w:cs="Arial"/>
                <w:sz w:val="20"/>
                <w:szCs w:val="20"/>
                <w:rtl w:val="0"/>
              </w:rPr>
              <w:t>Author/Year</w:t>
            </w:r>
          </w:p>
        </w:tc>
        <w:tc>
          <w:p w14:paraId="00000110">
            <w:pPr>
              <w:spacing w:after="0" w:line="240" w:lineRule="auto"/>
              <w:rPr>
                <w:rFonts w:ascii="Arial" w:hAnsi="Arial" w:eastAsia="Arial" w:cs="Arial"/>
                <w:sz w:val="20"/>
                <w:szCs w:val="20"/>
              </w:rPr>
            </w:pPr>
            <w:r>
              <w:rPr>
                <w:rFonts w:ascii="Arial" w:hAnsi="Arial" w:eastAsia="Arial" w:cs="Arial"/>
                <w:sz w:val="20"/>
                <w:szCs w:val="20"/>
                <w:rtl w:val="0"/>
              </w:rPr>
              <w:t>Study Type</w:t>
            </w:r>
          </w:p>
        </w:tc>
        <w:tc>
          <w:p w14:paraId="00000111">
            <w:pPr>
              <w:spacing w:after="0" w:line="240" w:lineRule="auto"/>
              <w:rPr>
                <w:rFonts w:ascii="Arial" w:hAnsi="Arial" w:eastAsia="Arial" w:cs="Arial"/>
                <w:sz w:val="20"/>
                <w:szCs w:val="20"/>
              </w:rPr>
            </w:pPr>
            <w:r>
              <w:rPr>
                <w:rFonts w:ascii="Arial" w:hAnsi="Arial" w:eastAsia="Arial" w:cs="Arial"/>
                <w:sz w:val="20"/>
                <w:szCs w:val="20"/>
                <w:rtl w:val="0"/>
              </w:rPr>
              <w:t>Focus Area</w:t>
            </w:r>
          </w:p>
        </w:tc>
        <w:tc>
          <w:p w14:paraId="00000112">
            <w:pPr>
              <w:spacing w:after="0" w:line="240" w:lineRule="auto"/>
              <w:rPr>
                <w:rFonts w:ascii="Arial" w:hAnsi="Arial" w:eastAsia="Arial" w:cs="Arial"/>
                <w:sz w:val="20"/>
                <w:szCs w:val="20"/>
              </w:rPr>
            </w:pPr>
            <w:r>
              <w:rPr>
                <w:rFonts w:ascii="Arial" w:hAnsi="Arial" w:eastAsia="Arial" w:cs="Arial"/>
                <w:sz w:val="20"/>
                <w:szCs w:val="20"/>
                <w:rtl w:val="0"/>
              </w:rPr>
              <w:t>Key Findings</w:t>
            </w:r>
          </w:p>
        </w:tc>
        <w:tc>
          <w:p w14:paraId="00000113">
            <w:pPr>
              <w:spacing w:after="0" w:line="240" w:lineRule="auto"/>
              <w:rPr>
                <w:rFonts w:ascii="Arial" w:hAnsi="Arial" w:eastAsia="Arial" w:cs="Arial"/>
                <w:sz w:val="20"/>
                <w:szCs w:val="20"/>
              </w:rPr>
            </w:pPr>
            <w:r>
              <w:rPr>
                <w:rFonts w:ascii="Arial" w:hAnsi="Arial" w:eastAsia="Arial" w:cs="Arial"/>
                <w:sz w:val="20"/>
                <w:szCs w:val="20"/>
                <w:rtl w:val="0"/>
              </w:rPr>
              <w:t>Codes Identified</w:t>
            </w:r>
          </w:p>
        </w:tc>
        <w:tc>
          <w:p w14:paraId="00000114">
            <w:pPr>
              <w:spacing w:after="0" w:line="240" w:lineRule="auto"/>
              <w:rPr>
                <w:rFonts w:ascii="Arial" w:hAnsi="Arial" w:eastAsia="Arial" w:cs="Arial"/>
                <w:sz w:val="20"/>
                <w:szCs w:val="20"/>
              </w:rPr>
            </w:pPr>
            <w:r>
              <w:rPr>
                <w:rFonts w:ascii="Arial" w:hAnsi="Arial" w:eastAsia="Arial" w:cs="Arial"/>
                <w:sz w:val="20"/>
                <w:szCs w:val="20"/>
                <w:rtl w:val="0"/>
              </w:rPr>
              <w:t>Theme</w:t>
            </w:r>
          </w:p>
        </w:tc>
      </w:tr>
      <w:tr w14:paraId="6EFF65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p w14:paraId="00000115">
            <w:pPr>
              <w:spacing w:after="0" w:line="240" w:lineRule="auto"/>
              <w:rPr>
                <w:rFonts w:ascii="Arial" w:hAnsi="Arial" w:eastAsia="Arial" w:cs="Arial"/>
                <w:sz w:val="20"/>
                <w:szCs w:val="20"/>
              </w:rPr>
            </w:pPr>
            <w:r>
              <w:rPr>
                <w:rFonts w:ascii="Arial" w:hAnsi="Arial" w:eastAsia="Arial" w:cs="Arial"/>
                <w:sz w:val="20"/>
                <w:szCs w:val="20"/>
                <w:rtl w:val="0"/>
              </w:rPr>
              <w:t>Gemine et al. (2022)</w:t>
            </w:r>
          </w:p>
        </w:tc>
        <w:tc>
          <w:p w14:paraId="00000116">
            <w:pPr>
              <w:spacing w:after="0" w:line="240" w:lineRule="auto"/>
              <w:rPr>
                <w:rFonts w:ascii="Arial" w:hAnsi="Arial" w:eastAsia="Arial" w:cs="Arial"/>
                <w:sz w:val="20"/>
                <w:szCs w:val="20"/>
              </w:rPr>
            </w:pPr>
            <w:r>
              <w:rPr>
                <w:rFonts w:ascii="Arial" w:hAnsi="Arial" w:eastAsia="Arial" w:cs="Arial"/>
                <w:sz w:val="20"/>
                <w:szCs w:val="20"/>
                <w:rtl w:val="0"/>
              </w:rPr>
              <w:t>Mixed-methods (BMJ Open)</w:t>
            </w:r>
          </w:p>
        </w:tc>
        <w:tc>
          <w:p w14:paraId="00000117">
            <w:pPr>
              <w:spacing w:after="0" w:line="240" w:lineRule="auto"/>
              <w:rPr>
                <w:rFonts w:ascii="Arial" w:hAnsi="Arial" w:eastAsia="Arial" w:cs="Arial"/>
                <w:sz w:val="20"/>
                <w:szCs w:val="20"/>
              </w:rPr>
            </w:pPr>
            <w:r>
              <w:rPr>
                <w:rFonts w:ascii="Arial" w:hAnsi="Arial" w:eastAsia="Arial" w:cs="Arial"/>
                <w:sz w:val="20"/>
                <w:szCs w:val="20"/>
                <w:rtl w:val="0"/>
              </w:rPr>
              <w:t>COVID-19 Burnout</w:t>
            </w:r>
          </w:p>
        </w:tc>
        <w:tc>
          <w:p w14:paraId="00000118">
            <w:pPr>
              <w:spacing w:after="0" w:line="240" w:lineRule="auto"/>
              <w:rPr>
                <w:rFonts w:ascii="Arial" w:hAnsi="Arial" w:eastAsia="Arial" w:cs="Arial"/>
                <w:sz w:val="20"/>
                <w:szCs w:val="20"/>
              </w:rPr>
            </w:pPr>
            <w:r>
              <w:rPr>
                <w:rFonts w:ascii="Arial" w:hAnsi="Arial" w:eastAsia="Arial" w:cs="Arial"/>
                <w:sz w:val="20"/>
                <w:szCs w:val="20"/>
                <w:rtl w:val="0"/>
              </w:rPr>
              <w:t>High emotional exhaustion among NHS staff during pandemic peaks.</w:t>
            </w:r>
          </w:p>
        </w:tc>
        <w:tc>
          <w:p w14:paraId="00000119">
            <w:pPr>
              <w:spacing w:after="0" w:line="240" w:lineRule="auto"/>
              <w:rPr>
                <w:rFonts w:ascii="Arial" w:hAnsi="Arial" w:eastAsia="Arial" w:cs="Arial"/>
                <w:sz w:val="20"/>
                <w:szCs w:val="20"/>
              </w:rPr>
            </w:pPr>
            <w:r>
              <w:rPr>
                <w:rFonts w:ascii="Arial" w:hAnsi="Arial" w:eastAsia="Arial" w:cs="Arial"/>
                <w:sz w:val="20"/>
                <w:szCs w:val="20"/>
                <w:rtl w:val="0"/>
              </w:rPr>
              <w:t>Emotional exhaustion; workload; stress</w:t>
            </w:r>
          </w:p>
        </w:tc>
        <w:tc>
          <w:p w14:paraId="0000011A">
            <w:pPr>
              <w:spacing w:after="0" w:line="240" w:lineRule="auto"/>
              <w:rPr>
                <w:rFonts w:ascii="Arial" w:hAnsi="Arial" w:eastAsia="Arial" w:cs="Arial"/>
                <w:sz w:val="20"/>
                <w:szCs w:val="20"/>
              </w:rPr>
            </w:pPr>
            <w:r>
              <w:rPr>
                <w:rFonts w:ascii="Arial" w:hAnsi="Arial" w:eastAsia="Arial" w:cs="Arial"/>
                <w:sz w:val="20"/>
                <w:szCs w:val="20"/>
                <w:rtl w:val="0"/>
              </w:rPr>
              <w:t>Burnout</w:t>
            </w:r>
          </w:p>
        </w:tc>
      </w:tr>
      <w:tr w14:paraId="11DF4A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p w14:paraId="0000011B">
            <w:pPr>
              <w:spacing w:after="0" w:line="240" w:lineRule="auto"/>
              <w:rPr>
                <w:rFonts w:ascii="Arial" w:hAnsi="Arial" w:eastAsia="Arial" w:cs="Arial"/>
                <w:sz w:val="20"/>
                <w:szCs w:val="20"/>
              </w:rPr>
            </w:pPr>
            <w:r>
              <w:rPr>
                <w:rFonts w:ascii="Arial" w:hAnsi="Arial" w:eastAsia="Arial" w:cs="Arial"/>
                <w:sz w:val="20"/>
                <w:szCs w:val="20"/>
                <w:rtl w:val="0"/>
              </w:rPr>
              <w:t>NHS Staff Survey (2024)</w:t>
            </w:r>
          </w:p>
        </w:tc>
        <w:tc>
          <w:p w14:paraId="0000011C">
            <w:pPr>
              <w:spacing w:after="0" w:line="240" w:lineRule="auto"/>
              <w:rPr>
                <w:rFonts w:ascii="Arial" w:hAnsi="Arial" w:eastAsia="Arial" w:cs="Arial"/>
                <w:sz w:val="20"/>
                <w:szCs w:val="20"/>
              </w:rPr>
            </w:pPr>
            <w:r>
              <w:rPr>
                <w:rFonts w:ascii="Arial" w:hAnsi="Arial" w:eastAsia="Arial" w:cs="Arial"/>
                <w:sz w:val="20"/>
                <w:szCs w:val="20"/>
                <w:rtl w:val="0"/>
              </w:rPr>
              <w:t>National Survey</w:t>
            </w:r>
          </w:p>
        </w:tc>
        <w:tc>
          <w:p w14:paraId="0000011D">
            <w:pPr>
              <w:spacing w:after="0" w:line="240" w:lineRule="auto"/>
              <w:rPr>
                <w:rFonts w:ascii="Arial" w:hAnsi="Arial" w:eastAsia="Arial" w:cs="Arial"/>
                <w:sz w:val="20"/>
                <w:szCs w:val="20"/>
              </w:rPr>
            </w:pPr>
            <w:r>
              <w:rPr>
                <w:rFonts w:ascii="Arial" w:hAnsi="Arial" w:eastAsia="Arial" w:cs="Arial"/>
                <w:sz w:val="20"/>
                <w:szCs w:val="20"/>
                <w:rtl w:val="0"/>
              </w:rPr>
              <w:t>Work-related Stress</w:t>
            </w:r>
          </w:p>
        </w:tc>
        <w:tc>
          <w:p w14:paraId="0000011E">
            <w:pPr>
              <w:spacing w:after="0" w:line="240" w:lineRule="auto"/>
              <w:rPr>
                <w:rFonts w:ascii="Arial" w:hAnsi="Arial" w:eastAsia="Arial" w:cs="Arial"/>
                <w:sz w:val="20"/>
                <w:szCs w:val="20"/>
              </w:rPr>
            </w:pPr>
            <w:r>
              <w:rPr>
                <w:rFonts w:ascii="Arial" w:hAnsi="Arial" w:eastAsia="Arial" w:cs="Arial"/>
                <w:sz w:val="20"/>
                <w:szCs w:val="20"/>
                <w:rtl w:val="0"/>
              </w:rPr>
              <w:t>55% reported work-related stress; staffing dissatisfaction prevalent.</w:t>
            </w:r>
          </w:p>
        </w:tc>
        <w:tc>
          <w:p w14:paraId="0000011F">
            <w:pPr>
              <w:spacing w:after="0" w:line="240" w:lineRule="auto"/>
              <w:rPr>
                <w:rFonts w:ascii="Arial" w:hAnsi="Arial" w:eastAsia="Arial" w:cs="Arial"/>
                <w:sz w:val="20"/>
                <w:szCs w:val="20"/>
              </w:rPr>
            </w:pPr>
            <w:r>
              <w:rPr>
                <w:rFonts w:ascii="Arial" w:hAnsi="Arial" w:eastAsia="Arial" w:cs="Arial"/>
                <w:sz w:val="20"/>
                <w:szCs w:val="20"/>
                <w:rtl w:val="0"/>
              </w:rPr>
              <w:t>Understaffing; morale decline; turnover intention</w:t>
            </w:r>
          </w:p>
        </w:tc>
        <w:tc>
          <w:p w14:paraId="00000120">
            <w:pPr>
              <w:spacing w:after="0" w:line="240" w:lineRule="auto"/>
              <w:rPr>
                <w:rFonts w:ascii="Arial" w:hAnsi="Arial" w:eastAsia="Arial" w:cs="Arial"/>
                <w:sz w:val="20"/>
                <w:szCs w:val="20"/>
              </w:rPr>
            </w:pPr>
            <w:r>
              <w:rPr>
                <w:rFonts w:ascii="Arial" w:hAnsi="Arial" w:eastAsia="Arial" w:cs="Arial"/>
                <w:sz w:val="20"/>
                <w:szCs w:val="20"/>
                <w:rtl w:val="0"/>
              </w:rPr>
              <w:t>Burnout/Retention</w:t>
            </w:r>
          </w:p>
        </w:tc>
      </w:tr>
      <w:tr w14:paraId="3B9382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p w14:paraId="00000121">
            <w:pPr>
              <w:spacing w:after="0" w:line="240" w:lineRule="auto"/>
              <w:rPr>
                <w:rFonts w:ascii="Arial" w:hAnsi="Arial" w:eastAsia="Arial" w:cs="Arial"/>
                <w:sz w:val="20"/>
                <w:szCs w:val="20"/>
              </w:rPr>
            </w:pPr>
            <w:r>
              <w:rPr>
                <w:rFonts w:ascii="Arial" w:hAnsi="Arial" w:eastAsia="Arial" w:cs="Arial"/>
                <w:sz w:val="20"/>
                <w:szCs w:val="20"/>
                <w:rtl w:val="0"/>
              </w:rPr>
              <w:t>West &amp; Coia (2019)</w:t>
            </w:r>
          </w:p>
        </w:tc>
        <w:tc>
          <w:p w14:paraId="00000122">
            <w:pPr>
              <w:spacing w:after="0" w:line="240" w:lineRule="auto"/>
              <w:rPr>
                <w:rFonts w:ascii="Arial" w:hAnsi="Arial" w:eastAsia="Arial" w:cs="Arial"/>
                <w:sz w:val="20"/>
                <w:szCs w:val="20"/>
              </w:rPr>
            </w:pPr>
            <w:r>
              <w:rPr>
                <w:rFonts w:ascii="Arial" w:hAnsi="Arial" w:eastAsia="Arial" w:cs="Arial"/>
                <w:sz w:val="20"/>
                <w:szCs w:val="20"/>
                <w:rtl w:val="0"/>
              </w:rPr>
              <w:t>Policy Review</w:t>
            </w:r>
          </w:p>
        </w:tc>
        <w:tc>
          <w:p w14:paraId="00000123">
            <w:pPr>
              <w:spacing w:after="0" w:line="240" w:lineRule="auto"/>
              <w:rPr>
                <w:rFonts w:ascii="Arial" w:hAnsi="Arial" w:eastAsia="Arial" w:cs="Arial"/>
                <w:sz w:val="20"/>
                <w:szCs w:val="20"/>
              </w:rPr>
            </w:pPr>
            <w:r>
              <w:rPr>
                <w:rFonts w:ascii="Arial" w:hAnsi="Arial" w:eastAsia="Arial" w:cs="Arial"/>
                <w:sz w:val="20"/>
                <w:szCs w:val="20"/>
                <w:rtl w:val="0"/>
              </w:rPr>
              <w:t>Compassionate Leadership</w:t>
            </w:r>
          </w:p>
        </w:tc>
        <w:tc>
          <w:p w14:paraId="00000124">
            <w:pPr>
              <w:spacing w:after="0" w:line="240" w:lineRule="auto"/>
              <w:rPr>
                <w:rFonts w:ascii="Arial" w:hAnsi="Arial" w:eastAsia="Arial" w:cs="Arial"/>
                <w:sz w:val="20"/>
                <w:szCs w:val="20"/>
              </w:rPr>
            </w:pPr>
            <w:r>
              <w:rPr>
                <w:rFonts w:ascii="Arial" w:hAnsi="Arial" w:eastAsia="Arial" w:cs="Arial"/>
                <w:sz w:val="20"/>
                <w:szCs w:val="20"/>
                <w:rtl w:val="0"/>
              </w:rPr>
              <w:t>Link between staff wellbeing and patient care quality.</w:t>
            </w:r>
          </w:p>
        </w:tc>
        <w:tc>
          <w:p w14:paraId="00000125">
            <w:pPr>
              <w:spacing w:after="0" w:line="240" w:lineRule="auto"/>
              <w:rPr>
                <w:rFonts w:ascii="Arial" w:hAnsi="Arial" w:eastAsia="Arial" w:cs="Arial"/>
                <w:sz w:val="20"/>
                <w:szCs w:val="20"/>
              </w:rPr>
            </w:pPr>
            <w:r>
              <w:rPr>
                <w:rFonts w:ascii="Arial" w:hAnsi="Arial" w:eastAsia="Arial" w:cs="Arial"/>
                <w:sz w:val="20"/>
                <w:szCs w:val="20"/>
                <w:rtl w:val="0"/>
              </w:rPr>
              <w:t>Leadership; psychological safety; engagement</w:t>
            </w:r>
          </w:p>
        </w:tc>
        <w:tc>
          <w:p w14:paraId="00000126">
            <w:pPr>
              <w:spacing w:after="0" w:line="240" w:lineRule="auto"/>
              <w:rPr>
                <w:rFonts w:ascii="Arial" w:hAnsi="Arial" w:eastAsia="Arial" w:cs="Arial"/>
                <w:sz w:val="20"/>
                <w:szCs w:val="20"/>
              </w:rPr>
            </w:pPr>
            <w:r>
              <w:rPr>
                <w:rFonts w:ascii="Arial" w:hAnsi="Arial" w:eastAsia="Arial" w:cs="Arial"/>
                <w:sz w:val="20"/>
                <w:szCs w:val="20"/>
                <w:rtl w:val="0"/>
              </w:rPr>
              <w:t>Organisational Culture</w:t>
            </w:r>
          </w:p>
        </w:tc>
      </w:tr>
      <w:tr w14:paraId="272739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p w14:paraId="00000127">
            <w:pPr>
              <w:spacing w:after="0" w:line="240" w:lineRule="auto"/>
              <w:rPr>
                <w:rFonts w:ascii="Arial" w:hAnsi="Arial" w:eastAsia="Arial" w:cs="Arial"/>
                <w:sz w:val="20"/>
                <w:szCs w:val="20"/>
              </w:rPr>
            </w:pPr>
            <w:r>
              <w:rPr>
                <w:rFonts w:ascii="Arial" w:hAnsi="Arial" w:eastAsia="Arial" w:cs="Arial"/>
                <w:sz w:val="20"/>
                <w:szCs w:val="20"/>
                <w:rtl w:val="0"/>
              </w:rPr>
              <w:t>Kline (2022)</w:t>
            </w:r>
          </w:p>
        </w:tc>
        <w:tc>
          <w:p w14:paraId="00000128">
            <w:pPr>
              <w:spacing w:after="0" w:line="240" w:lineRule="auto"/>
              <w:rPr>
                <w:rFonts w:ascii="Arial" w:hAnsi="Arial" w:eastAsia="Arial" w:cs="Arial"/>
                <w:sz w:val="20"/>
                <w:szCs w:val="20"/>
              </w:rPr>
            </w:pPr>
            <w:r>
              <w:rPr>
                <w:rFonts w:ascii="Arial" w:hAnsi="Arial" w:eastAsia="Arial" w:cs="Arial"/>
                <w:sz w:val="20"/>
                <w:szCs w:val="20"/>
                <w:rtl w:val="0"/>
              </w:rPr>
              <w:t>Workforce Equality Report</w:t>
            </w:r>
          </w:p>
        </w:tc>
        <w:tc>
          <w:p w14:paraId="00000129">
            <w:pPr>
              <w:spacing w:after="0" w:line="240" w:lineRule="auto"/>
              <w:rPr>
                <w:rFonts w:ascii="Arial" w:hAnsi="Arial" w:eastAsia="Arial" w:cs="Arial"/>
                <w:sz w:val="20"/>
                <w:szCs w:val="20"/>
              </w:rPr>
            </w:pPr>
            <w:r>
              <w:rPr>
                <w:rFonts w:ascii="Arial" w:hAnsi="Arial" w:eastAsia="Arial" w:cs="Arial"/>
                <w:sz w:val="20"/>
                <w:szCs w:val="20"/>
                <w:rtl w:val="0"/>
              </w:rPr>
              <w:t>Race Inequality</w:t>
            </w:r>
          </w:p>
        </w:tc>
        <w:tc>
          <w:p w14:paraId="0000012A">
            <w:pPr>
              <w:spacing w:after="0" w:line="240" w:lineRule="auto"/>
              <w:rPr>
                <w:rFonts w:ascii="Arial" w:hAnsi="Arial" w:eastAsia="Arial" w:cs="Arial"/>
                <w:sz w:val="20"/>
                <w:szCs w:val="20"/>
              </w:rPr>
            </w:pPr>
            <w:r>
              <w:rPr>
                <w:rFonts w:ascii="Arial" w:hAnsi="Arial" w:eastAsia="Arial" w:cs="Arial"/>
                <w:sz w:val="20"/>
                <w:szCs w:val="20"/>
                <w:rtl w:val="0"/>
              </w:rPr>
              <w:t>Ethnic minority staff report discrimination and lower morale.</w:t>
            </w:r>
          </w:p>
        </w:tc>
        <w:tc>
          <w:p w14:paraId="0000012B">
            <w:pPr>
              <w:spacing w:after="0" w:line="240" w:lineRule="auto"/>
              <w:rPr>
                <w:rFonts w:ascii="Arial" w:hAnsi="Arial" w:eastAsia="Arial" w:cs="Arial"/>
                <w:sz w:val="20"/>
                <w:szCs w:val="20"/>
              </w:rPr>
            </w:pPr>
            <w:r>
              <w:rPr>
                <w:rFonts w:ascii="Arial" w:hAnsi="Arial" w:eastAsia="Arial" w:cs="Arial"/>
                <w:sz w:val="20"/>
                <w:szCs w:val="20"/>
                <w:rtl w:val="0"/>
              </w:rPr>
              <w:t>Inequality; discrimination; morale</w:t>
            </w:r>
          </w:p>
        </w:tc>
        <w:tc>
          <w:p w14:paraId="0000012C">
            <w:pPr>
              <w:spacing w:after="0" w:line="240" w:lineRule="auto"/>
              <w:rPr>
                <w:rFonts w:ascii="Arial" w:hAnsi="Arial" w:eastAsia="Arial" w:cs="Arial"/>
                <w:sz w:val="20"/>
                <w:szCs w:val="20"/>
              </w:rPr>
            </w:pPr>
            <w:r>
              <w:rPr>
                <w:rFonts w:ascii="Arial" w:hAnsi="Arial" w:eastAsia="Arial" w:cs="Arial"/>
                <w:sz w:val="20"/>
                <w:szCs w:val="20"/>
                <w:rtl w:val="0"/>
              </w:rPr>
              <w:t>Organisational Culture</w:t>
            </w:r>
          </w:p>
        </w:tc>
      </w:tr>
      <w:tr w14:paraId="550852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p w14:paraId="0000012D">
            <w:pPr>
              <w:spacing w:after="0" w:line="240" w:lineRule="auto"/>
              <w:rPr>
                <w:rFonts w:ascii="Arial" w:hAnsi="Arial" w:eastAsia="Arial" w:cs="Arial"/>
                <w:sz w:val="20"/>
                <w:szCs w:val="20"/>
              </w:rPr>
            </w:pPr>
            <w:r>
              <w:rPr>
                <w:rFonts w:ascii="Arial" w:hAnsi="Arial" w:eastAsia="Arial" w:cs="Arial"/>
                <w:sz w:val="20"/>
                <w:szCs w:val="20"/>
                <w:rtl w:val="0"/>
              </w:rPr>
              <w:t>NHS England (2023)</w:t>
            </w:r>
          </w:p>
        </w:tc>
        <w:tc>
          <w:p w14:paraId="0000012E">
            <w:pPr>
              <w:spacing w:after="0" w:line="240" w:lineRule="auto"/>
              <w:rPr>
                <w:rFonts w:ascii="Arial" w:hAnsi="Arial" w:eastAsia="Arial" w:cs="Arial"/>
                <w:sz w:val="20"/>
                <w:szCs w:val="20"/>
              </w:rPr>
            </w:pPr>
            <w:r>
              <w:rPr>
                <w:rFonts w:ascii="Arial" w:hAnsi="Arial" w:eastAsia="Arial" w:cs="Arial"/>
                <w:sz w:val="20"/>
                <w:szCs w:val="20"/>
                <w:rtl w:val="0"/>
              </w:rPr>
              <w:t>Policy Plan</w:t>
            </w:r>
          </w:p>
        </w:tc>
        <w:tc>
          <w:p w14:paraId="0000012F">
            <w:pPr>
              <w:spacing w:after="0" w:line="240" w:lineRule="auto"/>
              <w:rPr>
                <w:rFonts w:ascii="Arial" w:hAnsi="Arial" w:eastAsia="Arial" w:cs="Arial"/>
                <w:sz w:val="20"/>
                <w:szCs w:val="20"/>
              </w:rPr>
            </w:pPr>
            <w:r>
              <w:rPr>
                <w:rFonts w:ascii="Arial" w:hAnsi="Arial" w:eastAsia="Arial" w:cs="Arial"/>
                <w:sz w:val="20"/>
                <w:szCs w:val="20"/>
                <w:rtl w:val="0"/>
              </w:rPr>
              <w:t>Workforce Sustainability</w:t>
            </w:r>
          </w:p>
        </w:tc>
        <w:tc>
          <w:p w14:paraId="00000130">
            <w:pPr>
              <w:spacing w:after="0" w:line="240" w:lineRule="auto"/>
              <w:rPr>
                <w:rFonts w:ascii="Arial" w:hAnsi="Arial" w:eastAsia="Arial" w:cs="Arial"/>
                <w:sz w:val="20"/>
                <w:szCs w:val="20"/>
              </w:rPr>
            </w:pPr>
            <w:r>
              <w:rPr>
                <w:rFonts w:ascii="Arial" w:hAnsi="Arial" w:eastAsia="Arial" w:cs="Arial"/>
                <w:sz w:val="20"/>
                <w:szCs w:val="20"/>
                <w:rtl w:val="0"/>
              </w:rPr>
              <w:t>Projected workforce shortfall of 260k–360k by 2036.</w:t>
            </w:r>
          </w:p>
        </w:tc>
        <w:tc>
          <w:p w14:paraId="00000131">
            <w:pPr>
              <w:spacing w:after="0" w:line="240" w:lineRule="auto"/>
              <w:rPr>
                <w:rFonts w:ascii="Arial" w:hAnsi="Arial" w:eastAsia="Arial" w:cs="Arial"/>
                <w:sz w:val="20"/>
                <w:szCs w:val="20"/>
              </w:rPr>
            </w:pPr>
            <w:r>
              <w:rPr>
                <w:rFonts w:ascii="Arial" w:hAnsi="Arial" w:eastAsia="Arial" w:cs="Arial"/>
                <w:sz w:val="20"/>
                <w:szCs w:val="20"/>
                <w:rtl w:val="0"/>
              </w:rPr>
              <w:t>Retention risk; recruitment; workforce gap</w:t>
            </w:r>
          </w:p>
        </w:tc>
        <w:tc>
          <w:p w14:paraId="00000132">
            <w:pPr>
              <w:spacing w:after="0" w:line="240" w:lineRule="auto"/>
              <w:rPr>
                <w:rFonts w:ascii="Arial" w:hAnsi="Arial" w:eastAsia="Arial" w:cs="Arial"/>
                <w:sz w:val="20"/>
                <w:szCs w:val="20"/>
              </w:rPr>
            </w:pPr>
            <w:r>
              <w:rPr>
                <w:rFonts w:ascii="Arial" w:hAnsi="Arial" w:eastAsia="Arial" w:cs="Arial"/>
                <w:sz w:val="20"/>
                <w:szCs w:val="20"/>
                <w:rtl w:val="0"/>
              </w:rPr>
              <w:t>Retention</w:t>
            </w:r>
          </w:p>
        </w:tc>
      </w:tr>
      <w:tr w14:paraId="4EE639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p w14:paraId="00000133">
            <w:pPr>
              <w:spacing w:after="0" w:line="240" w:lineRule="auto"/>
              <w:rPr>
                <w:rFonts w:ascii="Arial" w:hAnsi="Arial" w:eastAsia="Arial" w:cs="Arial"/>
                <w:sz w:val="20"/>
                <w:szCs w:val="20"/>
              </w:rPr>
            </w:pPr>
            <w:r>
              <w:rPr>
                <w:rFonts w:ascii="Arial" w:hAnsi="Arial" w:eastAsia="Arial" w:cs="Arial"/>
                <w:sz w:val="20"/>
                <w:szCs w:val="20"/>
                <w:rtl w:val="0"/>
              </w:rPr>
              <w:t>Nagle et al. (2024)</w:t>
            </w:r>
          </w:p>
        </w:tc>
        <w:tc>
          <w:p w14:paraId="00000134">
            <w:pPr>
              <w:spacing w:after="0" w:line="240" w:lineRule="auto"/>
              <w:rPr>
                <w:rFonts w:ascii="Arial" w:hAnsi="Arial" w:eastAsia="Arial" w:cs="Arial"/>
                <w:sz w:val="20"/>
                <w:szCs w:val="20"/>
              </w:rPr>
            </w:pPr>
            <w:r>
              <w:rPr>
                <w:rFonts w:ascii="Arial" w:hAnsi="Arial" w:eastAsia="Arial" w:cs="Arial"/>
                <w:sz w:val="20"/>
                <w:szCs w:val="20"/>
                <w:rtl w:val="0"/>
              </w:rPr>
              <w:t>Scoping Review</w:t>
            </w:r>
          </w:p>
        </w:tc>
        <w:tc>
          <w:p w14:paraId="00000135">
            <w:pPr>
              <w:spacing w:after="0" w:line="240" w:lineRule="auto"/>
              <w:rPr>
                <w:rFonts w:ascii="Arial" w:hAnsi="Arial" w:eastAsia="Arial" w:cs="Arial"/>
                <w:sz w:val="20"/>
                <w:szCs w:val="20"/>
              </w:rPr>
            </w:pPr>
            <w:r>
              <w:rPr>
                <w:rFonts w:ascii="Arial" w:hAnsi="Arial" w:eastAsia="Arial" w:cs="Arial"/>
                <w:sz w:val="20"/>
                <w:szCs w:val="20"/>
                <w:rtl w:val="0"/>
              </w:rPr>
              <w:t>Burnout Models</w:t>
            </w:r>
          </w:p>
        </w:tc>
        <w:tc>
          <w:p w14:paraId="00000136">
            <w:pPr>
              <w:spacing w:after="0" w:line="240" w:lineRule="auto"/>
              <w:rPr>
                <w:rFonts w:ascii="Arial" w:hAnsi="Arial" w:eastAsia="Arial" w:cs="Arial"/>
                <w:sz w:val="20"/>
                <w:szCs w:val="20"/>
              </w:rPr>
            </w:pPr>
            <w:r>
              <w:rPr>
                <w:rFonts w:ascii="Arial" w:hAnsi="Arial" w:eastAsia="Arial" w:cs="Arial"/>
                <w:sz w:val="20"/>
                <w:szCs w:val="20"/>
                <w:rtl w:val="0"/>
              </w:rPr>
              <w:t>Moral distress and emotional strain key burnout drivers.</w:t>
            </w:r>
          </w:p>
        </w:tc>
        <w:tc>
          <w:p w14:paraId="00000137">
            <w:pPr>
              <w:spacing w:after="0" w:line="240" w:lineRule="auto"/>
              <w:rPr>
                <w:rFonts w:ascii="Arial" w:hAnsi="Arial" w:eastAsia="Arial" w:cs="Arial"/>
                <w:sz w:val="20"/>
                <w:szCs w:val="20"/>
              </w:rPr>
            </w:pPr>
            <w:r>
              <w:rPr>
                <w:rFonts w:ascii="Arial" w:hAnsi="Arial" w:eastAsia="Arial" w:cs="Arial"/>
                <w:sz w:val="20"/>
                <w:szCs w:val="20"/>
                <w:rtl w:val="0"/>
              </w:rPr>
              <w:t>Moral injury; emotional labour; stressors</w:t>
            </w:r>
          </w:p>
        </w:tc>
        <w:tc>
          <w:p w14:paraId="00000138">
            <w:pPr>
              <w:spacing w:after="0" w:line="240" w:lineRule="auto"/>
              <w:rPr>
                <w:rFonts w:ascii="Arial" w:hAnsi="Arial" w:eastAsia="Arial" w:cs="Arial"/>
                <w:sz w:val="20"/>
                <w:szCs w:val="20"/>
              </w:rPr>
            </w:pPr>
            <w:r>
              <w:rPr>
                <w:rFonts w:ascii="Arial" w:hAnsi="Arial" w:eastAsia="Arial" w:cs="Arial"/>
                <w:sz w:val="20"/>
                <w:szCs w:val="20"/>
                <w:rtl w:val="0"/>
              </w:rPr>
              <w:t>Burnout</w:t>
            </w:r>
          </w:p>
        </w:tc>
      </w:tr>
      <w:tr w14:paraId="5310BF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p w14:paraId="00000139">
            <w:pPr>
              <w:spacing w:after="0" w:line="240" w:lineRule="auto"/>
              <w:rPr>
                <w:rFonts w:ascii="Arial" w:hAnsi="Arial" w:eastAsia="Arial" w:cs="Arial"/>
                <w:sz w:val="20"/>
                <w:szCs w:val="20"/>
              </w:rPr>
            </w:pPr>
            <w:r>
              <w:rPr>
                <w:rFonts w:ascii="Arial" w:hAnsi="Arial" w:eastAsia="Arial" w:cs="Arial"/>
                <w:sz w:val="20"/>
                <w:szCs w:val="20"/>
                <w:rtl w:val="0"/>
              </w:rPr>
              <w:t>Myles Wellbeing (2024)</w:t>
            </w:r>
          </w:p>
        </w:tc>
        <w:tc>
          <w:p w14:paraId="0000013A">
            <w:pPr>
              <w:spacing w:after="0" w:line="240" w:lineRule="auto"/>
              <w:rPr>
                <w:rFonts w:ascii="Arial" w:hAnsi="Arial" w:eastAsia="Arial" w:cs="Arial"/>
                <w:sz w:val="20"/>
                <w:szCs w:val="20"/>
              </w:rPr>
            </w:pPr>
            <w:r>
              <w:rPr>
                <w:rFonts w:ascii="Arial" w:hAnsi="Arial" w:eastAsia="Arial" w:cs="Arial"/>
                <w:sz w:val="20"/>
                <w:szCs w:val="20"/>
                <w:rtl w:val="0"/>
              </w:rPr>
              <w:t>Survey Analysis</w:t>
            </w:r>
          </w:p>
        </w:tc>
        <w:tc>
          <w:p w14:paraId="0000013B">
            <w:pPr>
              <w:spacing w:after="0" w:line="240" w:lineRule="auto"/>
              <w:rPr>
                <w:rFonts w:ascii="Arial" w:hAnsi="Arial" w:eastAsia="Arial" w:cs="Arial"/>
                <w:sz w:val="20"/>
                <w:szCs w:val="20"/>
              </w:rPr>
            </w:pPr>
            <w:r>
              <w:rPr>
                <w:rFonts w:ascii="Arial" w:hAnsi="Arial" w:eastAsia="Arial" w:cs="Arial"/>
                <w:sz w:val="20"/>
                <w:szCs w:val="20"/>
                <w:rtl w:val="0"/>
              </w:rPr>
              <w:t>Early-career Burnout</w:t>
            </w:r>
          </w:p>
        </w:tc>
        <w:tc>
          <w:p w14:paraId="0000013C">
            <w:pPr>
              <w:spacing w:after="0" w:line="240" w:lineRule="auto"/>
              <w:rPr>
                <w:rFonts w:ascii="Arial" w:hAnsi="Arial" w:eastAsia="Arial" w:cs="Arial"/>
                <w:sz w:val="20"/>
                <w:szCs w:val="20"/>
              </w:rPr>
            </w:pPr>
            <w:r>
              <w:rPr>
                <w:rFonts w:ascii="Arial" w:hAnsi="Arial" w:eastAsia="Arial" w:cs="Arial"/>
                <w:sz w:val="20"/>
                <w:szCs w:val="20"/>
                <w:rtl w:val="0"/>
              </w:rPr>
              <w:t>Younger staff report higher exhaustion and exit intention.</w:t>
            </w:r>
          </w:p>
        </w:tc>
        <w:tc>
          <w:p w14:paraId="0000013D">
            <w:pPr>
              <w:spacing w:after="0" w:line="240" w:lineRule="auto"/>
              <w:rPr>
                <w:rFonts w:ascii="Arial" w:hAnsi="Arial" w:eastAsia="Arial" w:cs="Arial"/>
                <w:sz w:val="20"/>
                <w:szCs w:val="20"/>
              </w:rPr>
            </w:pPr>
            <w:r>
              <w:rPr>
                <w:rFonts w:ascii="Arial" w:hAnsi="Arial" w:eastAsia="Arial" w:cs="Arial"/>
                <w:sz w:val="20"/>
                <w:szCs w:val="20"/>
                <w:rtl w:val="0"/>
              </w:rPr>
              <w:t>Early-career stress; dissatisfaction; turnover</w:t>
            </w:r>
          </w:p>
        </w:tc>
        <w:tc>
          <w:p w14:paraId="0000013E">
            <w:pPr>
              <w:spacing w:after="0" w:line="240" w:lineRule="auto"/>
              <w:rPr>
                <w:rFonts w:ascii="Arial" w:hAnsi="Arial" w:eastAsia="Arial" w:cs="Arial"/>
                <w:sz w:val="20"/>
                <w:szCs w:val="20"/>
              </w:rPr>
            </w:pPr>
            <w:r>
              <w:rPr>
                <w:rFonts w:ascii="Arial" w:hAnsi="Arial" w:eastAsia="Arial" w:cs="Arial"/>
                <w:sz w:val="20"/>
                <w:szCs w:val="20"/>
                <w:rtl w:val="0"/>
              </w:rPr>
              <w:t>Retention</w:t>
            </w:r>
          </w:p>
        </w:tc>
      </w:tr>
      <w:tr w14:paraId="191C71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p w14:paraId="0000013F">
            <w:pPr>
              <w:spacing w:after="0" w:line="240" w:lineRule="auto"/>
              <w:rPr>
                <w:rFonts w:ascii="Arial" w:hAnsi="Arial" w:eastAsia="Arial" w:cs="Arial"/>
                <w:sz w:val="20"/>
                <w:szCs w:val="20"/>
              </w:rPr>
            </w:pPr>
            <w:r>
              <w:rPr>
                <w:rFonts w:ascii="Arial" w:hAnsi="Arial" w:eastAsia="Arial" w:cs="Arial"/>
                <w:sz w:val="20"/>
                <w:szCs w:val="20"/>
                <w:rtl w:val="0"/>
              </w:rPr>
              <w:t>RCPsych (2024)</w:t>
            </w:r>
          </w:p>
        </w:tc>
        <w:tc>
          <w:p w14:paraId="00000140">
            <w:pPr>
              <w:spacing w:after="0" w:line="240" w:lineRule="auto"/>
              <w:rPr>
                <w:rFonts w:ascii="Arial" w:hAnsi="Arial" w:eastAsia="Arial" w:cs="Arial"/>
                <w:sz w:val="20"/>
                <w:szCs w:val="20"/>
              </w:rPr>
            </w:pPr>
            <w:r>
              <w:rPr>
                <w:rFonts w:ascii="Arial" w:hAnsi="Arial" w:eastAsia="Arial" w:cs="Arial"/>
                <w:sz w:val="20"/>
                <w:szCs w:val="20"/>
                <w:rtl w:val="0"/>
              </w:rPr>
              <w:t>Professional Body Report</w:t>
            </w:r>
          </w:p>
        </w:tc>
        <w:tc>
          <w:p w14:paraId="00000141">
            <w:pPr>
              <w:spacing w:after="0" w:line="240" w:lineRule="auto"/>
              <w:rPr>
                <w:rFonts w:ascii="Arial" w:hAnsi="Arial" w:eastAsia="Arial" w:cs="Arial"/>
                <w:sz w:val="20"/>
                <w:szCs w:val="20"/>
              </w:rPr>
            </w:pPr>
            <w:r>
              <w:rPr>
                <w:rFonts w:ascii="Arial" w:hAnsi="Arial" w:eastAsia="Arial" w:cs="Arial"/>
                <w:sz w:val="20"/>
                <w:szCs w:val="20"/>
                <w:rtl w:val="0"/>
              </w:rPr>
              <w:t>Mental Health Impact</w:t>
            </w:r>
          </w:p>
        </w:tc>
        <w:tc>
          <w:p w14:paraId="00000142">
            <w:pPr>
              <w:spacing w:after="0" w:line="240" w:lineRule="auto"/>
              <w:rPr>
                <w:rFonts w:ascii="Arial" w:hAnsi="Arial" w:eastAsia="Arial" w:cs="Arial"/>
                <w:sz w:val="20"/>
                <w:szCs w:val="20"/>
              </w:rPr>
            </w:pPr>
            <w:r>
              <w:rPr>
                <w:rFonts w:ascii="Arial" w:hAnsi="Arial" w:eastAsia="Arial" w:cs="Arial"/>
                <w:sz w:val="20"/>
                <w:szCs w:val="20"/>
                <w:rtl w:val="0"/>
              </w:rPr>
              <w:t>One-third staff took mental health leave due to stress.</w:t>
            </w:r>
          </w:p>
        </w:tc>
        <w:tc>
          <w:p w14:paraId="00000143">
            <w:pPr>
              <w:spacing w:after="0" w:line="240" w:lineRule="auto"/>
              <w:rPr>
                <w:rFonts w:ascii="Arial" w:hAnsi="Arial" w:eastAsia="Arial" w:cs="Arial"/>
                <w:sz w:val="20"/>
                <w:szCs w:val="20"/>
              </w:rPr>
            </w:pPr>
            <w:r>
              <w:rPr>
                <w:rFonts w:ascii="Arial" w:hAnsi="Arial" w:eastAsia="Arial" w:cs="Arial"/>
                <w:sz w:val="20"/>
                <w:szCs w:val="20"/>
                <w:rtl w:val="0"/>
              </w:rPr>
              <w:t>Absenteeism; stress; burnout</w:t>
            </w:r>
          </w:p>
        </w:tc>
        <w:tc>
          <w:p w14:paraId="00000144">
            <w:pPr>
              <w:spacing w:after="0" w:line="240" w:lineRule="auto"/>
              <w:rPr>
                <w:rFonts w:ascii="Arial" w:hAnsi="Arial" w:eastAsia="Arial" w:cs="Arial"/>
                <w:sz w:val="20"/>
                <w:szCs w:val="20"/>
              </w:rPr>
            </w:pPr>
            <w:r>
              <w:rPr>
                <w:rFonts w:ascii="Arial" w:hAnsi="Arial" w:eastAsia="Arial" w:cs="Arial"/>
                <w:sz w:val="20"/>
                <w:szCs w:val="20"/>
                <w:rtl w:val="0"/>
              </w:rPr>
              <w:t>Burnout</w:t>
            </w:r>
          </w:p>
        </w:tc>
      </w:tr>
      <w:tr w14:paraId="042279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p w14:paraId="00000145">
            <w:pPr>
              <w:spacing w:after="0" w:line="240" w:lineRule="auto"/>
              <w:rPr>
                <w:rFonts w:ascii="Arial" w:hAnsi="Arial" w:eastAsia="Arial" w:cs="Arial"/>
                <w:sz w:val="20"/>
                <w:szCs w:val="20"/>
              </w:rPr>
            </w:pPr>
            <w:r>
              <w:rPr>
                <w:rFonts w:ascii="Arial" w:hAnsi="Arial" w:eastAsia="Arial" w:cs="Arial"/>
                <w:sz w:val="20"/>
                <w:szCs w:val="20"/>
                <w:rtl w:val="0"/>
              </w:rPr>
              <w:t>Ghasemi Kooktapeh et al. (2023)</w:t>
            </w:r>
          </w:p>
        </w:tc>
        <w:tc>
          <w:p w14:paraId="00000146">
            <w:pPr>
              <w:spacing w:after="0" w:line="240" w:lineRule="auto"/>
              <w:rPr>
                <w:rFonts w:ascii="Arial" w:hAnsi="Arial" w:eastAsia="Arial" w:cs="Arial"/>
                <w:sz w:val="20"/>
                <w:szCs w:val="20"/>
              </w:rPr>
            </w:pPr>
            <w:r>
              <w:rPr>
                <w:rFonts w:ascii="Arial" w:hAnsi="Arial" w:eastAsia="Arial" w:cs="Arial"/>
                <w:sz w:val="20"/>
                <w:szCs w:val="20"/>
                <w:rtl w:val="0"/>
              </w:rPr>
              <w:t>Meta-analysis</w:t>
            </w:r>
          </w:p>
        </w:tc>
        <w:tc>
          <w:p w14:paraId="00000147">
            <w:pPr>
              <w:spacing w:after="0" w:line="240" w:lineRule="auto"/>
              <w:rPr>
                <w:rFonts w:ascii="Arial" w:hAnsi="Arial" w:eastAsia="Arial" w:cs="Arial"/>
                <w:sz w:val="20"/>
                <w:szCs w:val="20"/>
              </w:rPr>
            </w:pPr>
            <w:r>
              <w:rPr>
                <w:rFonts w:ascii="Arial" w:hAnsi="Arial" w:eastAsia="Arial" w:cs="Arial"/>
                <w:sz w:val="20"/>
                <w:szCs w:val="20"/>
                <w:rtl w:val="0"/>
              </w:rPr>
              <w:t>Nurse Burnout</w:t>
            </w:r>
          </w:p>
        </w:tc>
        <w:tc>
          <w:p w14:paraId="00000148">
            <w:pPr>
              <w:spacing w:after="0" w:line="240" w:lineRule="auto"/>
              <w:rPr>
                <w:rFonts w:ascii="Arial" w:hAnsi="Arial" w:eastAsia="Arial" w:cs="Arial"/>
                <w:sz w:val="20"/>
                <w:szCs w:val="20"/>
              </w:rPr>
            </w:pPr>
            <w:r>
              <w:rPr>
                <w:rFonts w:ascii="Arial" w:hAnsi="Arial" w:eastAsia="Arial" w:cs="Arial"/>
                <w:sz w:val="20"/>
                <w:szCs w:val="20"/>
                <w:rtl w:val="0"/>
              </w:rPr>
              <w:t>Over 40% nurses report moderate–severe burnout globally.</w:t>
            </w:r>
          </w:p>
        </w:tc>
        <w:tc>
          <w:p w14:paraId="00000149">
            <w:pPr>
              <w:spacing w:after="0" w:line="240" w:lineRule="auto"/>
              <w:rPr>
                <w:rFonts w:ascii="Arial" w:hAnsi="Arial" w:eastAsia="Arial" w:cs="Arial"/>
                <w:sz w:val="20"/>
                <w:szCs w:val="20"/>
              </w:rPr>
            </w:pPr>
            <w:r>
              <w:rPr>
                <w:rFonts w:ascii="Arial" w:hAnsi="Arial" w:eastAsia="Arial" w:cs="Arial"/>
                <w:sz w:val="20"/>
                <w:szCs w:val="20"/>
                <w:rtl w:val="0"/>
              </w:rPr>
              <w:t>Emotional exhaustion; institutional support gap</w:t>
            </w:r>
          </w:p>
        </w:tc>
        <w:tc>
          <w:p w14:paraId="0000014A">
            <w:pPr>
              <w:spacing w:after="0" w:line="240" w:lineRule="auto"/>
              <w:rPr>
                <w:rFonts w:ascii="Arial" w:hAnsi="Arial" w:eastAsia="Arial" w:cs="Arial"/>
                <w:sz w:val="20"/>
                <w:szCs w:val="20"/>
              </w:rPr>
            </w:pPr>
            <w:r>
              <w:rPr>
                <w:rFonts w:ascii="Arial" w:hAnsi="Arial" w:eastAsia="Arial" w:cs="Arial"/>
                <w:sz w:val="20"/>
                <w:szCs w:val="20"/>
                <w:rtl w:val="0"/>
              </w:rPr>
              <w:t>Burnout</w:t>
            </w:r>
          </w:p>
        </w:tc>
      </w:tr>
      <w:tr w14:paraId="0E1D54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p w14:paraId="0000014B">
            <w:pPr>
              <w:spacing w:after="0" w:line="240" w:lineRule="auto"/>
              <w:rPr>
                <w:rFonts w:ascii="Arial" w:hAnsi="Arial" w:eastAsia="Arial" w:cs="Arial"/>
                <w:sz w:val="20"/>
                <w:szCs w:val="20"/>
              </w:rPr>
            </w:pPr>
            <w:r>
              <w:rPr>
                <w:rFonts w:ascii="Arial" w:hAnsi="Arial" w:eastAsia="Arial" w:cs="Arial"/>
                <w:sz w:val="20"/>
                <w:szCs w:val="20"/>
                <w:rtl w:val="0"/>
              </w:rPr>
              <w:t>NHS Employers (2024)</w:t>
            </w:r>
          </w:p>
        </w:tc>
        <w:tc>
          <w:p w14:paraId="0000014C">
            <w:pPr>
              <w:spacing w:after="0" w:line="240" w:lineRule="auto"/>
              <w:rPr>
                <w:rFonts w:ascii="Arial" w:hAnsi="Arial" w:eastAsia="Arial" w:cs="Arial"/>
                <w:sz w:val="20"/>
                <w:szCs w:val="20"/>
              </w:rPr>
            </w:pPr>
            <w:r>
              <w:rPr>
                <w:rFonts w:ascii="Arial" w:hAnsi="Arial" w:eastAsia="Arial" w:cs="Arial"/>
                <w:sz w:val="20"/>
                <w:szCs w:val="20"/>
                <w:rtl w:val="0"/>
              </w:rPr>
              <w:t>Wellbeing Overview</w:t>
            </w:r>
          </w:p>
        </w:tc>
        <w:tc>
          <w:p w14:paraId="0000014D">
            <w:pPr>
              <w:spacing w:after="0" w:line="240" w:lineRule="auto"/>
              <w:rPr>
                <w:rFonts w:ascii="Arial" w:hAnsi="Arial" w:eastAsia="Arial" w:cs="Arial"/>
                <w:sz w:val="20"/>
                <w:szCs w:val="20"/>
              </w:rPr>
            </w:pPr>
            <w:r>
              <w:rPr>
                <w:rFonts w:ascii="Arial" w:hAnsi="Arial" w:eastAsia="Arial" w:cs="Arial"/>
                <w:sz w:val="20"/>
                <w:szCs w:val="20"/>
                <w:rtl w:val="0"/>
              </w:rPr>
              <w:t>Staff Support Initiatives</w:t>
            </w:r>
          </w:p>
        </w:tc>
        <w:tc>
          <w:p w14:paraId="0000014E">
            <w:pPr>
              <w:spacing w:after="0" w:line="240" w:lineRule="auto"/>
              <w:rPr>
                <w:rFonts w:ascii="Arial" w:hAnsi="Arial" w:eastAsia="Arial" w:cs="Arial"/>
                <w:sz w:val="20"/>
                <w:szCs w:val="20"/>
              </w:rPr>
            </w:pPr>
            <w:r>
              <w:rPr>
                <w:rFonts w:ascii="Arial" w:hAnsi="Arial" w:eastAsia="Arial" w:cs="Arial"/>
                <w:sz w:val="20"/>
                <w:szCs w:val="20"/>
                <w:rtl w:val="0"/>
              </w:rPr>
              <w:t>Variation in wellbeing implementation across trusts.</w:t>
            </w:r>
          </w:p>
        </w:tc>
        <w:tc>
          <w:p w14:paraId="0000014F">
            <w:pPr>
              <w:spacing w:after="0" w:line="240" w:lineRule="auto"/>
              <w:rPr>
                <w:rFonts w:ascii="Arial" w:hAnsi="Arial" w:eastAsia="Arial" w:cs="Arial"/>
                <w:sz w:val="20"/>
                <w:szCs w:val="20"/>
              </w:rPr>
            </w:pPr>
            <w:r>
              <w:rPr>
                <w:rFonts w:ascii="Arial" w:hAnsi="Arial" w:eastAsia="Arial" w:cs="Arial"/>
                <w:sz w:val="20"/>
                <w:szCs w:val="20"/>
                <w:rtl w:val="0"/>
              </w:rPr>
              <w:t>Support inconsistency; leadership gap; morale</w:t>
            </w:r>
          </w:p>
        </w:tc>
        <w:tc>
          <w:p w14:paraId="00000150">
            <w:pPr>
              <w:spacing w:after="0" w:line="240" w:lineRule="auto"/>
              <w:rPr>
                <w:rFonts w:ascii="Arial" w:hAnsi="Arial" w:eastAsia="Arial" w:cs="Arial"/>
                <w:sz w:val="20"/>
                <w:szCs w:val="20"/>
              </w:rPr>
            </w:pPr>
            <w:r>
              <w:rPr>
                <w:rFonts w:ascii="Arial" w:hAnsi="Arial" w:eastAsia="Arial" w:cs="Arial"/>
                <w:sz w:val="20"/>
                <w:szCs w:val="20"/>
                <w:rtl w:val="0"/>
              </w:rPr>
              <w:t>Organisational Culture</w:t>
            </w:r>
          </w:p>
        </w:tc>
      </w:tr>
    </w:tbl>
    <w:p w14:paraId="00000151">
      <w:pPr>
        <w:pStyle w:val="3"/>
        <w:rPr>
          <w:rFonts w:ascii="Arial" w:hAnsi="Arial" w:eastAsia="Arial" w:cs="Arial"/>
          <w:color w:val="000000"/>
          <w:sz w:val="20"/>
          <w:szCs w:val="20"/>
        </w:rPr>
      </w:pPr>
    </w:p>
    <w:p w14:paraId="00000152">
      <w:pPr>
        <w:pStyle w:val="3"/>
        <w:rPr>
          <w:rFonts w:ascii="Arial" w:hAnsi="Arial" w:eastAsia="Arial" w:cs="Arial"/>
          <w:color w:val="000000"/>
          <w:sz w:val="20"/>
          <w:szCs w:val="20"/>
        </w:rPr>
      </w:pPr>
    </w:p>
    <w:p w14:paraId="00000153">
      <w:pPr>
        <w:pStyle w:val="3"/>
        <w:rPr>
          <w:rFonts w:ascii="Arial" w:hAnsi="Arial" w:eastAsia="Arial" w:cs="Arial"/>
          <w:color w:val="000000"/>
          <w:sz w:val="20"/>
          <w:szCs w:val="20"/>
        </w:rPr>
      </w:pPr>
      <w:r>
        <w:rPr>
          <w:rFonts w:ascii="Arial" w:hAnsi="Arial" w:eastAsia="Arial" w:cs="Arial"/>
          <w:color w:val="000000"/>
          <w:sz w:val="20"/>
          <w:szCs w:val="20"/>
          <w:rtl w:val="0"/>
        </w:rPr>
        <w:t>Table 2: Summary of Key Thematic Results</w:t>
      </w:r>
    </w:p>
    <w:tbl>
      <w:tblPr>
        <w:tblStyle w:val="14"/>
        <w:tblW w:w="864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160"/>
        <w:gridCol w:w="2160"/>
        <w:gridCol w:w="2160"/>
        <w:gridCol w:w="2160"/>
      </w:tblGrid>
      <w:tr w14:paraId="7C5D63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p w14:paraId="00000154">
            <w:pPr>
              <w:spacing w:after="0" w:line="240" w:lineRule="auto"/>
              <w:rPr>
                <w:rFonts w:ascii="Arial" w:hAnsi="Arial" w:eastAsia="Arial" w:cs="Arial"/>
                <w:sz w:val="20"/>
                <w:szCs w:val="20"/>
              </w:rPr>
            </w:pPr>
            <w:r>
              <w:rPr>
                <w:rFonts w:ascii="Arial" w:hAnsi="Arial" w:eastAsia="Arial" w:cs="Arial"/>
                <w:sz w:val="20"/>
                <w:szCs w:val="20"/>
                <w:rtl w:val="0"/>
              </w:rPr>
              <w:t>Theme</w:t>
            </w:r>
          </w:p>
        </w:tc>
        <w:tc>
          <w:p w14:paraId="00000155">
            <w:pPr>
              <w:spacing w:after="0" w:line="240" w:lineRule="auto"/>
              <w:rPr>
                <w:rFonts w:ascii="Arial" w:hAnsi="Arial" w:eastAsia="Arial" w:cs="Arial"/>
                <w:sz w:val="20"/>
                <w:szCs w:val="20"/>
              </w:rPr>
            </w:pPr>
            <w:r>
              <w:rPr>
                <w:rFonts w:ascii="Arial" w:hAnsi="Arial" w:eastAsia="Arial" w:cs="Arial"/>
                <w:sz w:val="20"/>
                <w:szCs w:val="20"/>
                <w:rtl w:val="0"/>
              </w:rPr>
              <w:t>Main Findings</w:t>
            </w:r>
          </w:p>
        </w:tc>
        <w:tc>
          <w:p w14:paraId="00000156">
            <w:pPr>
              <w:spacing w:after="0" w:line="240" w:lineRule="auto"/>
              <w:rPr>
                <w:rFonts w:ascii="Arial" w:hAnsi="Arial" w:eastAsia="Arial" w:cs="Arial"/>
                <w:sz w:val="20"/>
                <w:szCs w:val="20"/>
              </w:rPr>
            </w:pPr>
            <w:r>
              <w:rPr>
                <w:rFonts w:ascii="Arial" w:hAnsi="Arial" w:eastAsia="Arial" w:cs="Arial"/>
                <w:sz w:val="20"/>
                <w:szCs w:val="20"/>
                <w:rtl w:val="0"/>
              </w:rPr>
              <w:t>Impact on NHS</w:t>
            </w:r>
          </w:p>
        </w:tc>
        <w:tc>
          <w:p w14:paraId="00000157">
            <w:pPr>
              <w:spacing w:after="0" w:line="240" w:lineRule="auto"/>
              <w:rPr>
                <w:rFonts w:ascii="Arial" w:hAnsi="Arial" w:eastAsia="Arial" w:cs="Arial"/>
                <w:sz w:val="20"/>
                <w:szCs w:val="20"/>
              </w:rPr>
            </w:pPr>
            <w:r>
              <w:rPr>
                <w:rFonts w:ascii="Arial" w:hAnsi="Arial" w:eastAsia="Arial" w:cs="Arial"/>
                <w:sz w:val="20"/>
                <w:szCs w:val="20"/>
                <w:rtl w:val="0"/>
              </w:rPr>
              <w:t>Supporting Sources</w:t>
            </w:r>
          </w:p>
        </w:tc>
      </w:tr>
      <w:tr w14:paraId="0E1855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p w14:paraId="00000158">
            <w:pPr>
              <w:spacing w:after="0" w:line="240" w:lineRule="auto"/>
              <w:rPr>
                <w:rFonts w:ascii="Arial" w:hAnsi="Arial" w:eastAsia="Arial" w:cs="Arial"/>
                <w:sz w:val="20"/>
                <w:szCs w:val="20"/>
              </w:rPr>
            </w:pPr>
            <w:r>
              <w:rPr>
                <w:rFonts w:ascii="Arial" w:hAnsi="Arial" w:eastAsia="Arial" w:cs="Arial"/>
                <w:sz w:val="20"/>
                <w:szCs w:val="20"/>
                <w:rtl w:val="0"/>
              </w:rPr>
              <w:t>Burnout &amp; Emotional Exhaustion</w:t>
            </w:r>
          </w:p>
        </w:tc>
        <w:tc>
          <w:p w14:paraId="00000159">
            <w:pPr>
              <w:spacing w:after="0" w:line="240" w:lineRule="auto"/>
              <w:rPr>
                <w:rFonts w:ascii="Arial" w:hAnsi="Arial" w:eastAsia="Arial" w:cs="Arial"/>
                <w:sz w:val="20"/>
                <w:szCs w:val="20"/>
              </w:rPr>
            </w:pPr>
            <w:r>
              <w:rPr>
                <w:rFonts w:ascii="Arial" w:hAnsi="Arial" w:eastAsia="Arial" w:cs="Arial"/>
                <w:sz w:val="20"/>
                <w:szCs w:val="20"/>
                <w:rtl w:val="0"/>
              </w:rPr>
              <w:t>Persistent high workload, emotional labour, and understaffing driving stress.</w:t>
            </w:r>
          </w:p>
        </w:tc>
        <w:tc>
          <w:p w14:paraId="0000015A">
            <w:pPr>
              <w:spacing w:after="0" w:line="240" w:lineRule="auto"/>
              <w:rPr>
                <w:rFonts w:ascii="Arial" w:hAnsi="Arial" w:eastAsia="Arial" w:cs="Arial"/>
                <w:sz w:val="20"/>
                <w:szCs w:val="20"/>
              </w:rPr>
            </w:pPr>
            <w:r>
              <w:rPr>
                <w:rFonts w:ascii="Arial" w:hAnsi="Arial" w:eastAsia="Arial" w:cs="Arial"/>
                <w:sz w:val="20"/>
                <w:szCs w:val="20"/>
                <w:rtl w:val="0"/>
              </w:rPr>
              <w:t>Increased sickness absence; reduced patient care quality.</w:t>
            </w:r>
          </w:p>
        </w:tc>
        <w:tc>
          <w:p w14:paraId="0000015B">
            <w:pPr>
              <w:spacing w:after="0" w:line="240" w:lineRule="auto"/>
              <w:rPr>
                <w:rFonts w:ascii="Arial" w:hAnsi="Arial" w:eastAsia="Arial" w:cs="Arial"/>
                <w:sz w:val="20"/>
                <w:szCs w:val="20"/>
              </w:rPr>
            </w:pPr>
            <w:r>
              <w:rPr>
                <w:rFonts w:ascii="Arial" w:hAnsi="Arial" w:eastAsia="Arial" w:cs="Arial"/>
                <w:sz w:val="20"/>
                <w:szCs w:val="20"/>
                <w:rtl w:val="0"/>
              </w:rPr>
              <w:t>Gemine et al. (2022); NHS Staff Survey (2024); RCPsych (2024)</w:t>
            </w:r>
          </w:p>
        </w:tc>
      </w:tr>
      <w:tr w14:paraId="0681D0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p w14:paraId="0000015C">
            <w:pPr>
              <w:spacing w:after="0" w:line="240" w:lineRule="auto"/>
              <w:rPr>
                <w:rFonts w:ascii="Arial" w:hAnsi="Arial" w:eastAsia="Arial" w:cs="Arial"/>
                <w:sz w:val="20"/>
                <w:szCs w:val="20"/>
              </w:rPr>
            </w:pPr>
            <w:r>
              <w:rPr>
                <w:rFonts w:ascii="Arial" w:hAnsi="Arial" w:eastAsia="Arial" w:cs="Arial"/>
                <w:sz w:val="20"/>
                <w:szCs w:val="20"/>
                <w:rtl w:val="0"/>
              </w:rPr>
              <w:t>Organisational Culture &amp; Leadership</w:t>
            </w:r>
          </w:p>
        </w:tc>
        <w:tc>
          <w:p w14:paraId="0000015D">
            <w:pPr>
              <w:spacing w:after="0" w:line="240" w:lineRule="auto"/>
              <w:rPr>
                <w:rFonts w:ascii="Arial" w:hAnsi="Arial" w:eastAsia="Arial" w:cs="Arial"/>
                <w:sz w:val="20"/>
                <w:szCs w:val="20"/>
              </w:rPr>
            </w:pPr>
            <w:r>
              <w:rPr>
                <w:rFonts w:ascii="Arial" w:hAnsi="Arial" w:eastAsia="Arial" w:cs="Arial"/>
                <w:sz w:val="20"/>
                <w:szCs w:val="20"/>
                <w:rtl w:val="0"/>
              </w:rPr>
              <w:t>Compassionate leadership linked to higher morale and engagement.</w:t>
            </w:r>
          </w:p>
        </w:tc>
        <w:tc>
          <w:p w14:paraId="0000015E">
            <w:pPr>
              <w:spacing w:after="0" w:line="240" w:lineRule="auto"/>
              <w:rPr>
                <w:rFonts w:ascii="Arial" w:hAnsi="Arial" w:eastAsia="Arial" w:cs="Arial"/>
                <w:sz w:val="20"/>
                <w:szCs w:val="20"/>
              </w:rPr>
            </w:pPr>
            <w:r>
              <w:rPr>
                <w:rFonts w:ascii="Arial" w:hAnsi="Arial" w:eastAsia="Arial" w:cs="Arial"/>
                <w:sz w:val="20"/>
                <w:szCs w:val="20"/>
                <w:rtl w:val="0"/>
              </w:rPr>
              <w:t>Improved staff satisfaction and reduced turnover intention.</w:t>
            </w:r>
          </w:p>
        </w:tc>
        <w:tc>
          <w:p w14:paraId="0000015F">
            <w:pPr>
              <w:spacing w:after="0" w:line="240" w:lineRule="auto"/>
              <w:rPr>
                <w:rFonts w:ascii="Arial" w:hAnsi="Arial" w:eastAsia="Arial" w:cs="Arial"/>
                <w:sz w:val="20"/>
                <w:szCs w:val="20"/>
              </w:rPr>
            </w:pPr>
            <w:r>
              <w:rPr>
                <w:rFonts w:ascii="Arial" w:hAnsi="Arial" w:eastAsia="Arial" w:cs="Arial"/>
                <w:sz w:val="20"/>
                <w:szCs w:val="20"/>
                <w:rtl w:val="0"/>
              </w:rPr>
              <w:t>West &amp; Coia (2019); NHS Employers (2024)</w:t>
            </w:r>
          </w:p>
        </w:tc>
      </w:tr>
      <w:tr w14:paraId="75EB18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p w14:paraId="00000160">
            <w:pPr>
              <w:spacing w:after="0" w:line="240" w:lineRule="auto"/>
              <w:rPr>
                <w:rFonts w:ascii="Arial" w:hAnsi="Arial" w:eastAsia="Arial" w:cs="Arial"/>
                <w:sz w:val="20"/>
                <w:szCs w:val="20"/>
              </w:rPr>
            </w:pPr>
            <w:r>
              <w:rPr>
                <w:rFonts w:ascii="Arial" w:hAnsi="Arial" w:eastAsia="Arial" w:cs="Arial"/>
                <w:sz w:val="20"/>
                <w:szCs w:val="20"/>
                <w:rtl w:val="0"/>
              </w:rPr>
              <w:t>Workforce Inequality</w:t>
            </w:r>
          </w:p>
        </w:tc>
        <w:tc>
          <w:p w14:paraId="00000161">
            <w:pPr>
              <w:spacing w:after="0" w:line="240" w:lineRule="auto"/>
              <w:rPr>
                <w:rFonts w:ascii="Arial" w:hAnsi="Arial" w:eastAsia="Arial" w:cs="Arial"/>
                <w:sz w:val="20"/>
                <w:szCs w:val="20"/>
              </w:rPr>
            </w:pPr>
            <w:r>
              <w:rPr>
                <w:rFonts w:ascii="Arial" w:hAnsi="Arial" w:eastAsia="Arial" w:cs="Arial"/>
                <w:sz w:val="20"/>
                <w:szCs w:val="20"/>
                <w:rtl w:val="0"/>
              </w:rPr>
              <w:t>Ethnic minority staff experience lower morale and discrimination.</w:t>
            </w:r>
          </w:p>
        </w:tc>
        <w:tc>
          <w:p w14:paraId="00000162">
            <w:pPr>
              <w:spacing w:after="0" w:line="240" w:lineRule="auto"/>
              <w:rPr>
                <w:rFonts w:ascii="Arial" w:hAnsi="Arial" w:eastAsia="Arial" w:cs="Arial"/>
                <w:sz w:val="20"/>
                <w:szCs w:val="20"/>
              </w:rPr>
            </w:pPr>
            <w:r>
              <w:rPr>
                <w:rFonts w:ascii="Arial" w:hAnsi="Arial" w:eastAsia="Arial" w:cs="Arial"/>
                <w:sz w:val="20"/>
                <w:szCs w:val="20"/>
                <w:rtl w:val="0"/>
              </w:rPr>
              <w:t>Reduced engagement and higher attrition risk.</w:t>
            </w:r>
          </w:p>
        </w:tc>
        <w:tc>
          <w:p w14:paraId="00000163">
            <w:pPr>
              <w:spacing w:after="0" w:line="240" w:lineRule="auto"/>
              <w:rPr>
                <w:rFonts w:ascii="Arial" w:hAnsi="Arial" w:eastAsia="Arial" w:cs="Arial"/>
                <w:sz w:val="20"/>
                <w:szCs w:val="20"/>
              </w:rPr>
            </w:pPr>
            <w:r>
              <w:rPr>
                <w:rFonts w:ascii="Arial" w:hAnsi="Arial" w:eastAsia="Arial" w:cs="Arial"/>
                <w:sz w:val="20"/>
                <w:szCs w:val="20"/>
                <w:rtl w:val="0"/>
              </w:rPr>
              <w:t>Kline (2022); NHS Staff Survey (2024)</w:t>
            </w:r>
          </w:p>
        </w:tc>
      </w:tr>
      <w:tr w14:paraId="0F3A2D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p w14:paraId="00000164">
            <w:pPr>
              <w:spacing w:after="0" w:line="240" w:lineRule="auto"/>
              <w:rPr>
                <w:rFonts w:ascii="Arial" w:hAnsi="Arial" w:eastAsia="Arial" w:cs="Arial"/>
                <w:sz w:val="20"/>
                <w:szCs w:val="20"/>
              </w:rPr>
            </w:pPr>
            <w:r>
              <w:rPr>
                <w:rFonts w:ascii="Arial" w:hAnsi="Arial" w:eastAsia="Arial" w:cs="Arial"/>
                <w:sz w:val="20"/>
                <w:szCs w:val="20"/>
                <w:rtl w:val="0"/>
              </w:rPr>
              <w:t>Retention Challenges</w:t>
            </w:r>
          </w:p>
        </w:tc>
        <w:tc>
          <w:p w14:paraId="00000165">
            <w:pPr>
              <w:spacing w:after="0" w:line="240" w:lineRule="auto"/>
              <w:rPr>
                <w:rFonts w:ascii="Arial" w:hAnsi="Arial" w:eastAsia="Arial" w:cs="Arial"/>
                <w:sz w:val="20"/>
                <w:szCs w:val="20"/>
              </w:rPr>
            </w:pPr>
            <w:r>
              <w:rPr>
                <w:rFonts w:ascii="Arial" w:hAnsi="Arial" w:eastAsia="Arial" w:cs="Arial"/>
                <w:sz w:val="20"/>
                <w:szCs w:val="20"/>
                <w:rtl w:val="0"/>
              </w:rPr>
              <w:t>High turnover intentions among early-career staff and nurses.</w:t>
            </w:r>
          </w:p>
        </w:tc>
        <w:tc>
          <w:p w14:paraId="00000166">
            <w:pPr>
              <w:spacing w:after="0" w:line="240" w:lineRule="auto"/>
              <w:rPr>
                <w:rFonts w:ascii="Arial" w:hAnsi="Arial" w:eastAsia="Arial" w:cs="Arial"/>
                <w:sz w:val="20"/>
                <w:szCs w:val="20"/>
              </w:rPr>
            </w:pPr>
            <w:r>
              <w:rPr>
                <w:rFonts w:ascii="Arial" w:hAnsi="Arial" w:eastAsia="Arial" w:cs="Arial"/>
                <w:sz w:val="20"/>
                <w:szCs w:val="20"/>
                <w:rtl w:val="0"/>
              </w:rPr>
              <w:t>Projected workforce shortages impacting sustainability.</w:t>
            </w:r>
          </w:p>
        </w:tc>
        <w:tc>
          <w:p w14:paraId="00000167">
            <w:pPr>
              <w:spacing w:after="0" w:line="240" w:lineRule="auto"/>
              <w:rPr>
                <w:rFonts w:ascii="Arial" w:hAnsi="Arial" w:eastAsia="Arial" w:cs="Arial"/>
                <w:sz w:val="20"/>
                <w:szCs w:val="20"/>
              </w:rPr>
            </w:pPr>
            <w:r>
              <w:rPr>
                <w:rFonts w:ascii="Arial" w:hAnsi="Arial" w:eastAsia="Arial" w:cs="Arial"/>
                <w:sz w:val="20"/>
                <w:szCs w:val="20"/>
                <w:rtl w:val="0"/>
              </w:rPr>
              <w:t>NHS England (2023); Myles Wellbeing (2024)</w:t>
            </w:r>
          </w:p>
        </w:tc>
      </w:tr>
      <w:tr w14:paraId="309FB3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p w14:paraId="00000168">
            <w:pPr>
              <w:spacing w:after="0" w:line="240" w:lineRule="auto"/>
              <w:rPr>
                <w:rFonts w:ascii="Arial" w:hAnsi="Arial" w:eastAsia="Arial" w:cs="Arial"/>
                <w:sz w:val="20"/>
                <w:szCs w:val="20"/>
              </w:rPr>
            </w:pPr>
            <w:r>
              <w:rPr>
                <w:rFonts w:ascii="Arial" w:hAnsi="Arial" w:eastAsia="Arial" w:cs="Arial"/>
                <w:sz w:val="20"/>
                <w:szCs w:val="20"/>
                <w:rtl w:val="0"/>
              </w:rPr>
              <w:t>Wellbeing Interventions</w:t>
            </w:r>
          </w:p>
        </w:tc>
        <w:tc>
          <w:p w14:paraId="00000169">
            <w:pPr>
              <w:spacing w:after="0" w:line="240" w:lineRule="auto"/>
              <w:rPr>
                <w:rFonts w:ascii="Arial" w:hAnsi="Arial" w:eastAsia="Arial" w:cs="Arial"/>
                <w:sz w:val="20"/>
                <w:szCs w:val="20"/>
              </w:rPr>
            </w:pPr>
            <w:r>
              <w:rPr>
                <w:rFonts w:ascii="Arial" w:hAnsi="Arial" w:eastAsia="Arial" w:cs="Arial"/>
                <w:sz w:val="20"/>
                <w:szCs w:val="20"/>
                <w:rtl w:val="0"/>
              </w:rPr>
              <w:t>Targeted support and flexible working improve resilience.</w:t>
            </w:r>
          </w:p>
        </w:tc>
        <w:tc>
          <w:p w14:paraId="0000016A">
            <w:pPr>
              <w:spacing w:after="0" w:line="240" w:lineRule="auto"/>
              <w:rPr>
                <w:rFonts w:ascii="Arial" w:hAnsi="Arial" w:eastAsia="Arial" w:cs="Arial"/>
                <w:sz w:val="20"/>
                <w:szCs w:val="20"/>
              </w:rPr>
            </w:pPr>
            <w:r>
              <w:rPr>
                <w:rFonts w:ascii="Arial" w:hAnsi="Arial" w:eastAsia="Arial" w:cs="Arial"/>
                <w:sz w:val="20"/>
                <w:szCs w:val="20"/>
                <w:rtl w:val="0"/>
              </w:rPr>
              <w:t>Potential reduction in burnout and improved workforce stability.</w:t>
            </w:r>
          </w:p>
        </w:tc>
        <w:tc>
          <w:p w14:paraId="0000016B">
            <w:pPr>
              <w:spacing w:after="0" w:line="240" w:lineRule="auto"/>
              <w:rPr>
                <w:rFonts w:ascii="Arial" w:hAnsi="Arial" w:eastAsia="Arial" w:cs="Arial"/>
                <w:sz w:val="20"/>
                <w:szCs w:val="20"/>
              </w:rPr>
            </w:pPr>
            <w:r>
              <w:rPr>
                <w:rFonts w:ascii="Arial" w:hAnsi="Arial" w:eastAsia="Arial" w:cs="Arial"/>
                <w:sz w:val="20"/>
                <w:szCs w:val="20"/>
                <w:rtl w:val="0"/>
              </w:rPr>
              <w:t>NHS Employers (2024); Nagle et al. (2024)</w:t>
            </w:r>
          </w:p>
        </w:tc>
      </w:tr>
    </w:tbl>
    <w:p w14:paraId="0000016C">
      <w:pPr>
        <w:jc w:val="both"/>
        <w:rPr>
          <w:rFonts w:ascii="Play" w:hAnsi="Play" w:eastAsia="Play" w:cs="Play"/>
          <w:b/>
        </w:rPr>
      </w:pPr>
    </w:p>
    <w:p w14:paraId="0000016D">
      <w:pPr>
        <w:jc w:val="both"/>
        <w:rPr>
          <w:rFonts w:ascii="Play" w:hAnsi="Play" w:eastAsia="Play" w:cs="Play"/>
          <w:b/>
          <w:sz w:val="36"/>
          <w:szCs w:val="36"/>
        </w:rPr>
      </w:pPr>
    </w:p>
    <w:p w14:paraId="0000016E">
      <w:pPr>
        <w:jc w:val="both"/>
        <w:rPr>
          <w:rFonts w:ascii="Play" w:hAnsi="Play" w:eastAsia="Play" w:cs="Play"/>
          <w:b/>
          <w:sz w:val="36"/>
          <w:szCs w:val="36"/>
        </w:rPr>
      </w:pPr>
    </w:p>
    <w:p w14:paraId="0000016F"/>
    <w:sectPr>
      <w:pgSz w:w="11906" w:h="16838"/>
      <w:pgMar w:top="1440" w:right="1440" w:bottom="1440" w:left="1440" w:header="708" w:footer="708"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Quattrocento Sans">
    <w:altName w:val="Segoe Print"/>
    <w:panose1 w:val="00000000000000000000"/>
    <w:charset w:val="00"/>
    <w:family w:val="auto"/>
    <w:pitch w:val="default"/>
    <w:sig w:usb0="00000000" w:usb1="00000000" w:usb2="00000000" w:usb3="00000000" w:csb0="00000000" w:csb1="00000000"/>
  </w:font>
  <w:font w:name="Play">
    <w:altName w:val="Segoe Print"/>
    <w:panose1 w:val="00000000000000000000"/>
    <w:charset w:val="00"/>
    <w:family w:val="auto"/>
    <w:pitch w:val="default"/>
    <w:sig w:usb0="00000000" w:usb1="00000000" w:usb2="00000000" w:usb3="00000000" w:csb0="00000000" w:csb1="00000000"/>
  </w:font>
  <w:font w:name="Noto Sans Symbols">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bullet"/>
      <w:lvlText w:val="●"/>
      <w:lvlJc w:val="left"/>
      <w:pPr>
        <w:ind w:left="720" w:hanging="360"/>
      </w:pPr>
      <w:rPr>
        <w:rFonts w:ascii="Noto Sans Symbols" w:hAnsi="Noto Sans Symbols" w:eastAsia="Noto Sans Symbols" w:cs="Noto Sans Symbols"/>
        <w:sz w:val="20"/>
        <w:szCs w:val="20"/>
      </w:rPr>
    </w:lvl>
    <w:lvl w:ilvl="1" w:tentative="0">
      <w:start w:val="1"/>
      <w:numFmt w:val="bullet"/>
      <w:lvlText w:val="o"/>
      <w:lvlJc w:val="left"/>
      <w:pPr>
        <w:ind w:left="1440" w:hanging="360"/>
      </w:pPr>
      <w:rPr>
        <w:rFonts w:ascii="Courier New" w:hAnsi="Courier New" w:eastAsia="Courier New" w:cs="Courier New"/>
        <w:sz w:val="20"/>
        <w:szCs w:val="20"/>
      </w:rPr>
    </w:lvl>
    <w:lvl w:ilvl="2" w:tentative="0">
      <w:start w:val="1"/>
      <w:numFmt w:val="bullet"/>
      <w:lvlText w:val="▪"/>
      <w:lvlJc w:val="left"/>
      <w:pPr>
        <w:ind w:left="2160" w:hanging="360"/>
      </w:pPr>
      <w:rPr>
        <w:rFonts w:ascii="Noto Sans Symbols" w:hAnsi="Noto Sans Symbols" w:eastAsia="Noto Sans Symbols" w:cs="Noto Sans Symbols"/>
        <w:sz w:val="20"/>
        <w:szCs w:val="20"/>
      </w:rPr>
    </w:lvl>
    <w:lvl w:ilvl="3" w:tentative="0">
      <w:start w:val="1"/>
      <w:numFmt w:val="bullet"/>
      <w:lvlText w:val="▪"/>
      <w:lvlJc w:val="left"/>
      <w:pPr>
        <w:ind w:left="2880" w:hanging="360"/>
      </w:pPr>
      <w:rPr>
        <w:rFonts w:ascii="Noto Sans Symbols" w:hAnsi="Noto Sans Symbols" w:eastAsia="Noto Sans Symbols" w:cs="Noto Sans Symbols"/>
        <w:sz w:val="20"/>
        <w:szCs w:val="20"/>
      </w:rPr>
    </w:lvl>
    <w:lvl w:ilvl="4" w:tentative="0">
      <w:start w:val="1"/>
      <w:numFmt w:val="bullet"/>
      <w:lvlText w:val="▪"/>
      <w:lvlJc w:val="left"/>
      <w:pPr>
        <w:ind w:left="3600" w:hanging="360"/>
      </w:pPr>
      <w:rPr>
        <w:rFonts w:ascii="Noto Sans Symbols" w:hAnsi="Noto Sans Symbols" w:eastAsia="Noto Sans Symbols" w:cs="Noto Sans Symbols"/>
        <w:sz w:val="20"/>
        <w:szCs w:val="20"/>
      </w:rPr>
    </w:lvl>
    <w:lvl w:ilvl="5" w:tentative="0">
      <w:start w:val="1"/>
      <w:numFmt w:val="bullet"/>
      <w:lvlText w:val="▪"/>
      <w:lvlJc w:val="left"/>
      <w:pPr>
        <w:ind w:left="4320" w:hanging="360"/>
      </w:pPr>
      <w:rPr>
        <w:rFonts w:ascii="Noto Sans Symbols" w:hAnsi="Noto Sans Symbols" w:eastAsia="Noto Sans Symbols" w:cs="Noto Sans Symbols"/>
        <w:sz w:val="20"/>
        <w:szCs w:val="20"/>
      </w:rPr>
    </w:lvl>
    <w:lvl w:ilvl="6" w:tentative="0">
      <w:start w:val="1"/>
      <w:numFmt w:val="bullet"/>
      <w:lvlText w:val="▪"/>
      <w:lvlJc w:val="left"/>
      <w:pPr>
        <w:ind w:left="5040" w:hanging="360"/>
      </w:pPr>
      <w:rPr>
        <w:rFonts w:ascii="Noto Sans Symbols" w:hAnsi="Noto Sans Symbols" w:eastAsia="Noto Sans Symbols" w:cs="Noto Sans Symbols"/>
        <w:sz w:val="20"/>
        <w:szCs w:val="20"/>
      </w:rPr>
    </w:lvl>
    <w:lvl w:ilvl="7" w:tentative="0">
      <w:start w:val="1"/>
      <w:numFmt w:val="bullet"/>
      <w:lvlText w:val="▪"/>
      <w:lvlJc w:val="left"/>
      <w:pPr>
        <w:ind w:left="5760" w:hanging="360"/>
      </w:pPr>
      <w:rPr>
        <w:rFonts w:ascii="Noto Sans Symbols" w:hAnsi="Noto Sans Symbols" w:eastAsia="Noto Sans Symbols" w:cs="Noto Sans Symbols"/>
        <w:sz w:val="20"/>
        <w:szCs w:val="20"/>
      </w:rPr>
    </w:lvl>
    <w:lvl w:ilvl="8" w:tentative="0">
      <w:start w:val="1"/>
      <w:numFmt w:val="bullet"/>
      <w:lvlText w:val="▪"/>
      <w:lvlJc w:val="left"/>
      <w:pPr>
        <w:ind w:left="6480" w:hanging="360"/>
      </w:pPr>
      <w:rPr>
        <w:rFonts w:ascii="Noto Sans Symbols" w:hAnsi="Noto Sans Symbols" w:eastAsia="Noto Sans Symbols" w:cs="Noto Sans Symbols"/>
        <w:sz w:val="20"/>
        <w:szCs w:val="20"/>
      </w:rPr>
    </w:lvl>
  </w:abstractNum>
  <w:abstractNum w:abstractNumId="1">
    <w:nsid w:val="BF205925"/>
    <w:multiLevelType w:val="multilevel"/>
    <w:tmpl w:val="BF205925"/>
    <w:lvl w:ilvl="0" w:tentative="0">
      <w:start w:val="1"/>
      <w:numFmt w:val="bullet"/>
      <w:lvlText w:val="●"/>
      <w:lvlJc w:val="left"/>
      <w:pPr>
        <w:ind w:left="720" w:hanging="360"/>
      </w:pPr>
      <w:rPr>
        <w:rFonts w:ascii="Noto Sans Symbols" w:hAnsi="Noto Sans Symbols" w:eastAsia="Noto Sans Symbols" w:cs="Noto Sans Symbols"/>
        <w:sz w:val="20"/>
        <w:szCs w:val="20"/>
      </w:rPr>
    </w:lvl>
    <w:lvl w:ilvl="1" w:tentative="0">
      <w:start w:val="1"/>
      <w:numFmt w:val="bullet"/>
      <w:lvlText w:val="o"/>
      <w:lvlJc w:val="left"/>
      <w:pPr>
        <w:ind w:left="1440" w:hanging="360"/>
      </w:pPr>
      <w:rPr>
        <w:rFonts w:ascii="Courier New" w:hAnsi="Courier New" w:eastAsia="Courier New" w:cs="Courier New"/>
        <w:sz w:val="20"/>
        <w:szCs w:val="20"/>
      </w:rPr>
    </w:lvl>
    <w:lvl w:ilvl="2" w:tentative="0">
      <w:start w:val="1"/>
      <w:numFmt w:val="bullet"/>
      <w:lvlText w:val="▪"/>
      <w:lvlJc w:val="left"/>
      <w:pPr>
        <w:ind w:left="2160" w:hanging="360"/>
      </w:pPr>
      <w:rPr>
        <w:rFonts w:ascii="Noto Sans Symbols" w:hAnsi="Noto Sans Symbols" w:eastAsia="Noto Sans Symbols" w:cs="Noto Sans Symbols"/>
        <w:sz w:val="20"/>
        <w:szCs w:val="20"/>
      </w:rPr>
    </w:lvl>
    <w:lvl w:ilvl="3" w:tentative="0">
      <w:start w:val="1"/>
      <w:numFmt w:val="bullet"/>
      <w:lvlText w:val="▪"/>
      <w:lvlJc w:val="left"/>
      <w:pPr>
        <w:ind w:left="2880" w:hanging="360"/>
      </w:pPr>
      <w:rPr>
        <w:rFonts w:ascii="Noto Sans Symbols" w:hAnsi="Noto Sans Symbols" w:eastAsia="Noto Sans Symbols" w:cs="Noto Sans Symbols"/>
        <w:sz w:val="20"/>
        <w:szCs w:val="20"/>
      </w:rPr>
    </w:lvl>
    <w:lvl w:ilvl="4" w:tentative="0">
      <w:start w:val="1"/>
      <w:numFmt w:val="bullet"/>
      <w:lvlText w:val="▪"/>
      <w:lvlJc w:val="left"/>
      <w:pPr>
        <w:ind w:left="3600" w:hanging="360"/>
      </w:pPr>
      <w:rPr>
        <w:rFonts w:ascii="Noto Sans Symbols" w:hAnsi="Noto Sans Symbols" w:eastAsia="Noto Sans Symbols" w:cs="Noto Sans Symbols"/>
        <w:sz w:val="20"/>
        <w:szCs w:val="20"/>
      </w:rPr>
    </w:lvl>
    <w:lvl w:ilvl="5" w:tentative="0">
      <w:start w:val="1"/>
      <w:numFmt w:val="bullet"/>
      <w:lvlText w:val="▪"/>
      <w:lvlJc w:val="left"/>
      <w:pPr>
        <w:ind w:left="4320" w:hanging="360"/>
      </w:pPr>
      <w:rPr>
        <w:rFonts w:ascii="Noto Sans Symbols" w:hAnsi="Noto Sans Symbols" w:eastAsia="Noto Sans Symbols" w:cs="Noto Sans Symbols"/>
        <w:sz w:val="20"/>
        <w:szCs w:val="20"/>
      </w:rPr>
    </w:lvl>
    <w:lvl w:ilvl="6" w:tentative="0">
      <w:start w:val="1"/>
      <w:numFmt w:val="bullet"/>
      <w:lvlText w:val="▪"/>
      <w:lvlJc w:val="left"/>
      <w:pPr>
        <w:ind w:left="5040" w:hanging="360"/>
      </w:pPr>
      <w:rPr>
        <w:rFonts w:ascii="Noto Sans Symbols" w:hAnsi="Noto Sans Symbols" w:eastAsia="Noto Sans Symbols" w:cs="Noto Sans Symbols"/>
        <w:sz w:val="20"/>
        <w:szCs w:val="20"/>
      </w:rPr>
    </w:lvl>
    <w:lvl w:ilvl="7" w:tentative="0">
      <w:start w:val="1"/>
      <w:numFmt w:val="bullet"/>
      <w:lvlText w:val="▪"/>
      <w:lvlJc w:val="left"/>
      <w:pPr>
        <w:ind w:left="5760" w:hanging="360"/>
      </w:pPr>
      <w:rPr>
        <w:rFonts w:ascii="Noto Sans Symbols" w:hAnsi="Noto Sans Symbols" w:eastAsia="Noto Sans Symbols" w:cs="Noto Sans Symbols"/>
        <w:sz w:val="20"/>
        <w:szCs w:val="20"/>
      </w:rPr>
    </w:lvl>
    <w:lvl w:ilvl="8" w:tentative="0">
      <w:start w:val="1"/>
      <w:numFmt w:val="bullet"/>
      <w:lvlText w:val="▪"/>
      <w:lvlJc w:val="left"/>
      <w:pPr>
        <w:ind w:left="6480" w:hanging="360"/>
      </w:pPr>
      <w:rPr>
        <w:rFonts w:ascii="Noto Sans Symbols" w:hAnsi="Noto Sans Symbols" w:eastAsia="Noto Sans Symbols" w:cs="Noto Sans Symbols"/>
        <w:sz w:val="20"/>
        <w:szCs w:val="20"/>
      </w:rPr>
    </w:lvl>
  </w:abstractNum>
  <w:abstractNum w:abstractNumId="2">
    <w:nsid w:val="CF092B84"/>
    <w:multiLevelType w:val="multilevel"/>
    <w:tmpl w:val="CF092B84"/>
    <w:lvl w:ilvl="0" w:tentative="0">
      <w:start w:val="1"/>
      <w:numFmt w:val="bullet"/>
      <w:lvlText w:val="●"/>
      <w:lvlJc w:val="left"/>
      <w:pPr>
        <w:ind w:left="720" w:hanging="360"/>
      </w:pPr>
      <w:rPr>
        <w:rFonts w:ascii="Noto Sans Symbols" w:hAnsi="Noto Sans Symbols" w:eastAsia="Noto Sans Symbols" w:cs="Noto Sans Symbols"/>
        <w:sz w:val="20"/>
        <w:szCs w:val="20"/>
      </w:rPr>
    </w:lvl>
    <w:lvl w:ilvl="1" w:tentative="0">
      <w:start w:val="1"/>
      <w:numFmt w:val="bullet"/>
      <w:lvlText w:val="o"/>
      <w:lvlJc w:val="left"/>
      <w:pPr>
        <w:ind w:left="1440" w:hanging="360"/>
      </w:pPr>
      <w:rPr>
        <w:rFonts w:ascii="Courier New" w:hAnsi="Courier New" w:eastAsia="Courier New" w:cs="Courier New"/>
        <w:sz w:val="20"/>
        <w:szCs w:val="20"/>
      </w:rPr>
    </w:lvl>
    <w:lvl w:ilvl="2" w:tentative="0">
      <w:start w:val="1"/>
      <w:numFmt w:val="bullet"/>
      <w:lvlText w:val="▪"/>
      <w:lvlJc w:val="left"/>
      <w:pPr>
        <w:ind w:left="2160" w:hanging="360"/>
      </w:pPr>
      <w:rPr>
        <w:rFonts w:ascii="Noto Sans Symbols" w:hAnsi="Noto Sans Symbols" w:eastAsia="Noto Sans Symbols" w:cs="Noto Sans Symbols"/>
        <w:sz w:val="20"/>
        <w:szCs w:val="20"/>
      </w:rPr>
    </w:lvl>
    <w:lvl w:ilvl="3" w:tentative="0">
      <w:start w:val="1"/>
      <w:numFmt w:val="bullet"/>
      <w:lvlText w:val="▪"/>
      <w:lvlJc w:val="left"/>
      <w:pPr>
        <w:ind w:left="2880" w:hanging="360"/>
      </w:pPr>
      <w:rPr>
        <w:rFonts w:ascii="Noto Sans Symbols" w:hAnsi="Noto Sans Symbols" w:eastAsia="Noto Sans Symbols" w:cs="Noto Sans Symbols"/>
        <w:sz w:val="20"/>
        <w:szCs w:val="20"/>
      </w:rPr>
    </w:lvl>
    <w:lvl w:ilvl="4" w:tentative="0">
      <w:start w:val="1"/>
      <w:numFmt w:val="bullet"/>
      <w:lvlText w:val="▪"/>
      <w:lvlJc w:val="left"/>
      <w:pPr>
        <w:ind w:left="3600" w:hanging="360"/>
      </w:pPr>
      <w:rPr>
        <w:rFonts w:ascii="Noto Sans Symbols" w:hAnsi="Noto Sans Symbols" w:eastAsia="Noto Sans Symbols" w:cs="Noto Sans Symbols"/>
        <w:sz w:val="20"/>
        <w:szCs w:val="20"/>
      </w:rPr>
    </w:lvl>
    <w:lvl w:ilvl="5" w:tentative="0">
      <w:start w:val="1"/>
      <w:numFmt w:val="bullet"/>
      <w:lvlText w:val="▪"/>
      <w:lvlJc w:val="left"/>
      <w:pPr>
        <w:ind w:left="4320" w:hanging="360"/>
      </w:pPr>
      <w:rPr>
        <w:rFonts w:ascii="Noto Sans Symbols" w:hAnsi="Noto Sans Symbols" w:eastAsia="Noto Sans Symbols" w:cs="Noto Sans Symbols"/>
        <w:sz w:val="20"/>
        <w:szCs w:val="20"/>
      </w:rPr>
    </w:lvl>
    <w:lvl w:ilvl="6" w:tentative="0">
      <w:start w:val="1"/>
      <w:numFmt w:val="bullet"/>
      <w:lvlText w:val="▪"/>
      <w:lvlJc w:val="left"/>
      <w:pPr>
        <w:ind w:left="5040" w:hanging="360"/>
      </w:pPr>
      <w:rPr>
        <w:rFonts w:ascii="Noto Sans Symbols" w:hAnsi="Noto Sans Symbols" w:eastAsia="Noto Sans Symbols" w:cs="Noto Sans Symbols"/>
        <w:sz w:val="20"/>
        <w:szCs w:val="20"/>
      </w:rPr>
    </w:lvl>
    <w:lvl w:ilvl="7" w:tentative="0">
      <w:start w:val="1"/>
      <w:numFmt w:val="bullet"/>
      <w:lvlText w:val="▪"/>
      <w:lvlJc w:val="left"/>
      <w:pPr>
        <w:ind w:left="5760" w:hanging="360"/>
      </w:pPr>
      <w:rPr>
        <w:rFonts w:ascii="Noto Sans Symbols" w:hAnsi="Noto Sans Symbols" w:eastAsia="Noto Sans Symbols" w:cs="Noto Sans Symbols"/>
        <w:sz w:val="20"/>
        <w:szCs w:val="20"/>
      </w:rPr>
    </w:lvl>
    <w:lvl w:ilvl="8" w:tentative="0">
      <w:start w:val="1"/>
      <w:numFmt w:val="bullet"/>
      <w:lvlText w:val="▪"/>
      <w:lvlJc w:val="left"/>
      <w:pPr>
        <w:ind w:left="6480" w:hanging="360"/>
      </w:pPr>
      <w:rPr>
        <w:rFonts w:ascii="Noto Sans Symbols" w:hAnsi="Noto Sans Symbols" w:eastAsia="Noto Sans Symbols" w:cs="Noto Sans Symbols"/>
        <w:sz w:val="20"/>
        <w:szCs w:val="20"/>
      </w:rPr>
    </w:lvl>
  </w:abstractNum>
  <w:abstractNum w:abstractNumId="3">
    <w:nsid w:val="0053208E"/>
    <w:multiLevelType w:val="multilevel"/>
    <w:tmpl w:val="0053208E"/>
    <w:lvl w:ilvl="0" w:tentative="0">
      <w:start w:val="1"/>
      <w:numFmt w:val="bullet"/>
      <w:lvlText w:val="●"/>
      <w:lvlJc w:val="left"/>
      <w:pPr>
        <w:ind w:left="720" w:hanging="360"/>
      </w:pPr>
      <w:rPr>
        <w:rFonts w:ascii="Noto Sans Symbols" w:hAnsi="Noto Sans Symbols" w:eastAsia="Noto Sans Symbols" w:cs="Noto Sans Symbols"/>
        <w:sz w:val="20"/>
        <w:szCs w:val="20"/>
      </w:rPr>
    </w:lvl>
    <w:lvl w:ilvl="1" w:tentative="0">
      <w:start w:val="1"/>
      <w:numFmt w:val="bullet"/>
      <w:lvlText w:val="o"/>
      <w:lvlJc w:val="left"/>
      <w:pPr>
        <w:ind w:left="1440" w:hanging="360"/>
      </w:pPr>
      <w:rPr>
        <w:rFonts w:ascii="Courier New" w:hAnsi="Courier New" w:eastAsia="Courier New" w:cs="Courier New"/>
        <w:sz w:val="20"/>
        <w:szCs w:val="20"/>
      </w:rPr>
    </w:lvl>
    <w:lvl w:ilvl="2" w:tentative="0">
      <w:start w:val="1"/>
      <w:numFmt w:val="bullet"/>
      <w:lvlText w:val="▪"/>
      <w:lvlJc w:val="left"/>
      <w:pPr>
        <w:ind w:left="2160" w:hanging="360"/>
      </w:pPr>
      <w:rPr>
        <w:rFonts w:ascii="Noto Sans Symbols" w:hAnsi="Noto Sans Symbols" w:eastAsia="Noto Sans Symbols" w:cs="Noto Sans Symbols"/>
        <w:sz w:val="20"/>
        <w:szCs w:val="20"/>
      </w:rPr>
    </w:lvl>
    <w:lvl w:ilvl="3" w:tentative="0">
      <w:start w:val="1"/>
      <w:numFmt w:val="bullet"/>
      <w:lvlText w:val="▪"/>
      <w:lvlJc w:val="left"/>
      <w:pPr>
        <w:ind w:left="2880" w:hanging="360"/>
      </w:pPr>
      <w:rPr>
        <w:rFonts w:ascii="Noto Sans Symbols" w:hAnsi="Noto Sans Symbols" w:eastAsia="Noto Sans Symbols" w:cs="Noto Sans Symbols"/>
        <w:sz w:val="20"/>
        <w:szCs w:val="20"/>
      </w:rPr>
    </w:lvl>
    <w:lvl w:ilvl="4" w:tentative="0">
      <w:start w:val="1"/>
      <w:numFmt w:val="bullet"/>
      <w:lvlText w:val="▪"/>
      <w:lvlJc w:val="left"/>
      <w:pPr>
        <w:ind w:left="3600" w:hanging="360"/>
      </w:pPr>
      <w:rPr>
        <w:rFonts w:ascii="Noto Sans Symbols" w:hAnsi="Noto Sans Symbols" w:eastAsia="Noto Sans Symbols" w:cs="Noto Sans Symbols"/>
        <w:sz w:val="20"/>
        <w:szCs w:val="20"/>
      </w:rPr>
    </w:lvl>
    <w:lvl w:ilvl="5" w:tentative="0">
      <w:start w:val="1"/>
      <w:numFmt w:val="bullet"/>
      <w:lvlText w:val="▪"/>
      <w:lvlJc w:val="left"/>
      <w:pPr>
        <w:ind w:left="4320" w:hanging="360"/>
      </w:pPr>
      <w:rPr>
        <w:rFonts w:ascii="Noto Sans Symbols" w:hAnsi="Noto Sans Symbols" w:eastAsia="Noto Sans Symbols" w:cs="Noto Sans Symbols"/>
        <w:sz w:val="20"/>
        <w:szCs w:val="20"/>
      </w:rPr>
    </w:lvl>
    <w:lvl w:ilvl="6" w:tentative="0">
      <w:start w:val="1"/>
      <w:numFmt w:val="bullet"/>
      <w:lvlText w:val="▪"/>
      <w:lvlJc w:val="left"/>
      <w:pPr>
        <w:ind w:left="5040" w:hanging="360"/>
      </w:pPr>
      <w:rPr>
        <w:rFonts w:ascii="Noto Sans Symbols" w:hAnsi="Noto Sans Symbols" w:eastAsia="Noto Sans Symbols" w:cs="Noto Sans Symbols"/>
        <w:sz w:val="20"/>
        <w:szCs w:val="20"/>
      </w:rPr>
    </w:lvl>
    <w:lvl w:ilvl="7" w:tentative="0">
      <w:start w:val="1"/>
      <w:numFmt w:val="bullet"/>
      <w:lvlText w:val="▪"/>
      <w:lvlJc w:val="left"/>
      <w:pPr>
        <w:ind w:left="5760" w:hanging="360"/>
      </w:pPr>
      <w:rPr>
        <w:rFonts w:ascii="Noto Sans Symbols" w:hAnsi="Noto Sans Symbols" w:eastAsia="Noto Sans Symbols" w:cs="Noto Sans Symbols"/>
        <w:sz w:val="20"/>
        <w:szCs w:val="20"/>
      </w:rPr>
    </w:lvl>
    <w:lvl w:ilvl="8" w:tentative="0">
      <w:start w:val="1"/>
      <w:numFmt w:val="bullet"/>
      <w:lvlText w:val="▪"/>
      <w:lvlJc w:val="left"/>
      <w:pPr>
        <w:ind w:left="6480" w:hanging="360"/>
      </w:pPr>
      <w:rPr>
        <w:rFonts w:ascii="Noto Sans Symbols" w:hAnsi="Noto Sans Symbols" w:eastAsia="Noto Sans Symbols" w:cs="Noto Sans Symbols"/>
        <w:sz w:val="20"/>
        <w:szCs w:val="20"/>
      </w:rPr>
    </w:lvl>
  </w:abstractNum>
  <w:abstractNum w:abstractNumId="4">
    <w:nsid w:val="0248C179"/>
    <w:multiLevelType w:val="multilevel"/>
    <w:tmpl w:val="0248C179"/>
    <w:lvl w:ilvl="0" w:tentative="0">
      <w:start w:val="1"/>
      <w:numFmt w:val="decimal"/>
      <w:lvlText w:val="%1."/>
      <w:lvlJc w:val="left"/>
      <w:pPr>
        <w:ind w:left="720" w:hanging="360"/>
      </w:pPr>
    </w:lvl>
    <w:lvl w:ilvl="1" w:tentative="0">
      <w:start w:val="1"/>
      <w:numFmt w:val="decimal"/>
      <w:lvlText w:val="%2."/>
      <w:lvlJc w:val="left"/>
      <w:pPr>
        <w:ind w:left="1440" w:hanging="360"/>
      </w:pPr>
    </w:lvl>
    <w:lvl w:ilvl="2" w:tentative="0">
      <w:start w:val="1"/>
      <w:numFmt w:val="decimal"/>
      <w:lvlText w:val="%3."/>
      <w:lvlJc w:val="left"/>
      <w:pPr>
        <w:ind w:left="2160" w:hanging="360"/>
      </w:pPr>
    </w:lvl>
    <w:lvl w:ilvl="3" w:tentative="0">
      <w:start w:val="1"/>
      <w:numFmt w:val="decimal"/>
      <w:lvlText w:val="%4."/>
      <w:lvlJc w:val="left"/>
      <w:pPr>
        <w:ind w:left="2880" w:hanging="360"/>
      </w:pPr>
    </w:lvl>
    <w:lvl w:ilvl="4" w:tentative="0">
      <w:start w:val="1"/>
      <w:numFmt w:val="decimal"/>
      <w:lvlText w:val="%5."/>
      <w:lvlJc w:val="left"/>
      <w:pPr>
        <w:ind w:left="3600" w:hanging="360"/>
      </w:pPr>
    </w:lvl>
    <w:lvl w:ilvl="5" w:tentative="0">
      <w:start w:val="1"/>
      <w:numFmt w:val="decimal"/>
      <w:lvlText w:val="%6."/>
      <w:lvlJc w:val="left"/>
      <w:pPr>
        <w:ind w:left="4320" w:hanging="360"/>
      </w:pPr>
    </w:lvl>
    <w:lvl w:ilvl="6" w:tentative="0">
      <w:start w:val="1"/>
      <w:numFmt w:val="decimal"/>
      <w:lvlText w:val="%7."/>
      <w:lvlJc w:val="left"/>
      <w:pPr>
        <w:ind w:left="5040" w:hanging="360"/>
      </w:pPr>
    </w:lvl>
    <w:lvl w:ilvl="7" w:tentative="0">
      <w:start w:val="1"/>
      <w:numFmt w:val="decimal"/>
      <w:lvlText w:val="%8."/>
      <w:lvlJc w:val="left"/>
      <w:pPr>
        <w:ind w:left="5760" w:hanging="360"/>
      </w:pPr>
    </w:lvl>
    <w:lvl w:ilvl="8" w:tentative="0">
      <w:start w:val="1"/>
      <w:numFmt w:val="decimal"/>
      <w:lvlText w:val="%9."/>
      <w:lvlJc w:val="left"/>
      <w:pPr>
        <w:ind w:left="6480" w:hanging="360"/>
      </w:pPr>
    </w:lvl>
  </w:abstractNum>
  <w:abstractNum w:abstractNumId="5">
    <w:nsid w:val="03D62ECE"/>
    <w:multiLevelType w:val="multilevel"/>
    <w:tmpl w:val="03D62ECE"/>
    <w:lvl w:ilvl="0" w:tentative="0">
      <w:start w:val="1"/>
      <w:numFmt w:val="bullet"/>
      <w:lvlText w:val="●"/>
      <w:lvlJc w:val="left"/>
      <w:pPr>
        <w:ind w:left="720" w:hanging="360"/>
      </w:pPr>
      <w:rPr>
        <w:rFonts w:ascii="Noto Sans Symbols" w:hAnsi="Noto Sans Symbols" w:eastAsia="Noto Sans Symbols" w:cs="Noto Sans Symbols"/>
        <w:sz w:val="20"/>
        <w:szCs w:val="20"/>
      </w:rPr>
    </w:lvl>
    <w:lvl w:ilvl="1" w:tentative="0">
      <w:start w:val="1"/>
      <w:numFmt w:val="bullet"/>
      <w:lvlText w:val="o"/>
      <w:lvlJc w:val="left"/>
      <w:pPr>
        <w:ind w:left="1440" w:hanging="360"/>
      </w:pPr>
      <w:rPr>
        <w:rFonts w:ascii="Courier New" w:hAnsi="Courier New" w:eastAsia="Courier New" w:cs="Courier New"/>
        <w:sz w:val="20"/>
        <w:szCs w:val="20"/>
      </w:rPr>
    </w:lvl>
    <w:lvl w:ilvl="2" w:tentative="0">
      <w:start w:val="1"/>
      <w:numFmt w:val="bullet"/>
      <w:lvlText w:val="▪"/>
      <w:lvlJc w:val="left"/>
      <w:pPr>
        <w:ind w:left="2160" w:hanging="360"/>
      </w:pPr>
      <w:rPr>
        <w:rFonts w:ascii="Noto Sans Symbols" w:hAnsi="Noto Sans Symbols" w:eastAsia="Noto Sans Symbols" w:cs="Noto Sans Symbols"/>
        <w:sz w:val="20"/>
        <w:szCs w:val="20"/>
      </w:rPr>
    </w:lvl>
    <w:lvl w:ilvl="3" w:tentative="0">
      <w:start w:val="1"/>
      <w:numFmt w:val="bullet"/>
      <w:lvlText w:val="▪"/>
      <w:lvlJc w:val="left"/>
      <w:pPr>
        <w:ind w:left="2880" w:hanging="360"/>
      </w:pPr>
      <w:rPr>
        <w:rFonts w:ascii="Noto Sans Symbols" w:hAnsi="Noto Sans Symbols" w:eastAsia="Noto Sans Symbols" w:cs="Noto Sans Symbols"/>
        <w:sz w:val="20"/>
        <w:szCs w:val="20"/>
      </w:rPr>
    </w:lvl>
    <w:lvl w:ilvl="4" w:tentative="0">
      <w:start w:val="1"/>
      <w:numFmt w:val="bullet"/>
      <w:lvlText w:val="▪"/>
      <w:lvlJc w:val="left"/>
      <w:pPr>
        <w:ind w:left="3600" w:hanging="360"/>
      </w:pPr>
      <w:rPr>
        <w:rFonts w:ascii="Noto Sans Symbols" w:hAnsi="Noto Sans Symbols" w:eastAsia="Noto Sans Symbols" w:cs="Noto Sans Symbols"/>
        <w:sz w:val="20"/>
        <w:szCs w:val="20"/>
      </w:rPr>
    </w:lvl>
    <w:lvl w:ilvl="5" w:tentative="0">
      <w:start w:val="1"/>
      <w:numFmt w:val="bullet"/>
      <w:lvlText w:val="▪"/>
      <w:lvlJc w:val="left"/>
      <w:pPr>
        <w:ind w:left="4320" w:hanging="360"/>
      </w:pPr>
      <w:rPr>
        <w:rFonts w:ascii="Noto Sans Symbols" w:hAnsi="Noto Sans Symbols" w:eastAsia="Noto Sans Symbols" w:cs="Noto Sans Symbols"/>
        <w:sz w:val="20"/>
        <w:szCs w:val="20"/>
      </w:rPr>
    </w:lvl>
    <w:lvl w:ilvl="6" w:tentative="0">
      <w:start w:val="1"/>
      <w:numFmt w:val="bullet"/>
      <w:lvlText w:val="▪"/>
      <w:lvlJc w:val="left"/>
      <w:pPr>
        <w:ind w:left="5040" w:hanging="360"/>
      </w:pPr>
      <w:rPr>
        <w:rFonts w:ascii="Noto Sans Symbols" w:hAnsi="Noto Sans Symbols" w:eastAsia="Noto Sans Symbols" w:cs="Noto Sans Symbols"/>
        <w:sz w:val="20"/>
        <w:szCs w:val="20"/>
      </w:rPr>
    </w:lvl>
    <w:lvl w:ilvl="7" w:tentative="0">
      <w:start w:val="1"/>
      <w:numFmt w:val="bullet"/>
      <w:lvlText w:val="▪"/>
      <w:lvlJc w:val="left"/>
      <w:pPr>
        <w:ind w:left="5760" w:hanging="360"/>
      </w:pPr>
      <w:rPr>
        <w:rFonts w:ascii="Noto Sans Symbols" w:hAnsi="Noto Sans Symbols" w:eastAsia="Noto Sans Symbols" w:cs="Noto Sans Symbols"/>
        <w:sz w:val="20"/>
        <w:szCs w:val="20"/>
      </w:rPr>
    </w:lvl>
    <w:lvl w:ilvl="8" w:tentative="0">
      <w:start w:val="1"/>
      <w:numFmt w:val="bullet"/>
      <w:lvlText w:val="▪"/>
      <w:lvlJc w:val="left"/>
      <w:pPr>
        <w:ind w:left="6480" w:hanging="360"/>
      </w:pPr>
      <w:rPr>
        <w:rFonts w:ascii="Noto Sans Symbols" w:hAnsi="Noto Sans Symbols" w:eastAsia="Noto Sans Symbols" w:cs="Noto Sans Symbols"/>
        <w:sz w:val="20"/>
        <w:szCs w:val="20"/>
      </w:rPr>
    </w:lvl>
  </w:abstractNum>
  <w:abstractNum w:abstractNumId="6">
    <w:nsid w:val="25B654F3"/>
    <w:multiLevelType w:val="multilevel"/>
    <w:tmpl w:val="25B654F3"/>
    <w:lvl w:ilvl="0" w:tentative="0">
      <w:start w:val="1"/>
      <w:numFmt w:val="bullet"/>
      <w:lvlText w:val="●"/>
      <w:lvlJc w:val="left"/>
      <w:pPr>
        <w:ind w:left="720" w:hanging="360"/>
      </w:pPr>
      <w:rPr>
        <w:rFonts w:ascii="Noto Sans Symbols" w:hAnsi="Noto Sans Symbols" w:eastAsia="Noto Sans Symbols" w:cs="Noto Sans Symbols"/>
        <w:sz w:val="20"/>
        <w:szCs w:val="20"/>
      </w:rPr>
    </w:lvl>
    <w:lvl w:ilvl="1" w:tentative="0">
      <w:start w:val="1"/>
      <w:numFmt w:val="bullet"/>
      <w:lvlText w:val="o"/>
      <w:lvlJc w:val="left"/>
      <w:pPr>
        <w:ind w:left="1440" w:hanging="360"/>
      </w:pPr>
      <w:rPr>
        <w:rFonts w:ascii="Courier New" w:hAnsi="Courier New" w:eastAsia="Courier New" w:cs="Courier New"/>
        <w:sz w:val="20"/>
        <w:szCs w:val="20"/>
      </w:rPr>
    </w:lvl>
    <w:lvl w:ilvl="2" w:tentative="0">
      <w:start w:val="1"/>
      <w:numFmt w:val="bullet"/>
      <w:lvlText w:val="▪"/>
      <w:lvlJc w:val="left"/>
      <w:pPr>
        <w:ind w:left="2160" w:hanging="360"/>
      </w:pPr>
      <w:rPr>
        <w:rFonts w:ascii="Noto Sans Symbols" w:hAnsi="Noto Sans Symbols" w:eastAsia="Noto Sans Symbols" w:cs="Noto Sans Symbols"/>
        <w:sz w:val="20"/>
        <w:szCs w:val="20"/>
      </w:rPr>
    </w:lvl>
    <w:lvl w:ilvl="3" w:tentative="0">
      <w:start w:val="1"/>
      <w:numFmt w:val="bullet"/>
      <w:lvlText w:val="▪"/>
      <w:lvlJc w:val="left"/>
      <w:pPr>
        <w:ind w:left="2880" w:hanging="360"/>
      </w:pPr>
      <w:rPr>
        <w:rFonts w:ascii="Noto Sans Symbols" w:hAnsi="Noto Sans Symbols" w:eastAsia="Noto Sans Symbols" w:cs="Noto Sans Symbols"/>
        <w:sz w:val="20"/>
        <w:szCs w:val="20"/>
      </w:rPr>
    </w:lvl>
    <w:lvl w:ilvl="4" w:tentative="0">
      <w:start w:val="1"/>
      <w:numFmt w:val="bullet"/>
      <w:lvlText w:val="▪"/>
      <w:lvlJc w:val="left"/>
      <w:pPr>
        <w:ind w:left="3600" w:hanging="360"/>
      </w:pPr>
      <w:rPr>
        <w:rFonts w:ascii="Noto Sans Symbols" w:hAnsi="Noto Sans Symbols" w:eastAsia="Noto Sans Symbols" w:cs="Noto Sans Symbols"/>
        <w:sz w:val="20"/>
        <w:szCs w:val="20"/>
      </w:rPr>
    </w:lvl>
    <w:lvl w:ilvl="5" w:tentative="0">
      <w:start w:val="1"/>
      <w:numFmt w:val="bullet"/>
      <w:lvlText w:val="▪"/>
      <w:lvlJc w:val="left"/>
      <w:pPr>
        <w:ind w:left="4320" w:hanging="360"/>
      </w:pPr>
      <w:rPr>
        <w:rFonts w:ascii="Noto Sans Symbols" w:hAnsi="Noto Sans Symbols" w:eastAsia="Noto Sans Symbols" w:cs="Noto Sans Symbols"/>
        <w:sz w:val="20"/>
        <w:szCs w:val="20"/>
      </w:rPr>
    </w:lvl>
    <w:lvl w:ilvl="6" w:tentative="0">
      <w:start w:val="1"/>
      <w:numFmt w:val="bullet"/>
      <w:lvlText w:val="▪"/>
      <w:lvlJc w:val="left"/>
      <w:pPr>
        <w:ind w:left="5040" w:hanging="360"/>
      </w:pPr>
      <w:rPr>
        <w:rFonts w:ascii="Noto Sans Symbols" w:hAnsi="Noto Sans Symbols" w:eastAsia="Noto Sans Symbols" w:cs="Noto Sans Symbols"/>
        <w:sz w:val="20"/>
        <w:szCs w:val="20"/>
      </w:rPr>
    </w:lvl>
    <w:lvl w:ilvl="7" w:tentative="0">
      <w:start w:val="1"/>
      <w:numFmt w:val="bullet"/>
      <w:lvlText w:val="▪"/>
      <w:lvlJc w:val="left"/>
      <w:pPr>
        <w:ind w:left="5760" w:hanging="360"/>
      </w:pPr>
      <w:rPr>
        <w:rFonts w:ascii="Noto Sans Symbols" w:hAnsi="Noto Sans Symbols" w:eastAsia="Noto Sans Symbols" w:cs="Noto Sans Symbols"/>
        <w:sz w:val="20"/>
        <w:szCs w:val="20"/>
      </w:rPr>
    </w:lvl>
    <w:lvl w:ilvl="8" w:tentative="0">
      <w:start w:val="1"/>
      <w:numFmt w:val="bullet"/>
      <w:lvlText w:val="▪"/>
      <w:lvlJc w:val="left"/>
      <w:pPr>
        <w:ind w:left="6480" w:hanging="360"/>
      </w:pPr>
      <w:rPr>
        <w:rFonts w:ascii="Noto Sans Symbols" w:hAnsi="Noto Sans Symbols" w:eastAsia="Noto Sans Symbols" w:cs="Noto Sans Symbols"/>
        <w:sz w:val="20"/>
        <w:szCs w:val="20"/>
      </w:rPr>
    </w:lvl>
  </w:abstractNum>
  <w:abstractNum w:abstractNumId="7">
    <w:nsid w:val="59ADCABA"/>
    <w:multiLevelType w:val="multilevel"/>
    <w:tmpl w:val="59ADCABA"/>
    <w:lvl w:ilvl="0" w:tentative="0">
      <w:start w:val="1"/>
      <w:numFmt w:val="bullet"/>
      <w:lvlText w:val="●"/>
      <w:lvlJc w:val="left"/>
      <w:pPr>
        <w:ind w:left="720" w:hanging="360"/>
      </w:pPr>
      <w:rPr>
        <w:rFonts w:ascii="Noto Sans Symbols" w:hAnsi="Noto Sans Symbols" w:eastAsia="Noto Sans Symbols" w:cs="Noto Sans Symbols"/>
        <w:sz w:val="20"/>
        <w:szCs w:val="20"/>
      </w:rPr>
    </w:lvl>
    <w:lvl w:ilvl="1" w:tentative="0">
      <w:start w:val="1"/>
      <w:numFmt w:val="bullet"/>
      <w:lvlText w:val="o"/>
      <w:lvlJc w:val="left"/>
      <w:pPr>
        <w:ind w:left="1440" w:hanging="360"/>
      </w:pPr>
      <w:rPr>
        <w:rFonts w:ascii="Courier New" w:hAnsi="Courier New" w:eastAsia="Courier New" w:cs="Courier New"/>
        <w:sz w:val="20"/>
        <w:szCs w:val="20"/>
      </w:rPr>
    </w:lvl>
    <w:lvl w:ilvl="2" w:tentative="0">
      <w:start w:val="1"/>
      <w:numFmt w:val="bullet"/>
      <w:lvlText w:val="▪"/>
      <w:lvlJc w:val="left"/>
      <w:pPr>
        <w:ind w:left="2160" w:hanging="360"/>
      </w:pPr>
      <w:rPr>
        <w:rFonts w:ascii="Noto Sans Symbols" w:hAnsi="Noto Sans Symbols" w:eastAsia="Noto Sans Symbols" w:cs="Noto Sans Symbols"/>
        <w:sz w:val="20"/>
        <w:szCs w:val="20"/>
      </w:rPr>
    </w:lvl>
    <w:lvl w:ilvl="3" w:tentative="0">
      <w:start w:val="1"/>
      <w:numFmt w:val="bullet"/>
      <w:lvlText w:val="▪"/>
      <w:lvlJc w:val="left"/>
      <w:pPr>
        <w:ind w:left="2880" w:hanging="360"/>
      </w:pPr>
      <w:rPr>
        <w:rFonts w:ascii="Noto Sans Symbols" w:hAnsi="Noto Sans Symbols" w:eastAsia="Noto Sans Symbols" w:cs="Noto Sans Symbols"/>
        <w:sz w:val="20"/>
        <w:szCs w:val="20"/>
      </w:rPr>
    </w:lvl>
    <w:lvl w:ilvl="4" w:tentative="0">
      <w:start w:val="1"/>
      <w:numFmt w:val="bullet"/>
      <w:lvlText w:val="▪"/>
      <w:lvlJc w:val="left"/>
      <w:pPr>
        <w:ind w:left="3600" w:hanging="360"/>
      </w:pPr>
      <w:rPr>
        <w:rFonts w:ascii="Noto Sans Symbols" w:hAnsi="Noto Sans Symbols" w:eastAsia="Noto Sans Symbols" w:cs="Noto Sans Symbols"/>
        <w:sz w:val="20"/>
        <w:szCs w:val="20"/>
      </w:rPr>
    </w:lvl>
    <w:lvl w:ilvl="5" w:tentative="0">
      <w:start w:val="1"/>
      <w:numFmt w:val="bullet"/>
      <w:lvlText w:val="▪"/>
      <w:lvlJc w:val="left"/>
      <w:pPr>
        <w:ind w:left="4320" w:hanging="360"/>
      </w:pPr>
      <w:rPr>
        <w:rFonts w:ascii="Noto Sans Symbols" w:hAnsi="Noto Sans Symbols" w:eastAsia="Noto Sans Symbols" w:cs="Noto Sans Symbols"/>
        <w:sz w:val="20"/>
        <w:szCs w:val="20"/>
      </w:rPr>
    </w:lvl>
    <w:lvl w:ilvl="6" w:tentative="0">
      <w:start w:val="1"/>
      <w:numFmt w:val="bullet"/>
      <w:lvlText w:val="▪"/>
      <w:lvlJc w:val="left"/>
      <w:pPr>
        <w:ind w:left="5040" w:hanging="360"/>
      </w:pPr>
      <w:rPr>
        <w:rFonts w:ascii="Noto Sans Symbols" w:hAnsi="Noto Sans Symbols" w:eastAsia="Noto Sans Symbols" w:cs="Noto Sans Symbols"/>
        <w:sz w:val="20"/>
        <w:szCs w:val="20"/>
      </w:rPr>
    </w:lvl>
    <w:lvl w:ilvl="7" w:tentative="0">
      <w:start w:val="1"/>
      <w:numFmt w:val="bullet"/>
      <w:lvlText w:val="▪"/>
      <w:lvlJc w:val="left"/>
      <w:pPr>
        <w:ind w:left="5760" w:hanging="360"/>
      </w:pPr>
      <w:rPr>
        <w:rFonts w:ascii="Noto Sans Symbols" w:hAnsi="Noto Sans Symbols" w:eastAsia="Noto Sans Symbols" w:cs="Noto Sans Symbols"/>
        <w:sz w:val="20"/>
        <w:szCs w:val="20"/>
      </w:rPr>
    </w:lvl>
    <w:lvl w:ilvl="8" w:tentative="0">
      <w:start w:val="1"/>
      <w:numFmt w:val="bullet"/>
      <w:lvlText w:val="▪"/>
      <w:lvlJc w:val="left"/>
      <w:pPr>
        <w:ind w:left="6480" w:hanging="360"/>
      </w:pPr>
      <w:rPr>
        <w:rFonts w:ascii="Noto Sans Symbols" w:hAnsi="Noto Sans Symbols" w:eastAsia="Noto Sans Symbols" w:cs="Noto Sans Symbols"/>
        <w:sz w:val="20"/>
        <w:szCs w:val="20"/>
      </w:rPr>
    </w:lvl>
  </w:abstractNum>
  <w:abstractNum w:abstractNumId="8">
    <w:nsid w:val="72183CF9"/>
    <w:multiLevelType w:val="multilevel"/>
    <w:tmpl w:val="72183CF9"/>
    <w:lvl w:ilvl="0" w:tentative="0">
      <w:start w:val="1"/>
      <w:numFmt w:val="decimal"/>
      <w:lvlText w:val="%1."/>
      <w:lvlJc w:val="left"/>
      <w:pPr>
        <w:ind w:left="720" w:hanging="360"/>
      </w:pPr>
    </w:lvl>
    <w:lvl w:ilvl="1" w:tentative="0">
      <w:start w:val="1"/>
      <w:numFmt w:val="decimal"/>
      <w:lvlText w:val="%2."/>
      <w:lvlJc w:val="left"/>
      <w:pPr>
        <w:ind w:left="1440" w:hanging="360"/>
      </w:pPr>
    </w:lvl>
    <w:lvl w:ilvl="2" w:tentative="0">
      <w:start w:val="1"/>
      <w:numFmt w:val="decimal"/>
      <w:lvlText w:val="%3."/>
      <w:lvlJc w:val="left"/>
      <w:pPr>
        <w:ind w:left="2160" w:hanging="360"/>
      </w:pPr>
    </w:lvl>
    <w:lvl w:ilvl="3" w:tentative="0">
      <w:start w:val="1"/>
      <w:numFmt w:val="decimal"/>
      <w:lvlText w:val="%4."/>
      <w:lvlJc w:val="left"/>
      <w:pPr>
        <w:ind w:left="2880" w:hanging="360"/>
      </w:pPr>
    </w:lvl>
    <w:lvl w:ilvl="4" w:tentative="0">
      <w:start w:val="1"/>
      <w:numFmt w:val="decimal"/>
      <w:lvlText w:val="%5."/>
      <w:lvlJc w:val="left"/>
      <w:pPr>
        <w:ind w:left="3600" w:hanging="360"/>
      </w:pPr>
    </w:lvl>
    <w:lvl w:ilvl="5" w:tentative="0">
      <w:start w:val="1"/>
      <w:numFmt w:val="decimal"/>
      <w:lvlText w:val="%6."/>
      <w:lvlJc w:val="left"/>
      <w:pPr>
        <w:ind w:left="4320" w:hanging="360"/>
      </w:pPr>
    </w:lvl>
    <w:lvl w:ilvl="6" w:tentative="0">
      <w:start w:val="1"/>
      <w:numFmt w:val="decimal"/>
      <w:lvlText w:val="%7."/>
      <w:lvlJc w:val="left"/>
      <w:pPr>
        <w:ind w:left="5040" w:hanging="360"/>
      </w:pPr>
    </w:lvl>
    <w:lvl w:ilvl="7" w:tentative="0">
      <w:start w:val="1"/>
      <w:numFmt w:val="decimal"/>
      <w:lvlText w:val="%8."/>
      <w:lvlJc w:val="left"/>
      <w:pPr>
        <w:ind w:left="5760" w:hanging="360"/>
      </w:pPr>
    </w:lvl>
    <w:lvl w:ilvl="8" w:tentative="0">
      <w:start w:val="1"/>
      <w:numFmt w:val="decimal"/>
      <w:lvlText w:val="%9."/>
      <w:lvlJc w:val="left"/>
      <w:pPr>
        <w:ind w:left="6480" w:hanging="360"/>
      </w:p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footnotePr>
    <w:footnote w:id="0"/>
    <w:footnote w:id="1"/>
  </w:footnotePr>
  <w:endnotePr>
    <w:endnote w:id="0"/>
    <w:endnote w:id="1"/>
  </w:endnotePr>
  <w:compat>
    <w:compatSetting w:name="compatibilityMode" w:uri="http://schemas.microsoft.com/office/word" w:val="15"/>
  </w:compat>
  <w:rsids>
    <w:rsidRoot w:val="00000000"/>
    <w:rsid w:val="67A365F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unhideWhenUsed="0" w:uiPriority="0" w:semiHidden="0" w:name="heading 2"/>
    <w:lsdException w:qFormat="1" w:unhideWhenUsed="0" w:uiPriority="0" w:semiHidden="0" w:name="heading 3"/>
    <w:lsdException w:unhideWhenUsed="0" w:uiPriority="0" w:semiHidden="0" w:name="heading 4"/>
    <w:lsdException w:unhideWhenUsed="0" w:uiPriority="0" w:semiHidden="0" w:name="heading 5"/>
    <w:lsdException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Calibri" w:hAnsi="Calibri" w:eastAsia="Calibri" w:cs="Calibri"/>
      <w:sz w:val="22"/>
      <w:szCs w:val="22"/>
      <w:lang w:val="en-GB"/>
    </w:rPr>
  </w:style>
  <w:style w:type="paragraph" w:styleId="2">
    <w:name w:val="heading 1"/>
    <w:basedOn w:val="1"/>
    <w:next w:val="1"/>
    <w:qFormat/>
    <w:uiPriority w:val="0"/>
    <w:pPr>
      <w:keepNext/>
      <w:keepLines/>
      <w:spacing w:before="360" w:after="80"/>
    </w:pPr>
    <w:rPr>
      <w:rFonts w:ascii="Calibri" w:hAnsi="Calibri" w:eastAsia="Calibri" w:cs="Calibri"/>
      <w:color w:val="2F5496"/>
      <w:sz w:val="40"/>
      <w:szCs w:val="40"/>
    </w:rPr>
  </w:style>
  <w:style w:type="paragraph" w:styleId="3">
    <w:name w:val="heading 2"/>
    <w:basedOn w:val="1"/>
    <w:next w:val="1"/>
    <w:uiPriority w:val="0"/>
    <w:pPr>
      <w:keepNext/>
      <w:keepLines/>
      <w:spacing w:before="160" w:after="80"/>
    </w:pPr>
    <w:rPr>
      <w:rFonts w:ascii="Calibri" w:hAnsi="Calibri" w:eastAsia="Calibri" w:cs="Calibri"/>
      <w:color w:val="2F5496"/>
      <w:sz w:val="32"/>
      <w:szCs w:val="32"/>
    </w:rPr>
  </w:style>
  <w:style w:type="paragraph" w:styleId="4">
    <w:name w:val="heading 3"/>
    <w:basedOn w:val="1"/>
    <w:next w:val="1"/>
    <w:qFormat/>
    <w:uiPriority w:val="0"/>
    <w:pPr>
      <w:keepNext/>
      <w:keepLines/>
      <w:spacing w:before="160" w:after="80"/>
    </w:pPr>
    <w:rPr>
      <w:color w:val="2F5496"/>
      <w:sz w:val="28"/>
      <w:szCs w:val="28"/>
    </w:rPr>
  </w:style>
  <w:style w:type="paragraph" w:styleId="5">
    <w:name w:val="heading 4"/>
    <w:basedOn w:val="1"/>
    <w:next w:val="1"/>
    <w:uiPriority w:val="0"/>
    <w:pPr>
      <w:keepNext/>
      <w:keepLines/>
      <w:spacing w:before="80" w:after="40"/>
    </w:pPr>
    <w:rPr>
      <w:i/>
      <w:color w:val="2F5496"/>
    </w:rPr>
  </w:style>
  <w:style w:type="paragraph" w:styleId="6">
    <w:name w:val="heading 5"/>
    <w:basedOn w:val="1"/>
    <w:next w:val="1"/>
    <w:uiPriority w:val="0"/>
    <w:pPr>
      <w:keepNext/>
      <w:keepLines/>
      <w:spacing w:before="80" w:after="40"/>
    </w:pPr>
    <w:rPr>
      <w:color w:val="2F5496"/>
    </w:rPr>
  </w:style>
  <w:style w:type="paragraph" w:styleId="7">
    <w:name w:val="heading 6"/>
    <w:basedOn w:val="1"/>
    <w:next w:val="1"/>
    <w:uiPriority w:val="0"/>
    <w:pPr>
      <w:keepNext/>
      <w:keepLines/>
      <w:spacing w:before="40" w:after="0"/>
    </w:pPr>
    <w:rPr>
      <w:i/>
      <w:color w:val="595959"/>
    </w:rPr>
  </w:style>
  <w:style w:type="character" w:default="1" w:styleId="8">
    <w:name w:val="Default Paragraph Font"/>
    <w:semiHidden/>
    <w:uiPriority w:val="0"/>
  </w:style>
  <w:style w:type="table" w:default="1" w:styleId="9">
    <w:name w:val="Normal Table"/>
    <w:semiHidden/>
    <w:uiPriority w:val="0"/>
    <w:tblPr>
      <w:tblCellMar>
        <w:top w:w="0" w:type="dxa"/>
        <w:left w:w="108" w:type="dxa"/>
        <w:bottom w:w="0" w:type="dxa"/>
        <w:right w:w="108" w:type="dxa"/>
      </w:tblCellMar>
    </w:tblPr>
  </w:style>
  <w:style w:type="paragraph" w:styleId="10">
    <w:name w:val="Subtitle"/>
    <w:basedOn w:val="1"/>
    <w:next w:val="1"/>
    <w:qFormat/>
    <w:uiPriority w:val="0"/>
    <w:rPr>
      <w:color w:val="595959"/>
      <w:sz w:val="28"/>
      <w:szCs w:val="28"/>
    </w:rPr>
  </w:style>
  <w:style w:type="paragraph" w:styleId="11">
    <w:name w:val="Title"/>
    <w:basedOn w:val="1"/>
    <w:next w:val="1"/>
    <w:uiPriority w:val="0"/>
    <w:pPr>
      <w:spacing w:after="80" w:line="240" w:lineRule="auto"/>
    </w:pPr>
    <w:rPr>
      <w:rFonts w:ascii="Calibri" w:hAnsi="Calibri" w:eastAsia="Calibri" w:cs="Calibri"/>
      <w:sz w:val="56"/>
      <w:szCs w:val="56"/>
    </w:rPr>
  </w:style>
  <w:style w:type="table" w:customStyle="1" w:styleId="12">
    <w:name w:val="Table Normal1"/>
    <w:uiPriority w:val="0"/>
  </w:style>
  <w:style w:type="table" w:customStyle="1" w:styleId="13">
    <w:name w:val="_Style 10"/>
    <w:basedOn w:val="12"/>
    <w:qFormat/>
    <w:uiPriority w:val="0"/>
    <w:pPr>
      <w:spacing w:after="0" w:line="240" w:lineRule="auto"/>
    </w:pPr>
    <w:tblPr>
      <w:tblCellMar>
        <w:top w:w="0" w:type="dxa"/>
        <w:left w:w="108" w:type="dxa"/>
        <w:bottom w:w="0" w:type="dxa"/>
        <w:right w:w="108" w:type="dxa"/>
      </w:tblCellMar>
    </w:tblPr>
  </w:style>
  <w:style w:type="table" w:customStyle="1" w:styleId="14">
    <w:name w:val="_Style 11"/>
    <w:basedOn w:val="12"/>
    <w:qFormat/>
    <w:uiPriority w:val="0"/>
    <w:pPr>
      <w:spacing w:after="0" w:line="240" w:lineRule="auto"/>
    </w:pPr>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Pages>25</Pages>
  <TotalTime>4</TotalTime>
  <ScaleCrop>false</ScaleCrop>
  <LinksUpToDate>false</LinksUpToDate>
  <Application>WPS Office_12.2.0.23197_F1E327BC-269C-435d-A152-05C5408002CA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2026-02-19T23:00:52Z</dcterms:created>
  <dc:creator>Piya1</dc:creator>
  <cp:lastModifiedBy>Piya1</cp:lastModifiedBy>
  <dcterms:modified xsi:type="dcterms:W3CDTF">2026-02-19T23:04:54Z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2057-12.2.0.23197</vt:lpwstr>
  </property>
  <property fmtid="{D5CDD505-2E9C-101B-9397-08002B2CF9AE}" pid="3" name="ICV">
    <vt:lpwstr>72BC5FEA13784B6FA259A6CC6A30A32D_12</vt:lpwstr>
  </property>
</Properties>
</file>