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D3F83F" w14:textId="77777777" w:rsidR="00D31F30" w:rsidRDefault="00D31F30" w:rsidP="00D31F30">
      <w:r w:rsidRPr="00C26CE3">
        <w:rPr>
          <w:b/>
          <w:bCs/>
        </w:rPr>
        <w:t>Employment Law Module:</w:t>
      </w:r>
      <w:r>
        <w:tab/>
      </w:r>
      <w:r>
        <w:tab/>
        <w:t>BMHR7003</w:t>
      </w:r>
    </w:p>
    <w:p w14:paraId="02579626" w14:textId="77777777" w:rsidR="00D31F30" w:rsidRDefault="00D31F30" w:rsidP="00D31F30">
      <w:pPr>
        <w:ind w:left="0" w:firstLine="0"/>
      </w:pPr>
      <w:r w:rsidRPr="00C26CE3">
        <w:rPr>
          <w:b/>
          <w:bCs/>
        </w:rPr>
        <w:t>Student name:</w:t>
      </w:r>
      <w:r w:rsidRPr="00C26CE3">
        <w:rPr>
          <w:b/>
          <w:bCs/>
        </w:rPr>
        <w:tab/>
      </w:r>
      <w:r>
        <w:tab/>
      </w:r>
      <w:r>
        <w:tab/>
      </w:r>
      <w:r>
        <w:tab/>
        <w:t>Gemma Littlejohns</w:t>
      </w:r>
    </w:p>
    <w:p w14:paraId="441BC6ED" w14:textId="77777777" w:rsidR="00D31F30" w:rsidRDefault="00D31F30" w:rsidP="00D31F30">
      <w:pPr>
        <w:ind w:left="0" w:firstLine="0"/>
      </w:pPr>
      <w:r w:rsidRPr="00C26CE3">
        <w:rPr>
          <w:b/>
          <w:bCs/>
        </w:rPr>
        <w:t>Student number:</w:t>
      </w:r>
      <w:r>
        <w:tab/>
      </w:r>
      <w:r>
        <w:tab/>
      </w:r>
      <w:r>
        <w:tab/>
        <w:t>1550827</w:t>
      </w:r>
    </w:p>
    <w:p w14:paraId="2F636E07" w14:textId="77777777" w:rsidR="00D31F30" w:rsidRDefault="00D31F30" w:rsidP="00D31F30">
      <w:pPr>
        <w:ind w:left="0" w:firstLine="0"/>
      </w:pPr>
      <w:r w:rsidRPr="00C26CE3">
        <w:rPr>
          <w:b/>
          <w:bCs/>
        </w:rPr>
        <w:t>Deadline date:</w:t>
      </w:r>
      <w:r w:rsidRPr="00C26CE3">
        <w:rPr>
          <w:b/>
          <w:bCs/>
        </w:rPr>
        <w:tab/>
      </w:r>
      <w:r>
        <w:tab/>
      </w:r>
      <w:r>
        <w:tab/>
      </w:r>
      <w:r>
        <w:tab/>
        <w:t>10</w:t>
      </w:r>
      <w:r w:rsidRPr="00D31F30">
        <w:rPr>
          <w:vertAlign w:val="superscript"/>
        </w:rPr>
        <w:t>th</w:t>
      </w:r>
      <w:r>
        <w:t xml:space="preserve"> May 2021</w:t>
      </w:r>
    </w:p>
    <w:p w14:paraId="2351E5A2" w14:textId="77777777" w:rsidR="00D31F30" w:rsidRDefault="00D31F30" w:rsidP="00D31F30">
      <w:pPr>
        <w:ind w:left="0" w:firstLine="0"/>
      </w:pPr>
      <w:r w:rsidRPr="00C26CE3">
        <w:rPr>
          <w:b/>
          <w:bCs/>
        </w:rPr>
        <w:t>Word count:</w:t>
      </w:r>
      <w:r>
        <w:tab/>
      </w:r>
      <w:r>
        <w:tab/>
      </w:r>
      <w:r>
        <w:tab/>
      </w:r>
      <w:r>
        <w:tab/>
        <w:t>4758</w:t>
      </w:r>
    </w:p>
    <w:p w14:paraId="78C032D6" w14:textId="3C067D85" w:rsidR="00D31F30" w:rsidRDefault="00D31F30" w:rsidP="00D31F30">
      <w:pPr>
        <w:ind w:left="3600" w:firstLine="0"/>
      </w:pPr>
      <w:r>
        <w:t xml:space="preserve">(Excluding cover page, contents page, </w:t>
      </w:r>
      <w:r>
        <w:br/>
        <w:t>list of cases</w:t>
      </w:r>
      <w:r w:rsidR="00FB44DD">
        <w:t xml:space="preserve"> and</w:t>
      </w:r>
      <w:r>
        <w:t xml:space="preserve"> references.)</w:t>
      </w:r>
    </w:p>
    <w:p w14:paraId="2E85720A" w14:textId="77777777" w:rsidR="00D31F30" w:rsidRDefault="00D31F30">
      <w:r>
        <w:br w:type="page"/>
      </w:r>
    </w:p>
    <w:p w14:paraId="50030A73" w14:textId="77777777" w:rsidR="00D31F30" w:rsidRPr="00D31F30" w:rsidRDefault="00D31F30" w:rsidP="00D31F30">
      <w:pPr>
        <w:ind w:left="0" w:firstLine="0"/>
        <w:rPr>
          <w:b/>
          <w:bCs/>
        </w:rPr>
      </w:pPr>
      <w:r w:rsidRPr="00D31F30">
        <w:rPr>
          <w:b/>
          <w:bCs/>
        </w:rPr>
        <w:lastRenderedPageBreak/>
        <w:t>Contents</w:t>
      </w:r>
    </w:p>
    <w:p w14:paraId="2F995C50" w14:textId="58F2C6AA" w:rsidR="00D31F30" w:rsidRPr="00D31F30" w:rsidRDefault="00D31F30" w:rsidP="00D31F30">
      <w:pPr>
        <w:ind w:left="0" w:firstLine="0"/>
      </w:pPr>
      <w:r w:rsidRPr="00D31F30">
        <w:rPr>
          <w:lang w:val="it-IT"/>
        </w:rPr>
        <w:t>Memo re: E</w:t>
      </w:r>
      <w:r>
        <w:rPr>
          <w:lang w:val="it-IT"/>
        </w:rPr>
        <w:t>T1</w:t>
      </w:r>
      <w:r>
        <w:rPr>
          <w:lang w:val="it-IT"/>
        </w:rPr>
        <w:tab/>
      </w:r>
      <w:r>
        <w:rPr>
          <w:lang w:val="it-IT"/>
        </w:rPr>
        <w:tab/>
      </w:r>
      <w:r>
        <w:rPr>
          <w:lang w:val="it-IT"/>
        </w:rPr>
        <w:tab/>
      </w:r>
      <w:r>
        <w:rPr>
          <w:lang w:val="it-IT"/>
        </w:rPr>
        <w:tab/>
      </w:r>
      <w:r>
        <w:rPr>
          <w:lang w:val="it-IT"/>
        </w:rPr>
        <w:tab/>
      </w:r>
      <w:r>
        <w:rPr>
          <w:lang w:val="it-IT"/>
        </w:rPr>
        <w:tab/>
      </w:r>
      <w:r w:rsidRPr="00D31F30">
        <w:rPr>
          <w:lang w:val="it-IT"/>
        </w:rPr>
        <w:tab/>
      </w:r>
      <w:r w:rsidRPr="00D31F30">
        <w:rPr>
          <w:lang w:val="it-IT"/>
        </w:rPr>
        <w:tab/>
      </w:r>
      <w:r w:rsidRPr="00D31F30">
        <w:rPr>
          <w:lang w:val="it-IT"/>
        </w:rPr>
        <w:tab/>
      </w:r>
      <w:r w:rsidRPr="00D31F30">
        <w:t>3</w:t>
      </w:r>
    </w:p>
    <w:p w14:paraId="1A821863" w14:textId="1B7C50F5" w:rsidR="00D31F30" w:rsidRDefault="00D31F30" w:rsidP="00D31F30">
      <w:pPr>
        <w:ind w:left="0" w:firstLine="0"/>
      </w:pPr>
      <w:r w:rsidRPr="00D31F30">
        <w:t>Email re: flexible working r</w:t>
      </w:r>
      <w:r>
        <w:t>equest</w:t>
      </w:r>
      <w:r>
        <w:tab/>
      </w:r>
      <w:r>
        <w:tab/>
      </w:r>
      <w:r>
        <w:tab/>
      </w:r>
      <w:r>
        <w:tab/>
      </w:r>
      <w:r>
        <w:tab/>
      </w:r>
      <w:r>
        <w:tab/>
        <w:t>11</w:t>
      </w:r>
    </w:p>
    <w:p w14:paraId="0B3A8E57" w14:textId="14B88289" w:rsidR="00D31F30" w:rsidRDefault="00D31F30" w:rsidP="00D31F30">
      <w:pPr>
        <w:ind w:left="0" w:firstLine="0"/>
      </w:pPr>
      <w:r>
        <w:t>Email re: grievance</w:t>
      </w:r>
      <w:r>
        <w:tab/>
      </w:r>
      <w:r>
        <w:tab/>
      </w:r>
      <w:r>
        <w:tab/>
      </w:r>
      <w:r>
        <w:tab/>
      </w:r>
      <w:r>
        <w:tab/>
      </w:r>
      <w:r>
        <w:tab/>
      </w:r>
      <w:r>
        <w:tab/>
      </w:r>
      <w:r>
        <w:tab/>
        <w:t>16</w:t>
      </w:r>
    </w:p>
    <w:p w14:paraId="057483B6" w14:textId="2C31277E" w:rsidR="00D31F30" w:rsidRDefault="00D31F30" w:rsidP="00D31F30">
      <w:pPr>
        <w:ind w:left="0" w:firstLine="0"/>
      </w:pPr>
      <w:r>
        <w:t>List of relevant cases</w:t>
      </w:r>
      <w:r>
        <w:tab/>
      </w:r>
      <w:r>
        <w:tab/>
      </w:r>
      <w:r>
        <w:tab/>
      </w:r>
      <w:r>
        <w:tab/>
      </w:r>
      <w:r>
        <w:tab/>
      </w:r>
      <w:r>
        <w:tab/>
      </w:r>
      <w:r>
        <w:tab/>
      </w:r>
      <w:r>
        <w:tab/>
        <w:t>20</w:t>
      </w:r>
    </w:p>
    <w:p w14:paraId="74C4D587" w14:textId="51441472" w:rsidR="00D31F30" w:rsidRDefault="00D31F30" w:rsidP="00D31F30">
      <w:pPr>
        <w:ind w:left="0" w:firstLine="0"/>
      </w:pPr>
      <w:r>
        <w:t>References</w:t>
      </w:r>
      <w:r>
        <w:tab/>
      </w:r>
      <w:r>
        <w:tab/>
      </w:r>
      <w:r>
        <w:tab/>
      </w:r>
      <w:r>
        <w:tab/>
      </w:r>
      <w:r>
        <w:tab/>
      </w:r>
      <w:r>
        <w:tab/>
      </w:r>
      <w:r>
        <w:tab/>
      </w:r>
      <w:r>
        <w:tab/>
      </w:r>
      <w:r>
        <w:tab/>
        <w:t>21</w:t>
      </w:r>
    </w:p>
    <w:p w14:paraId="7EE86A90" w14:textId="27DBA017" w:rsidR="00D31F30" w:rsidRPr="00D31F30" w:rsidRDefault="00D31F30" w:rsidP="00D31F30">
      <w:pPr>
        <w:ind w:left="0" w:firstLine="0"/>
      </w:pPr>
      <w:r w:rsidRPr="00D31F30">
        <w:tab/>
      </w:r>
      <w:r w:rsidRPr="00D31F30">
        <w:br w:type="page"/>
      </w:r>
    </w:p>
    <w:p w14:paraId="01CEA1BE" w14:textId="5B344282" w:rsidR="00A851E8" w:rsidRPr="008E2AC0" w:rsidRDefault="00A851E8" w:rsidP="00D31F30">
      <w:pPr>
        <w:pStyle w:val="NoSpacing"/>
        <w:pBdr>
          <w:bottom w:val="single" w:sz="6" w:space="1" w:color="auto"/>
        </w:pBdr>
        <w:spacing w:line="360" w:lineRule="auto"/>
        <w:rPr>
          <w:b/>
          <w:bCs/>
          <w:sz w:val="44"/>
          <w:szCs w:val="44"/>
        </w:rPr>
      </w:pPr>
      <w:r w:rsidRPr="005C4FEA">
        <w:rPr>
          <w:b/>
          <w:bCs/>
          <w:sz w:val="44"/>
          <w:szCs w:val="44"/>
        </w:rPr>
        <w:lastRenderedPageBreak/>
        <w:t>MEMO</w:t>
      </w:r>
    </w:p>
    <w:p w14:paraId="6F1F9F62" w14:textId="77777777" w:rsidR="00A851E8" w:rsidRDefault="00A851E8" w:rsidP="00D31F30">
      <w:pPr>
        <w:spacing w:line="360" w:lineRule="auto"/>
      </w:pPr>
      <w:r w:rsidRPr="0092367F">
        <w:rPr>
          <w:b/>
          <w:bCs/>
        </w:rPr>
        <w:t>To</w:t>
      </w:r>
      <w:r>
        <w:t xml:space="preserve">: </w:t>
      </w:r>
      <w:r>
        <w:tab/>
      </w:r>
      <w:r>
        <w:tab/>
      </w:r>
      <w:r>
        <w:tab/>
        <w:t>Mr. Dave Thomas, Managing Director</w:t>
      </w:r>
    </w:p>
    <w:p w14:paraId="2B3256A3" w14:textId="77777777" w:rsidR="00A851E8" w:rsidRDefault="00A851E8" w:rsidP="00D31F30">
      <w:pPr>
        <w:spacing w:line="360" w:lineRule="auto"/>
        <w:rPr>
          <w:i/>
          <w:iCs/>
        </w:rPr>
      </w:pPr>
      <w:r w:rsidRPr="0092367F">
        <w:rPr>
          <w:b/>
          <w:bCs/>
        </w:rPr>
        <w:t>From</w:t>
      </w:r>
      <w:r>
        <w:t>:</w:t>
      </w:r>
      <w:r>
        <w:tab/>
      </w:r>
      <w:r>
        <w:tab/>
        <w:t xml:space="preserve">Mrs. Gemma Littlejohns, </w:t>
      </w:r>
      <w:r w:rsidRPr="00A75CC2">
        <w:rPr>
          <w:i/>
          <w:iCs/>
        </w:rPr>
        <w:t>Assoc CIPD</w:t>
      </w:r>
    </w:p>
    <w:p w14:paraId="45326223" w14:textId="77777777" w:rsidR="00A851E8" w:rsidRDefault="00A851E8" w:rsidP="00D31F30">
      <w:pPr>
        <w:spacing w:line="360" w:lineRule="auto"/>
      </w:pPr>
      <w:r w:rsidRPr="0092367F">
        <w:rPr>
          <w:b/>
          <w:bCs/>
        </w:rPr>
        <w:t>Date</w:t>
      </w:r>
      <w:r>
        <w:t>:</w:t>
      </w:r>
      <w:r>
        <w:tab/>
      </w:r>
      <w:r>
        <w:tab/>
        <w:t>10</w:t>
      </w:r>
      <w:r w:rsidRPr="00126DA7">
        <w:rPr>
          <w:vertAlign w:val="superscript"/>
        </w:rPr>
        <w:t>th</w:t>
      </w:r>
      <w:r>
        <w:t xml:space="preserve"> May 2021</w:t>
      </w:r>
    </w:p>
    <w:p w14:paraId="38EBB806" w14:textId="77777777" w:rsidR="00A851E8" w:rsidRDefault="00A851E8" w:rsidP="00D31F30">
      <w:pPr>
        <w:spacing w:line="360" w:lineRule="auto"/>
      </w:pPr>
      <w:r w:rsidRPr="0092367F">
        <w:rPr>
          <w:b/>
          <w:bCs/>
        </w:rPr>
        <w:t>Regarding</w:t>
      </w:r>
      <w:r>
        <w:t>:</w:t>
      </w:r>
      <w:r>
        <w:tab/>
        <w:t>ET letter dated 06/12/2020</w:t>
      </w:r>
      <w:r>
        <w:tab/>
      </w:r>
    </w:p>
    <w:p w14:paraId="45FF99D1" w14:textId="77777777" w:rsidR="00A851E8" w:rsidRDefault="00A851E8" w:rsidP="00D31F30">
      <w:pPr>
        <w:pStyle w:val="NoSpacing"/>
        <w:pBdr>
          <w:bottom w:val="single" w:sz="6" w:space="1" w:color="auto"/>
        </w:pBdr>
        <w:spacing w:line="360" w:lineRule="auto"/>
      </w:pPr>
    </w:p>
    <w:p w14:paraId="79BCC662" w14:textId="77777777" w:rsidR="00A851E8" w:rsidRPr="00A75CC2" w:rsidRDefault="00A851E8" w:rsidP="00D31F30">
      <w:pPr>
        <w:pStyle w:val="NoSpacing"/>
        <w:spacing w:line="360" w:lineRule="auto"/>
      </w:pPr>
    </w:p>
    <w:p w14:paraId="5A13872D" w14:textId="632CEBFD" w:rsidR="00A851E8" w:rsidRDefault="00A851E8" w:rsidP="00D31F30">
      <w:pPr>
        <w:spacing w:line="360" w:lineRule="auto"/>
        <w:ind w:left="0" w:firstLine="0"/>
      </w:pPr>
      <w:r w:rsidRPr="00A115EB">
        <w:t xml:space="preserve">I will set out below the process and timescales for responding to the ET1 in line with The Employment Tribunals Rules of Procedure 2013, as amended October 2020 </w:t>
      </w:r>
      <w:sdt>
        <w:sdtPr>
          <w:id w:val="87979855"/>
          <w:citation/>
        </w:sdtPr>
        <w:sdtContent>
          <w:r w:rsidRPr="00A115EB">
            <w:fldChar w:fldCharType="begin"/>
          </w:r>
          <w:r w:rsidRPr="00A115EB">
            <w:instrText xml:space="preserve"> CITATION GOV201 \l 2057 </w:instrText>
          </w:r>
          <w:r w:rsidRPr="00A115EB">
            <w:fldChar w:fldCharType="separate"/>
          </w:r>
          <w:r w:rsidR="00D31F30" w:rsidRPr="00D31F30">
            <w:rPr>
              <w:noProof/>
            </w:rPr>
            <w:t>(GOV.UK.a, 2020)</w:t>
          </w:r>
          <w:r w:rsidRPr="00A115EB">
            <w:fldChar w:fldCharType="end"/>
          </w:r>
        </w:sdtContent>
      </w:sdt>
      <w:r w:rsidRPr="00A115EB">
        <w:t>.</w:t>
      </w:r>
    </w:p>
    <w:p w14:paraId="3A35A0A4" w14:textId="77777777" w:rsidR="00A851E8" w:rsidRPr="004B7C04" w:rsidRDefault="00A851E8" w:rsidP="00D31F30">
      <w:pPr>
        <w:spacing w:line="360" w:lineRule="auto"/>
        <w:ind w:left="0" w:firstLine="0"/>
        <w:rPr>
          <w:b/>
          <w:bCs/>
        </w:rPr>
      </w:pPr>
      <w:r w:rsidRPr="004B7C04">
        <w:rPr>
          <w:b/>
          <w:bCs/>
        </w:rPr>
        <w:t>Timescales and process:</w:t>
      </w:r>
    </w:p>
    <w:p w14:paraId="36607E82" w14:textId="77777777" w:rsidR="00A851E8" w:rsidRDefault="00A851E8" w:rsidP="00D31F30">
      <w:pPr>
        <w:spacing w:line="360" w:lineRule="auto"/>
        <w:ind w:left="0" w:firstLine="0"/>
      </w:pPr>
      <w:r>
        <w:t xml:space="preserve">Now that you have received the ET1, you must file the ET3 response within 28 days of the </w:t>
      </w:r>
      <w:r w:rsidRPr="00DA081B">
        <w:rPr>
          <w:i/>
          <w:iCs/>
        </w:rPr>
        <w:t>date</w:t>
      </w:r>
      <w:r>
        <w:t xml:space="preserve"> on the ET1, confirming whether you intend to defend the claim. The ET3 form will require information from you, as the respondent, such as details of any representative you wish to act on your behalf, whether the claimant’s (Gethin Rees) calculations of losses are correct, and confirmation of dismissal information. </w:t>
      </w:r>
    </w:p>
    <w:p w14:paraId="2EE20D48" w14:textId="77777777" w:rsidR="00A851E8" w:rsidRDefault="00A851E8" w:rsidP="00D31F30">
      <w:pPr>
        <w:spacing w:line="360" w:lineRule="auto"/>
        <w:ind w:left="0" w:firstLine="0"/>
      </w:pPr>
      <w:r>
        <w:t xml:space="preserve">If you wish to defend the claim, you need to also return your defence along with the completed ET3 form. When you send this to the Employment Tribunal, you will receive a confirmation email from the ET confirming they’ve received it. </w:t>
      </w:r>
    </w:p>
    <w:p w14:paraId="312444A5" w14:textId="77777777" w:rsidR="00A851E8" w:rsidRDefault="00A851E8" w:rsidP="00D31F30">
      <w:pPr>
        <w:spacing w:line="360" w:lineRule="auto"/>
        <w:ind w:left="0" w:firstLine="0"/>
      </w:pPr>
      <w:r>
        <w:t>Please be aware that the tribunal may give ‘directions’ ahead of the hearing to ensure the case proceeds properly and on time. There are elements of this case that may require witness statements to be obtained and exchanged between yourself and the claimant ahead of the hearing. You must treat any directions and orders received from the tribunal service, seriously and respond within any deadlines they provide.</w:t>
      </w:r>
    </w:p>
    <w:p w14:paraId="576A3E57" w14:textId="376410C4" w:rsidR="00A851E8" w:rsidRDefault="00A851E8" w:rsidP="00D31F30">
      <w:pPr>
        <w:spacing w:line="360" w:lineRule="auto"/>
        <w:ind w:left="0" w:firstLine="0"/>
      </w:pPr>
      <w:r>
        <w:lastRenderedPageBreak/>
        <w:t xml:space="preserve">There have been reports of tribunal cases taking up to nine months to be heard, whilst the tribunal system experiences a backlog of cases made worse by the pandemic </w:t>
      </w:r>
      <w:sdt>
        <w:sdtPr>
          <w:id w:val="147321309"/>
          <w:citation/>
        </w:sdtPr>
        <w:sdtContent>
          <w:r>
            <w:fldChar w:fldCharType="begin"/>
          </w:r>
          <w:r>
            <w:instrText xml:space="preserve"> CITATION Cit20 \l 2057 </w:instrText>
          </w:r>
          <w:r>
            <w:fldChar w:fldCharType="separate"/>
          </w:r>
          <w:r w:rsidR="00D31F30" w:rsidRPr="00D31F30">
            <w:rPr>
              <w:noProof/>
            </w:rPr>
            <w:t>(Citizens Advice, 2020)</w:t>
          </w:r>
          <w:r>
            <w:fldChar w:fldCharType="end"/>
          </w:r>
        </w:sdtContent>
      </w:sdt>
      <w:r>
        <w:t>.</w:t>
      </w:r>
    </w:p>
    <w:p w14:paraId="21E665A0" w14:textId="77777777" w:rsidR="00A851E8" w:rsidRDefault="00A851E8" w:rsidP="00D31F30">
      <w:pPr>
        <w:spacing w:line="360" w:lineRule="auto"/>
        <w:ind w:left="0" w:firstLine="0"/>
      </w:pPr>
      <w:r>
        <w:t xml:space="preserve">Please note that you and the claimant can still talk via ACAS up to and during the tribunal process until a judgement is made. This is referred to as the ‘conciliation process’. If conciliation does not bring about a resolution the case will be heard in public, and a decision made by the judge. </w:t>
      </w:r>
    </w:p>
    <w:p w14:paraId="1ED572AF" w14:textId="5BA08237" w:rsidR="00A851E8" w:rsidRDefault="00A851E8" w:rsidP="00D31F30">
      <w:pPr>
        <w:spacing w:line="360" w:lineRule="auto"/>
        <w:ind w:left="0" w:firstLine="0"/>
      </w:pPr>
      <w:r>
        <w:t xml:space="preserve">You could choose to settle without going to tribunal. Settlement negotiations are confidential and are processed by ACAS. ‘COT3’ agreements are legally binding, and courts can enforce them </w:t>
      </w:r>
      <w:sdt>
        <w:sdtPr>
          <w:id w:val="512501140"/>
          <w:citation/>
        </w:sdtPr>
        <w:sdtContent>
          <w:r>
            <w:fldChar w:fldCharType="begin"/>
          </w:r>
          <w:r>
            <w:instrText xml:space="preserve"> CITATION ACA211 \l 2057 </w:instrText>
          </w:r>
          <w:r>
            <w:fldChar w:fldCharType="separate"/>
          </w:r>
          <w:r w:rsidR="00D31F30" w:rsidRPr="00D31F30">
            <w:rPr>
              <w:noProof/>
            </w:rPr>
            <w:t>(ACAS.b, 2021)</w:t>
          </w:r>
          <w:r>
            <w:fldChar w:fldCharType="end"/>
          </w:r>
        </w:sdtContent>
      </w:sdt>
      <w:r>
        <w:t>. The law relating to the negotiation of settlement agreements is set out in section 111A of the Employment Rights Act (ERA) 1996.</w:t>
      </w:r>
    </w:p>
    <w:p w14:paraId="7D9D68F4" w14:textId="77777777" w:rsidR="00A851E8" w:rsidRPr="0066158C" w:rsidRDefault="00A851E8" w:rsidP="00D31F30">
      <w:pPr>
        <w:spacing w:line="360" w:lineRule="auto"/>
        <w:rPr>
          <w:b/>
          <w:bCs/>
        </w:rPr>
      </w:pPr>
      <w:r w:rsidRPr="0066158C">
        <w:rPr>
          <w:b/>
          <w:bCs/>
        </w:rPr>
        <w:t>Details of the grounds of claims being brought and potential defences:</w:t>
      </w:r>
    </w:p>
    <w:p w14:paraId="1AD0607D" w14:textId="77777777" w:rsidR="00A851E8" w:rsidRPr="006A484E" w:rsidRDefault="00A851E8" w:rsidP="00D31F30">
      <w:pPr>
        <w:pStyle w:val="ListParagraph"/>
        <w:numPr>
          <w:ilvl w:val="0"/>
          <w:numId w:val="4"/>
        </w:numPr>
        <w:spacing w:line="360" w:lineRule="auto"/>
        <w:rPr>
          <w:b/>
          <w:bCs/>
          <w:i/>
          <w:iCs/>
        </w:rPr>
      </w:pPr>
      <w:r w:rsidRPr="0066158C">
        <w:rPr>
          <w:b/>
          <w:bCs/>
          <w:i/>
          <w:iCs/>
        </w:rPr>
        <w:t>Ordinary Unfair Dismissal</w:t>
      </w:r>
      <w:r>
        <w:rPr>
          <w:b/>
          <w:bCs/>
          <w:i/>
          <w:iCs/>
        </w:rPr>
        <w:t xml:space="preserve"> </w:t>
      </w:r>
      <w:r>
        <w:t xml:space="preserve">(based on the reason for dismissal and the process followed) </w:t>
      </w:r>
    </w:p>
    <w:p w14:paraId="47125B06" w14:textId="3661CDF8" w:rsidR="00A851E8" w:rsidRPr="00AB436B" w:rsidRDefault="00A851E8" w:rsidP="00D31F30">
      <w:pPr>
        <w:spacing w:line="360" w:lineRule="auto"/>
        <w:ind w:left="0" w:firstLine="0"/>
      </w:pPr>
      <w:r>
        <w:t xml:space="preserve">Reason for dismissal (misconduct test): this would have been established during the investigation. The Employment Rights Act (sect 98) requires the employer to act reasonably and fairly </w:t>
      </w:r>
      <w:sdt>
        <w:sdtPr>
          <w:id w:val="950360750"/>
          <w:citation/>
        </w:sdtPr>
        <w:sdtContent>
          <w:r>
            <w:fldChar w:fldCharType="begin"/>
          </w:r>
          <w:r>
            <w:instrText xml:space="preserve">CITATION leg961 \l 2057 </w:instrText>
          </w:r>
          <w:r>
            <w:fldChar w:fldCharType="separate"/>
          </w:r>
          <w:r w:rsidR="00D31F30" w:rsidRPr="00D31F30">
            <w:rPr>
              <w:noProof/>
            </w:rPr>
            <w:t>(legislation.gov.uk, 2014)</w:t>
          </w:r>
          <w:r>
            <w:fldChar w:fldCharType="end"/>
          </w:r>
        </w:sdtContent>
      </w:sdt>
      <w:r>
        <w:t xml:space="preserve">. There is a test case (British Home Stores V Burchell 1977) which established that; to fairly dismiss someone for misconduct, the burden of proof is on the employer to show that they established a genuine belief; based on reasonable grounds; following a reasonable investigation; that the employee had committed the misconduct </w:t>
      </w:r>
      <w:r w:rsidRPr="00AB436B">
        <w:t xml:space="preserve">complained of </w:t>
      </w:r>
      <w:sdt>
        <w:sdtPr>
          <w:id w:val="-1873840688"/>
          <w:citation/>
        </w:sdtPr>
        <w:sdtContent>
          <w:r w:rsidRPr="00AB436B">
            <w:fldChar w:fldCharType="begin"/>
          </w:r>
          <w:r w:rsidRPr="00AB436B">
            <w:instrText xml:space="preserve"> CITATION Cro19 \l 2057 </w:instrText>
          </w:r>
          <w:r w:rsidRPr="00AB436B">
            <w:fldChar w:fldCharType="separate"/>
          </w:r>
          <w:r w:rsidR="00D31F30" w:rsidRPr="00D31F30">
            <w:rPr>
              <w:noProof/>
            </w:rPr>
            <w:t>(Croner-i, 2019)</w:t>
          </w:r>
          <w:r w:rsidRPr="00AB436B">
            <w:fldChar w:fldCharType="end"/>
          </w:r>
        </w:sdtContent>
      </w:sdt>
      <w:r w:rsidRPr="00AB436B">
        <w:t xml:space="preserve">. </w:t>
      </w:r>
    </w:p>
    <w:p w14:paraId="263AD730" w14:textId="52BF44FF" w:rsidR="00A851E8" w:rsidRDefault="00A851E8" w:rsidP="00D31F30">
      <w:pPr>
        <w:spacing w:line="360" w:lineRule="auto"/>
        <w:ind w:left="0" w:firstLine="0"/>
      </w:pPr>
      <w:r>
        <w:t>From the information you have supplied there is reason to believe that the investigation failed to be conducted reasonably. The ACAS Code of Conduct relating to Discipline and Grievances at Work states that “</w:t>
      </w:r>
      <w:r w:rsidRPr="00D96274">
        <w:rPr>
          <w:i/>
          <w:iCs/>
        </w:rPr>
        <w:t>Employers should carry out any necessary investigations, to establish the facts of the case</w:t>
      </w:r>
      <w:r>
        <w:t>”</w:t>
      </w:r>
      <w:sdt>
        <w:sdtPr>
          <w:id w:val="-251593187"/>
          <w:citation/>
        </w:sdtPr>
        <w:sdtContent>
          <w:r>
            <w:fldChar w:fldCharType="begin"/>
          </w:r>
          <w:r>
            <w:instrText xml:space="preserve">CITATION ACA212 \l 2057 </w:instrText>
          </w:r>
          <w:r>
            <w:fldChar w:fldCharType="separate"/>
          </w:r>
          <w:r w:rsidR="00D31F30">
            <w:rPr>
              <w:noProof/>
            </w:rPr>
            <w:t xml:space="preserve"> </w:t>
          </w:r>
          <w:r w:rsidR="00D31F30" w:rsidRPr="00D31F30">
            <w:rPr>
              <w:noProof/>
            </w:rPr>
            <w:t>(ACAS, 2009)</w:t>
          </w:r>
          <w:r>
            <w:fldChar w:fldCharType="end"/>
          </w:r>
        </w:sdtContent>
      </w:sdt>
      <w:r>
        <w:t xml:space="preserve">.  </w:t>
      </w:r>
    </w:p>
    <w:p w14:paraId="3A5E1664" w14:textId="77777777" w:rsidR="00A851E8" w:rsidRDefault="00A851E8" w:rsidP="00D31F30">
      <w:pPr>
        <w:spacing w:line="360" w:lineRule="auto"/>
        <w:ind w:left="0" w:firstLine="0"/>
      </w:pPr>
      <w:r>
        <w:t>Steve was a witness to the incident however he led the investigation which could affect the impartiality of the investigation. Additionally, the investigation should have explored Robert’s part in the altercation to justify your actions against the claimant and your inaction towards Robert. This throws into question whether the reason for dismissal was based on reasonable grounds following what appears to have not been a reasonable investigation.</w:t>
      </w:r>
    </w:p>
    <w:p w14:paraId="468DDEE2" w14:textId="2C9190B8" w:rsidR="00A851E8" w:rsidRPr="00544F30" w:rsidRDefault="00A851E8" w:rsidP="00D31F30">
      <w:pPr>
        <w:spacing w:line="360" w:lineRule="auto"/>
        <w:ind w:left="0" w:firstLine="0"/>
      </w:pPr>
      <w:r>
        <w:lastRenderedPageBreak/>
        <w:t xml:space="preserve">Process: From a procedural point of view, we must determine whether the claimant was provided a fair and reasonable process for him to defend himself. In the absence of your procedures, we must comply with the </w:t>
      </w:r>
      <w:hyperlink r:id="rId8" w:history="1">
        <w:r w:rsidRPr="004A440E">
          <w:rPr>
            <w:rStyle w:val="Hyperlink"/>
          </w:rPr>
          <w:t>ACAS guidance for Disciplinary and Grievance Procedures.</w:t>
        </w:r>
      </w:hyperlink>
      <w:r>
        <w:rPr>
          <w:rStyle w:val="Hyperlink"/>
        </w:rPr>
        <w:t xml:space="preserve">  </w:t>
      </w:r>
      <w:sdt>
        <w:sdtPr>
          <w:rPr>
            <w:rStyle w:val="Hyperlink"/>
            <w:color w:val="auto"/>
            <w:u w:val="none"/>
          </w:rPr>
          <w:id w:val="2129502996"/>
          <w:citation/>
        </w:sdtPr>
        <w:sdtContent>
          <w:r w:rsidRPr="00544F30">
            <w:rPr>
              <w:rStyle w:val="Hyperlink"/>
              <w:color w:val="auto"/>
              <w:u w:val="none"/>
            </w:rPr>
            <w:fldChar w:fldCharType="begin"/>
          </w:r>
          <w:r>
            <w:rPr>
              <w:rStyle w:val="Hyperlink"/>
              <w:color w:val="auto"/>
              <w:u w:val="none"/>
            </w:rPr>
            <w:instrText xml:space="preserve">CITATION ACA212 \l 2057 </w:instrText>
          </w:r>
          <w:r w:rsidRPr="00544F30">
            <w:rPr>
              <w:rStyle w:val="Hyperlink"/>
              <w:color w:val="auto"/>
              <w:u w:val="none"/>
            </w:rPr>
            <w:fldChar w:fldCharType="separate"/>
          </w:r>
          <w:r w:rsidR="00D31F30" w:rsidRPr="00D31F30">
            <w:rPr>
              <w:noProof/>
            </w:rPr>
            <w:t>(ACAS, 2009)</w:t>
          </w:r>
          <w:r w:rsidRPr="00544F30">
            <w:rPr>
              <w:rStyle w:val="Hyperlink"/>
              <w:color w:val="auto"/>
              <w:u w:val="none"/>
            </w:rPr>
            <w:fldChar w:fldCharType="end"/>
          </w:r>
        </w:sdtContent>
      </w:sdt>
      <w:r w:rsidRPr="00544F30">
        <w:rPr>
          <w:rStyle w:val="Hyperlink"/>
          <w:color w:val="auto"/>
          <w:u w:val="none"/>
        </w:rPr>
        <w:t>.</w:t>
      </w:r>
    </w:p>
    <w:p w14:paraId="4BAC54CD" w14:textId="77777777" w:rsidR="00A851E8" w:rsidRDefault="00A851E8" w:rsidP="00D31F30">
      <w:pPr>
        <w:spacing w:line="360" w:lineRule="auto"/>
        <w:ind w:left="0" w:firstLine="0"/>
      </w:pPr>
      <w:r>
        <w:t>Before the disciplinary meeting, the claimant should have been given all evidence against him to respond. There appears to be no evidence that the claimant was allowed sight of, or opportunity to comment on any witness statements gathered as part of the investigation.</w:t>
      </w:r>
      <w:r w:rsidRPr="00837D3F">
        <w:t xml:space="preserve"> </w:t>
      </w:r>
    </w:p>
    <w:p w14:paraId="2D3E0800" w14:textId="77777777" w:rsidR="00A851E8" w:rsidRDefault="00A851E8" w:rsidP="00D31F30">
      <w:pPr>
        <w:spacing w:line="360" w:lineRule="auto"/>
        <w:ind w:left="0" w:firstLine="0"/>
      </w:pPr>
      <w:r>
        <w:t>Additionally, ACAS recommends employers allow an appeal up to 5 days from receiving the written outcome of the disciplinary. 72 hours, in this case, is arguably too short, therefore he missed his opportunity to appeal.</w:t>
      </w:r>
    </w:p>
    <w:p w14:paraId="3FC5C570" w14:textId="77777777" w:rsidR="00A851E8" w:rsidRPr="0066158C" w:rsidRDefault="00A851E8" w:rsidP="00D31F30">
      <w:pPr>
        <w:spacing w:line="360" w:lineRule="auto"/>
        <w:ind w:left="0" w:firstLine="0"/>
      </w:pPr>
      <w:r w:rsidRPr="0066158C">
        <w:t>Potential defences:</w:t>
      </w:r>
    </w:p>
    <w:p w14:paraId="21342092" w14:textId="77777777" w:rsidR="00A851E8" w:rsidRPr="00BF4442" w:rsidRDefault="00A851E8" w:rsidP="00D31F30">
      <w:pPr>
        <w:spacing w:line="360" w:lineRule="auto"/>
        <w:ind w:left="0" w:firstLine="0"/>
        <w:rPr>
          <w:b/>
          <w:bCs/>
          <w:i/>
          <w:iCs/>
        </w:rPr>
      </w:pPr>
      <w:r>
        <w:t xml:space="preserve">By his admission, the claimant pushed a colleague to the ground. This could be described as assault and would be a fair reason to dismiss. In addition, the claimant goes to see the manager and isn’t wearing a face mask himself, therefore he failed to comply with health and safety procedures. Finally, the claimant is maintaining he was provoked but there doesn’t appear to be any independent witnesses to verify this. Therefore, you could argue that you had reasonable grounds to believe that the claimant was </w:t>
      </w:r>
      <w:r w:rsidRPr="004E2877">
        <w:rPr>
          <w:i/>
          <w:iCs/>
        </w:rPr>
        <w:t>not</w:t>
      </w:r>
      <w:r>
        <w:t xml:space="preserve"> provoked. You have evidence that he </w:t>
      </w:r>
      <w:r w:rsidRPr="00AE3D70">
        <w:rPr>
          <w:i/>
          <w:iCs/>
        </w:rPr>
        <w:t>started</w:t>
      </w:r>
      <w:r>
        <w:t xml:space="preserve"> a physical altercation. </w:t>
      </w:r>
    </w:p>
    <w:p w14:paraId="67D2546F" w14:textId="36F712C7" w:rsidR="00A851E8" w:rsidRPr="00505208" w:rsidRDefault="00A851E8" w:rsidP="00D31F30">
      <w:pPr>
        <w:spacing w:line="360" w:lineRule="auto"/>
        <w:ind w:left="0" w:firstLine="0"/>
      </w:pPr>
      <w:r>
        <w:t>Due to the inadequate investigation on your part, it may be hard to defend this without obtaining witness statements. In addition</w:t>
      </w:r>
      <w:r w:rsidR="00D31F30">
        <w:t>,</w:t>
      </w:r>
      <w:r>
        <w:t xml:space="preserve"> the claimant has pointed out that the person he had the physical altercation with, remains employed. The tribunal will judge the fairness of the dismissal for misconduct as per the case with MBNA v Jones (2015). </w:t>
      </w:r>
    </w:p>
    <w:p w14:paraId="0AFE0689" w14:textId="77777777" w:rsidR="00A851E8" w:rsidRPr="000E0D3A" w:rsidRDefault="00A851E8" w:rsidP="00D31F30">
      <w:pPr>
        <w:pStyle w:val="ListParagraph"/>
        <w:numPr>
          <w:ilvl w:val="0"/>
          <w:numId w:val="4"/>
        </w:numPr>
        <w:spacing w:line="360" w:lineRule="auto"/>
        <w:rPr>
          <w:b/>
          <w:bCs/>
          <w:i/>
          <w:iCs/>
        </w:rPr>
      </w:pPr>
      <w:r w:rsidRPr="00FE15E5">
        <w:rPr>
          <w:b/>
          <w:bCs/>
          <w:i/>
          <w:iCs/>
        </w:rPr>
        <w:t>Automatic Unfair Dismissal</w:t>
      </w:r>
      <w:r>
        <w:rPr>
          <w:b/>
          <w:bCs/>
          <w:i/>
          <w:iCs/>
        </w:rPr>
        <w:t xml:space="preserve"> </w:t>
      </w:r>
      <w:r>
        <w:t>(whistleblowing)</w:t>
      </w:r>
    </w:p>
    <w:p w14:paraId="4E4D71F0" w14:textId="7FA1A397" w:rsidR="00A851E8" w:rsidRPr="002A60DF" w:rsidRDefault="00A851E8" w:rsidP="00D31F30">
      <w:pPr>
        <w:spacing w:line="360" w:lineRule="auto"/>
        <w:ind w:left="0" w:firstLine="0"/>
      </w:pPr>
      <w:r w:rsidRPr="00763C9E">
        <w:t>The Public Interest Disclosure Act 1998 (PIDA)</w:t>
      </w:r>
      <w:r>
        <w:t xml:space="preserve"> protects</w:t>
      </w:r>
      <w:r w:rsidRPr="00763C9E">
        <w:t xml:space="preserve"> workers reporting malpractices by their employers or third parties against victimisation or dismissal</w:t>
      </w:r>
      <w:r>
        <w:t>. The Employment Rights Act (sect 103A) regarding protected disclosures state “</w:t>
      </w:r>
      <w:r w:rsidRPr="004A314A">
        <w:rPr>
          <w:i/>
          <w:iCs/>
        </w:rPr>
        <w:t>an employee is regarded as having been automatically unfairly dismissed if the principal reason for the dismissal is that the employee made a protected disclosure.”</w:t>
      </w:r>
      <w:r>
        <w:t xml:space="preserve"> </w:t>
      </w:r>
      <w:sdt>
        <w:sdtPr>
          <w:id w:val="-36745960"/>
          <w:citation/>
        </w:sdtPr>
        <w:sdtContent>
          <w:r>
            <w:fldChar w:fldCharType="begin"/>
          </w:r>
          <w:r>
            <w:instrText xml:space="preserve"> CITATION leg06 \l 2057 </w:instrText>
          </w:r>
          <w:r>
            <w:fldChar w:fldCharType="separate"/>
          </w:r>
          <w:r w:rsidR="00D31F30" w:rsidRPr="00D31F30">
            <w:rPr>
              <w:noProof/>
            </w:rPr>
            <w:t>(legislation.gov.uk, 2006)</w:t>
          </w:r>
          <w:r>
            <w:fldChar w:fldCharType="end"/>
          </w:r>
        </w:sdtContent>
      </w:sdt>
      <w:r>
        <w:t>.</w:t>
      </w:r>
    </w:p>
    <w:p w14:paraId="0C18D88F" w14:textId="77777777" w:rsidR="00A851E8" w:rsidRDefault="00A851E8" w:rsidP="00D31F30">
      <w:pPr>
        <w:spacing w:line="360" w:lineRule="auto"/>
        <w:ind w:left="0" w:firstLine="0"/>
      </w:pPr>
      <w:r>
        <w:lastRenderedPageBreak/>
        <w:t xml:space="preserve">The claimant says he raised the issue about employees not wearing masks. This would be regarded as a protected disclosure regarding your failure as an employer to comply with a legal obligation (i.e., keeping premises Covid secure) by not enforcing the wearing of facemasks. </w:t>
      </w:r>
    </w:p>
    <w:p w14:paraId="3038ADA8" w14:textId="77777777" w:rsidR="00A851E8" w:rsidRDefault="00A851E8" w:rsidP="00D31F30">
      <w:pPr>
        <w:spacing w:line="360" w:lineRule="auto"/>
        <w:ind w:left="0" w:firstLine="0"/>
      </w:pPr>
      <w:r>
        <w:t>Potential defences:</w:t>
      </w:r>
    </w:p>
    <w:p w14:paraId="096AD95B" w14:textId="1098920A" w:rsidR="00A851E8" w:rsidRDefault="00A851E8" w:rsidP="00D31F30">
      <w:pPr>
        <w:spacing w:line="360" w:lineRule="auto"/>
        <w:ind w:left="0" w:firstLine="0"/>
      </w:pPr>
      <w:r>
        <w:t>The claimant must demonstrate he raised this issue of colleagues not wearing face masks. Apart from his statement enclosed, there doesn’t appear to be any other records presented confirming this. Workers must</w:t>
      </w:r>
      <w:r w:rsidRPr="007F4FC6">
        <w:t xml:space="preserve"> notify management of any risk to health and safety</w:t>
      </w:r>
      <w:r>
        <w:t xml:space="preserve"> </w:t>
      </w:r>
      <w:sdt>
        <w:sdtPr>
          <w:id w:val="-1267914555"/>
          <w:citation/>
        </w:sdtPr>
        <w:sdtContent>
          <w:r>
            <w:fldChar w:fldCharType="begin"/>
          </w:r>
          <w:r>
            <w:instrText xml:space="preserve"> CITATION leg99 \l 2057 </w:instrText>
          </w:r>
          <w:r>
            <w:fldChar w:fldCharType="separate"/>
          </w:r>
          <w:r w:rsidR="00D31F30" w:rsidRPr="00D31F30">
            <w:rPr>
              <w:noProof/>
            </w:rPr>
            <w:t>(legislation.gov.uk, 1999)</w:t>
          </w:r>
          <w:r>
            <w:fldChar w:fldCharType="end"/>
          </w:r>
        </w:sdtContent>
      </w:sdt>
      <w:r>
        <w:t xml:space="preserve">. This is further supported by the case </w:t>
      </w:r>
      <w:r w:rsidRPr="009737B9">
        <w:t xml:space="preserve">Cavendish Munro Professional Risks Management Ltd v Geduld UK, </w:t>
      </w:r>
      <w:r>
        <w:t xml:space="preserve">where </w:t>
      </w:r>
      <w:r w:rsidRPr="009737B9">
        <w:t xml:space="preserve">the EAT held that to be </w:t>
      </w:r>
      <w:r>
        <w:t xml:space="preserve">a </w:t>
      </w:r>
      <w:r w:rsidRPr="009737B9">
        <w:t>protected disclosure must involve information, and not simply voice a concern or raise an allegation</w:t>
      </w:r>
      <w:r>
        <w:t xml:space="preserve"> </w:t>
      </w:r>
      <w:sdt>
        <w:sdtPr>
          <w:id w:val="-369305462"/>
          <w:citation/>
        </w:sdtPr>
        <w:sdtContent>
          <w:r>
            <w:fldChar w:fldCharType="begin"/>
          </w:r>
          <w:r>
            <w:instrText xml:space="preserve"> CITATION BAI09 \l 2057 </w:instrText>
          </w:r>
          <w:r>
            <w:fldChar w:fldCharType="separate"/>
          </w:r>
          <w:r w:rsidR="00D31F30" w:rsidRPr="00D31F30">
            <w:rPr>
              <w:noProof/>
            </w:rPr>
            <w:t>(BAILII, 2009)</w:t>
          </w:r>
          <w:r>
            <w:fldChar w:fldCharType="end"/>
          </w:r>
        </w:sdtContent>
      </w:sdt>
      <w:r>
        <w:t>.</w:t>
      </w:r>
    </w:p>
    <w:p w14:paraId="63212AEF" w14:textId="77777777" w:rsidR="00A851E8" w:rsidRPr="00AE198D" w:rsidRDefault="00A851E8" w:rsidP="00D31F30">
      <w:pPr>
        <w:spacing w:line="360" w:lineRule="auto"/>
        <w:ind w:left="0" w:firstLine="0"/>
      </w:pPr>
      <w:r>
        <w:t>Even if he did raise the issue formally, he would have to prove that he was dismissed for this reason. There doesn’t appear to be a causal link between him raising a protected disclosure and him being dismissed. His dismissal was because of a physical altercation with a colleague. This would appear to be a weak claim.</w:t>
      </w:r>
    </w:p>
    <w:p w14:paraId="0A78F97B" w14:textId="77777777" w:rsidR="00A851E8" w:rsidRPr="007356BC" w:rsidRDefault="00A851E8" w:rsidP="00D31F30">
      <w:pPr>
        <w:pStyle w:val="ListParagraph"/>
        <w:numPr>
          <w:ilvl w:val="0"/>
          <w:numId w:val="4"/>
        </w:numPr>
        <w:spacing w:line="360" w:lineRule="auto"/>
        <w:rPr>
          <w:b/>
          <w:bCs/>
          <w:i/>
          <w:iCs/>
        </w:rPr>
      </w:pPr>
      <w:r w:rsidRPr="007356BC">
        <w:rPr>
          <w:b/>
          <w:bCs/>
          <w:i/>
          <w:iCs/>
        </w:rPr>
        <w:t xml:space="preserve">Wrongful </w:t>
      </w:r>
      <w:r>
        <w:rPr>
          <w:b/>
          <w:bCs/>
          <w:i/>
          <w:iCs/>
        </w:rPr>
        <w:t>D</w:t>
      </w:r>
      <w:r w:rsidRPr="007356BC">
        <w:rPr>
          <w:b/>
          <w:bCs/>
          <w:i/>
          <w:iCs/>
        </w:rPr>
        <w:t>ismissal</w:t>
      </w:r>
      <w:r>
        <w:rPr>
          <w:b/>
          <w:bCs/>
          <w:i/>
          <w:iCs/>
        </w:rPr>
        <w:t xml:space="preserve"> </w:t>
      </w:r>
      <w:r>
        <w:t>(breach of contract)</w:t>
      </w:r>
    </w:p>
    <w:p w14:paraId="5E079150" w14:textId="2DA92DC9" w:rsidR="00A851E8" w:rsidRDefault="00A851E8" w:rsidP="00D31F30">
      <w:pPr>
        <w:spacing w:line="360" w:lineRule="auto"/>
        <w:ind w:left="0" w:firstLine="0"/>
      </w:pPr>
      <w:r>
        <w:t xml:space="preserve">The claimant was dismissed without any notice which is arguably a breach of contract. He could be owed his notice and accrued leave and employer contributions </w:t>
      </w:r>
      <w:sdt>
        <w:sdtPr>
          <w:id w:val="-1148589852"/>
          <w:citation/>
        </w:sdtPr>
        <w:sdtContent>
          <w:r>
            <w:fldChar w:fldCharType="begin"/>
          </w:r>
          <w:r>
            <w:instrText xml:space="preserve">CITATION leg961 \l 2057 </w:instrText>
          </w:r>
          <w:r>
            <w:fldChar w:fldCharType="separate"/>
          </w:r>
          <w:r w:rsidR="00D31F30" w:rsidRPr="00D31F30">
            <w:rPr>
              <w:noProof/>
            </w:rPr>
            <w:t>(legislation.gov.uk, 2014)</w:t>
          </w:r>
          <w:r>
            <w:fldChar w:fldCharType="end"/>
          </w:r>
        </w:sdtContent>
      </w:sdt>
      <w:r>
        <w:t>.</w:t>
      </w:r>
    </w:p>
    <w:p w14:paraId="635E9BA7" w14:textId="77777777" w:rsidR="00A851E8" w:rsidRDefault="00A851E8" w:rsidP="00D31F30">
      <w:pPr>
        <w:spacing w:line="360" w:lineRule="auto"/>
        <w:ind w:left="0" w:firstLine="0"/>
      </w:pPr>
      <w:r>
        <w:t>Gross misconduct might be cited in his contract as a reason that allows dismissal without notice however you would need to prove that your reason to dismiss was fair and reasonable (as per point 1 above).</w:t>
      </w:r>
    </w:p>
    <w:p w14:paraId="3F863D98" w14:textId="77777777" w:rsidR="00A851E8" w:rsidRDefault="00A851E8" w:rsidP="00D31F30">
      <w:pPr>
        <w:spacing w:line="360" w:lineRule="auto"/>
        <w:ind w:left="0" w:firstLine="0"/>
      </w:pPr>
      <w:r>
        <w:t>The only way to defeat this claim is to satisfy the tribunal that you had good reason to dismiss for gross misconduct. Without this, the only way to end a contract is to provide notice. In this case, the claimant was entitled to 5 weeks’ notice (1 year for each complete year of service).</w:t>
      </w:r>
    </w:p>
    <w:p w14:paraId="3FC2B65F" w14:textId="77777777" w:rsidR="00C26CE3" w:rsidRDefault="00C26CE3">
      <w:r>
        <w:br w:type="page"/>
      </w:r>
    </w:p>
    <w:p w14:paraId="1BF5C796" w14:textId="004DB26D" w:rsidR="00A851E8" w:rsidRDefault="00A851E8" w:rsidP="00D31F30">
      <w:pPr>
        <w:spacing w:line="360" w:lineRule="auto"/>
        <w:ind w:left="0" w:firstLine="0"/>
      </w:pPr>
      <w:r>
        <w:lastRenderedPageBreak/>
        <w:t>Possible defences:</w:t>
      </w:r>
    </w:p>
    <w:p w14:paraId="3EF69764" w14:textId="77777777" w:rsidR="00A851E8" w:rsidRDefault="00A851E8" w:rsidP="00D31F30">
      <w:pPr>
        <w:spacing w:line="360" w:lineRule="auto"/>
        <w:ind w:left="0" w:firstLine="0"/>
      </w:pPr>
      <w:r>
        <w:t>You considered this to be gross misconduct because the claimant assaulted Robert without provocation. You are entitled to dismiss someone without notice. This may be regarded as a weak claim on his part.</w:t>
      </w:r>
    </w:p>
    <w:p w14:paraId="151A9F43" w14:textId="77777777" w:rsidR="00A851E8" w:rsidRDefault="00A851E8" w:rsidP="00D31F30">
      <w:pPr>
        <w:pStyle w:val="ListParagraph"/>
        <w:numPr>
          <w:ilvl w:val="0"/>
          <w:numId w:val="4"/>
        </w:numPr>
        <w:spacing w:line="360" w:lineRule="auto"/>
        <w:rPr>
          <w:b/>
          <w:bCs/>
          <w:i/>
          <w:iCs/>
        </w:rPr>
      </w:pPr>
      <w:r>
        <w:rPr>
          <w:b/>
          <w:bCs/>
          <w:i/>
          <w:iCs/>
        </w:rPr>
        <w:t xml:space="preserve">Unfair Dismissal </w:t>
      </w:r>
      <w:r w:rsidRPr="00281F3E">
        <w:t>(on the grounds of raising health and safety concerns)</w:t>
      </w:r>
    </w:p>
    <w:p w14:paraId="395C8F34" w14:textId="77710F7F" w:rsidR="00A851E8" w:rsidRDefault="00A851E8" w:rsidP="00D31F30">
      <w:pPr>
        <w:spacing w:line="360" w:lineRule="auto"/>
        <w:ind w:left="0" w:firstLine="0"/>
      </w:pPr>
      <w:r w:rsidRPr="00BC4E76">
        <w:t>Section 100 of the Employment Rights Act subsection 1 paragraph C</w:t>
      </w:r>
      <w:r>
        <w:t xml:space="preserve"> says, “a</w:t>
      </w:r>
      <w:r w:rsidRPr="00BC4E76">
        <w:t xml:space="preserve">n employee who is dismissed </w:t>
      </w:r>
      <w:r>
        <w:t xml:space="preserve">shall be regarded as unfairly dismissed if the reason for dismissal includes bringing to the employers' attention circumstances connected with his work which he reasonably believed were harmful or potentially harmful.” </w:t>
      </w:r>
      <w:sdt>
        <w:sdtPr>
          <w:id w:val="1574633773"/>
          <w:citation/>
        </w:sdtPr>
        <w:sdtContent>
          <w:r>
            <w:fldChar w:fldCharType="begin"/>
          </w:r>
          <w:r>
            <w:instrText xml:space="preserve"> CITATION leg061 \l 2057 </w:instrText>
          </w:r>
          <w:r>
            <w:fldChar w:fldCharType="separate"/>
          </w:r>
          <w:r w:rsidR="00D31F30" w:rsidRPr="00D31F30">
            <w:rPr>
              <w:noProof/>
            </w:rPr>
            <w:t>(legislation.gov.uk, 2006)</w:t>
          </w:r>
          <w:r>
            <w:fldChar w:fldCharType="end"/>
          </w:r>
        </w:sdtContent>
      </w:sdt>
      <w:r>
        <w:t>.</w:t>
      </w:r>
    </w:p>
    <w:p w14:paraId="2EEE8AC5" w14:textId="77777777" w:rsidR="00A851E8" w:rsidRDefault="00A851E8" w:rsidP="00D31F30">
      <w:pPr>
        <w:spacing w:line="360" w:lineRule="auto"/>
        <w:ind w:left="0" w:firstLine="0"/>
      </w:pPr>
      <w:r>
        <w:t>The claimant states that he raised concerns i.e., reported to you that colleagues were not complying with wearing face masks as per your covid safe guidelines and was later dismissed.</w:t>
      </w:r>
    </w:p>
    <w:p w14:paraId="104E68FB" w14:textId="77777777" w:rsidR="00A851E8" w:rsidRDefault="00A851E8" w:rsidP="00D31F30">
      <w:pPr>
        <w:spacing w:line="360" w:lineRule="auto"/>
        <w:ind w:left="0" w:firstLine="0"/>
      </w:pPr>
      <w:r>
        <w:t>He would need to prove that these two facts are connected.</w:t>
      </w:r>
    </w:p>
    <w:p w14:paraId="2B1E2E9D" w14:textId="77777777" w:rsidR="00A851E8" w:rsidRDefault="00A851E8" w:rsidP="00D31F30">
      <w:pPr>
        <w:spacing w:line="360" w:lineRule="auto"/>
        <w:ind w:left="0" w:firstLine="0"/>
      </w:pPr>
      <w:r>
        <w:t>Possible defences:</w:t>
      </w:r>
    </w:p>
    <w:p w14:paraId="3FEF172D" w14:textId="77777777" w:rsidR="00A851E8" w:rsidRPr="00AE198D" w:rsidRDefault="00A851E8" w:rsidP="00D31F30">
      <w:pPr>
        <w:spacing w:line="360" w:lineRule="auto"/>
        <w:ind w:left="0" w:firstLine="0"/>
      </w:pPr>
      <w:r>
        <w:t>Again, there would need to be a causal link between him raising this concern and him being dismissed as per point 2 above. This would be a weak claim.</w:t>
      </w:r>
    </w:p>
    <w:p w14:paraId="5258E087" w14:textId="77777777" w:rsidR="00A851E8" w:rsidRDefault="00A851E8" w:rsidP="00D31F30">
      <w:pPr>
        <w:spacing w:line="360" w:lineRule="auto"/>
        <w:rPr>
          <w:b/>
          <w:bCs/>
        </w:rPr>
      </w:pPr>
      <w:r w:rsidRPr="00D160B9">
        <w:rPr>
          <w:b/>
          <w:bCs/>
        </w:rPr>
        <w:t>An assessment of the strengths and weaknesses of the claim</w:t>
      </w:r>
    </w:p>
    <w:p w14:paraId="36AA8A50" w14:textId="77777777" w:rsidR="00A851E8" w:rsidRPr="00661EED" w:rsidRDefault="00A851E8" w:rsidP="00D31F30">
      <w:pPr>
        <w:pStyle w:val="ListParagraph"/>
        <w:numPr>
          <w:ilvl w:val="0"/>
          <w:numId w:val="7"/>
        </w:numPr>
        <w:spacing w:line="360" w:lineRule="auto"/>
      </w:pPr>
      <w:r w:rsidRPr="00661EED">
        <w:t xml:space="preserve">Strengths for </w:t>
      </w:r>
      <w:r>
        <w:t>the claimant</w:t>
      </w:r>
    </w:p>
    <w:p w14:paraId="4788EEC9" w14:textId="77777777" w:rsidR="00A851E8" w:rsidRDefault="00A851E8" w:rsidP="00D31F30">
      <w:pPr>
        <w:pStyle w:val="ListParagraph"/>
        <w:numPr>
          <w:ilvl w:val="0"/>
          <w:numId w:val="9"/>
        </w:numPr>
        <w:spacing w:line="360" w:lineRule="auto"/>
      </w:pPr>
      <w:r>
        <w:t>Evidence of p</w:t>
      </w:r>
      <w:r w:rsidRPr="003401A8">
        <w:t>revious good behaviour</w:t>
      </w:r>
      <w:r>
        <w:t>: his disciplinary record does not support Steve’s case that the claimant has a history of workplace behaviour issues. There is just one historic incident of lateness.</w:t>
      </w:r>
    </w:p>
    <w:p w14:paraId="6B3D790C" w14:textId="77777777" w:rsidR="00A851E8" w:rsidRDefault="00A851E8" w:rsidP="00D31F30">
      <w:pPr>
        <w:pStyle w:val="ListParagraph"/>
        <w:numPr>
          <w:ilvl w:val="0"/>
          <w:numId w:val="9"/>
        </w:numPr>
        <w:spacing w:line="360" w:lineRule="auto"/>
      </w:pPr>
      <w:r>
        <w:t>Time served: The claimant has completed 5 years of service with what could be regarded as one expired misdemeanour in that time.</w:t>
      </w:r>
    </w:p>
    <w:p w14:paraId="3059AE02" w14:textId="77777777" w:rsidR="00A851E8" w:rsidRDefault="00A851E8" w:rsidP="00D31F30">
      <w:pPr>
        <w:pStyle w:val="ListParagraph"/>
        <w:numPr>
          <w:ilvl w:val="0"/>
          <w:numId w:val="9"/>
        </w:numPr>
        <w:spacing w:line="360" w:lineRule="auto"/>
      </w:pPr>
      <w:r>
        <w:t>The process not being followed: Steve hasn’t followed a proper process during the disciplinary process. The investigation itself is a significant weakness of the claim along with the process itself as outlined previously.</w:t>
      </w:r>
    </w:p>
    <w:p w14:paraId="7B7544E3" w14:textId="77777777" w:rsidR="00A851E8" w:rsidRDefault="00A851E8" w:rsidP="00D31F30">
      <w:pPr>
        <w:pStyle w:val="ListParagraph"/>
        <w:numPr>
          <w:ilvl w:val="0"/>
          <w:numId w:val="9"/>
        </w:numPr>
        <w:spacing w:line="360" w:lineRule="auto"/>
      </w:pPr>
      <w:r>
        <w:lastRenderedPageBreak/>
        <w:t>The investigation appears unbalanced: The claimant states that Steve said, “this is the last straw” and then Steve carries out the investigation which does not go in the claimant’s favour. This adds weight to the claimant’s claim that Steve is “out to get him”.</w:t>
      </w:r>
    </w:p>
    <w:p w14:paraId="5CE0A137" w14:textId="5C58A419" w:rsidR="00A851E8" w:rsidRDefault="00A851E8" w:rsidP="00D31F30">
      <w:pPr>
        <w:pStyle w:val="ListParagraph"/>
        <w:numPr>
          <w:ilvl w:val="0"/>
          <w:numId w:val="9"/>
        </w:numPr>
        <w:spacing w:line="360" w:lineRule="auto"/>
      </w:pPr>
      <w:r>
        <w:t xml:space="preserve">There is some evidence to support Ordinary Unfair Dismissal. In the case Blackburn V Aldi Stores Ltd, found that the respondent was at fault by not following the ACAS Code of Practice on Disciplinary and Grievance Procedures </w:t>
      </w:r>
      <w:sdt>
        <w:sdtPr>
          <w:id w:val="-1178113050"/>
          <w:citation/>
        </w:sdtPr>
        <w:sdtContent>
          <w:r>
            <w:fldChar w:fldCharType="begin"/>
          </w:r>
          <w:r>
            <w:instrText xml:space="preserve"> CITATION Men13 \l 2057 </w:instrText>
          </w:r>
          <w:r>
            <w:fldChar w:fldCharType="separate"/>
          </w:r>
          <w:r w:rsidR="00D31F30" w:rsidRPr="00D31F30">
            <w:rPr>
              <w:noProof/>
            </w:rPr>
            <w:t>(Menzies Law, 2013)</w:t>
          </w:r>
          <w:r>
            <w:fldChar w:fldCharType="end"/>
          </w:r>
        </w:sdtContent>
      </w:sdt>
      <w:r>
        <w:t xml:space="preserve">. </w:t>
      </w:r>
    </w:p>
    <w:p w14:paraId="3095926C" w14:textId="77777777" w:rsidR="00A851E8" w:rsidRDefault="00A851E8" w:rsidP="00D31F30">
      <w:pPr>
        <w:pStyle w:val="ListParagraph"/>
        <w:spacing w:line="360" w:lineRule="auto"/>
        <w:ind w:firstLine="0"/>
      </w:pPr>
    </w:p>
    <w:p w14:paraId="751F1219" w14:textId="77777777" w:rsidR="00A851E8" w:rsidRPr="00661EED" w:rsidRDefault="00A851E8" w:rsidP="00D31F30">
      <w:pPr>
        <w:pStyle w:val="ListParagraph"/>
        <w:numPr>
          <w:ilvl w:val="0"/>
          <w:numId w:val="7"/>
        </w:numPr>
        <w:spacing w:line="360" w:lineRule="auto"/>
      </w:pPr>
      <w:r w:rsidRPr="00661EED">
        <w:t xml:space="preserve">Weaknesses for </w:t>
      </w:r>
      <w:r>
        <w:t>the claimant</w:t>
      </w:r>
    </w:p>
    <w:p w14:paraId="44063341" w14:textId="77777777" w:rsidR="00A851E8" w:rsidRDefault="00A851E8" w:rsidP="00D31F30">
      <w:pPr>
        <w:pStyle w:val="ListParagraph"/>
        <w:numPr>
          <w:ilvl w:val="0"/>
          <w:numId w:val="10"/>
        </w:numPr>
        <w:spacing w:line="360" w:lineRule="auto"/>
      </w:pPr>
      <w:r>
        <w:t>The claimant doesn’t have corroborative evidence for his claim regarding the physical altercation.</w:t>
      </w:r>
    </w:p>
    <w:p w14:paraId="3CE92D4A" w14:textId="77777777" w:rsidR="00A851E8" w:rsidRDefault="00A851E8" w:rsidP="00D31F30">
      <w:pPr>
        <w:pStyle w:val="ListParagraph"/>
        <w:numPr>
          <w:ilvl w:val="0"/>
          <w:numId w:val="10"/>
        </w:numPr>
        <w:spacing w:line="360" w:lineRule="auto"/>
      </w:pPr>
      <w:r>
        <w:t>Regarding the appeal process, it could be argued that the claimant didn’t follow the ACAS code of practice either as he failed to appeal against his dismissal within 5 days.</w:t>
      </w:r>
    </w:p>
    <w:p w14:paraId="587B4034" w14:textId="77777777" w:rsidR="00A851E8" w:rsidRPr="00854087" w:rsidRDefault="00A851E8" w:rsidP="00D31F30">
      <w:pPr>
        <w:pStyle w:val="ListParagraph"/>
        <w:numPr>
          <w:ilvl w:val="0"/>
          <w:numId w:val="10"/>
        </w:numPr>
        <w:spacing w:line="360" w:lineRule="auto"/>
      </w:pPr>
      <w:r>
        <w:t>There appears to be little to no evidence to support an Automatic Unfair Dismissal, Wrongful Dismissal, or Unfair Dismissal.</w:t>
      </w:r>
    </w:p>
    <w:p w14:paraId="0B5B004F" w14:textId="77777777" w:rsidR="00A851E8" w:rsidRDefault="00A851E8" w:rsidP="00D31F30">
      <w:pPr>
        <w:spacing w:line="360" w:lineRule="auto"/>
        <w:ind w:left="0" w:firstLine="0"/>
        <w:rPr>
          <w:b/>
          <w:bCs/>
        </w:rPr>
      </w:pPr>
      <w:r w:rsidRPr="002A07C4">
        <w:rPr>
          <w:b/>
          <w:bCs/>
        </w:rPr>
        <w:t xml:space="preserve">The types of remedies available to a tribunal and the factors that it will look at when </w:t>
      </w:r>
      <w:r>
        <w:rPr>
          <w:b/>
          <w:bCs/>
        </w:rPr>
        <w:t>c</w:t>
      </w:r>
      <w:r w:rsidRPr="002A07C4">
        <w:rPr>
          <w:b/>
          <w:bCs/>
        </w:rPr>
        <w:t>onsidering these remedies.</w:t>
      </w:r>
    </w:p>
    <w:p w14:paraId="3D277C04" w14:textId="77777777" w:rsidR="00A851E8" w:rsidRDefault="00A851E8" w:rsidP="00D31F30">
      <w:pPr>
        <w:pStyle w:val="ListParagraph"/>
        <w:numPr>
          <w:ilvl w:val="0"/>
          <w:numId w:val="5"/>
        </w:numPr>
        <w:spacing w:line="360" w:lineRule="auto"/>
      </w:pPr>
      <w:r>
        <w:t>Reinstatement –  this puts the claimant back in his previous job. The ET would look at whether the employment relationship has irretrievably broken down, if his previous role has been filled or if the claimant had found another job.</w:t>
      </w:r>
      <w:r>
        <w:br/>
      </w:r>
    </w:p>
    <w:p w14:paraId="2ECD6A77" w14:textId="77777777" w:rsidR="00A851E8" w:rsidRDefault="00A851E8" w:rsidP="00D31F30">
      <w:pPr>
        <w:pStyle w:val="ListParagraph"/>
        <w:numPr>
          <w:ilvl w:val="0"/>
          <w:numId w:val="5"/>
        </w:numPr>
        <w:spacing w:line="360" w:lineRule="auto"/>
      </w:pPr>
      <w:r>
        <w:t xml:space="preserve">Re-engagement –  this puts the claimant in an </w:t>
      </w:r>
      <w:r w:rsidRPr="00A21C75">
        <w:rPr>
          <w:i/>
          <w:iCs/>
        </w:rPr>
        <w:t>alternative</w:t>
      </w:r>
      <w:r>
        <w:t xml:space="preserve"> role within the business. Again the ET would look at whether the employment relationship had irretrievably broken down, whether there was a vacant role in the business for the claimant or whether the claimant had found another job since being dismissed.</w:t>
      </w:r>
      <w:r>
        <w:br/>
      </w:r>
    </w:p>
    <w:p w14:paraId="197A15E0" w14:textId="77777777" w:rsidR="00A851E8" w:rsidRPr="00B5742A" w:rsidRDefault="00A851E8" w:rsidP="00D31F30">
      <w:pPr>
        <w:pStyle w:val="ListParagraph"/>
        <w:numPr>
          <w:ilvl w:val="0"/>
          <w:numId w:val="5"/>
        </w:numPr>
        <w:spacing w:line="360" w:lineRule="auto"/>
      </w:pPr>
      <w:r>
        <w:t>Compensation – this is the more common remedy. It’s rare to see reinstatement or re-engagement in a gross misconduct dismissal. However, the ET will take into consideration that reinstatement, along with compensation, has been requested by the claimant.</w:t>
      </w:r>
    </w:p>
    <w:p w14:paraId="122F6F5F" w14:textId="77777777" w:rsidR="00C26CE3" w:rsidRDefault="00C26CE3">
      <w:pPr>
        <w:rPr>
          <w:b/>
          <w:bCs/>
        </w:rPr>
      </w:pPr>
      <w:r>
        <w:rPr>
          <w:b/>
          <w:bCs/>
        </w:rPr>
        <w:br w:type="page"/>
      </w:r>
    </w:p>
    <w:p w14:paraId="7BA5E027" w14:textId="2BDB2BE3" w:rsidR="00A851E8" w:rsidRDefault="00A851E8" w:rsidP="00D31F30">
      <w:pPr>
        <w:spacing w:line="360" w:lineRule="auto"/>
        <w:ind w:left="0" w:firstLine="0"/>
        <w:rPr>
          <w:b/>
          <w:bCs/>
        </w:rPr>
      </w:pPr>
      <w:r w:rsidRPr="002A07C4">
        <w:rPr>
          <w:b/>
          <w:bCs/>
        </w:rPr>
        <w:lastRenderedPageBreak/>
        <w:t>The amount of any financial award, including a calculation of the basic award.</w:t>
      </w:r>
    </w:p>
    <w:p w14:paraId="259537B3" w14:textId="77777777" w:rsidR="00A851E8" w:rsidRDefault="00A851E8" w:rsidP="00D31F30">
      <w:pPr>
        <w:spacing w:line="360" w:lineRule="auto"/>
        <w:ind w:left="0" w:firstLine="0"/>
      </w:pPr>
      <w:r>
        <w:t>Financial awards are broken down into two parts:</w:t>
      </w:r>
    </w:p>
    <w:p w14:paraId="6886877F" w14:textId="77777777" w:rsidR="00A851E8" w:rsidRPr="00253D8E" w:rsidRDefault="00A851E8" w:rsidP="00C26CE3">
      <w:pPr>
        <w:pStyle w:val="ListParagraph"/>
        <w:numPr>
          <w:ilvl w:val="0"/>
          <w:numId w:val="6"/>
        </w:numPr>
        <w:spacing w:line="360" w:lineRule="auto"/>
        <w:ind w:left="360"/>
      </w:pPr>
      <w:r w:rsidRPr="00253D8E">
        <w:rPr>
          <w:i/>
          <w:iCs/>
        </w:rPr>
        <w:t>Basic award</w:t>
      </w:r>
      <w:r w:rsidRPr="00253D8E">
        <w:t>: number of years’ service, multiplied by 1 (due to his age), multiplied by his weekly pay which is: 5 years x 1 x £500 per week = £2,500.</w:t>
      </w:r>
    </w:p>
    <w:p w14:paraId="0C08F931" w14:textId="77777777" w:rsidR="00A851E8" w:rsidRPr="00253D8E" w:rsidRDefault="00A851E8" w:rsidP="00C26CE3">
      <w:pPr>
        <w:pStyle w:val="ListParagraph"/>
        <w:spacing w:line="360" w:lineRule="auto"/>
        <w:ind w:left="360" w:firstLine="0"/>
      </w:pPr>
    </w:p>
    <w:p w14:paraId="4F4C8F69" w14:textId="77777777" w:rsidR="00A851E8" w:rsidRDefault="00A851E8" w:rsidP="00C26CE3">
      <w:pPr>
        <w:pStyle w:val="ListParagraph"/>
        <w:numPr>
          <w:ilvl w:val="0"/>
          <w:numId w:val="6"/>
        </w:numPr>
        <w:spacing w:line="360" w:lineRule="auto"/>
        <w:ind w:left="360"/>
      </w:pPr>
      <w:r w:rsidRPr="00253D8E">
        <w:rPr>
          <w:i/>
          <w:iCs/>
        </w:rPr>
        <w:t>Compensatory award</w:t>
      </w:r>
      <w:r w:rsidRPr="00253D8E">
        <w:t>: loss</w:t>
      </w:r>
      <w:r>
        <w:t xml:space="preserve"> of earnings from the date of dismissal to date of tribunal and loss of earning from date of the tribunal to a date in the future (which is decided by the ET). </w:t>
      </w:r>
    </w:p>
    <w:p w14:paraId="47269B57" w14:textId="77777777" w:rsidR="00A851E8" w:rsidRDefault="00A851E8" w:rsidP="00C26CE3">
      <w:pPr>
        <w:pStyle w:val="ListParagraph"/>
        <w:spacing w:line="360" w:lineRule="auto"/>
        <w:ind w:left="360"/>
      </w:pPr>
    </w:p>
    <w:p w14:paraId="56F7D7EA" w14:textId="77777777" w:rsidR="00C26CE3" w:rsidRDefault="00A851E8" w:rsidP="00C26CE3">
      <w:pPr>
        <w:pStyle w:val="ListParagraph"/>
        <w:numPr>
          <w:ilvl w:val="1"/>
          <w:numId w:val="6"/>
        </w:numPr>
        <w:spacing w:line="360" w:lineRule="auto"/>
        <w:ind w:left="1080"/>
      </w:pPr>
      <w:r>
        <w:t>Loss of earnings will consider any earnings from other employment during this period.</w:t>
      </w:r>
    </w:p>
    <w:p w14:paraId="4F9F7DF2" w14:textId="7D1CDA83" w:rsidR="00A851E8" w:rsidRDefault="00A851E8" w:rsidP="00C26CE3">
      <w:pPr>
        <w:pStyle w:val="ListParagraph"/>
        <w:numPr>
          <w:ilvl w:val="1"/>
          <w:numId w:val="6"/>
        </w:numPr>
        <w:spacing w:line="360" w:lineRule="auto"/>
        <w:ind w:left="1080"/>
      </w:pPr>
      <w:r>
        <w:t>The maximum amount is capped at a years’ salary or £89,000 so in this case, would be his annual salary of £26,000.</w:t>
      </w:r>
    </w:p>
    <w:p w14:paraId="34AF8A33" w14:textId="42468E0F" w:rsidR="00A851E8" w:rsidRDefault="00A851E8" w:rsidP="00D31F30">
      <w:pPr>
        <w:spacing w:line="360" w:lineRule="auto"/>
        <w:ind w:left="0" w:firstLine="0"/>
      </w:pPr>
      <w:r>
        <w:t xml:space="preserve">If the ET finds that you as the employer did not follow the ACAS Code of practise the financial award could be increased by up to a maximum of 25%. Conversely, the claimant didn’t follow the procedure to appeal, albeit in a very short timeframe, which could reduce the claimant’s award </w:t>
      </w:r>
      <w:sdt>
        <w:sdtPr>
          <w:id w:val="-1474370755"/>
          <w:citation/>
        </w:sdtPr>
        <w:sdtContent>
          <w:r>
            <w:fldChar w:fldCharType="begin"/>
          </w:r>
          <w:r>
            <w:instrText xml:space="preserve"> CITATION ACA213 \l 2057 </w:instrText>
          </w:r>
          <w:r>
            <w:fldChar w:fldCharType="separate"/>
          </w:r>
          <w:r w:rsidR="00D31F30" w:rsidRPr="00D31F30">
            <w:rPr>
              <w:noProof/>
            </w:rPr>
            <w:t>(ACAS, 2021)</w:t>
          </w:r>
          <w:r>
            <w:fldChar w:fldCharType="end"/>
          </w:r>
        </w:sdtContent>
      </w:sdt>
      <w:r>
        <w:t>.</w:t>
      </w:r>
    </w:p>
    <w:p w14:paraId="4D55A5D6" w14:textId="70B4D55A" w:rsidR="00A851E8" w:rsidRDefault="00A851E8" w:rsidP="00D31F30">
      <w:pPr>
        <w:spacing w:line="360" w:lineRule="auto"/>
        <w:ind w:left="0" w:firstLine="0"/>
      </w:pPr>
      <w:r>
        <w:t xml:space="preserve">The ET will look at whether the claimant’s behaviour contributed to his dismissal (contributory fault). The amount could be reduced based upon the claimant’s contributory conduct. A </w:t>
      </w:r>
      <w:proofErr w:type="spellStart"/>
      <w:r>
        <w:t>Polkey</w:t>
      </w:r>
      <w:proofErr w:type="spellEnd"/>
      <w:r>
        <w:t xml:space="preserve"> reduction (</w:t>
      </w:r>
      <w:proofErr w:type="spellStart"/>
      <w:r w:rsidRPr="000C4876">
        <w:t>Polkey</w:t>
      </w:r>
      <w:proofErr w:type="spellEnd"/>
      <w:r w:rsidRPr="000C4876">
        <w:t xml:space="preserve"> refers to the case of </w:t>
      </w:r>
      <w:proofErr w:type="spellStart"/>
      <w:r w:rsidRPr="000C4876">
        <w:t>Polkey</w:t>
      </w:r>
      <w:proofErr w:type="spellEnd"/>
      <w:r w:rsidRPr="000C4876">
        <w:t xml:space="preserve"> v AE Dayton Services Ltd 1988</w:t>
      </w:r>
      <w:r>
        <w:t xml:space="preserve">) can be applied if the ET finds that regardless of a fair procedure, the outcome would have still been the same </w:t>
      </w:r>
      <w:sdt>
        <w:sdtPr>
          <w:id w:val="1558518259"/>
          <w:citation/>
        </w:sdtPr>
        <w:sdtContent>
          <w:r>
            <w:fldChar w:fldCharType="begin"/>
          </w:r>
          <w:r>
            <w:instrText xml:space="preserve"> CITATION Cro17 \l 2057 </w:instrText>
          </w:r>
          <w:r>
            <w:fldChar w:fldCharType="separate"/>
          </w:r>
          <w:r w:rsidR="00D31F30" w:rsidRPr="00D31F30">
            <w:rPr>
              <w:noProof/>
            </w:rPr>
            <w:t>(Croner-i, 2017)</w:t>
          </w:r>
          <w:r>
            <w:fldChar w:fldCharType="end"/>
          </w:r>
        </w:sdtContent>
      </w:sdt>
      <w:r>
        <w:t xml:space="preserve">. </w:t>
      </w:r>
    </w:p>
    <w:p w14:paraId="69C7DE61" w14:textId="77777777" w:rsidR="00A851E8" w:rsidRDefault="00A851E8" w:rsidP="00D31F30">
      <w:pPr>
        <w:spacing w:line="360" w:lineRule="auto"/>
        <w:ind w:left="0" w:firstLine="0"/>
      </w:pPr>
      <w:r>
        <w:t xml:space="preserve">If the tribunal found it was </w:t>
      </w:r>
      <w:r w:rsidRPr="00143BFA">
        <w:rPr>
          <w:i/>
          <w:iCs/>
        </w:rPr>
        <w:t>not</w:t>
      </w:r>
      <w:r>
        <w:t xml:space="preserve"> gross misconduct, this would amount to wrongful dismissal and make him entitled to payment for: </w:t>
      </w:r>
    </w:p>
    <w:p w14:paraId="33AB0EB3" w14:textId="77777777" w:rsidR="00A851E8" w:rsidRDefault="00A851E8" w:rsidP="00D31F30">
      <w:pPr>
        <w:pStyle w:val="ListParagraph"/>
        <w:numPr>
          <w:ilvl w:val="0"/>
          <w:numId w:val="3"/>
        </w:numPr>
        <w:spacing w:line="360" w:lineRule="auto"/>
      </w:pPr>
      <w:r>
        <w:t>His contractual notice period or at least the equivalent to the statutory notice which is calculated as 1 week for each complete year of service up to a maximum of 12 years (5 weeks for the claimant)</w:t>
      </w:r>
    </w:p>
    <w:p w14:paraId="445FAC3D" w14:textId="77777777" w:rsidR="00A851E8" w:rsidRDefault="00A851E8" w:rsidP="00D31F30">
      <w:pPr>
        <w:pStyle w:val="ListParagraph"/>
        <w:numPr>
          <w:ilvl w:val="0"/>
          <w:numId w:val="3"/>
        </w:numPr>
        <w:spacing w:line="360" w:lineRule="auto"/>
      </w:pPr>
      <w:r>
        <w:t>Payment for annual leave during the notice period.</w:t>
      </w:r>
    </w:p>
    <w:p w14:paraId="255F7761" w14:textId="77777777" w:rsidR="00A851E8" w:rsidRPr="003D443E" w:rsidRDefault="00A851E8" w:rsidP="00D31F30">
      <w:pPr>
        <w:pStyle w:val="ListParagraph"/>
        <w:numPr>
          <w:ilvl w:val="0"/>
          <w:numId w:val="3"/>
        </w:numPr>
        <w:spacing w:line="360" w:lineRule="auto"/>
      </w:pPr>
      <w:r>
        <w:t>Any other benefits owing to him i.e., bonus payments, employer contributions to the pension scheme.</w:t>
      </w:r>
    </w:p>
    <w:p w14:paraId="426235FD" w14:textId="77777777" w:rsidR="00C26CE3" w:rsidRDefault="00C26CE3">
      <w:pPr>
        <w:rPr>
          <w:b/>
          <w:bCs/>
        </w:rPr>
      </w:pPr>
      <w:r>
        <w:rPr>
          <w:b/>
          <w:bCs/>
        </w:rPr>
        <w:br w:type="page"/>
      </w:r>
    </w:p>
    <w:p w14:paraId="5A738832" w14:textId="7D22FD74" w:rsidR="00A851E8" w:rsidRDefault="00A851E8" w:rsidP="00D31F30">
      <w:pPr>
        <w:spacing w:line="360" w:lineRule="auto"/>
        <w:ind w:left="0" w:firstLine="0"/>
        <w:rPr>
          <w:b/>
          <w:bCs/>
        </w:rPr>
      </w:pPr>
      <w:r>
        <w:rPr>
          <w:b/>
          <w:bCs/>
        </w:rPr>
        <w:lastRenderedPageBreak/>
        <w:t>Recommendations:</w:t>
      </w:r>
    </w:p>
    <w:p w14:paraId="1D3CDCB4" w14:textId="77777777" w:rsidR="00A851E8" w:rsidRDefault="00A851E8" w:rsidP="00D31F30">
      <w:pPr>
        <w:spacing w:line="360" w:lineRule="auto"/>
        <w:ind w:left="0" w:firstLine="0"/>
      </w:pPr>
      <w:r>
        <w:t>There are several costs associated with the tribunal process which you will need to take into account:</w:t>
      </w:r>
    </w:p>
    <w:p w14:paraId="42EBA681" w14:textId="77777777" w:rsidR="00A851E8" w:rsidRDefault="00A851E8" w:rsidP="00D31F30">
      <w:pPr>
        <w:pStyle w:val="ListParagraph"/>
        <w:numPr>
          <w:ilvl w:val="0"/>
          <w:numId w:val="8"/>
        </w:numPr>
        <w:spacing w:line="360" w:lineRule="auto"/>
      </w:pPr>
      <w:r>
        <w:t xml:space="preserve">Costs associated with going to tribunal: Defending this case will incur significant costs associated with management time and legal fees. If you settle before tribunal, you could save on costs. </w:t>
      </w:r>
    </w:p>
    <w:p w14:paraId="655F76C8" w14:textId="77777777" w:rsidR="00A851E8" w:rsidRDefault="00A851E8" w:rsidP="00D31F30">
      <w:pPr>
        <w:pStyle w:val="ListParagraph"/>
        <w:numPr>
          <w:ilvl w:val="0"/>
          <w:numId w:val="8"/>
        </w:numPr>
        <w:spacing w:line="360" w:lineRule="auto"/>
      </w:pPr>
      <w:r>
        <w:t xml:space="preserve">Reputational damage: ET outcomes are published online and if it appears you have dismissed someone for raising health and safety concerns, this could significantly impact your customer contracts. </w:t>
      </w:r>
    </w:p>
    <w:p w14:paraId="1A5CC148" w14:textId="77777777" w:rsidR="00A851E8" w:rsidRDefault="00A851E8" w:rsidP="00D31F30">
      <w:pPr>
        <w:spacing w:line="360" w:lineRule="auto"/>
        <w:ind w:left="0" w:firstLine="0"/>
      </w:pPr>
      <w:r>
        <w:t>There is a significant weakness in your case which you need to bear in mind and that’s around your process and the insufficient investigation. This will likely go against you at tribunal. If the judge deemed this as Ordinary Unfair Dismissal, the financial award is likely to be circa, £2,500 (basic award) plus legal fees, any compensatory award plus 25%.</w:t>
      </w:r>
    </w:p>
    <w:p w14:paraId="736FACD6" w14:textId="77777777" w:rsidR="00A851E8" w:rsidRDefault="00A851E8" w:rsidP="00D31F30">
      <w:pPr>
        <w:spacing w:line="360" w:lineRule="auto"/>
        <w:ind w:left="0" w:firstLine="0"/>
      </w:pPr>
      <w:r>
        <w:t>The maximum the respondent could receive at tribunal is circa £28k so on balance you need to assess whether it is worth attempting to settle this case.</w:t>
      </w:r>
    </w:p>
    <w:p w14:paraId="1E468B19" w14:textId="6468B6AC" w:rsidR="00A851E8" w:rsidRDefault="00A851E8" w:rsidP="00D31F30">
      <w:pPr>
        <w:spacing w:line="360" w:lineRule="auto"/>
        <w:ind w:left="0" w:firstLine="0"/>
      </w:pPr>
      <w:r>
        <w:t>In a recent article by People Management, it was said that the number of cases in the ET backlog of 455,000 single and multiple claims, surpassing the 2008 financial crisis. It goes on to say that “</w:t>
      </w:r>
      <w:r w:rsidRPr="0057481A">
        <w:t>29</w:t>
      </w:r>
      <w:r>
        <w:t>% of</w:t>
      </w:r>
      <w:r w:rsidRPr="0057481A">
        <w:t xml:space="preserve"> unfair dismissal cases were abandoned by employees who faced average waits of more than nine months to get their cases heard</w:t>
      </w:r>
      <w:r>
        <w:t xml:space="preserve">” </w:t>
      </w:r>
      <w:sdt>
        <w:sdtPr>
          <w:id w:val="912899475"/>
          <w:citation/>
        </w:sdtPr>
        <w:sdtContent>
          <w:r>
            <w:fldChar w:fldCharType="begin"/>
          </w:r>
          <w:r>
            <w:instrText xml:space="preserve"> CITATION PEo20 \l 2057 </w:instrText>
          </w:r>
          <w:r>
            <w:fldChar w:fldCharType="separate"/>
          </w:r>
          <w:r w:rsidR="00D31F30" w:rsidRPr="00D31F30">
            <w:rPr>
              <w:noProof/>
            </w:rPr>
            <w:t>(People Management, 2020)</w:t>
          </w:r>
          <w:r>
            <w:fldChar w:fldCharType="end"/>
          </w:r>
        </w:sdtContent>
      </w:sdt>
      <w:r w:rsidRPr="0057481A">
        <w:t>.</w:t>
      </w:r>
      <w:r>
        <w:t xml:space="preserve"> </w:t>
      </w:r>
    </w:p>
    <w:p w14:paraId="13531394" w14:textId="77777777" w:rsidR="00A851E8" w:rsidRPr="009D54D7" w:rsidRDefault="00A851E8" w:rsidP="00D31F30">
      <w:pPr>
        <w:spacing w:line="360" w:lineRule="auto"/>
        <w:ind w:left="0" w:firstLine="0"/>
      </w:pPr>
      <w:r>
        <w:t>This may go in your favour. Therefore I recommend you attempt to settle at the cost of the basic award and seek further information to calculate any compensatory award and consider adding up to a maximum of 25%. This should be significantly less than what you would incur if you proceeded to tribunal. This sum would likely reflect what the respondent would receive at tribunal but in a much shorter timeframe.</w:t>
      </w:r>
    </w:p>
    <w:p w14:paraId="7522D1E7" w14:textId="77777777" w:rsidR="00A851E8" w:rsidRDefault="00A851E8" w:rsidP="00D31F30">
      <w:pPr>
        <w:spacing w:line="360" w:lineRule="auto"/>
        <w:ind w:left="0" w:firstLine="0"/>
      </w:pPr>
      <w:r>
        <w:t>If you have any questions at all, please do not hesitate to contact me.</w:t>
      </w:r>
    </w:p>
    <w:p w14:paraId="53DB9383" w14:textId="77777777" w:rsidR="00A851E8" w:rsidRPr="00C26CE3" w:rsidRDefault="00A851E8" w:rsidP="00C26CE3">
      <w:pPr>
        <w:pStyle w:val="NoSpacing"/>
        <w:rPr>
          <w:b/>
          <w:bCs/>
          <w:lang w:val="it-IT"/>
        </w:rPr>
      </w:pPr>
      <w:r w:rsidRPr="00C26CE3">
        <w:rPr>
          <w:b/>
          <w:bCs/>
          <w:lang w:val="it-IT"/>
        </w:rPr>
        <w:t xml:space="preserve">Gemma Littlejohns, </w:t>
      </w:r>
      <w:r w:rsidRPr="00C26CE3">
        <w:rPr>
          <w:b/>
          <w:bCs/>
          <w:i/>
          <w:iCs/>
          <w:sz w:val="18"/>
          <w:szCs w:val="18"/>
          <w:lang w:val="it-IT"/>
        </w:rPr>
        <w:t>Assoc CIPD</w:t>
      </w:r>
    </w:p>
    <w:p w14:paraId="5B071C3B" w14:textId="3ED43FE4" w:rsidR="00A851E8" w:rsidRPr="00C26CE3" w:rsidRDefault="00A851E8" w:rsidP="00D31F30">
      <w:pPr>
        <w:spacing w:line="360" w:lineRule="auto"/>
        <w:ind w:left="0" w:firstLine="0"/>
        <w:rPr>
          <w:rStyle w:val="normaltextrun"/>
          <w:rFonts w:ascii="Calibri" w:eastAsia="Times New Roman" w:hAnsi="Calibri" w:cs="Calibri"/>
          <w:sz w:val="44"/>
          <w:szCs w:val="44"/>
          <w:lang w:eastAsia="en-GB"/>
        </w:rPr>
      </w:pPr>
      <w:r w:rsidRPr="00C26CE3">
        <w:t>End.</w:t>
      </w:r>
      <w:r w:rsidRPr="00C26CE3">
        <w:rPr>
          <w:rStyle w:val="normaltextrun"/>
          <w:rFonts w:ascii="Calibri" w:eastAsia="Times New Roman" w:hAnsi="Calibri" w:cs="Calibri"/>
          <w:sz w:val="44"/>
          <w:szCs w:val="44"/>
          <w:lang w:eastAsia="en-GB"/>
        </w:rPr>
        <w:br w:type="page"/>
      </w:r>
    </w:p>
    <w:p w14:paraId="451D70A7"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44"/>
          <w:szCs w:val="44"/>
        </w:rPr>
        <w:lastRenderedPageBreak/>
        <w:t>Email</w:t>
      </w:r>
    </w:p>
    <w:p w14:paraId="15779156"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To</w:t>
      </w:r>
      <w:r>
        <w:rPr>
          <w:rStyle w:val="normaltextrun"/>
          <w:rFonts w:ascii="Calibri" w:hAnsi="Calibri" w:cs="Calibri"/>
          <w:sz w:val="22"/>
          <w:szCs w:val="22"/>
        </w:rPr>
        <w:t>: </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Mr. Dave Thomas, Managing Director</w:t>
      </w:r>
      <w:r>
        <w:rPr>
          <w:rStyle w:val="eop"/>
          <w:rFonts w:ascii="Calibri" w:hAnsi="Calibri" w:cs="Calibri"/>
          <w:sz w:val="22"/>
          <w:szCs w:val="22"/>
        </w:rPr>
        <w:t> </w:t>
      </w:r>
    </w:p>
    <w:p w14:paraId="270F3B7A"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From</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Gemma Littlejohns, </w:t>
      </w:r>
      <w:r>
        <w:rPr>
          <w:rStyle w:val="normaltextrun"/>
          <w:rFonts w:ascii="Calibri" w:hAnsi="Calibri" w:cs="Calibri"/>
          <w:i/>
          <w:iCs/>
          <w:sz w:val="22"/>
          <w:szCs w:val="22"/>
        </w:rPr>
        <w:t>Assoc CIPD</w:t>
      </w:r>
      <w:r>
        <w:rPr>
          <w:rStyle w:val="eop"/>
          <w:rFonts w:ascii="Calibri" w:hAnsi="Calibri" w:cs="Calibri"/>
          <w:sz w:val="22"/>
          <w:szCs w:val="22"/>
        </w:rPr>
        <w:t> </w:t>
      </w:r>
    </w:p>
    <w:p w14:paraId="0E6989BF"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Date</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10</w:t>
      </w:r>
      <w:r>
        <w:rPr>
          <w:rStyle w:val="normaltextrun"/>
          <w:rFonts w:ascii="Calibri" w:hAnsi="Calibri" w:cs="Calibri"/>
          <w:sz w:val="17"/>
          <w:szCs w:val="17"/>
          <w:vertAlign w:val="superscript"/>
        </w:rPr>
        <w:t>th</w:t>
      </w:r>
      <w:r>
        <w:rPr>
          <w:rStyle w:val="normaltextrun"/>
          <w:rFonts w:ascii="Calibri" w:hAnsi="Calibri" w:cs="Calibri"/>
          <w:sz w:val="22"/>
          <w:szCs w:val="22"/>
        </w:rPr>
        <w:t> May 2021</w:t>
      </w:r>
      <w:r>
        <w:rPr>
          <w:rStyle w:val="eop"/>
          <w:rFonts w:ascii="Calibri" w:hAnsi="Calibri" w:cs="Calibri"/>
          <w:sz w:val="22"/>
          <w:szCs w:val="22"/>
        </w:rPr>
        <w:t> </w:t>
      </w:r>
    </w:p>
    <w:p w14:paraId="01D61060"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Subject</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normaltextrun"/>
          <w:rFonts w:ascii="Calibri" w:hAnsi="Calibri" w:cs="Calibri"/>
          <w:sz w:val="22"/>
          <w:szCs w:val="22"/>
        </w:rPr>
        <w:t>Flexible Working Request from JD</w:t>
      </w:r>
      <w:r>
        <w:rPr>
          <w:rStyle w:val="tabchar"/>
          <w:rFonts w:ascii="Calibri" w:hAnsi="Calibri" w:cs="Calibri"/>
          <w:sz w:val="22"/>
          <w:szCs w:val="22"/>
        </w:rPr>
        <w:t xml:space="preserve"> </w:t>
      </w:r>
      <w:r>
        <w:rPr>
          <w:rStyle w:val="eop"/>
          <w:rFonts w:ascii="Calibri" w:hAnsi="Calibri" w:cs="Calibri"/>
          <w:sz w:val="22"/>
          <w:szCs w:val="22"/>
        </w:rPr>
        <w:t> </w:t>
      </w:r>
    </w:p>
    <w:p w14:paraId="0C3ED7E5" w14:textId="77777777" w:rsidR="00A851E8" w:rsidRDefault="00A851E8" w:rsidP="00D31F30">
      <w:pPr>
        <w:spacing w:line="360" w:lineRule="auto"/>
      </w:pPr>
      <w:r>
        <w:t>Dear Managing Director</w:t>
      </w:r>
    </w:p>
    <w:p w14:paraId="61ED1554" w14:textId="4730C861" w:rsidR="00A851E8" w:rsidRDefault="00A851E8" w:rsidP="00D31F30">
      <w:pPr>
        <w:spacing w:line="360" w:lineRule="auto"/>
        <w:ind w:left="0" w:firstLine="0"/>
      </w:pPr>
      <w:r>
        <w:t xml:space="preserve">I have consulted the Employment Rights Act 1996 and Flexible Working Regulations 2014 </w:t>
      </w:r>
      <w:sdt>
        <w:sdtPr>
          <w:id w:val="-1651897426"/>
          <w:citation/>
        </w:sdtPr>
        <w:sdtContent>
          <w:r>
            <w:fldChar w:fldCharType="begin"/>
          </w:r>
          <w:r>
            <w:instrText xml:space="preserve"> CITATION leg14 \l 2057 </w:instrText>
          </w:r>
          <w:r>
            <w:fldChar w:fldCharType="separate"/>
          </w:r>
          <w:r w:rsidR="00D31F30" w:rsidRPr="00D31F30">
            <w:rPr>
              <w:noProof/>
            </w:rPr>
            <w:t>(legislation.gov.uk, 2014)</w:t>
          </w:r>
          <w:r>
            <w:fldChar w:fldCharType="end"/>
          </w:r>
        </w:sdtContent>
      </w:sdt>
      <w:r>
        <w:t xml:space="preserve">, Health and Safety Executive and Working Time Regulations 1998 </w:t>
      </w:r>
      <w:sdt>
        <w:sdtPr>
          <w:id w:val="1849743071"/>
          <w:citation/>
        </w:sdtPr>
        <w:sdtContent>
          <w:r>
            <w:fldChar w:fldCharType="begin"/>
          </w:r>
          <w:r>
            <w:instrText xml:space="preserve"> CITATION leg98 \l 2057 </w:instrText>
          </w:r>
          <w:r>
            <w:fldChar w:fldCharType="separate"/>
          </w:r>
          <w:r w:rsidR="00D31F30" w:rsidRPr="00D31F30">
            <w:rPr>
              <w:noProof/>
            </w:rPr>
            <w:t>(legislation.gov.uk, 1998)</w:t>
          </w:r>
          <w:r>
            <w:fldChar w:fldCharType="end"/>
          </w:r>
        </w:sdtContent>
      </w:sdt>
      <w:r>
        <w:t xml:space="preserve"> and am providing the following advice:</w:t>
      </w:r>
    </w:p>
    <w:p w14:paraId="5F581DA2" w14:textId="77777777" w:rsidR="00A851E8" w:rsidRDefault="00A851E8" w:rsidP="00D31F30">
      <w:pPr>
        <w:spacing w:line="360" w:lineRule="auto"/>
        <w:ind w:left="0" w:firstLine="0"/>
      </w:pPr>
      <w:r>
        <w:t xml:space="preserve">I can confirm that Julie is eligible to request flexible working due to her having been employed by the business for at least 26 weeks. </w:t>
      </w:r>
    </w:p>
    <w:p w14:paraId="5275B082" w14:textId="77777777" w:rsidR="00A851E8" w:rsidRDefault="00A851E8" w:rsidP="00D31F30">
      <w:pPr>
        <w:spacing w:line="360" w:lineRule="auto"/>
        <w:ind w:left="0" w:firstLine="0"/>
      </w:pPr>
      <w:r>
        <w:t>Eligibility rules allow one request in a rolling 12 month period and as you’ve said you’ve not received a request before, I am assuming that Julie has not made another request in the last 12 months, as a result, remains eligible.</w:t>
      </w:r>
    </w:p>
    <w:p w14:paraId="08015135" w14:textId="7274EE2C" w:rsidR="00A851E8" w:rsidRDefault="00A851E8" w:rsidP="00D31F30">
      <w:pPr>
        <w:spacing w:line="360" w:lineRule="auto"/>
        <w:ind w:left="0" w:firstLine="0"/>
      </w:pPr>
      <w:r>
        <w:t xml:space="preserve">You are duty-bound to consider the request and respond within three months. You haven’t mentioned whether you have an ACAS-compliant Flexible Working Policy. If you do, you will need to follow your policy. If not, then using the ACAS code of practice </w:t>
      </w:r>
      <w:sdt>
        <w:sdtPr>
          <w:id w:val="-1805926880"/>
          <w:citation/>
        </w:sdtPr>
        <w:sdtContent>
          <w:r>
            <w:fldChar w:fldCharType="begin"/>
          </w:r>
          <w:r>
            <w:instrText xml:space="preserve"> CITATION ACA20 \l 2057 </w:instrText>
          </w:r>
          <w:r>
            <w:fldChar w:fldCharType="separate"/>
          </w:r>
          <w:r w:rsidR="00D31F30" w:rsidRPr="00D31F30">
            <w:rPr>
              <w:noProof/>
            </w:rPr>
            <w:t>(ACAS, 2020)</w:t>
          </w:r>
          <w:r>
            <w:fldChar w:fldCharType="end"/>
          </w:r>
        </w:sdtContent>
      </w:sdt>
      <w:r>
        <w:t>, I am setting out below my recommended course of action:</w:t>
      </w:r>
    </w:p>
    <w:p w14:paraId="359519E6" w14:textId="77777777" w:rsidR="00A851E8" w:rsidRDefault="00A851E8" w:rsidP="00D31F30">
      <w:pPr>
        <w:pStyle w:val="ListParagraph"/>
        <w:numPr>
          <w:ilvl w:val="0"/>
          <w:numId w:val="11"/>
        </w:numPr>
        <w:spacing w:line="360" w:lineRule="auto"/>
        <w:rPr>
          <w:b/>
          <w:bCs/>
        </w:rPr>
      </w:pPr>
      <w:r w:rsidRPr="00CD7DE0">
        <w:rPr>
          <w:b/>
          <w:bCs/>
        </w:rPr>
        <w:t xml:space="preserve">Appoint </w:t>
      </w:r>
      <w:r>
        <w:rPr>
          <w:b/>
          <w:bCs/>
        </w:rPr>
        <w:t>personnel to manage the process</w:t>
      </w:r>
    </w:p>
    <w:p w14:paraId="120797A7" w14:textId="77777777" w:rsidR="00C26CE3" w:rsidRDefault="00A851E8" w:rsidP="00D31F30">
      <w:pPr>
        <w:spacing w:line="360" w:lineRule="auto"/>
        <w:ind w:left="0" w:firstLine="0"/>
      </w:pPr>
      <w:r>
        <w:t>This process will require someone to handle the request and a different person, preferably more senior than the first, to hear an appeal (if applicable). I recommend Julie’s Line Manager handles this request and liaises with Julie from hereon in. You, as the Managing Director, are ideally placed to deal with any subsequent appeal or grievance.</w:t>
      </w:r>
    </w:p>
    <w:p w14:paraId="006594FE" w14:textId="77777777" w:rsidR="00C26CE3" w:rsidRDefault="00C26CE3" w:rsidP="00D31F30">
      <w:pPr>
        <w:spacing w:line="360" w:lineRule="auto"/>
        <w:ind w:left="0" w:firstLine="0"/>
      </w:pPr>
    </w:p>
    <w:p w14:paraId="340F5683" w14:textId="4851ACF9" w:rsidR="00A851E8" w:rsidRPr="00CD7DE0" w:rsidRDefault="00A851E8" w:rsidP="00D31F30">
      <w:pPr>
        <w:spacing w:line="360" w:lineRule="auto"/>
        <w:ind w:left="0" w:firstLine="0"/>
      </w:pPr>
      <w:r>
        <w:t xml:space="preserve"> </w:t>
      </w:r>
    </w:p>
    <w:p w14:paraId="4B769DC8" w14:textId="77777777" w:rsidR="00A851E8" w:rsidRPr="001B1781" w:rsidRDefault="00A851E8" w:rsidP="00D31F30">
      <w:pPr>
        <w:pStyle w:val="ListParagraph"/>
        <w:numPr>
          <w:ilvl w:val="0"/>
          <w:numId w:val="11"/>
        </w:numPr>
        <w:spacing w:line="360" w:lineRule="auto"/>
        <w:rPr>
          <w:b/>
          <w:bCs/>
        </w:rPr>
      </w:pPr>
      <w:r>
        <w:rPr>
          <w:b/>
          <w:bCs/>
        </w:rPr>
        <w:lastRenderedPageBreak/>
        <w:t>Acknowledge receipt of her email and r</w:t>
      </w:r>
      <w:r w:rsidRPr="001B1781">
        <w:rPr>
          <w:b/>
          <w:bCs/>
        </w:rPr>
        <w:t>equest further information</w:t>
      </w:r>
    </w:p>
    <w:p w14:paraId="208FD25B" w14:textId="77777777" w:rsidR="00A851E8" w:rsidRDefault="00A851E8" w:rsidP="00D31F30">
      <w:pPr>
        <w:spacing w:line="360" w:lineRule="auto"/>
        <w:ind w:left="0" w:firstLine="0"/>
      </w:pPr>
      <w:r>
        <w:t xml:space="preserve">The Line Manager (LM) will need to respond to Julie’s email acknowledging receipt of her flexible working request. </w:t>
      </w:r>
    </w:p>
    <w:p w14:paraId="4885B896" w14:textId="77777777" w:rsidR="00A851E8" w:rsidRDefault="00A851E8" w:rsidP="00D31F30">
      <w:pPr>
        <w:spacing w:line="360" w:lineRule="auto"/>
        <w:ind w:left="0" w:firstLine="0"/>
      </w:pPr>
      <w:r>
        <w:t xml:space="preserve">Whilst Julie has provided some information (i.e. the arrangements she is seeking), Julie has failed to provide information regarding the impact her proposed arrangement may have on the business and her team, as well as any suggestions she may have regarding the impacts. </w:t>
      </w:r>
    </w:p>
    <w:p w14:paraId="4D072FED" w14:textId="77777777" w:rsidR="00A851E8" w:rsidRDefault="00A851E8" w:rsidP="00D31F30">
      <w:pPr>
        <w:spacing w:line="360" w:lineRule="auto"/>
        <w:ind w:left="0" w:firstLine="0"/>
      </w:pPr>
      <w:r>
        <w:t>I recommend that within the acknowledgment email, the LM request Julie provide further information (as outlined above) as this will aid subsequent discussions.</w:t>
      </w:r>
    </w:p>
    <w:p w14:paraId="27C68458" w14:textId="77777777" w:rsidR="00A851E8" w:rsidRDefault="00A851E8" w:rsidP="00D31F30">
      <w:pPr>
        <w:spacing w:line="360" w:lineRule="auto"/>
        <w:ind w:left="0" w:firstLine="0"/>
      </w:pPr>
      <w:r>
        <w:t xml:space="preserve">The LM could provide the template document available for download from the gov.uk website </w:t>
      </w:r>
      <w:hyperlink r:id="rId9" w:history="1">
        <w:r w:rsidRPr="00832936">
          <w:rPr>
            <w:rStyle w:val="Hyperlink"/>
          </w:rPr>
          <w:t>Right to request flexible working: Application form</w:t>
        </w:r>
      </w:hyperlink>
      <w:r>
        <w:rPr>
          <w:rStyle w:val="Hyperlink"/>
        </w:rPr>
        <w:t>.</w:t>
      </w:r>
      <w:r>
        <w:t xml:space="preserve"> This ensures all the necessary information that will aid the consideration process is supplied. </w:t>
      </w:r>
    </w:p>
    <w:p w14:paraId="514E14CE" w14:textId="77777777" w:rsidR="00A851E8" w:rsidRDefault="00A851E8" w:rsidP="00D31F30">
      <w:pPr>
        <w:pStyle w:val="ListParagraph"/>
        <w:numPr>
          <w:ilvl w:val="0"/>
          <w:numId w:val="11"/>
        </w:numPr>
        <w:spacing w:line="360" w:lineRule="auto"/>
        <w:rPr>
          <w:b/>
          <w:bCs/>
        </w:rPr>
      </w:pPr>
      <w:r>
        <w:rPr>
          <w:b/>
          <w:bCs/>
        </w:rPr>
        <w:t>Meet to discuss the application</w:t>
      </w:r>
    </w:p>
    <w:p w14:paraId="3B80F735" w14:textId="77777777" w:rsidR="00A851E8" w:rsidRDefault="00A851E8" w:rsidP="00D31F30">
      <w:pPr>
        <w:spacing w:line="360" w:lineRule="auto"/>
        <w:ind w:left="0" w:firstLine="0"/>
      </w:pPr>
      <w:r>
        <w:t>The LM will need to meet Julie and discuss her application as soon as possible. Please note, that Julie has the statutory right to be accompanied by a colleague or Trade Union representative at this meeting.</w:t>
      </w:r>
    </w:p>
    <w:p w14:paraId="5D9873F5" w14:textId="77777777" w:rsidR="00A851E8" w:rsidRDefault="00A851E8" w:rsidP="00D31F30">
      <w:pPr>
        <w:pStyle w:val="ListParagraph"/>
        <w:numPr>
          <w:ilvl w:val="0"/>
          <w:numId w:val="11"/>
        </w:numPr>
        <w:spacing w:line="360" w:lineRule="auto"/>
        <w:rPr>
          <w:b/>
          <w:bCs/>
        </w:rPr>
      </w:pPr>
      <w:r>
        <w:rPr>
          <w:b/>
          <w:bCs/>
        </w:rPr>
        <w:t>Consider the request</w:t>
      </w:r>
    </w:p>
    <w:p w14:paraId="3CA577B0" w14:textId="77777777" w:rsidR="00A851E8" w:rsidRDefault="00A851E8" w:rsidP="00D31F30">
      <w:pPr>
        <w:spacing w:line="360" w:lineRule="auto"/>
        <w:ind w:left="0" w:firstLine="0"/>
      </w:pPr>
      <w:r>
        <w:t>The LM must consider the request carefully. Here are some key considerations:</w:t>
      </w:r>
    </w:p>
    <w:p w14:paraId="32ED742E" w14:textId="77777777" w:rsidR="00A851E8" w:rsidRDefault="00A851E8" w:rsidP="00D31F30">
      <w:pPr>
        <w:pStyle w:val="ListParagraph"/>
        <w:numPr>
          <w:ilvl w:val="0"/>
          <w:numId w:val="12"/>
        </w:numPr>
        <w:spacing w:line="360" w:lineRule="auto"/>
      </w:pPr>
      <w:r w:rsidRPr="0071744D">
        <w:rPr>
          <w:i/>
          <w:iCs/>
        </w:rPr>
        <w:t xml:space="preserve">“If she works from home on Mondays and Fridays she will not have the interaction with the rest of the team that she needs to do her job properly.” </w:t>
      </w:r>
      <w:r>
        <w:br/>
        <w:t xml:space="preserve">The company has worked from home for five months seemingly without issue, therefore to reject the request on these grounds I would suggest is tenuous. Agreeing to working from home in part may be a reasonable compromise. </w:t>
      </w:r>
      <w:r>
        <w:br/>
      </w:r>
    </w:p>
    <w:p w14:paraId="5A8EC900" w14:textId="77777777" w:rsidR="00A851E8" w:rsidRDefault="00A851E8" w:rsidP="00D31F30">
      <w:pPr>
        <w:pStyle w:val="ListParagraph"/>
        <w:numPr>
          <w:ilvl w:val="0"/>
          <w:numId w:val="12"/>
        </w:numPr>
        <w:spacing w:line="360" w:lineRule="auto"/>
      </w:pPr>
      <w:r>
        <w:t>“</w:t>
      </w:r>
      <w:r>
        <w:rPr>
          <w:i/>
          <w:iCs/>
        </w:rPr>
        <w:t>I</w:t>
      </w:r>
      <w:r w:rsidRPr="0071744D">
        <w:rPr>
          <w:i/>
          <w:iCs/>
        </w:rPr>
        <w:t>f she starts work at 8am she will be working unsupervised for an hour as the Finance Manager does not arrive until 9am.”</w:t>
      </w:r>
      <w:r>
        <w:t xml:space="preserve"> </w:t>
      </w:r>
      <w:r>
        <w:br/>
        <w:t xml:space="preserve">Working from home does not enable direct supervision and Julie has worked for five months </w:t>
      </w:r>
      <w:r>
        <w:lastRenderedPageBreak/>
        <w:t xml:space="preserve">without direct supervision, therefore to work this one hour unsupervised would be deemed quite reasonable.  </w:t>
      </w:r>
    </w:p>
    <w:p w14:paraId="32C1D8FF" w14:textId="77777777" w:rsidR="00A851E8" w:rsidRDefault="00A851E8" w:rsidP="00D31F30">
      <w:pPr>
        <w:pStyle w:val="ListParagraph"/>
        <w:spacing w:line="360" w:lineRule="auto"/>
        <w:ind w:firstLine="0"/>
      </w:pPr>
    </w:p>
    <w:p w14:paraId="51AE79DD" w14:textId="6AF87240" w:rsidR="00A851E8" w:rsidRPr="00BC26B0" w:rsidRDefault="00A851E8" w:rsidP="00D31F30">
      <w:pPr>
        <w:pStyle w:val="ListParagraph"/>
        <w:numPr>
          <w:ilvl w:val="0"/>
          <w:numId w:val="12"/>
        </w:numPr>
        <w:spacing w:line="360" w:lineRule="auto"/>
        <w:rPr>
          <w:i/>
          <w:iCs/>
        </w:rPr>
      </w:pPr>
      <w:r w:rsidRPr="00BC26B0">
        <w:rPr>
          <w:i/>
          <w:iCs/>
        </w:rPr>
        <w:t>“Change her hours of work to 8am – 3pm (without a lunch break)”</w:t>
      </w:r>
      <w:r>
        <w:rPr>
          <w:i/>
          <w:iCs/>
        </w:rPr>
        <w:br/>
      </w:r>
      <w:r>
        <w:t xml:space="preserve">The Working Time Regulations 1998 states that an adult worker who works more than 6 hours is entitled to a rest break of no less than 20 minutes. Rest breaks aren’t enforced by the HSE however insufficient breaks have been linked to increased risk of injury/illness. Employers have a duty of care to their employees. Therefore, it would not be appropriate to agree to this part of the request due to a likely “detrimental impact on performance”. The case Hallett v Derby Hospitals NHS Foundation found that the trust had failed to ensure doctors took regular breaks and were ordered to repay the doctors for underpayments </w:t>
      </w:r>
      <w:sdt>
        <w:sdtPr>
          <w:id w:val="-1741556166"/>
          <w:citation/>
        </w:sdtPr>
        <w:sdtContent>
          <w:r>
            <w:fldChar w:fldCharType="begin"/>
          </w:r>
          <w:r>
            <w:instrText xml:space="preserve"> CITATION Per191 \l 2057 </w:instrText>
          </w:r>
          <w:r>
            <w:fldChar w:fldCharType="separate"/>
          </w:r>
          <w:r w:rsidR="00D31F30" w:rsidRPr="00D31F30">
            <w:rPr>
              <w:noProof/>
            </w:rPr>
            <w:t>(Personnel Today, 2019)</w:t>
          </w:r>
          <w:r>
            <w:fldChar w:fldCharType="end"/>
          </w:r>
        </w:sdtContent>
      </w:sdt>
      <w:r>
        <w:t xml:space="preserve"> additionally the case Commission of the European Communities v United Kingdom, 2006 </w:t>
      </w:r>
      <w:sdt>
        <w:sdtPr>
          <w:id w:val="-1452474626"/>
          <w:citation/>
        </w:sdtPr>
        <w:sdtContent>
          <w:r>
            <w:fldChar w:fldCharType="begin"/>
          </w:r>
          <w:r>
            <w:instrText xml:space="preserve"> CITATION Kat19 \l 2057 </w:instrText>
          </w:r>
          <w:r>
            <w:fldChar w:fldCharType="separate"/>
          </w:r>
          <w:r w:rsidR="00D31F30" w:rsidRPr="00D31F30">
            <w:rPr>
              <w:noProof/>
            </w:rPr>
            <w:t>(Daniels, 2019)</w:t>
          </w:r>
          <w:r>
            <w:fldChar w:fldCharType="end"/>
          </w:r>
        </w:sdtContent>
      </w:sdt>
      <w:r>
        <w:t>.</w:t>
      </w:r>
    </w:p>
    <w:p w14:paraId="2D85FB36" w14:textId="77777777" w:rsidR="00A851E8" w:rsidRDefault="00A851E8" w:rsidP="00D31F30">
      <w:pPr>
        <w:pStyle w:val="ListParagraph"/>
        <w:spacing w:line="360" w:lineRule="auto"/>
        <w:ind w:firstLine="0"/>
      </w:pPr>
    </w:p>
    <w:p w14:paraId="08031DFD" w14:textId="77777777" w:rsidR="00A851E8" w:rsidRDefault="00A851E8" w:rsidP="00D31F30">
      <w:pPr>
        <w:pStyle w:val="ListParagraph"/>
        <w:numPr>
          <w:ilvl w:val="0"/>
          <w:numId w:val="12"/>
        </w:numPr>
        <w:spacing w:line="360" w:lineRule="auto"/>
      </w:pPr>
      <w:r w:rsidRPr="0071744D">
        <w:rPr>
          <w:i/>
          <w:iCs/>
        </w:rPr>
        <w:t>“We will not have adequate cover after 3pm and the company cannot afford to take on additional staff to cover this shortfall.”</w:t>
      </w:r>
      <w:r>
        <w:t xml:space="preserve"> </w:t>
      </w:r>
      <w:r>
        <w:br/>
        <w:t>Here you make a valid point regarding the direct impact the arrangement has on the business and its people. The legislation states you may reject the request for specific business reasons. I have identified the reasons within the legislation that relates to your concerns:</w:t>
      </w:r>
    </w:p>
    <w:p w14:paraId="7AA21E71" w14:textId="77777777" w:rsidR="00A851E8" w:rsidRDefault="00A851E8" w:rsidP="00D31F30">
      <w:pPr>
        <w:pStyle w:val="ListParagraph"/>
        <w:spacing w:line="360" w:lineRule="auto"/>
      </w:pPr>
    </w:p>
    <w:p w14:paraId="3876C359" w14:textId="77777777" w:rsidR="00A851E8" w:rsidRDefault="00A851E8" w:rsidP="00D31F30">
      <w:pPr>
        <w:pStyle w:val="ListParagraph"/>
        <w:numPr>
          <w:ilvl w:val="1"/>
          <w:numId w:val="12"/>
        </w:numPr>
        <w:spacing w:line="360" w:lineRule="auto"/>
      </w:pPr>
      <w:r>
        <w:t>The burden of additional costs (the cost being additional staff)</w:t>
      </w:r>
    </w:p>
    <w:p w14:paraId="3F30EF32" w14:textId="77777777" w:rsidR="00A851E8" w:rsidRDefault="00A851E8" w:rsidP="00D31F30">
      <w:pPr>
        <w:pStyle w:val="ListParagraph"/>
        <w:numPr>
          <w:ilvl w:val="1"/>
          <w:numId w:val="12"/>
        </w:numPr>
        <w:spacing w:line="360" w:lineRule="auto"/>
      </w:pPr>
      <w:r>
        <w:t xml:space="preserve">An inability to reorganise work amongst existing staff </w:t>
      </w:r>
    </w:p>
    <w:p w14:paraId="53551E0A" w14:textId="77777777" w:rsidR="00A851E8" w:rsidRDefault="00A851E8" w:rsidP="00D31F30">
      <w:pPr>
        <w:pStyle w:val="ListParagraph"/>
        <w:numPr>
          <w:ilvl w:val="1"/>
          <w:numId w:val="12"/>
        </w:numPr>
        <w:spacing w:line="360" w:lineRule="auto"/>
      </w:pPr>
      <w:r>
        <w:t>A detrimental effect on the ability to meet customer demand</w:t>
      </w:r>
    </w:p>
    <w:p w14:paraId="036E4D6A" w14:textId="77777777" w:rsidR="00A851E8" w:rsidRDefault="00A851E8" w:rsidP="00D31F30">
      <w:pPr>
        <w:spacing w:line="360" w:lineRule="auto"/>
        <w:ind w:left="720" w:firstLine="0"/>
      </w:pPr>
      <w:r>
        <w:t>I wish to emphasise that these points listed are specifically concerning her request to finish work at 3pm.</w:t>
      </w:r>
    </w:p>
    <w:p w14:paraId="399C7E93" w14:textId="77777777" w:rsidR="00A851E8" w:rsidRDefault="00A851E8" w:rsidP="00D31F30">
      <w:pPr>
        <w:spacing w:line="360" w:lineRule="auto"/>
        <w:ind w:left="0" w:firstLine="0"/>
      </w:pPr>
      <w:r>
        <w:t>Regarding whether you have to agree to the changes, I suggest you attempt to agree to a compromise arrangement i.e. home working for part of the week but still working until 5pm.</w:t>
      </w:r>
    </w:p>
    <w:p w14:paraId="43B0A78B" w14:textId="5E457C6F" w:rsidR="00A851E8" w:rsidRDefault="00A851E8" w:rsidP="00D31F30">
      <w:pPr>
        <w:spacing w:line="360" w:lineRule="auto"/>
        <w:ind w:left="0" w:firstLine="0"/>
      </w:pPr>
      <w:r>
        <w:t>Please note, if her caring responsibilities are associated with a disability, then there may be a degree of protection afforded by The Equality Act 2010</w:t>
      </w:r>
      <w:sdt>
        <w:sdtPr>
          <w:id w:val="-215439680"/>
          <w:citation/>
        </w:sdtPr>
        <w:sdtContent>
          <w:r>
            <w:fldChar w:fldCharType="begin"/>
          </w:r>
          <w:r>
            <w:instrText xml:space="preserve"> CITATION EHR20 \l 2057 </w:instrText>
          </w:r>
          <w:r>
            <w:fldChar w:fldCharType="separate"/>
          </w:r>
          <w:r w:rsidR="00D31F30">
            <w:rPr>
              <w:noProof/>
            </w:rPr>
            <w:t xml:space="preserve"> </w:t>
          </w:r>
          <w:r w:rsidR="00D31F30" w:rsidRPr="00D31F30">
            <w:rPr>
              <w:noProof/>
            </w:rPr>
            <w:t>(EHRC, 2020)</w:t>
          </w:r>
          <w:r>
            <w:fldChar w:fldCharType="end"/>
          </w:r>
        </w:sdtContent>
      </w:sdt>
      <w:r>
        <w:t xml:space="preserve">. Under the Flexible Working Regulations, any requests associated with ‘Protected Characteristics’ should be given careful consideration. Therefore a compromise arrangement should demonstrate your recognition and </w:t>
      </w:r>
      <w:r>
        <w:lastRenderedPageBreak/>
        <w:t>support of said caring responsibilities and reduce the likelihood of future challenge by way of appeal or grievance.</w:t>
      </w:r>
    </w:p>
    <w:p w14:paraId="6B1846AD" w14:textId="77777777" w:rsidR="00A851E8" w:rsidRDefault="00A851E8" w:rsidP="00D31F30">
      <w:pPr>
        <w:pStyle w:val="ListParagraph"/>
        <w:numPr>
          <w:ilvl w:val="0"/>
          <w:numId w:val="11"/>
        </w:numPr>
        <w:spacing w:line="360" w:lineRule="auto"/>
        <w:rPr>
          <w:b/>
          <w:bCs/>
        </w:rPr>
      </w:pPr>
      <w:r>
        <w:rPr>
          <w:b/>
          <w:bCs/>
        </w:rPr>
        <w:t>Responding to the request</w:t>
      </w:r>
    </w:p>
    <w:p w14:paraId="1D5C4A1E" w14:textId="77777777" w:rsidR="00A851E8" w:rsidRPr="008B2C34" w:rsidRDefault="00A851E8" w:rsidP="00D31F30">
      <w:pPr>
        <w:spacing w:line="360" w:lineRule="auto"/>
        <w:ind w:left="0" w:firstLine="0"/>
        <w:rPr>
          <w:b/>
          <w:bCs/>
        </w:rPr>
      </w:pPr>
      <w:r w:rsidRPr="008B2C34">
        <w:rPr>
          <w:b/>
          <w:bCs/>
        </w:rPr>
        <w:t>5.a. If the LM wishes to agree</w:t>
      </w:r>
      <w:r>
        <w:rPr>
          <w:b/>
          <w:bCs/>
        </w:rPr>
        <w:t xml:space="preserve"> to</w:t>
      </w:r>
      <w:r w:rsidRPr="008B2C34">
        <w:rPr>
          <w:b/>
          <w:bCs/>
        </w:rPr>
        <w:t xml:space="preserve"> the request (whether in full or in part):</w:t>
      </w:r>
    </w:p>
    <w:p w14:paraId="789430B2" w14:textId="77777777" w:rsidR="00A851E8" w:rsidRDefault="00A851E8" w:rsidP="00D31F30">
      <w:pPr>
        <w:spacing w:line="360" w:lineRule="auto"/>
        <w:ind w:left="0" w:firstLine="0"/>
      </w:pPr>
      <w:r>
        <w:t xml:space="preserve">After the meeting the LM will need to respond to Julie in writing outlining: </w:t>
      </w:r>
    </w:p>
    <w:p w14:paraId="681D07A9" w14:textId="77777777" w:rsidR="00A851E8" w:rsidRDefault="00A851E8" w:rsidP="00D31F30">
      <w:pPr>
        <w:pStyle w:val="ListParagraph"/>
        <w:numPr>
          <w:ilvl w:val="0"/>
          <w:numId w:val="14"/>
        </w:numPr>
        <w:spacing w:line="360" w:lineRule="auto"/>
      </w:pPr>
      <w:r>
        <w:t xml:space="preserve">The actual change in hours and/or location </w:t>
      </w:r>
    </w:p>
    <w:p w14:paraId="3CBBC6EC" w14:textId="77777777" w:rsidR="00A851E8" w:rsidRDefault="00A851E8" w:rsidP="00D31F30">
      <w:pPr>
        <w:pStyle w:val="ListParagraph"/>
        <w:numPr>
          <w:ilvl w:val="0"/>
          <w:numId w:val="14"/>
        </w:numPr>
        <w:spacing w:line="360" w:lineRule="auto"/>
      </w:pPr>
      <w:r>
        <w:t>The date the change will commence</w:t>
      </w:r>
    </w:p>
    <w:p w14:paraId="0ACB0E20" w14:textId="77777777" w:rsidR="00A851E8" w:rsidRDefault="00A851E8" w:rsidP="00D31F30">
      <w:pPr>
        <w:pStyle w:val="ListParagraph"/>
        <w:numPr>
          <w:ilvl w:val="0"/>
          <w:numId w:val="14"/>
        </w:numPr>
        <w:spacing w:line="360" w:lineRule="auto"/>
      </w:pPr>
      <w:r>
        <w:t>Any changes to pay or holiday entitlement</w:t>
      </w:r>
    </w:p>
    <w:p w14:paraId="2AE9928E" w14:textId="77777777" w:rsidR="00A851E8" w:rsidRDefault="00A851E8" w:rsidP="00D31F30">
      <w:pPr>
        <w:pStyle w:val="ListParagraph"/>
        <w:numPr>
          <w:ilvl w:val="0"/>
          <w:numId w:val="14"/>
        </w:numPr>
        <w:spacing w:line="360" w:lineRule="auto"/>
      </w:pPr>
      <w:r>
        <w:t>How long the change is for (i.e. permanently or fixed period)</w:t>
      </w:r>
    </w:p>
    <w:p w14:paraId="5DA81C83" w14:textId="77777777" w:rsidR="00A851E8" w:rsidRDefault="00A851E8" w:rsidP="00D31F30">
      <w:pPr>
        <w:pStyle w:val="ListParagraph"/>
        <w:numPr>
          <w:ilvl w:val="0"/>
          <w:numId w:val="14"/>
        </w:numPr>
        <w:spacing w:line="360" w:lineRule="auto"/>
      </w:pPr>
      <w:r>
        <w:t>A review date to see how things are going since the change</w:t>
      </w:r>
    </w:p>
    <w:p w14:paraId="155AC002" w14:textId="77777777" w:rsidR="00A851E8" w:rsidRDefault="00A851E8" w:rsidP="00D31F30">
      <w:pPr>
        <w:spacing w:line="360" w:lineRule="auto"/>
        <w:ind w:left="0" w:firstLine="0"/>
      </w:pPr>
      <w:r>
        <w:t xml:space="preserve">The business will need to supply Julie with an amendment to her terms and conditions, within 28 days of agreeing the change. </w:t>
      </w:r>
      <w:r w:rsidRPr="008B2C34">
        <w:rPr>
          <w:u w:val="single"/>
        </w:rPr>
        <w:t>This is a statutory requirement</w:t>
      </w:r>
      <w:r>
        <w:t xml:space="preserve">.  </w:t>
      </w:r>
    </w:p>
    <w:p w14:paraId="5584CE37" w14:textId="77777777" w:rsidR="00A851E8" w:rsidRPr="008B2C34" w:rsidRDefault="00A851E8" w:rsidP="00D31F30">
      <w:pPr>
        <w:spacing w:line="360" w:lineRule="auto"/>
        <w:ind w:left="0" w:firstLine="0"/>
        <w:rPr>
          <w:b/>
          <w:bCs/>
        </w:rPr>
      </w:pPr>
      <w:r w:rsidRPr="008B2C34">
        <w:rPr>
          <w:b/>
          <w:bCs/>
        </w:rPr>
        <w:t>5.b. If the LM wishes to reject the request:</w:t>
      </w:r>
    </w:p>
    <w:p w14:paraId="62E7E460" w14:textId="1FC504D9" w:rsidR="00A851E8" w:rsidRDefault="00A851E8" w:rsidP="00D31F30">
      <w:pPr>
        <w:spacing w:line="360" w:lineRule="auto"/>
        <w:ind w:left="0" w:firstLine="0"/>
      </w:pPr>
      <w:r>
        <w:t xml:space="preserve">Please talk to Julie first explaining why the request cannot be honoured and discuss other options. Signpost her to other statutory rights which may help such as parental Leave and Time Off For Dependents </w:t>
      </w:r>
      <w:sdt>
        <w:sdtPr>
          <w:id w:val="1043333961"/>
          <w:citation/>
        </w:sdtPr>
        <w:sdtContent>
          <w:r>
            <w:fldChar w:fldCharType="begin"/>
          </w:r>
          <w:r>
            <w:instrText xml:space="preserve"> CITATION GOV211 \l 2057 </w:instrText>
          </w:r>
          <w:r>
            <w:fldChar w:fldCharType="separate"/>
          </w:r>
          <w:r w:rsidR="00D31F30" w:rsidRPr="00D31F30">
            <w:rPr>
              <w:noProof/>
            </w:rPr>
            <w:t>(GOV.UK, 2021)</w:t>
          </w:r>
          <w:r>
            <w:fldChar w:fldCharType="end"/>
          </w:r>
        </w:sdtContent>
      </w:sdt>
      <w:r>
        <w:t xml:space="preserve">. Information on these rights can be found on the gov.uk website.  </w:t>
      </w:r>
    </w:p>
    <w:p w14:paraId="75313341" w14:textId="77777777" w:rsidR="00A851E8" w:rsidRDefault="00A851E8" w:rsidP="00D31F30">
      <w:pPr>
        <w:spacing w:line="360" w:lineRule="auto"/>
        <w:ind w:left="0" w:firstLine="0"/>
      </w:pPr>
      <w:r>
        <w:t>The LM will then need to respond in writing with the following information:</w:t>
      </w:r>
    </w:p>
    <w:p w14:paraId="7B883288" w14:textId="77777777" w:rsidR="00A851E8" w:rsidRDefault="00A851E8" w:rsidP="00D31F30">
      <w:pPr>
        <w:pStyle w:val="ListParagraph"/>
        <w:numPr>
          <w:ilvl w:val="0"/>
          <w:numId w:val="13"/>
        </w:numPr>
        <w:spacing w:line="360" w:lineRule="auto"/>
      </w:pPr>
      <w:r>
        <w:t>An explanation as to why the request cannot be honoured</w:t>
      </w:r>
    </w:p>
    <w:p w14:paraId="3307773B" w14:textId="77777777" w:rsidR="00A851E8" w:rsidRDefault="00A851E8" w:rsidP="00D31F30">
      <w:pPr>
        <w:pStyle w:val="ListParagraph"/>
        <w:numPr>
          <w:ilvl w:val="0"/>
          <w:numId w:val="13"/>
        </w:numPr>
        <w:spacing w:line="360" w:lineRule="auto"/>
      </w:pPr>
      <w:r>
        <w:t>Stating the business reason for the rejection</w:t>
      </w:r>
    </w:p>
    <w:p w14:paraId="4075D498" w14:textId="77777777" w:rsidR="00A851E8" w:rsidRDefault="00A851E8" w:rsidP="00D31F30">
      <w:pPr>
        <w:pStyle w:val="ListParagraph"/>
        <w:numPr>
          <w:ilvl w:val="0"/>
          <w:numId w:val="13"/>
        </w:numPr>
        <w:spacing w:line="360" w:lineRule="auto"/>
      </w:pPr>
      <w:r>
        <w:t>Offer an appeal and outline the appeal process</w:t>
      </w:r>
    </w:p>
    <w:p w14:paraId="0369B3F9" w14:textId="77777777" w:rsidR="00A851E8" w:rsidRDefault="00A851E8" w:rsidP="00D31F30">
      <w:pPr>
        <w:pStyle w:val="ListParagraph"/>
        <w:spacing w:line="360" w:lineRule="auto"/>
        <w:ind w:firstLine="0"/>
      </w:pPr>
    </w:p>
    <w:p w14:paraId="092A0864" w14:textId="77777777" w:rsidR="00A851E8" w:rsidRDefault="00A851E8" w:rsidP="00D31F30">
      <w:pPr>
        <w:pStyle w:val="ListParagraph"/>
        <w:numPr>
          <w:ilvl w:val="0"/>
          <w:numId w:val="11"/>
        </w:numPr>
        <w:spacing w:line="360" w:lineRule="auto"/>
        <w:rPr>
          <w:b/>
          <w:bCs/>
        </w:rPr>
      </w:pPr>
      <w:r>
        <w:rPr>
          <w:b/>
          <w:bCs/>
        </w:rPr>
        <w:t>Hearing an appeal</w:t>
      </w:r>
    </w:p>
    <w:p w14:paraId="2C9088E5" w14:textId="77777777" w:rsidR="00A851E8" w:rsidRDefault="00A851E8" w:rsidP="00D31F30">
      <w:pPr>
        <w:spacing w:line="360" w:lineRule="auto"/>
        <w:ind w:left="0" w:firstLine="0"/>
      </w:pPr>
      <w:r>
        <w:t xml:space="preserve">Ideally, you as the Managing Director would hear the appeal. </w:t>
      </w:r>
    </w:p>
    <w:p w14:paraId="3FE0853E" w14:textId="77777777" w:rsidR="00A851E8" w:rsidRDefault="00A851E8" w:rsidP="00D31F30">
      <w:pPr>
        <w:spacing w:line="360" w:lineRule="auto"/>
        <w:ind w:left="0" w:firstLine="0"/>
      </w:pPr>
      <w:r>
        <w:lastRenderedPageBreak/>
        <w:t xml:space="preserve">You will be expected to meet with Julie to discuss any new or omitted information which could impact the final decision. Again the final decision from the appeal must be provided in writing as above. </w:t>
      </w:r>
    </w:p>
    <w:p w14:paraId="23648360" w14:textId="77777777" w:rsidR="00A851E8" w:rsidRDefault="00A851E8" w:rsidP="00D31F30">
      <w:pPr>
        <w:spacing w:line="360" w:lineRule="auto"/>
        <w:ind w:left="0" w:firstLine="0"/>
      </w:pPr>
      <w:r>
        <w:t xml:space="preserve">Please note that this entire process outlined above, from the date on the email Julie sent her request through to appeal, should be </w:t>
      </w:r>
      <w:r w:rsidRPr="00E47FE6">
        <w:rPr>
          <w:u w:val="single"/>
        </w:rPr>
        <w:t>completed within 3 months</w:t>
      </w:r>
      <w:r>
        <w:t xml:space="preserve"> unless both parties agree to an extension.  </w:t>
      </w:r>
    </w:p>
    <w:p w14:paraId="6210CA45" w14:textId="77777777" w:rsidR="00A851E8" w:rsidRDefault="00A851E8" w:rsidP="00D31F30">
      <w:pPr>
        <w:spacing w:line="360" w:lineRule="auto"/>
        <w:ind w:left="0" w:firstLine="0"/>
      </w:pPr>
      <w:r>
        <w:t>If you have any questions at all, please do not hesitate to contact me.</w:t>
      </w:r>
    </w:p>
    <w:p w14:paraId="392CB573" w14:textId="77777777" w:rsidR="00A851E8" w:rsidRPr="001C474E" w:rsidRDefault="00A851E8" w:rsidP="00D31F30">
      <w:pPr>
        <w:spacing w:line="360" w:lineRule="auto"/>
        <w:ind w:left="0" w:firstLine="0"/>
        <w:rPr>
          <w:b/>
          <w:bCs/>
        </w:rPr>
      </w:pPr>
      <w:r w:rsidRPr="001C474E">
        <w:rPr>
          <w:b/>
          <w:bCs/>
        </w:rPr>
        <w:t xml:space="preserve">Gemma Littlejohns, </w:t>
      </w:r>
      <w:r w:rsidRPr="001C474E">
        <w:rPr>
          <w:b/>
          <w:bCs/>
          <w:i/>
          <w:iCs/>
          <w:sz w:val="18"/>
          <w:szCs w:val="18"/>
        </w:rPr>
        <w:t>A</w:t>
      </w:r>
      <w:r>
        <w:rPr>
          <w:b/>
          <w:bCs/>
          <w:i/>
          <w:iCs/>
          <w:sz w:val="18"/>
          <w:szCs w:val="18"/>
        </w:rPr>
        <w:t>ssoc</w:t>
      </w:r>
      <w:r w:rsidRPr="001C474E">
        <w:rPr>
          <w:b/>
          <w:bCs/>
          <w:i/>
          <w:iCs/>
          <w:sz w:val="18"/>
          <w:szCs w:val="18"/>
        </w:rPr>
        <w:t xml:space="preserve"> CIPD</w:t>
      </w:r>
    </w:p>
    <w:p w14:paraId="5D0BB85B" w14:textId="77A2FAC9" w:rsidR="00F17FDD" w:rsidRDefault="00A851E8" w:rsidP="00D31F30">
      <w:pPr>
        <w:spacing w:line="360" w:lineRule="auto"/>
      </w:pPr>
      <w:r w:rsidRPr="00A851E8">
        <w:t>End.</w:t>
      </w:r>
    </w:p>
    <w:p w14:paraId="427BF1F9" w14:textId="77777777" w:rsidR="00F17FDD" w:rsidRDefault="00F17FDD" w:rsidP="00D31F30">
      <w:pPr>
        <w:spacing w:line="360" w:lineRule="auto"/>
      </w:pPr>
      <w:r>
        <w:br w:type="page"/>
      </w:r>
    </w:p>
    <w:p w14:paraId="5774ECBC"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44"/>
          <w:szCs w:val="44"/>
        </w:rPr>
        <w:lastRenderedPageBreak/>
        <w:t>Email</w:t>
      </w:r>
    </w:p>
    <w:p w14:paraId="3BAAD432"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To</w:t>
      </w:r>
      <w:r>
        <w:rPr>
          <w:rStyle w:val="normaltextrun"/>
          <w:rFonts w:ascii="Calibri" w:hAnsi="Calibri" w:cs="Calibri"/>
          <w:sz w:val="22"/>
          <w:szCs w:val="22"/>
        </w:rPr>
        <w:t>: </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Mr. Dave Thomas, Managing Director</w:t>
      </w:r>
      <w:r>
        <w:rPr>
          <w:rStyle w:val="eop"/>
          <w:rFonts w:ascii="Calibri" w:hAnsi="Calibri" w:cs="Calibri"/>
          <w:sz w:val="22"/>
          <w:szCs w:val="22"/>
        </w:rPr>
        <w:t> </w:t>
      </w:r>
    </w:p>
    <w:p w14:paraId="239B4B39"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From</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Gemma Littlejohns, </w:t>
      </w:r>
      <w:r>
        <w:rPr>
          <w:rStyle w:val="normaltextrun"/>
          <w:rFonts w:ascii="Calibri" w:hAnsi="Calibri" w:cs="Calibri"/>
          <w:i/>
          <w:iCs/>
          <w:sz w:val="22"/>
          <w:szCs w:val="22"/>
        </w:rPr>
        <w:t>Assoc CIPD</w:t>
      </w:r>
      <w:r>
        <w:rPr>
          <w:rStyle w:val="eop"/>
          <w:rFonts w:ascii="Calibri" w:hAnsi="Calibri" w:cs="Calibri"/>
          <w:sz w:val="22"/>
          <w:szCs w:val="22"/>
        </w:rPr>
        <w:t> </w:t>
      </w:r>
    </w:p>
    <w:p w14:paraId="17A18102"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Date</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tabchar"/>
          <w:rFonts w:ascii="Calibri" w:hAnsi="Calibri" w:cs="Calibri"/>
          <w:sz w:val="22"/>
          <w:szCs w:val="22"/>
        </w:rPr>
        <w:tab/>
      </w:r>
      <w:r>
        <w:rPr>
          <w:rStyle w:val="normaltextrun"/>
          <w:rFonts w:ascii="Calibri" w:hAnsi="Calibri" w:cs="Calibri"/>
          <w:sz w:val="22"/>
          <w:szCs w:val="22"/>
        </w:rPr>
        <w:t>10</w:t>
      </w:r>
      <w:r>
        <w:rPr>
          <w:rStyle w:val="normaltextrun"/>
          <w:rFonts w:ascii="Calibri" w:hAnsi="Calibri" w:cs="Calibri"/>
          <w:sz w:val="17"/>
          <w:szCs w:val="17"/>
          <w:vertAlign w:val="superscript"/>
        </w:rPr>
        <w:t>th</w:t>
      </w:r>
      <w:r>
        <w:rPr>
          <w:rStyle w:val="normaltextrun"/>
          <w:rFonts w:ascii="Calibri" w:hAnsi="Calibri" w:cs="Calibri"/>
          <w:sz w:val="22"/>
          <w:szCs w:val="22"/>
        </w:rPr>
        <w:t> May 2021</w:t>
      </w:r>
      <w:r>
        <w:rPr>
          <w:rStyle w:val="eop"/>
          <w:rFonts w:ascii="Calibri" w:hAnsi="Calibri" w:cs="Calibri"/>
          <w:sz w:val="22"/>
          <w:szCs w:val="22"/>
        </w:rPr>
        <w:t> </w:t>
      </w:r>
    </w:p>
    <w:p w14:paraId="29DEDF27" w14:textId="77777777" w:rsidR="00A851E8" w:rsidRDefault="00A851E8" w:rsidP="00D31F30">
      <w:pPr>
        <w:pStyle w:val="paragraph"/>
        <w:spacing w:before="0" w:beforeAutospacing="0" w:after="0" w:afterAutospacing="0" w:line="360" w:lineRule="auto"/>
        <w:ind w:left="420" w:hanging="420"/>
        <w:textAlignment w:val="baseline"/>
        <w:rPr>
          <w:rFonts w:ascii="Segoe UI" w:hAnsi="Segoe UI" w:cs="Segoe UI"/>
          <w:sz w:val="18"/>
          <w:szCs w:val="18"/>
        </w:rPr>
      </w:pPr>
      <w:r>
        <w:rPr>
          <w:rStyle w:val="normaltextrun"/>
          <w:rFonts w:ascii="Calibri" w:hAnsi="Calibri" w:cs="Calibri"/>
          <w:b/>
          <w:bCs/>
          <w:sz w:val="22"/>
          <w:szCs w:val="22"/>
        </w:rPr>
        <w:t>Subject</w:t>
      </w:r>
      <w:r>
        <w:rPr>
          <w:rStyle w:val="normaltextrun"/>
          <w:rFonts w:ascii="Calibri" w:hAnsi="Calibri" w:cs="Calibri"/>
          <w:sz w:val="22"/>
          <w:szCs w:val="22"/>
        </w:rPr>
        <w:t>:</w:t>
      </w:r>
      <w:r>
        <w:rPr>
          <w:rStyle w:val="tabchar"/>
          <w:rFonts w:ascii="Calibri" w:hAnsi="Calibri" w:cs="Calibri"/>
          <w:sz w:val="22"/>
          <w:szCs w:val="22"/>
        </w:rPr>
        <w:t xml:space="preserve"> </w:t>
      </w:r>
      <w:r>
        <w:rPr>
          <w:rStyle w:val="tabchar"/>
          <w:rFonts w:ascii="Calibri" w:hAnsi="Calibri" w:cs="Calibri"/>
          <w:sz w:val="22"/>
          <w:szCs w:val="22"/>
        </w:rPr>
        <w:tab/>
      </w:r>
      <w:r>
        <w:rPr>
          <w:rStyle w:val="normaltextrun"/>
          <w:rFonts w:ascii="Calibri" w:hAnsi="Calibri" w:cs="Calibri"/>
          <w:sz w:val="22"/>
          <w:szCs w:val="22"/>
        </w:rPr>
        <w:t>Grievance raised by LB</w:t>
      </w:r>
      <w:r>
        <w:rPr>
          <w:rStyle w:val="tabchar"/>
          <w:rFonts w:ascii="Calibri" w:hAnsi="Calibri" w:cs="Calibri"/>
          <w:sz w:val="22"/>
          <w:szCs w:val="22"/>
        </w:rPr>
        <w:t xml:space="preserve"> </w:t>
      </w:r>
      <w:r>
        <w:rPr>
          <w:rStyle w:val="eop"/>
          <w:rFonts w:ascii="Calibri" w:hAnsi="Calibri" w:cs="Calibri"/>
          <w:sz w:val="22"/>
          <w:szCs w:val="22"/>
        </w:rPr>
        <w:t> </w:t>
      </w:r>
    </w:p>
    <w:p w14:paraId="6623A233" w14:textId="77777777" w:rsidR="00A851E8" w:rsidRDefault="00A851E8" w:rsidP="00D31F30">
      <w:pPr>
        <w:spacing w:line="360" w:lineRule="auto"/>
      </w:pPr>
      <w:r>
        <w:t>Dear Managing Director</w:t>
      </w:r>
    </w:p>
    <w:p w14:paraId="00125FDD" w14:textId="77777777" w:rsidR="00A851E8" w:rsidRDefault="00A851E8" w:rsidP="00D31F30">
      <w:pPr>
        <w:spacing w:line="360" w:lineRule="auto"/>
        <w:ind w:left="0" w:firstLine="0"/>
        <w:rPr>
          <w:rFonts w:ascii="Calibri" w:eastAsia="Calibri" w:hAnsi="Calibri" w:cs="Calibri"/>
        </w:rPr>
      </w:pPr>
      <w:r w:rsidRPr="654DB122">
        <w:rPr>
          <w:rFonts w:ascii="Calibri" w:eastAsia="Calibri" w:hAnsi="Calibri" w:cs="Calibri"/>
        </w:rPr>
        <w:t>Thank you for your email, I’ll answer each of your questions below:</w:t>
      </w:r>
    </w:p>
    <w:p w14:paraId="5BF452E3" w14:textId="77777777" w:rsidR="00A851E8" w:rsidRDefault="00A851E8" w:rsidP="00D31F30">
      <w:pPr>
        <w:spacing w:line="360" w:lineRule="auto"/>
        <w:ind w:left="0" w:firstLine="0"/>
        <w:rPr>
          <w:rFonts w:ascii="Calibri" w:eastAsia="Calibri" w:hAnsi="Calibri" w:cs="Calibri"/>
          <w:b/>
          <w:bCs/>
        </w:rPr>
      </w:pPr>
      <w:r w:rsidRPr="654DB122">
        <w:rPr>
          <w:rFonts w:ascii="Calibri" w:eastAsia="Calibri" w:hAnsi="Calibri" w:cs="Calibri"/>
          <w:b/>
          <w:bCs/>
        </w:rPr>
        <w:t xml:space="preserve">1) Am I able to tell staff the underlying reason for the absence? </w:t>
      </w:r>
    </w:p>
    <w:p w14:paraId="471CB1BF" w14:textId="77777777" w:rsidR="00A851E8" w:rsidRDefault="00A851E8" w:rsidP="00D31F30">
      <w:pPr>
        <w:spacing w:line="360" w:lineRule="auto"/>
        <w:ind w:left="0" w:firstLine="0"/>
        <w:rPr>
          <w:rFonts w:ascii="Calibri" w:eastAsia="Calibri" w:hAnsi="Calibri" w:cs="Calibri"/>
        </w:rPr>
      </w:pPr>
      <w:r w:rsidRPr="654DB122">
        <w:rPr>
          <w:rFonts w:ascii="Calibri" w:eastAsia="Calibri" w:hAnsi="Calibri" w:cs="Calibri"/>
        </w:rPr>
        <w:t>It very much depends on the scenario as there</w:t>
      </w:r>
      <w:r>
        <w:rPr>
          <w:rFonts w:ascii="Calibri" w:eastAsia="Calibri" w:hAnsi="Calibri" w:cs="Calibri"/>
        </w:rPr>
        <w:t xml:space="preserve"> are</w:t>
      </w:r>
      <w:r w:rsidRPr="654DB122">
        <w:rPr>
          <w:rFonts w:ascii="Calibri" w:eastAsia="Calibri" w:hAnsi="Calibri" w:cs="Calibri"/>
        </w:rPr>
        <w:t xml:space="preserve"> a few things we must consider and that’s the welfare and privacy of Lucy and the welfare of the rest of the workforce in light of covid. </w:t>
      </w:r>
    </w:p>
    <w:p w14:paraId="32DBC75A" w14:textId="21B6D341" w:rsidR="00A851E8" w:rsidRDefault="00A851E8" w:rsidP="00D31F30">
      <w:pPr>
        <w:spacing w:line="360" w:lineRule="auto"/>
        <w:ind w:left="0" w:firstLine="0"/>
        <w:rPr>
          <w:rFonts w:ascii="Calibri" w:eastAsia="Calibri" w:hAnsi="Calibri" w:cs="Calibri"/>
        </w:rPr>
      </w:pPr>
      <w:r w:rsidRPr="654DB122">
        <w:rPr>
          <w:rFonts w:ascii="Calibri" w:eastAsia="Calibri" w:hAnsi="Calibri" w:cs="Calibri"/>
        </w:rPr>
        <w:t>The Health and Safety Executive (HSE) says that employers have a duty of care to all their employees</w:t>
      </w:r>
      <w:r>
        <w:rPr>
          <w:rFonts w:ascii="Calibri" w:eastAsia="Calibri" w:hAnsi="Calibri" w:cs="Calibri"/>
        </w:rPr>
        <w:t xml:space="preserve"> </w:t>
      </w:r>
      <w:sdt>
        <w:sdtPr>
          <w:rPr>
            <w:rFonts w:ascii="Calibri" w:eastAsia="Calibri" w:hAnsi="Calibri" w:cs="Calibri"/>
          </w:rPr>
          <w:id w:val="1188411212"/>
          <w:citation/>
        </w:sdtPr>
        <w:sdtContent>
          <w:r>
            <w:rPr>
              <w:rFonts w:ascii="Calibri" w:eastAsia="Calibri" w:hAnsi="Calibri" w:cs="Calibri"/>
            </w:rPr>
            <w:fldChar w:fldCharType="begin"/>
          </w:r>
          <w:r>
            <w:rPr>
              <w:rFonts w:ascii="Calibri" w:eastAsia="Calibri" w:hAnsi="Calibri" w:cs="Calibri"/>
            </w:rPr>
            <w:instrText xml:space="preserve"> CITATION HSE21 \l 2057 </w:instrText>
          </w:r>
          <w:r>
            <w:rPr>
              <w:rFonts w:ascii="Calibri" w:eastAsia="Calibri" w:hAnsi="Calibri" w:cs="Calibri"/>
            </w:rPr>
            <w:fldChar w:fldCharType="separate"/>
          </w:r>
          <w:r w:rsidR="00D31F30" w:rsidRPr="00D31F30">
            <w:rPr>
              <w:rFonts w:ascii="Calibri" w:eastAsia="Calibri" w:hAnsi="Calibri" w:cs="Calibri"/>
              <w:noProof/>
            </w:rPr>
            <w:t>(HSE, 2021)</w:t>
          </w:r>
          <w:r>
            <w:rPr>
              <w:rFonts w:ascii="Calibri" w:eastAsia="Calibri" w:hAnsi="Calibri" w:cs="Calibri"/>
            </w:rPr>
            <w:fldChar w:fldCharType="end"/>
          </w:r>
        </w:sdtContent>
      </w:sdt>
      <w:r w:rsidRPr="654DB122">
        <w:rPr>
          <w:rFonts w:ascii="Calibri" w:eastAsia="Calibri" w:hAnsi="Calibri" w:cs="Calibri"/>
        </w:rPr>
        <w:t>. If someone had a positive test result you would be able to notify the people who had been working with them so that they could self-isolate</w:t>
      </w:r>
      <w:r>
        <w:rPr>
          <w:rFonts w:ascii="Calibri" w:eastAsia="Calibri" w:hAnsi="Calibri" w:cs="Calibri"/>
        </w:rPr>
        <w:t xml:space="preserve"> but you would not be permitted to disclose the name of the employee with a positive test </w:t>
      </w:r>
      <w:sdt>
        <w:sdtPr>
          <w:rPr>
            <w:rFonts w:ascii="Calibri" w:eastAsia="Calibri" w:hAnsi="Calibri" w:cs="Calibri"/>
          </w:rPr>
          <w:id w:val="577718678"/>
          <w:citation/>
        </w:sdtPr>
        <w:sdtContent>
          <w:r>
            <w:rPr>
              <w:rFonts w:ascii="Calibri" w:eastAsia="Calibri" w:hAnsi="Calibri" w:cs="Calibri"/>
            </w:rPr>
            <w:fldChar w:fldCharType="begin"/>
          </w:r>
          <w:r>
            <w:rPr>
              <w:rFonts w:ascii="Calibri" w:eastAsia="Calibri" w:hAnsi="Calibri" w:cs="Calibri"/>
            </w:rPr>
            <w:instrText xml:space="preserve"> CITATION GOV212 \l 2057 </w:instrText>
          </w:r>
          <w:r>
            <w:rPr>
              <w:rFonts w:ascii="Calibri" w:eastAsia="Calibri" w:hAnsi="Calibri" w:cs="Calibri"/>
            </w:rPr>
            <w:fldChar w:fldCharType="separate"/>
          </w:r>
          <w:r w:rsidR="00D31F30" w:rsidRPr="00D31F30">
            <w:rPr>
              <w:rFonts w:ascii="Calibri" w:eastAsia="Calibri" w:hAnsi="Calibri" w:cs="Calibri"/>
              <w:noProof/>
            </w:rPr>
            <w:t>(GOV.UK, 2021)</w:t>
          </w:r>
          <w:r>
            <w:rPr>
              <w:rFonts w:ascii="Calibri" w:eastAsia="Calibri" w:hAnsi="Calibri" w:cs="Calibri"/>
            </w:rPr>
            <w:fldChar w:fldCharType="end"/>
          </w:r>
        </w:sdtContent>
      </w:sdt>
      <w:r w:rsidRPr="654DB122">
        <w:rPr>
          <w:rFonts w:ascii="Calibri" w:eastAsia="Calibri" w:hAnsi="Calibri" w:cs="Calibri"/>
        </w:rPr>
        <w:t xml:space="preserve">. </w:t>
      </w:r>
    </w:p>
    <w:p w14:paraId="347B8ECE" w14:textId="12DBD01A" w:rsidR="00A851E8" w:rsidRDefault="00A851E8" w:rsidP="00D31F30">
      <w:pPr>
        <w:spacing w:line="360" w:lineRule="auto"/>
        <w:ind w:left="0" w:firstLine="0"/>
        <w:rPr>
          <w:rFonts w:ascii="Calibri" w:eastAsia="Calibri" w:hAnsi="Calibri" w:cs="Calibri"/>
        </w:rPr>
      </w:pPr>
      <w:r>
        <w:rPr>
          <w:rFonts w:ascii="Calibri" w:eastAsia="Calibri" w:hAnsi="Calibri" w:cs="Calibri"/>
        </w:rPr>
        <w:t>L</w:t>
      </w:r>
      <w:r w:rsidRPr="654DB122">
        <w:rPr>
          <w:rFonts w:ascii="Calibri" w:eastAsia="Calibri" w:hAnsi="Calibri" w:cs="Calibri"/>
        </w:rPr>
        <w:t xml:space="preserve">ucy’s </w:t>
      </w:r>
      <w:r>
        <w:rPr>
          <w:rFonts w:ascii="Calibri" w:eastAsia="Calibri" w:hAnsi="Calibri" w:cs="Calibri"/>
        </w:rPr>
        <w:t xml:space="preserve">lung </w:t>
      </w:r>
      <w:r w:rsidRPr="654DB122">
        <w:rPr>
          <w:rFonts w:ascii="Calibri" w:eastAsia="Calibri" w:hAnsi="Calibri" w:cs="Calibri"/>
        </w:rPr>
        <w:t xml:space="preserve">condition </w:t>
      </w:r>
      <w:r>
        <w:rPr>
          <w:rFonts w:ascii="Calibri" w:eastAsia="Calibri" w:hAnsi="Calibri" w:cs="Calibri"/>
        </w:rPr>
        <w:t>does not impact</w:t>
      </w:r>
      <w:r w:rsidRPr="654DB122">
        <w:rPr>
          <w:rFonts w:ascii="Calibri" w:eastAsia="Calibri" w:hAnsi="Calibri" w:cs="Calibri"/>
        </w:rPr>
        <w:t xml:space="preserve"> the welfare of </w:t>
      </w:r>
      <w:r>
        <w:rPr>
          <w:rFonts w:ascii="Calibri" w:eastAsia="Calibri" w:hAnsi="Calibri" w:cs="Calibri"/>
        </w:rPr>
        <w:t>colleagues</w:t>
      </w:r>
      <w:r w:rsidRPr="654DB122">
        <w:rPr>
          <w:rFonts w:ascii="Calibri" w:eastAsia="Calibri" w:hAnsi="Calibri" w:cs="Calibri"/>
        </w:rPr>
        <w:t xml:space="preserve">, therefore there </w:t>
      </w:r>
      <w:r>
        <w:rPr>
          <w:rFonts w:ascii="Calibri" w:eastAsia="Calibri" w:hAnsi="Calibri" w:cs="Calibri"/>
        </w:rPr>
        <w:t>is</w:t>
      </w:r>
      <w:r w:rsidRPr="654DB122">
        <w:rPr>
          <w:rFonts w:ascii="Calibri" w:eastAsia="Calibri" w:hAnsi="Calibri" w:cs="Calibri"/>
        </w:rPr>
        <w:t xml:space="preserve"> no legal reason to tell </w:t>
      </w:r>
      <w:r>
        <w:rPr>
          <w:rFonts w:ascii="Calibri" w:eastAsia="Calibri" w:hAnsi="Calibri" w:cs="Calibri"/>
        </w:rPr>
        <w:t>colleagues</w:t>
      </w:r>
      <w:r w:rsidRPr="654DB122">
        <w:rPr>
          <w:rFonts w:ascii="Calibri" w:eastAsia="Calibri" w:hAnsi="Calibri" w:cs="Calibri"/>
        </w:rPr>
        <w:t xml:space="preserve"> the nature of her absence. According to the General Data Protection Regulation 2018 (GDPR) telling other employees (processing data) about Lucy’s medical condition (protected data) without consent and valid reason; would be classified as a data breach</w:t>
      </w:r>
      <w:r>
        <w:rPr>
          <w:rFonts w:ascii="Calibri" w:eastAsia="Calibri" w:hAnsi="Calibri" w:cs="Calibri"/>
        </w:rPr>
        <w:t xml:space="preserve"> </w:t>
      </w:r>
      <w:sdt>
        <w:sdtPr>
          <w:rPr>
            <w:rFonts w:ascii="Calibri" w:eastAsia="Calibri" w:hAnsi="Calibri" w:cs="Calibri"/>
          </w:rPr>
          <w:id w:val="955298083"/>
          <w:citation/>
        </w:sdtPr>
        <w:sdtContent>
          <w:r>
            <w:rPr>
              <w:rFonts w:ascii="Calibri" w:eastAsia="Calibri" w:hAnsi="Calibri" w:cs="Calibri"/>
            </w:rPr>
            <w:fldChar w:fldCharType="begin"/>
          </w:r>
          <w:r>
            <w:rPr>
              <w:rFonts w:ascii="Calibri" w:eastAsia="Calibri" w:hAnsi="Calibri" w:cs="Calibri"/>
            </w:rPr>
            <w:instrText xml:space="preserve"> CITATION ICO21 \l 2057 </w:instrText>
          </w:r>
          <w:r>
            <w:rPr>
              <w:rFonts w:ascii="Calibri" w:eastAsia="Calibri" w:hAnsi="Calibri" w:cs="Calibri"/>
            </w:rPr>
            <w:fldChar w:fldCharType="separate"/>
          </w:r>
          <w:r w:rsidR="00D31F30" w:rsidRPr="00D31F30">
            <w:rPr>
              <w:rFonts w:ascii="Calibri" w:eastAsia="Calibri" w:hAnsi="Calibri" w:cs="Calibri"/>
              <w:noProof/>
            </w:rPr>
            <w:t>(ICO, 2021)</w:t>
          </w:r>
          <w:r>
            <w:rPr>
              <w:rFonts w:ascii="Calibri" w:eastAsia="Calibri" w:hAnsi="Calibri" w:cs="Calibri"/>
            </w:rPr>
            <w:fldChar w:fldCharType="end"/>
          </w:r>
        </w:sdtContent>
      </w:sdt>
      <w:r w:rsidRPr="654DB122">
        <w:rPr>
          <w:rFonts w:ascii="Calibri" w:eastAsia="Calibri" w:hAnsi="Calibri" w:cs="Calibri"/>
        </w:rPr>
        <w:t xml:space="preserve">. You need to assess whether this is reportable to the Information Commissioners Office (ICO) who state that reportable breaches must be reported to the ICO within 72 hours of realising a breach has occurred. Here is a link: </w:t>
      </w:r>
      <w:hyperlink r:id="rId10" w:anchor="whatisa">
        <w:r w:rsidRPr="654DB122">
          <w:rPr>
            <w:rStyle w:val="Hyperlink"/>
            <w:rFonts w:ascii="Calibri" w:eastAsia="Calibri" w:hAnsi="Calibri" w:cs="Calibri"/>
          </w:rPr>
          <w:t xml:space="preserve">Personal data breaches | ICO </w:t>
        </w:r>
      </w:hyperlink>
      <w:r w:rsidRPr="654DB122">
        <w:rPr>
          <w:rFonts w:ascii="Calibri" w:eastAsia="Calibri" w:hAnsi="Calibri" w:cs="Calibri"/>
        </w:rPr>
        <w:t xml:space="preserve"> </w:t>
      </w:r>
    </w:p>
    <w:p w14:paraId="032236C7" w14:textId="68DC8AA1" w:rsidR="00C26CE3" w:rsidRDefault="00A851E8" w:rsidP="00D31F30">
      <w:pPr>
        <w:spacing w:line="360" w:lineRule="auto"/>
        <w:ind w:left="0" w:firstLine="0"/>
        <w:rPr>
          <w:rFonts w:ascii="Calibri" w:eastAsia="Calibri" w:hAnsi="Calibri" w:cs="Calibri"/>
        </w:rPr>
      </w:pPr>
      <w:r w:rsidRPr="654DB122">
        <w:rPr>
          <w:rFonts w:ascii="Calibri" w:eastAsia="Calibri" w:hAnsi="Calibri" w:cs="Calibri"/>
        </w:rPr>
        <w:t xml:space="preserve">As Lucy has raised a grievance specifically </w:t>
      </w:r>
      <w:r>
        <w:rPr>
          <w:rFonts w:ascii="Calibri" w:eastAsia="Calibri" w:hAnsi="Calibri" w:cs="Calibri"/>
        </w:rPr>
        <w:t>about</w:t>
      </w:r>
      <w:r w:rsidRPr="654DB122">
        <w:rPr>
          <w:rFonts w:ascii="Calibri" w:eastAsia="Calibri" w:hAnsi="Calibri" w:cs="Calibri"/>
        </w:rPr>
        <w:t xml:space="preserve"> the line manager disclosing this information, you will need to investigate the breach and take appropriate action as part of the grievance process outlined later in this email.</w:t>
      </w:r>
    </w:p>
    <w:p w14:paraId="6FBF37AC" w14:textId="77777777" w:rsidR="00C26CE3" w:rsidRDefault="00C26CE3">
      <w:pPr>
        <w:rPr>
          <w:rFonts w:ascii="Calibri" w:eastAsia="Calibri" w:hAnsi="Calibri" w:cs="Calibri"/>
        </w:rPr>
      </w:pPr>
      <w:r>
        <w:rPr>
          <w:rFonts w:ascii="Calibri" w:eastAsia="Calibri" w:hAnsi="Calibri" w:cs="Calibri"/>
        </w:rPr>
        <w:br w:type="page"/>
      </w:r>
    </w:p>
    <w:p w14:paraId="529C1DC6" w14:textId="77777777" w:rsidR="00A851E8" w:rsidRDefault="00A851E8" w:rsidP="00D31F30">
      <w:pPr>
        <w:spacing w:line="360" w:lineRule="auto"/>
        <w:ind w:left="0" w:firstLine="0"/>
        <w:rPr>
          <w:rFonts w:ascii="Calibri" w:eastAsia="Calibri" w:hAnsi="Calibri" w:cs="Calibri"/>
          <w:b/>
          <w:bCs/>
        </w:rPr>
      </w:pPr>
      <w:r w:rsidRPr="654DB122">
        <w:rPr>
          <w:rFonts w:ascii="Calibri" w:eastAsia="Calibri" w:hAnsi="Calibri" w:cs="Calibri"/>
          <w:b/>
          <w:bCs/>
        </w:rPr>
        <w:lastRenderedPageBreak/>
        <w:t>2) Also, what general advice would you give on keeping records of staff absence due to illness, shielding</w:t>
      </w:r>
      <w:r>
        <w:rPr>
          <w:rFonts w:ascii="Calibri" w:eastAsia="Calibri" w:hAnsi="Calibri" w:cs="Calibri"/>
          <w:b/>
          <w:bCs/>
        </w:rPr>
        <w:t>,</w:t>
      </w:r>
      <w:r w:rsidRPr="654DB122">
        <w:rPr>
          <w:rFonts w:ascii="Calibri" w:eastAsia="Calibri" w:hAnsi="Calibri" w:cs="Calibri"/>
          <w:b/>
          <w:bCs/>
        </w:rPr>
        <w:t xml:space="preserve"> or self-isolation</w:t>
      </w:r>
    </w:p>
    <w:p w14:paraId="4A2F1896" w14:textId="20126B43" w:rsidR="00A851E8" w:rsidRPr="008D6D48" w:rsidRDefault="00A851E8" w:rsidP="00D31F30">
      <w:pPr>
        <w:spacing w:line="360" w:lineRule="auto"/>
        <w:ind w:left="0" w:firstLine="0"/>
        <w:rPr>
          <w:rFonts w:ascii="Calibri" w:eastAsia="Calibri" w:hAnsi="Calibri" w:cs="Calibri"/>
          <w:color w:val="FF0000"/>
        </w:rPr>
      </w:pPr>
      <w:r>
        <w:rPr>
          <w:rFonts w:ascii="Calibri" w:eastAsia="Calibri" w:hAnsi="Calibri" w:cs="Calibri"/>
        </w:rPr>
        <w:t xml:space="preserve">Whilst still employed, you are entitled to retain records relating to all absences as you have a duty of care and a right to manage absence. This includes records relating to shielding and self-isolation due to Covid-19. Sensitive personal data has to be kept secure and should only be accessed on a need-to-know basis i.e. Line Manager and HR </w:t>
      </w:r>
      <w:sdt>
        <w:sdtPr>
          <w:rPr>
            <w:rFonts w:ascii="Calibri" w:eastAsia="Calibri" w:hAnsi="Calibri" w:cs="Calibri"/>
          </w:rPr>
          <w:id w:val="-1296913886"/>
          <w:citation/>
        </w:sdtPr>
        <w:sdtContent>
          <w:r>
            <w:rPr>
              <w:rFonts w:ascii="Calibri" w:eastAsia="Calibri" w:hAnsi="Calibri" w:cs="Calibri"/>
            </w:rPr>
            <w:fldChar w:fldCharType="begin"/>
          </w:r>
          <w:r>
            <w:rPr>
              <w:rFonts w:ascii="Calibri" w:eastAsia="Calibri" w:hAnsi="Calibri" w:cs="Calibri"/>
            </w:rPr>
            <w:instrText xml:space="preserve"> CITATION GOV213 \l 2057 </w:instrText>
          </w:r>
          <w:r>
            <w:rPr>
              <w:rFonts w:ascii="Calibri" w:eastAsia="Calibri" w:hAnsi="Calibri" w:cs="Calibri"/>
            </w:rPr>
            <w:fldChar w:fldCharType="separate"/>
          </w:r>
          <w:r w:rsidR="00D31F30" w:rsidRPr="00D31F30">
            <w:rPr>
              <w:rFonts w:ascii="Calibri" w:eastAsia="Calibri" w:hAnsi="Calibri" w:cs="Calibri"/>
              <w:noProof/>
            </w:rPr>
            <w:t>(GOV.UK, 2021)</w:t>
          </w:r>
          <w:r>
            <w:rPr>
              <w:rFonts w:ascii="Calibri" w:eastAsia="Calibri" w:hAnsi="Calibri" w:cs="Calibri"/>
            </w:rPr>
            <w:fldChar w:fldCharType="end"/>
          </w:r>
        </w:sdtContent>
      </w:sdt>
      <w:r>
        <w:rPr>
          <w:rFonts w:ascii="Calibri" w:eastAsia="Calibri" w:hAnsi="Calibri" w:cs="Calibri"/>
        </w:rPr>
        <w:t>.</w:t>
      </w:r>
    </w:p>
    <w:p w14:paraId="0BCF134E" w14:textId="4FAA39B8" w:rsidR="00A851E8" w:rsidRPr="00FC6619" w:rsidRDefault="00A851E8" w:rsidP="00D31F30">
      <w:pPr>
        <w:spacing w:line="360" w:lineRule="auto"/>
        <w:ind w:left="0" w:firstLine="0"/>
        <w:rPr>
          <w:rFonts w:ascii="Calibri" w:eastAsia="Calibri" w:hAnsi="Calibri" w:cs="Calibri"/>
          <w:color w:val="FF0000"/>
        </w:rPr>
      </w:pPr>
      <w:r>
        <w:rPr>
          <w:rFonts w:ascii="Calibri" w:eastAsia="Calibri" w:hAnsi="Calibri" w:cs="Calibri"/>
        </w:rPr>
        <w:t xml:space="preserve">Once employment has ended, there is no real need to retain medical information like this beyond 6 to 12 months as disability/illness type claims should be made within 4 months of employment ending. </w:t>
      </w:r>
      <w:r w:rsidRPr="00FC6619">
        <w:rPr>
          <w:rFonts w:ascii="Calibri" w:eastAsia="Calibri" w:hAnsi="Calibri" w:cs="Calibri"/>
        </w:rPr>
        <w:t>The only reason you would keep medical records for longer than 12 months would be if you anticipated a personal injury claim which should be made within 3 years</w:t>
      </w:r>
      <w:r>
        <w:rPr>
          <w:rFonts w:ascii="Calibri" w:eastAsia="Calibri" w:hAnsi="Calibri" w:cs="Calibri"/>
        </w:rPr>
        <w:t xml:space="preserve"> </w:t>
      </w:r>
      <w:sdt>
        <w:sdtPr>
          <w:rPr>
            <w:rFonts w:ascii="Calibri" w:eastAsia="Calibri" w:hAnsi="Calibri" w:cs="Calibri"/>
          </w:rPr>
          <w:id w:val="-1161232756"/>
          <w:citation/>
        </w:sdtPr>
        <w:sdtContent>
          <w:r>
            <w:rPr>
              <w:rFonts w:ascii="Calibri" w:eastAsia="Calibri" w:hAnsi="Calibri" w:cs="Calibri"/>
            </w:rPr>
            <w:fldChar w:fldCharType="begin"/>
          </w:r>
          <w:r>
            <w:rPr>
              <w:rFonts w:ascii="Calibri" w:eastAsia="Calibri" w:hAnsi="Calibri" w:cs="Calibri"/>
            </w:rPr>
            <w:instrText xml:space="preserve"> CITATION EHR201 \l 2057 </w:instrText>
          </w:r>
          <w:r>
            <w:rPr>
              <w:rFonts w:ascii="Calibri" w:eastAsia="Calibri" w:hAnsi="Calibri" w:cs="Calibri"/>
            </w:rPr>
            <w:fldChar w:fldCharType="separate"/>
          </w:r>
          <w:r w:rsidR="00D31F30" w:rsidRPr="00D31F30">
            <w:rPr>
              <w:rFonts w:ascii="Calibri" w:eastAsia="Calibri" w:hAnsi="Calibri" w:cs="Calibri"/>
              <w:noProof/>
            </w:rPr>
            <w:t>(EHRC, 2020)</w:t>
          </w:r>
          <w:r>
            <w:rPr>
              <w:rFonts w:ascii="Calibri" w:eastAsia="Calibri" w:hAnsi="Calibri" w:cs="Calibri"/>
            </w:rPr>
            <w:fldChar w:fldCharType="end"/>
          </w:r>
        </w:sdtContent>
      </w:sdt>
      <w:r>
        <w:rPr>
          <w:rFonts w:ascii="Calibri" w:eastAsia="Calibri" w:hAnsi="Calibri" w:cs="Calibri"/>
        </w:rPr>
        <w:t>.</w:t>
      </w:r>
    </w:p>
    <w:p w14:paraId="22243E87" w14:textId="77777777" w:rsidR="00A851E8" w:rsidRDefault="00A851E8" w:rsidP="00D31F30">
      <w:pPr>
        <w:spacing w:line="360" w:lineRule="auto"/>
        <w:ind w:left="0" w:firstLine="0"/>
      </w:pPr>
      <w:r w:rsidRPr="654DB122">
        <w:rPr>
          <w:rFonts w:ascii="Calibri" w:eastAsia="Calibri" w:hAnsi="Calibri" w:cs="Calibri"/>
          <w:b/>
          <w:bCs/>
        </w:rPr>
        <w:t>3) How should I deal with her grievance</w:t>
      </w:r>
      <w:r>
        <w:rPr>
          <w:rFonts w:ascii="Calibri" w:eastAsia="Calibri" w:hAnsi="Calibri" w:cs="Calibri"/>
          <w:b/>
          <w:bCs/>
        </w:rPr>
        <w:t>?</w:t>
      </w:r>
    </w:p>
    <w:p w14:paraId="637F7471" w14:textId="77777777"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Firstly I would suggest that you share with Lucy your grievance policy and confirm whether she does want to raise a grievance or if she would like you to attempt to resolve the issue </w:t>
      </w:r>
      <w:r w:rsidRPr="00721BA3">
        <w:rPr>
          <w:rStyle w:val="normaltextrun"/>
          <w:rFonts w:ascii="Calibri" w:hAnsi="Calibri" w:cs="Calibri"/>
          <w:i/>
          <w:iCs/>
          <w:color w:val="000000"/>
          <w:shd w:val="clear" w:color="auto" w:fill="FFFFFF"/>
        </w:rPr>
        <w:t>informally</w:t>
      </w:r>
      <w:r>
        <w:rPr>
          <w:rStyle w:val="normaltextrun"/>
          <w:rFonts w:ascii="Calibri" w:hAnsi="Calibri" w:cs="Calibri"/>
          <w:color w:val="000000"/>
          <w:shd w:val="clear" w:color="auto" w:fill="FFFFFF"/>
        </w:rPr>
        <w:t xml:space="preserve"> instead. </w:t>
      </w:r>
    </w:p>
    <w:p w14:paraId="2BA3041E" w14:textId="77777777"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Having not seen your Grievance Policy, I am setting out my advice based on the ACAS Code of Practice </w:t>
      </w:r>
      <w:r w:rsidRPr="00395955">
        <w:rPr>
          <w:rStyle w:val="normaltextrun"/>
          <w:rFonts w:ascii="Calibri" w:hAnsi="Calibri" w:cs="Calibri"/>
          <w:color w:val="000000"/>
          <w:shd w:val="clear" w:color="auto" w:fill="FFFFFF"/>
        </w:rPr>
        <w:t>on disciplinary and grievance procedures</w:t>
      </w:r>
      <w:r>
        <w:rPr>
          <w:rStyle w:val="normaltextrun"/>
          <w:rFonts w:ascii="Calibri" w:hAnsi="Calibri" w:cs="Calibri"/>
          <w:color w:val="000000"/>
          <w:shd w:val="clear" w:color="auto" w:fill="FFFFFF"/>
        </w:rPr>
        <w:t xml:space="preserve"> (2015). This code of practice is concerning section 199 of the Trade Union and Labour Relations (Consolidation) Act 1992, which came into effect in 2015.</w:t>
      </w:r>
    </w:p>
    <w:p w14:paraId="27E1D069" w14:textId="28D64ECF"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Please note failure to follow the code, won’t make you/the organisation liable to proceedings however if any grievance did escalate to a tribunal, the tribunal has the authority to adjust any awards by up to 25% </w:t>
      </w:r>
      <w:sdt>
        <w:sdtPr>
          <w:rPr>
            <w:rStyle w:val="normaltextrun"/>
            <w:rFonts w:ascii="Calibri" w:hAnsi="Calibri" w:cs="Calibri"/>
            <w:color w:val="000000"/>
            <w:shd w:val="clear" w:color="auto" w:fill="FFFFFF"/>
          </w:rPr>
          <w:id w:val="-408616043"/>
          <w:citation/>
        </w:sdtPr>
        <w:sdtContent>
          <w:r>
            <w:rPr>
              <w:rStyle w:val="normaltextrun"/>
              <w:rFonts w:ascii="Calibri" w:hAnsi="Calibri" w:cs="Calibri"/>
              <w:color w:val="000000"/>
              <w:shd w:val="clear" w:color="auto" w:fill="FFFFFF"/>
            </w:rPr>
            <w:fldChar w:fldCharType="begin"/>
          </w:r>
          <w:r>
            <w:rPr>
              <w:rStyle w:val="normaltextrun"/>
              <w:rFonts w:ascii="Calibri" w:hAnsi="Calibri" w:cs="Calibri"/>
              <w:color w:val="000000"/>
              <w:shd w:val="clear" w:color="auto" w:fill="FFFFFF"/>
            </w:rPr>
            <w:instrText xml:space="preserve"> CITATION Cit21 \l 2057 </w:instrText>
          </w:r>
          <w:r>
            <w:rPr>
              <w:rStyle w:val="normaltextrun"/>
              <w:rFonts w:ascii="Calibri" w:hAnsi="Calibri" w:cs="Calibri"/>
              <w:color w:val="000000"/>
              <w:shd w:val="clear" w:color="auto" w:fill="FFFFFF"/>
            </w:rPr>
            <w:fldChar w:fldCharType="separate"/>
          </w:r>
          <w:r w:rsidR="00D31F30" w:rsidRPr="00D31F30">
            <w:rPr>
              <w:rFonts w:ascii="Calibri" w:hAnsi="Calibri" w:cs="Calibri"/>
              <w:noProof/>
              <w:color w:val="000000"/>
              <w:shd w:val="clear" w:color="auto" w:fill="FFFFFF"/>
            </w:rPr>
            <w:t>(Citizens Advice, 2021)</w:t>
          </w:r>
          <w:r>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w:t>
      </w:r>
    </w:p>
    <w:p w14:paraId="1D0519FF" w14:textId="77777777"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The following advice is on the assumption that Lucy subsequently provides you with a written grievance:</w:t>
      </w:r>
    </w:p>
    <w:p w14:paraId="67C31AE9"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Appoint personnel to manage the process</w:t>
      </w:r>
    </w:p>
    <w:p w14:paraId="42EC3D3A" w14:textId="77777777" w:rsidR="00A851E8" w:rsidRPr="001E797A" w:rsidRDefault="00A851E8" w:rsidP="00D31F30">
      <w:pPr>
        <w:pStyle w:val="ListParagraph"/>
        <w:numPr>
          <w:ilvl w:val="0"/>
          <w:numId w:val="21"/>
        </w:numPr>
        <w:spacing w:line="360" w:lineRule="auto"/>
        <w:rPr>
          <w:rStyle w:val="normaltextrun"/>
          <w:rFonts w:ascii="Calibri" w:hAnsi="Calibri" w:cs="Calibri"/>
          <w:color w:val="000000"/>
          <w:shd w:val="clear" w:color="auto" w:fill="FFFFFF"/>
        </w:rPr>
      </w:pPr>
      <w:r w:rsidRPr="001E797A">
        <w:rPr>
          <w:rStyle w:val="normaltextrun"/>
          <w:rFonts w:ascii="Calibri" w:hAnsi="Calibri" w:cs="Calibri"/>
          <w:color w:val="000000"/>
          <w:shd w:val="clear" w:color="auto" w:fill="FFFFFF"/>
        </w:rPr>
        <w:t>There are essentially three appointments you need to arrange:</w:t>
      </w:r>
    </w:p>
    <w:p w14:paraId="7BF5B913" w14:textId="77777777" w:rsidR="00A851E8" w:rsidRDefault="00A851E8" w:rsidP="00D31F30">
      <w:pPr>
        <w:pStyle w:val="ListParagraph"/>
        <w:numPr>
          <w:ilvl w:val="0"/>
          <w:numId w:val="22"/>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Investigative officer</w:t>
      </w:r>
    </w:p>
    <w:p w14:paraId="1CCA1A65" w14:textId="77777777" w:rsidR="00A851E8" w:rsidRDefault="00A851E8" w:rsidP="00D31F30">
      <w:pPr>
        <w:pStyle w:val="ListParagraph"/>
        <w:numPr>
          <w:ilvl w:val="0"/>
          <w:numId w:val="22"/>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Disciplinary Manager (should it escalate to disciplinary)</w:t>
      </w:r>
    </w:p>
    <w:p w14:paraId="10635E59" w14:textId="77777777" w:rsidR="00A851E8" w:rsidRDefault="00A851E8" w:rsidP="00D31F30">
      <w:pPr>
        <w:pStyle w:val="ListParagraph"/>
        <w:numPr>
          <w:ilvl w:val="0"/>
          <w:numId w:val="22"/>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Appeals Manager (should an appeal be made)</w:t>
      </w:r>
    </w:p>
    <w:p w14:paraId="4F274503" w14:textId="77777777" w:rsidR="00A851E8" w:rsidRPr="001E797A" w:rsidRDefault="00A851E8" w:rsidP="00D31F30">
      <w:pPr>
        <w:pStyle w:val="ListParagraph"/>
        <w:numPr>
          <w:ilvl w:val="0"/>
          <w:numId w:val="21"/>
        </w:numPr>
        <w:spacing w:line="360" w:lineRule="auto"/>
        <w:rPr>
          <w:rStyle w:val="normaltextrun"/>
          <w:rFonts w:ascii="Calibri" w:hAnsi="Calibri" w:cs="Calibri"/>
          <w:color w:val="000000"/>
          <w:shd w:val="clear" w:color="auto" w:fill="FFFFFF"/>
        </w:rPr>
      </w:pPr>
      <w:r w:rsidRPr="001E797A">
        <w:rPr>
          <w:rStyle w:val="normaltextrun"/>
          <w:rFonts w:ascii="Calibri" w:hAnsi="Calibri" w:cs="Calibri"/>
          <w:color w:val="000000"/>
          <w:shd w:val="clear" w:color="auto" w:fill="FFFFFF"/>
        </w:rPr>
        <w:lastRenderedPageBreak/>
        <w:t>Each person should not be involved in the initial complaint or any part of the preceding element</w:t>
      </w:r>
      <w:r>
        <w:rPr>
          <w:rStyle w:val="normaltextrun"/>
          <w:rFonts w:ascii="Calibri" w:hAnsi="Calibri" w:cs="Calibri"/>
          <w:color w:val="000000"/>
          <w:shd w:val="clear" w:color="auto" w:fill="FFFFFF"/>
        </w:rPr>
        <w:t>s</w:t>
      </w:r>
      <w:r w:rsidRPr="001E797A">
        <w:rPr>
          <w:rStyle w:val="normaltextrun"/>
          <w:rFonts w:ascii="Calibri" w:hAnsi="Calibri" w:cs="Calibri"/>
          <w:color w:val="000000"/>
          <w:shd w:val="clear" w:color="auto" w:fill="FFFFFF"/>
        </w:rPr>
        <w:t xml:space="preserve"> of the process.</w:t>
      </w:r>
      <w:r>
        <w:rPr>
          <w:rStyle w:val="normaltextrun"/>
          <w:rFonts w:ascii="Calibri" w:hAnsi="Calibri" w:cs="Calibri"/>
          <w:color w:val="000000"/>
          <w:shd w:val="clear" w:color="auto" w:fill="FFFFFF"/>
        </w:rPr>
        <w:br/>
      </w:r>
    </w:p>
    <w:p w14:paraId="308F6546"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 xml:space="preserve">Arrange to meet and discuss the grievance </w:t>
      </w:r>
    </w:p>
    <w:p w14:paraId="082CF876" w14:textId="77777777" w:rsidR="00A851E8" w:rsidRPr="001E797A" w:rsidRDefault="00A851E8" w:rsidP="00D31F30">
      <w:pPr>
        <w:pStyle w:val="ListParagraph"/>
        <w:numPr>
          <w:ilvl w:val="0"/>
          <w:numId w:val="20"/>
        </w:numPr>
        <w:spacing w:line="360" w:lineRule="auto"/>
        <w:rPr>
          <w:rStyle w:val="normaltextrun"/>
          <w:rFonts w:ascii="Calibri" w:hAnsi="Calibri" w:cs="Calibri"/>
          <w:color w:val="000000"/>
          <w:shd w:val="clear" w:color="auto" w:fill="FFFFFF"/>
        </w:rPr>
      </w:pPr>
      <w:r w:rsidRPr="001E797A">
        <w:rPr>
          <w:rStyle w:val="normaltextrun"/>
          <w:rFonts w:ascii="Calibri" w:hAnsi="Calibri" w:cs="Calibri"/>
          <w:color w:val="000000"/>
          <w:shd w:val="clear" w:color="auto" w:fill="FFFFFF"/>
        </w:rPr>
        <w:t>Write to Lucy, advising her:</w:t>
      </w:r>
    </w:p>
    <w:p w14:paraId="40448C07" w14:textId="77777777" w:rsidR="00A851E8" w:rsidRDefault="00A851E8" w:rsidP="00D31F30">
      <w:pPr>
        <w:pStyle w:val="ListParagraph"/>
        <w:numPr>
          <w:ilvl w:val="1"/>
          <w:numId w:val="20"/>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 xml:space="preserve">Who </w:t>
      </w:r>
      <w:r w:rsidRPr="0087708F">
        <w:rPr>
          <w:rStyle w:val="normaltextrun"/>
          <w:rFonts w:ascii="Calibri" w:hAnsi="Calibri" w:cs="Calibri"/>
          <w:color w:val="000000"/>
          <w:shd w:val="clear" w:color="auto" w:fill="FFFFFF"/>
        </w:rPr>
        <w:t>the investigative officer</w:t>
      </w:r>
      <w:r>
        <w:rPr>
          <w:rStyle w:val="normaltextrun"/>
          <w:rFonts w:ascii="Calibri" w:hAnsi="Calibri" w:cs="Calibri"/>
          <w:color w:val="000000"/>
          <w:shd w:val="clear" w:color="auto" w:fill="FFFFFF"/>
        </w:rPr>
        <w:t xml:space="preserve"> is</w:t>
      </w:r>
      <w:r w:rsidRPr="0087708F">
        <w:rPr>
          <w:rStyle w:val="normaltextrun"/>
          <w:rFonts w:ascii="Calibri" w:hAnsi="Calibri" w:cs="Calibri"/>
          <w:color w:val="000000"/>
          <w:shd w:val="clear" w:color="auto" w:fill="FFFFFF"/>
        </w:rPr>
        <w:t xml:space="preserve">, </w:t>
      </w:r>
    </w:p>
    <w:p w14:paraId="20BCB51F" w14:textId="77777777" w:rsidR="00A851E8" w:rsidRDefault="00A851E8" w:rsidP="00D31F30">
      <w:pPr>
        <w:pStyle w:val="ListParagraph"/>
        <w:numPr>
          <w:ilvl w:val="1"/>
          <w:numId w:val="20"/>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P</w:t>
      </w:r>
      <w:r w:rsidRPr="0087708F">
        <w:rPr>
          <w:rStyle w:val="normaltextrun"/>
          <w:rFonts w:ascii="Calibri" w:hAnsi="Calibri" w:cs="Calibri"/>
          <w:color w:val="000000"/>
          <w:shd w:val="clear" w:color="auto" w:fill="FFFFFF"/>
        </w:rPr>
        <w:t xml:space="preserve">ropose a meeting date at the earliest possible convenience </w:t>
      </w:r>
    </w:p>
    <w:p w14:paraId="027D322B" w14:textId="77777777" w:rsidR="00A851E8" w:rsidRDefault="00A851E8" w:rsidP="00D31F30">
      <w:pPr>
        <w:pStyle w:val="ListParagraph"/>
        <w:numPr>
          <w:ilvl w:val="1"/>
          <w:numId w:val="20"/>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State she has the</w:t>
      </w:r>
      <w:r w:rsidRPr="0087708F">
        <w:rPr>
          <w:rStyle w:val="normaltextrun"/>
          <w:rFonts w:ascii="Calibri" w:hAnsi="Calibri" w:cs="Calibri"/>
          <w:color w:val="000000"/>
          <w:shd w:val="clear" w:color="auto" w:fill="FFFFFF"/>
        </w:rPr>
        <w:t xml:space="preserve"> statutory right to bring a companion to the meeting</w:t>
      </w:r>
    </w:p>
    <w:p w14:paraId="17FA4F2D" w14:textId="77777777" w:rsidR="00A851E8" w:rsidRDefault="00A851E8" w:rsidP="00D31F30">
      <w:pPr>
        <w:pStyle w:val="ListParagraph"/>
        <w:numPr>
          <w:ilvl w:val="1"/>
          <w:numId w:val="20"/>
        </w:numPr>
        <w:spacing w:line="360" w:lineRule="auto"/>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Ask her to notify you if she is bringing a companion and who that person is so that you can ensure they are available to attend</w:t>
      </w:r>
    </w:p>
    <w:p w14:paraId="78BC23A0" w14:textId="77777777" w:rsidR="00A851E8" w:rsidRPr="001E797A" w:rsidRDefault="00A851E8" w:rsidP="00D31F30">
      <w:pPr>
        <w:pStyle w:val="ListParagraph"/>
        <w:numPr>
          <w:ilvl w:val="0"/>
          <w:numId w:val="20"/>
        </w:numPr>
        <w:spacing w:line="360" w:lineRule="auto"/>
        <w:rPr>
          <w:rStyle w:val="normaltextrun"/>
          <w:rFonts w:ascii="Calibri" w:hAnsi="Calibri" w:cs="Calibri"/>
          <w:color w:val="000000"/>
          <w:shd w:val="clear" w:color="auto" w:fill="FFFFFF"/>
        </w:rPr>
      </w:pPr>
      <w:r w:rsidRPr="001E797A">
        <w:rPr>
          <w:rStyle w:val="normaltextrun"/>
          <w:rFonts w:ascii="Calibri" w:hAnsi="Calibri" w:cs="Calibri"/>
          <w:color w:val="000000"/>
          <w:shd w:val="clear" w:color="auto" w:fill="FFFFFF"/>
        </w:rPr>
        <w:t xml:space="preserve">If the chosen companion is unable to attend the proposed meeting date, you will need to postpone and re-arrange within five days of the original date. </w:t>
      </w:r>
      <w:r>
        <w:rPr>
          <w:rStyle w:val="normaltextrun"/>
          <w:rFonts w:ascii="Calibri" w:hAnsi="Calibri" w:cs="Calibri"/>
          <w:color w:val="000000"/>
          <w:shd w:val="clear" w:color="auto" w:fill="FFFFFF"/>
        </w:rPr>
        <w:br/>
      </w:r>
    </w:p>
    <w:p w14:paraId="64AF9D65"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Meet to discuss the grievance</w:t>
      </w:r>
    </w:p>
    <w:p w14:paraId="403617AA" w14:textId="77777777" w:rsidR="00A851E8" w:rsidRPr="0016667E" w:rsidRDefault="00A851E8" w:rsidP="00D31F30">
      <w:pPr>
        <w:pStyle w:val="ListParagraph"/>
        <w:numPr>
          <w:ilvl w:val="0"/>
          <w:numId w:val="19"/>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During the meeting</w:t>
      </w:r>
      <w:r>
        <w:rPr>
          <w:rStyle w:val="normaltextrun"/>
          <w:rFonts w:ascii="Calibri" w:hAnsi="Calibri" w:cs="Calibri"/>
          <w:color w:val="000000"/>
          <w:shd w:val="clear" w:color="auto" w:fill="FFFFFF"/>
        </w:rPr>
        <w:t>,</w:t>
      </w:r>
      <w:r w:rsidRPr="0016667E">
        <w:rPr>
          <w:rStyle w:val="normaltextrun"/>
          <w:rFonts w:ascii="Calibri" w:hAnsi="Calibri" w:cs="Calibri"/>
          <w:color w:val="000000"/>
          <w:shd w:val="clear" w:color="auto" w:fill="FFFFFF"/>
        </w:rPr>
        <w:t xml:space="preserve"> the investigator will need to confirm the nature of the grievance and ask how Lucy thinks this should be resolved. </w:t>
      </w:r>
    </w:p>
    <w:p w14:paraId="7636A4C7" w14:textId="77777777" w:rsidR="00A851E8" w:rsidRDefault="00A851E8" w:rsidP="00D31F30">
      <w:pPr>
        <w:pStyle w:val="ListParagraph"/>
        <w:numPr>
          <w:ilvl w:val="0"/>
          <w:numId w:val="19"/>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Please note that during the meeting the companion can respond to any views expressed or to summarise Lucy’s case but they cannot</w:t>
      </w:r>
      <w:r>
        <w:rPr>
          <w:rStyle w:val="normaltextrun"/>
          <w:rFonts w:ascii="Calibri" w:hAnsi="Calibri" w:cs="Calibri"/>
          <w:color w:val="000000"/>
          <w:shd w:val="clear" w:color="auto" w:fill="FFFFFF"/>
        </w:rPr>
        <w:t>, however,</w:t>
      </w:r>
      <w:r w:rsidRPr="0016667E">
        <w:rPr>
          <w:rStyle w:val="normaltextrun"/>
          <w:rFonts w:ascii="Calibri" w:hAnsi="Calibri" w:cs="Calibri"/>
          <w:color w:val="000000"/>
          <w:shd w:val="clear" w:color="auto" w:fill="FFFFFF"/>
        </w:rPr>
        <w:t xml:space="preserve"> answer questions on her behalf or prevent the investigator from explaining anything. </w:t>
      </w:r>
    </w:p>
    <w:p w14:paraId="295C6633" w14:textId="77777777" w:rsidR="00A851E8" w:rsidRPr="0016667E" w:rsidRDefault="00A851E8" w:rsidP="00D31F30">
      <w:pPr>
        <w:pStyle w:val="ListParagraph"/>
        <w:spacing w:line="360" w:lineRule="auto"/>
        <w:ind w:firstLine="0"/>
        <w:rPr>
          <w:rStyle w:val="normaltextrun"/>
          <w:rFonts w:ascii="Calibri" w:hAnsi="Calibri" w:cs="Calibri"/>
          <w:color w:val="000000"/>
          <w:shd w:val="clear" w:color="auto" w:fill="FFFFFF"/>
        </w:rPr>
      </w:pPr>
    </w:p>
    <w:p w14:paraId="58C96866"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Investigate the issues raised</w:t>
      </w:r>
    </w:p>
    <w:p w14:paraId="41B701E6" w14:textId="77777777" w:rsidR="00A851E8" w:rsidRDefault="00A851E8" w:rsidP="00D31F30">
      <w:pPr>
        <w:pStyle w:val="ListParagraph"/>
        <w:numPr>
          <w:ilvl w:val="0"/>
          <w:numId w:val="18"/>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After the meeting</w:t>
      </w:r>
      <w:r>
        <w:rPr>
          <w:rStyle w:val="normaltextrun"/>
          <w:rFonts w:ascii="Calibri" w:hAnsi="Calibri" w:cs="Calibri"/>
          <w:color w:val="000000"/>
          <w:shd w:val="clear" w:color="auto" w:fill="FFFFFF"/>
        </w:rPr>
        <w:t>,</w:t>
      </w:r>
      <w:r w:rsidRPr="0016667E">
        <w:rPr>
          <w:rStyle w:val="normaltextrun"/>
          <w:rFonts w:ascii="Calibri" w:hAnsi="Calibri" w:cs="Calibri"/>
          <w:color w:val="000000"/>
          <w:shd w:val="clear" w:color="auto" w:fill="FFFFFF"/>
        </w:rPr>
        <w:t xml:space="preserve"> the investigator may need to gather further information from other sources to make recommendations. Recommendations could be</w:t>
      </w:r>
      <w:r>
        <w:rPr>
          <w:rStyle w:val="normaltextrun"/>
          <w:rFonts w:ascii="Calibri" w:hAnsi="Calibri" w:cs="Calibri"/>
          <w:color w:val="000000"/>
          <w:shd w:val="clear" w:color="auto" w:fill="FFFFFF"/>
        </w:rPr>
        <w:t>,</w:t>
      </w:r>
      <w:r w:rsidRPr="0016667E">
        <w:rPr>
          <w:rStyle w:val="normaltextrun"/>
          <w:rFonts w:ascii="Calibri" w:hAnsi="Calibri" w:cs="Calibri"/>
          <w:color w:val="000000"/>
          <w:shd w:val="clear" w:color="auto" w:fill="FFFFFF"/>
        </w:rPr>
        <w:t xml:space="preserve"> for example, to amend policies and processes or if they suspect a person is at fault, they may recommend that the Disciplinary Procedure i</w:t>
      </w:r>
      <w:r>
        <w:rPr>
          <w:rStyle w:val="normaltextrun"/>
          <w:rFonts w:ascii="Calibri" w:hAnsi="Calibri" w:cs="Calibri"/>
          <w:color w:val="000000"/>
          <w:shd w:val="clear" w:color="auto" w:fill="FFFFFF"/>
        </w:rPr>
        <w:t>s</w:t>
      </w:r>
      <w:r w:rsidRPr="0016667E">
        <w:rPr>
          <w:rStyle w:val="normaltextrun"/>
          <w:rFonts w:ascii="Calibri" w:hAnsi="Calibri" w:cs="Calibri"/>
          <w:color w:val="000000"/>
          <w:shd w:val="clear" w:color="auto" w:fill="FFFFFF"/>
        </w:rPr>
        <w:t xml:space="preserve"> followed. </w:t>
      </w:r>
    </w:p>
    <w:p w14:paraId="24D09D2A" w14:textId="77777777" w:rsidR="00A851E8" w:rsidRPr="0016667E" w:rsidRDefault="00A851E8" w:rsidP="00D31F30">
      <w:pPr>
        <w:pStyle w:val="ListParagraph"/>
        <w:spacing w:line="360" w:lineRule="auto"/>
        <w:ind w:firstLine="0"/>
        <w:rPr>
          <w:rStyle w:val="normaltextrun"/>
          <w:rFonts w:ascii="Calibri" w:hAnsi="Calibri" w:cs="Calibri"/>
          <w:color w:val="000000"/>
          <w:shd w:val="clear" w:color="auto" w:fill="FFFFFF"/>
        </w:rPr>
      </w:pPr>
    </w:p>
    <w:p w14:paraId="722A081B"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Decide on appropriate action</w:t>
      </w:r>
    </w:p>
    <w:p w14:paraId="5185E852" w14:textId="77777777" w:rsidR="00A851E8" w:rsidRPr="0016667E" w:rsidRDefault="00A851E8" w:rsidP="00D31F30">
      <w:pPr>
        <w:pStyle w:val="ListParagraph"/>
        <w:numPr>
          <w:ilvl w:val="0"/>
          <w:numId w:val="17"/>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 xml:space="preserve">The decision should be communicated to the employee, in writing, without delay. The response can include the actions you will take to resolve the grievance. </w:t>
      </w:r>
    </w:p>
    <w:p w14:paraId="192E7D04" w14:textId="77777777" w:rsidR="00A851E8" w:rsidRDefault="00A851E8" w:rsidP="00D31F30">
      <w:pPr>
        <w:pStyle w:val="ListParagraph"/>
        <w:numPr>
          <w:ilvl w:val="0"/>
          <w:numId w:val="17"/>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The investigator will need to explain their findings, their decision and notify Lucy of her right to appeal should she disagree with the action taken.</w:t>
      </w:r>
    </w:p>
    <w:p w14:paraId="277EB329" w14:textId="77777777" w:rsidR="00A851E8" w:rsidRPr="0016667E" w:rsidRDefault="00A851E8" w:rsidP="00D31F30">
      <w:pPr>
        <w:pStyle w:val="ListParagraph"/>
        <w:spacing w:line="360" w:lineRule="auto"/>
        <w:ind w:firstLine="0"/>
        <w:rPr>
          <w:rStyle w:val="normaltextrun"/>
          <w:rFonts w:ascii="Calibri" w:hAnsi="Calibri" w:cs="Calibri"/>
          <w:color w:val="000000"/>
          <w:shd w:val="clear" w:color="auto" w:fill="FFFFFF"/>
        </w:rPr>
      </w:pPr>
    </w:p>
    <w:p w14:paraId="42ABE1EB" w14:textId="77777777" w:rsidR="00A851E8" w:rsidRPr="00EB7B29" w:rsidRDefault="00A851E8" w:rsidP="00D31F30">
      <w:pPr>
        <w:pStyle w:val="ListParagraph"/>
        <w:numPr>
          <w:ilvl w:val="0"/>
          <w:numId w:val="15"/>
        </w:numPr>
        <w:spacing w:line="360" w:lineRule="auto"/>
        <w:rPr>
          <w:rStyle w:val="normaltextrun"/>
          <w:rFonts w:ascii="Calibri" w:hAnsi="Calibri" w:cs="Calibri"/>
          <w:color w:val="000000"/>
          <w:shd w:val="clear" w:color="auto" w:fill="FFFFFF"/>
        </w:rPr>
      </w:pPr>
      <w:r w:rsidRPr="00EB7B29">
        <w:rPr>
          <w:rStyle w:val="normaltextrun"/>
          <w:rFonts w:ascii="Calibri" w:hAnsi="Calibri" w:cs="Calibri"/>
          <w:color w:val="000000"/>
          <w:shd w:val="clear" w:color="auto" w:fill="FFFFFF"/>
        </w:rPr>
        <w:t>Offer an appeal</w:t>
      </w:r>
    </w:p>
    <w:p w14:paraId="5706CCC9" w14:textId="77777777" w:rsidR="00A851E8" w:rsidRPr="0016667E" w:rsidRDefault="00A851E8" w:rsidP="00D31F30">
      <w:pPr>
        <w:pStyle w:val="ListParagraph"/>
        <w:numPr>
          <w:ilvl w:val="0"/>
          <w:numId w:val="16"/>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 xml:space="preserve">If Lucy wishes to appeal, she will need to submit this in writing without delay. </w:t>
      </w:r>
    </w:p>
    <w:p w14:paraId="3AEB21BF" w14:textId="77777777" w:rsidR="00A851E8" w:rsidRPr="0016667E" w:rsidRDefault="00A851E8" w:rsidP="00D31F30">
      <w:pPr>
        <w:pStyle w:val="ListParagraph"/>
        <w:numPr>
          <w:ilvl w:val="0"/>
          <w:numId w:val="16"/>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lastRenderedPageBreak/>
        <w:t>The appeal will need to be heard as soon as possible by the aforementioned person in point 1 above.</w:t>
      </w:r>
    </w:p>
    <w:p w14:paraId="697A7759" w14:textId="77777777" w:rsidR="00A851E8" w:rsidRDefault="00A851E8" w:rsidP="00D31F30">
      <w:pPr>
        <w:pStyle w:val="ListParagraph"/>
        <w:numPr>
          <w:ilvl w:val="0"/>
          <w:numId w:val="16"/>
        </w:numPr>
        <w:spacing w:line="360" w:lineRule="auto"/>
        <w:rPr>
          <w:rStyle w:val="normaltextrun"/>
          <w:rFonts w:ascii="Calibri" w:hAnsi="Calibri" w:cs="Calibri"/>
          <w:color w:val="000000"/>
          <w:shd w:val="clear" w:color="auto" w:fill="FFFFFF"/>
        </w:rPr>
      </w:pPr>
      <w:r w:rsidRPr="0016667E">
        <w:rPr>
          <w:rStyle w:val="normaltextrun"/>
          <w:rFonts w:ascii="Calibri" w:hAnsi="Calibri" w:cs="Calibri"/>
          <w:color w:val="000000"/>
          <w:shd w:val="clear" w:color="auto" w:fill="FFFFFF"/>
        </w:rPr>
        <w:t>Lucy will have the right to be accompanied to the appeal hearing.</w:t>
      </w:r>
    </w:p>
    <w:p w14:paraId="1A417ECE" w14:textId="77777777" w:rsidR="00A851E8" w:rsidRPr="004F7D14" w:rsidRDefault="00A851E8" w:rsidP="00D31F30">
      <w:pPr>
        <w:pStyle w:val="ListParagraph"/>
        <w:numPr>
          <w:ilvl w:val="0"/>
          <w:numId w:val="16"/>
        </w:numPr>
        <w:spacing w:line="360" w:lineRule="auto"/>
        <w:rPr>
          <w:rStyle w:val="normaltextrun"/>
          <w:rFonts w:ascii="Calibri" w:hAnsi="Calibri" w:cs="Calibri"/>
          <w:color w:val="000000"/>
          <w:shd w:val="clear" w:color="auto" w:fill="FFFFFF"/>
        </w:rPr>
      </w:pPr>
      <w:r w:rsidRPr="004F7D14">
        <w:rPr>
          <w:rStyle w:val="normaltextrun"/>
          <w:rFonts w:ascii="Calibri" w:hAnsi="Calibri" w:cs="Calibri"/>
          <w:color w:val="000000"/>
          <w:shd w:val="clear" w:color="auto" w:fill="FFFFFF"/>
        </w:rPr>
        <w:t>The outcome of the appeal should be provided to Lucy in writing without delay.</w:t>
      </w:r>
      <w:r w:rsidRPr="004F7D14">
        <w:rPr>
          <w:rStyle w:val="normaltextrun"/>
          <w:rFonts w:ascii="Calibri" w:hAnsi="Calibri" w:cs="Calibri"/>
          <w:color w:val="000000"/>
          <w:shd w:val="clear" w:color="auto" w:fill="FFFFFF"/>
        </w:rPr>
        <w:br/>
      </w:r>
      <w:r w:rsidRPr="004F7D14">
        <w:rPr>
          <w:rStyle w:val="normaltextrun"/>
          <w:rFonts w:ascii="Calibri" w:hAnsi="Calibri" w:cs="Calibri"/>
          <w:color w:val="000000"/>
          <w:shd w:val="clear" w:color="auto" w:fill="FFFFFF"/>
        </w:rPr>
        <w:br/>
      </w:r>
    </w:p>
    <w:p w14:paraId="5DAA66C5" w14:textId="77777777" w:rsidR="00A851E8" w:rsidRPr="00EB7B29" w:rsidRDefault="00A851E8" w:rsidP="00D31F30">
      <w:pPr>
        <w:pStyle w:val="ListParagraph"/>
        <w:numPr>
          <w:ilvl w:val="0"/>
          <w:numId w:val="23"/>
        </w:numPr>
        <w:spacing w:line="360" w:lineRule="auto"/>
        <w:rPr>
          <w:rFonts w:ascii="Calibri" w:eastAsia="Calibri" w:hAnsi="Calibri" w:cs="Calibri"/>
          <w:b/>
          <w:bCs/>
        </w:rPr>
      </w:pPr>
      <w:r>
        <w:rPr>
          <w:rFonts w:ascii="Calibri" w:eastAsia="Calibri" w:hAnsi="Calibri" w:cs="Calibri"/>
          <w:b/>
          <w:bCs/>
        </w:rPr>
        <w:t>A</w:t>
      </w:r>
      <w:r w:rsidRPr="00EB7B29">
        <w:rPr>
          <w:rFonts w:ascii="Calibri" w:eastAsia="Calibri" w:hAnsi="Calibri" w:cs="Calibri"/>
          <w:b/>
          <w:bCs/>
        </w:rPr>
        <w:t>m I allowed to continue with return to work meetings?</w:t>
      </w:r>
    </w:p>
    <w:p w14:paraId="6D358DC6" w14:textId="4EF78BFA" w:rsidR="00A851E8" w:rsidRPr="00471985" w:rsidRDefault="00A851E8" w:rsidP="00D31F30">
      <w:pPr>
        <w:spacing w:line="360" w:lineRule="auto"/>
        <w:ind w:left="0" w:firstLine="0"/>
        <w:rPr>
          <w:rStyle w:val="normaltextrun"/>
          <w:rFonts w:ascii="Calibri" w:hAnsi="Calibri" w:cs="Calibri"/>
          <w:color w:val="FF0000"/>
          <w:shd w:val="clear" w:color="auto" w:fill="FFFFFF"/>
        </w:rPr>
      </w:pPr>
      <w:r>
        <w:rPr>
          <w:rStyle w:val="normaltextrun"/>
          <w:rFonts w:ascii="Calibri" w:hAnsi="Calibri" w:cs="Calibri"/>
          <w:color w:val="000000"/>
          <w:shd w:val="clear" w:color="auto" w:fill="FFFFFF"/>
        </w:rPr>
        <w:t xml:space="preserve">Yes. The practice of holding return to work meetings is a legitimate practise and it would be fair for an employer to assert their need to hold these meetings to comply with the HSE and to fulfil their duty of care to all employees. Return to work meetings provides an ideal opportunity to assess the health, wellbeing, and safety of employees and to make any reasonable adjustments </w:t>
      </w:r>
      <w:sdt>
        <w:sdtPr>
          <w:rPr>
            <w:rStyle w:val="normaltextrun"/>
            <w:rFonts w:ascii="Calibri" w:hAnsi="Calibri" w:cs="Calibri"/>
            <w:color w:val="000000"/>
            <w:shd w:val="clear" w:color="auto" w:fill="FFFFFF"/>
          </w:rPr>
          <w:id w:val="1586411764"/>
          <w:citation/>
        </w:sdtPr>
        <w:sdtContent>
          <w:r>
            <w:rPr>
              <w:rStyle w:val="normaltextrun"/>
              <w:rFonts w:ascii="Calibri" w:hAnsi="Calibri" w:cs="Calibri"/>
              <w:color w:val="000000"/>
              <w:shd w:val="clear" w:color="auto" w:fill="FFFFFF"/>
            </w:rPr>
            <w:fldChar w:fldCharType="begin"/>
          </w:r>
          <w:r>
            <w:rPr>
              <w:rStyle w:val="normaltextrun"/>
              <w:rFonts w:ascii="Calibri" w:hAnsi="Calibri" w:cs="Calibri"/>
              <w:color w:val="000000"/>
              <w:shd w:val="clear" w:color="auto" w:fill="FFFFFF"/>
            </w:rPr>
            <w:instrText xml:space="preserve"> CITATION HSE211 \l 2057 </w:instrText>
          </w:r>
          <w:r>
            <w:rPr>
              <w:rStyle w:val="normaltextrun"/>
              <w:rFonts w:ascii="Calibri" w:hAnsi="Calibri" w:cs="Calibri"/>
              <w:color w:val="000000"/>
              <w:shd w:val="clear" w:color="auto" w:fill="FFFFFF"/>
            </w:rPr>
            <w:fldChar w:fldCharType="separate"/>
          </w:r>
          <w:r w:rsidR="00D31F30" w:rsidRPr="00D31F30">
            <w:rPr>
              <w:rFonts w:ascii="Calibri" w:hAnsi="Calibri" w:cs="Calibri"/>
              <w:noProof/>
              <w:color w:val="000000"/>
              <w:shd w:val="clear" w:color="auto" w:fill="FFFFFF"/>
            </w:rPr>
            <w:t>(HSE, 2021)</w:t>
          </w:r>
          <w:r>
            <w:rPr>
              <w:rStyle w:val="normaltextrun"/>
              <w:rFonts w:ascii="Calibri" w:hAnsi="Calibri" w:cs="Calibri"/>
              <w:color w:val="000000"/>
              <w:shd w:val="clear" w:color="auto" w:fill="FFFFFF"/>
            </w:rPr>
            <w:fldChar w:fldCharType="end"/>
          </w:r>
        </w:sdtContent>
      </w:sdt>
      <w:r>
        <w:rPr>
          <w:rStyle w:val="normaltextrun"/>
          <w:rFonts w:ascii="Calibri" w:hAnsi="Calibri" w:cs="Calibri"/>
          <w:color w:val="000000"/>
          <w:shd w:val="clear" w:color="auto" w:fill="FFFFFF"/>
        </w:rPr>
        <w:t>.</w:t>
      </w:r>
    </w:p>
    <w:p w14:paraId="3A8CC896" w14:textId="77777777"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Lucy’s health condition and her need to shield due to Covid-19 warrants a legitimate reason to hold such a meeting and it is in Lucy’s own best interest.</w:t>
      </w:r>
    </w:p>
    <w:p w14:paraId="45F7EC72" w14:textId="77777777" w:rsidR="00A851E8" w:rsidRDefault="00A851E8" w:rsidP="00D31F30">
      <w:pPr>
        <w:spacing w:line="360" w:lineRule="auto"/>
        <w:ind w:left="0" w:firstLine="0"/>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If you have any further questions, please don’t hesitate to get in touch.</w:t>
      </w:r>
    </w:p>
    <w:p w14:paraId="5336B5F8" w14:textId="77777777" w:rsidR="00A851E8" w:rsidRPr="00B95E36" w:rsidRDefault="00A851E8" w:rsidP="00D31F30">
      <w:pPr>
        <w:spacing w:line="360" w:lineRule="auto"/>
        <w:ind w:left="0" w:firstLine="0"/>
        <w:rPr>
          <w:rStyle w:val="normaltextrun"/>
          <w:rFonts w:ascii="Calibri" w:hAnsi="Calibri" w:cs="Calibri"/>
          <w:b/>
          <w:bCs/>
          <w:color w:val="000000"/>
          <w:shd w:val="clear" w:color="auto" w:fill="FFFFFF"/>
        </w:rPr>
      </w:pPr>
      <w:r w:rsidRPr="00B95E36">
        <w:rPr>
          <w:rStyle w:val="normaltextrun"/>
          <w:rFonts w:ascii="Calibri" w:hAnsi="Calibri" w:cs="Calibri"/>
          <w:b/>
          <w:bCs/>
          <w:color w:val="000000"/>
          <w:shd w:val="clear" w:color="auto" w:fill="FFFFFF"/>
        </w:rPr>
        <w:t xml:space="preserve">Gemma Littlejohns, </w:t>
      </w:r>
      <w:r w:rsidRPr="00B95E36">
        <w:rPr>
          <w:rStyle w:val="normaltextrun"/>
          <w:rFonts w:ascii="Calibri" w:hAnsi="Calibri" w:cs="Calibri"/>
          <w:b/>
          <w:bCs/>
          <w:i/>
          <w:iCs/>
          <w:color w:val="000000"/>
          <w:sz w:val="20"/>
          <w:szCs w:val="20"/>
          <w:shd w:val="clear" w:color="auto" w:fill="FFFFFF"/>
        </w:rPr>
        <w:t>Assoc CIPD</w:t>
      </w:r>
    </w:p>
    <w:p w14:paraId="4B539CE3" w14:textId="7F77080D" w:rsidR="00D31F30" w:rsidRDefault="00A851E8" w:rsidP="00D31F30">
      <w:pPr>
        <w:spacing w:line="360" w:lineRule="auto"/>
      </w:pPr>
      <w:r>
        <w:t>End.</w:t>
      </w:r>
    </w:p>
    <w:p w14:paraId="147CDFCC" w14:textId="77777777" w:rsidR="00D31F30" w:rsidRDefault="00D31F30">
      <w:r>
        <w:br w:type="page"/>
      </w:r>
    </w:p>
    <w:p w14:paraId="1D5C7812" w14:textId="7058AD37" w:rsidR="003D4008" w:rsidRDefault="00D31F30" w:rsidP="00D31F30">
      <w:pPr>
        <w:spacing w:line="360" w:lineRule="auto"/>
        <w:rPr>
          <w:b/>
          <w:bCs/>
        </w:rPr>
      </w:pPr>
      <w:r w:rsidRPr="00D31F30">
        <w:rPr>
          <w:b/>
          <w:bCs/>
        </w:rPr>
        <w:lastRenderedPageBreak/>
        <w:t>List of relevant cases</w:t>
      </w:r>
    </w:p>
    <w:p w14:paraId="33EFF3C4" w14:textId="762E2005" w:rsidR="00930F30" w:rsidRDefault="00930F30" w:rsidP="00D31F30">
      <w:pPr>
        <w:spacing w:line="360" w:lineRule="auto"/>
      </w:pPr>
      <w:r w:rsidRPr="00930F30">
        <w:t>Blackburn v Aldi Stores Ltd</w:t>
      </w:r>
      <w:r>
        <w:t xml:space="preserve"> (2013) </w:t>
      </w:r>
      <w:r w:rsidRPr="00930F30">
        <w:t>UKEAT/0185/12/JOJ</w:t>
      </w:r>
    </w:p>
    <w:p w14:paraId="2A201984" w14:textId="2C0EF71F" w:rsidR="00930F30" w:rsidRPr="00930F30" w:rsidRDefault="00930F30" w:rsidP="00D31F30">
      <w:pPr>
        <w:spacing w:line="360" w:lineRule="auto"/>
      </w:pPr>
      <w:r w:rsidRPr="00930F30">
        <w:t>British Home Stores Limited v Burchell</w:t>
      </w:r>
      <w:r>
        <w:t xml:space="preserve"> </w:t>
      </w:r>
      <w:r>
        <w:t>(</w:t>
      </w:r>
      <w:r w:rsidRPr="00930F30">
        <w:t>1978</w:t>
      </w:r>
      <w:r>
        <w:t>)</w:t>
      </w:r>
      <w:r>
        <w:t xml:space="preserve"> UKEAT/108/78</w:t>
      </w:r>
      <w:r w:rsidRPr="00930F30">
        <w:t xml:space="preserve"> </w:t>
      </w:r>
    </w:p>
    <w:p w14:paraId="2D49F7C0" w14:textId="409823F5" w:rsidR="00930F30" w:rsidRDefault="00930F30" w:rsidP="00D31F30">
      <w:pPr>
        <w:spacing w:line="360" w:lineRule="auto"/>
      </w:pPr>
      <w:r w:rsidRPr="00930F30">
        <w:t>Cavendish Munro Professional Risks Management Limited v Geduld</w:t>
      </w:r>
      <w:r w:rsidRPr="00930F30">
        <w:t xml:space="preserve"> (2007)</w:t>
      </w:r>
    </w:p>
    <w:p w14:paraId="27A84C0A" w14:textId="59919347" w:rsidR="00930F30" w:rsidRPr="00930F30" w:rsidRDefault="00930F30" w:rsidP="00D31F30">
      <w:pPr>
        <w:spacing w:line="360" w:lineRule="auto"/>
      </w:pPr>
      <w:r w:rsidRPr="00930F30">
        <w:t>Grange v Abellio London Ltd</w:t>
      </w:r>
      <w:r w:rsidRPr="00930F30">
        <w:t xml:space="preserve"> </w:t>
      </w:r>
      <w:r w:rsidRPr="00930F30">
        <w:t>(2018) UKEAT/0304/17/JOJ</w:t>
      </w:r>
      <w:r w:rsidRPr="00930F30">
        <w:t xml:space="preserve"> </w:t>
      </w:r>
    </w:p>
    <w:p w14:paraId="09B37AA5" w14:textId="6E76825F" w:rsidR="00930F30" w:rsidRPr="00930F30" w:rsidRDefault="00930F30" w:rsidP="00D31F30">
      <w:pPr>
        <w:spacing w:line="360" w:lineRule="auto"/>
      </w:pPr>
      <w:r w:rsidRPr="00930F30">
        <w:t>Hallett</w:t>
      </w:r>
      <w:r>
        <w:t xml:space="preserve"> v</w:t>
      </w:r>
      <w:r w:rsidRPr="00930F30">
        <w:t xml:space="preserve"> Derby Hospitals NHS Foundation Trust</w:t>
      </w:r>
      <w:r>
        <w:t xml:space="preserve"> (2019)</w:t>
      </w:r>
    </w:p>
    <w:p w14:paraId="441E84D8" w14:textId="226D821D" w:rsidR="00930F30" w:rsidRPr="00930F30" w:rsidRDefault="00930F30" w:rsidP="00930F30">
      <w:pPr>
        <w:spacing w:line="360" w:lineRule="auto"/>
      </w:pPr>
      <w:r w:rsidRPr="00930F30">
        <w:t>MBNA Ltd v Mr M Jones</w:t>
      </w:r>
      <w:r>
        <w:t xml:space="preserve"> </w:t>
      </w:r>
      <w:r>
        <w:t>(2015)</w:t>
      </w:r>
      <w:r w:rsidRPr="00930F30">
        <w:t xml:space="preserve"> UKEAT/0120/15/MC</w:t>
      </w:r>
      <w:r w:rsidRPr="00930F30">
        <w:t xml:space="preserve"> </w:t>
      </w:r>
    </w:p>
    <w:p w14:paraId="52813BF6" w14:textId="00E0B696" w:rsidR="00930F30" w:rsidRDefault="00930F30" w:rsidP="00D31F30">
      <w:pPr>
        <w:spacing w:line="360" w:lineRule="auto"/>
      </w:pPr>
      <w:proofErr w:type="spellStart"/>
      <w:r w:rsidRPr="00930F30">
        <w:t>Polkey</w:t>
      </w:r>
      <w:proofErr w:type="spellEnd"/>
      <w:r w:rsidRPr="00930F30">
        <w:t xml:space="preserve"> v AE Dayton Services Ltd </w:t>
      </w:r>
      <w:r>
        <w:t>(</w:t>
      </w:r>
      <w:r w:rsidRPr="00930F30">
        <w:t>1987</w:t>
      </w:r>
      <w:r>
        <w:t>)</w:t>
      </w:r>
    </w:p>
    <w:p w14:paraId="47C93F88" w14:textId="55B02143" w:rsidR="00930F30" w:rsidRPr="00930F30" w:rsidRDefault="00930F30" w:rsidP="00D31F30">
      <w:pPr>
        <w:spacing w:line="360" w:lineRule="auto"/>
      </w:pPr>
      <w:r w:rsidRPr="00930F30">
        <w:t xml:space="preserve">XC Trains Ltd v CD &amp; Anor </w:t>
      </w:r>
      <w:r>
        <w:t xml:space="preserve">(2016) </w:t>
      </w:r>
      <w:r w:rsidRPr="00930F30">
        <w:t>UKEAT/0331/15</w:t>
      </w:r>
    </w:p>
    <w:p w14:paraId="5985F381" w14:textId="02DB7675" w:rsidR="00D31F30" w:rsidRPr="00930F30" w:rsidRDefault="00D31F30">
      <w:r w:rsidRPr="00930F30">
        <w:br w:type="page"/>
      </w:r>
    </w:p>
    <w:p w14:paraId="385C0AC5" w14:textId="6BFD834F" w:rsidR="00D31F30" w:rsidRDefault="00D31F30" w:rsidP="00D31F30">
      <w:pPr>
        <w:spacing w:line="360" w:lineRule="auto"/>
        <w:rPr>
          <w:b/>
          <w:bCs/>
        </w:rPr>
      </w:pPr>
      <w:r>
        <w:rPr>
          <w:b/>
          <w:bCs/>
        </w:rPr>
        <w:lastRenderedPageBreak/>
        <w:t>References</w:t>
      </w:r>
    </w:p>
    <w:sdt>
      <w:sdtPr>
        <w:id w:val="1112408272"/>
        <w:docPartObj>
          <w:docPartGallery w:val="Bibliographies"/>
          <w:docPartUnique/>
        </w:docPartObj>
      </w:sdtPr>
      <w:sdtContent>
        <w:sdt>
          <w:sdtPr>
            <w:id w:val="-573587230"/>
            <w:bibliography/>
          </w:sdtPr>
          <w:sdtContent>
            <w:p w14:paraId="5A31A8E9" w14:textId="1FF69754" w:rsidR="00D31F30" w:rsidRPr="00D31F30" w:rsidRDefault="00D31F30" w:rsidP="00D31F30">
              <w:pPr>
                <w:ind w:left="0" w:firstLine="0"/>
                <w:rPr>
                  <w:noProof/>
                  <w:sz w:val="24"/>
                  <w:szCs w:val="24"/>
                </w:rPr>
              </w:pPr>
              <w:r>
                <w:rPr>
                  <w:noProof/>
                </w:rPr>
                <w:t xml:space="preserve">ACAS.b, (2021). </w:t>
              </w:r>
              <w:r w:rsidRPr="00D31F30">
                <w:rPr>
                  <w:i/>
                  <w:iCs/>
                  <w:noProof/>
                </w:rPr>
                <w:t xml:space="preserve">Early conciliation. </w:t>
              </w:r>
              <w:r>
                <w:rPr>
                  <w:noProof/>
                </w:rPr>
                <w:t xml:space="preserve">[Online] Available at: </w:t>
              </w:r>
              <w:hyperlink r:id="rId11" w:history="1">
                <w:r w:rsidR="006440BA" w:rsidRPr="00473731">
                  <w:rPr>
                    <w:rStyle w:val="Hyperlink"/>
                    <w:noProof/>
                  </w:rPr>
                  <w:t>https://www.acas.org.uk/early-conciliation/if-youre-being-taken-to-an-employment-tribunal</w:t>
                </w:r>
              </w:hyperlink>
              <w:r w:rsidR="006440BA">
                <w:rPr>
                  <w:noProof/>
                  <w:u w:val="single"/>
                </w:rPr>
                <w:t xml:space="preserve"> </w:t>
              </w:r>
              <w:r>
                <w:rPr>
                  <w:noProof/>
                </w:rPr>
                <w:t>[Accessed 01 May 2021].</w:t>
              </w:r>
            </w:p>
            <w:p w14:paraId="3E29C73D" w14:textId="1E9D6A70" w:rsidR="00D31F30" w:rsidRDefault="00D31F30" w:rsidP="00D31F30">
              <w:pPr>
                <w:pStyle w:val="Bibliography"/>
                <w:ind w:left="0" w:firstLine="0"/>
                <w:rPr>
                  <w:noProof/>
                </w:rPr>
              </w:pPr>
              <w:r>
                <w:rPr>
                  <w:noProof/>
                </w:rPr>
                <w:t xml:space="preserve">ACAS, (2009). </w:t>
              </w:r>
              <w:r>
                <w:rPr>
                  <w:i/>
                  <w:iCs/>
                  <w:noProof/>
                </w:rPr>
                <w:t xml:space="preserve">Disciplinary and grievance procedures. </w:t>
              </w:r>
              <w:r>
                <w:rPr>
                  <w:noProof/>
                </w:rPr>
                <w:t xml:space="preserve">[Online] Available at: </w:t>
              </w:r>
              <w:hyperlink r:id="rId12" w:history="1">
                <w:r w:rsidR="006440BA" w:rsidRPr="00473731">
                  <w:rPr>
                    <w:rStyle w:val="Hyperlink"/>
                    <w:noProof/>
                  </w:rPr>
                  <w:t>https://www.acas.org.uk/disciplinary-and-grievance-procedures</w:t>
                </w:r>
              </w:hyperlink>
              <w:r w:rsidR="006440BA">
                <w:rPr>
                  <w:noProof/>
                  <w:u w:val="single"/>
                </w:rPr>
                <w:t xml:space="preserve"> </w:t>
              </w:r>
              <w:r>
                <w:rPr>
                  <w:noProof/>
                </w:rPr>
                <w:t>[Accessed 01 May 2021].</w:t>
              </w:r>
            </w:p>
            <w:p w14:paraId="63CD4BC5" w14:textId="03F75E35" w:rsidR="00D31F30" w:rsidRDefault="00D31F30" w:rsidP="00D31F30">
              <w:pPr>
                <w:pStyle w:val="Bibliography"/>
                <w:ind w:left="0" w:firstLine="0"/>
                <w:rPr>
                  <w:noProof/>
                </w:rPr>
              </w:pPr>
              <w:r>
                <w:rPr>
                  <w:noProof/>
                </w:rPr>
                <w:t xml:space="preserve">ACAS, (2020). </w:t>
              </w:r>
              <w:r>
                <w:rPr>
                  <w:i/>
                  <w:iCs/>
                  <w:noProof/>
                </w:rPr>
                <w:t xml:space="preserve">Responding to a flexible working request. </w:t>
              </w:r>
              <w:r>
                <w:rPr>
                  <w:noProof/>
                </w:rPr>
                <w:t xml:space="preserve">[Online] Available at: </w:t>
              </w:r>
              <w:hyperlink r:id="rId13" w:history="1">
                <w:r w:rsidR="006440BA" w:rsidRPr="00473731">
                  <w:rPr>
                    <w:rStyle w:val="Hyperlink"/>
                    <w:noProof/>
                  </w:rPr>
                  <w:t>https://www.acas.org.uk/responding-to-a-flexible-working-request</w:t>
                </w:r>
              </w:hyperlink>
              <w:r w:rsidR="006440BA">
                <w:rPr>
                  <w:noProof/>
                  <w:u w:val="single"/>
                </w:rPr>
                <w:t xml:space="preserve"> </w:t>
              </w:r>
              <w:r>
                <w:rPr>
                  <w:noProof/>
                </w:rPr>
                <w:t>[Accessed 08 May 2021].</w:t>
              </w:r>
            </w:p>
            <w:p w14:paraId="55E0B1E3" w14:textId="58864792" w:rsidR="00D31F30" w:rsidRDefault="00D31F30" w:rsidP="00D31F30">
              <w:pPr>
                <w:pStyle w:val="Bibliography"/>
                <w:ind w:left="0" w:firstLine="0"/>
                <w:rPr>
                  <w:noProof/>
                </w:rPr>
              </w:pPr>
              <w:r>
                <w:rPr>
                  <w:noProof/>
                </w:rPr>
                <w:t xml:space="preserve">ACAS, (2021). </w:t>
              </w:r>
              <w:r>
                <w:rPr>
                  <w:i/>
                  <w:iCs/>
                  <w:noProof/>
                </w:rPr>
                <w:t xml:space="preserve">Employment tribunals - compensatory award for unfair dismissal - should your compensation be increased?. </w:t>
              </w:r>
              <w:r>
                <w:rPr>
                  <w:noProof/>
                </w:rPr>
                <w:t>[Online]</w:t>
              </w:r>
              <w:r w:rsidR="006440BA">
                <w:rPr>
                  <w:noProof/>
                </w:rPr>
                <w:t xml:space="preserve"> </w:t>
              </w:r>
              <w:r>
                <w:rPr>
                  <w:noProof/>
                </w:rPr>
                <w:t xml:space="preserve">Available at: </w:t>
              </w:r>
              <w:hyperlink r:id="rId14" w:history="1">
                <w:r w:rsidR="006440BA" w:rsidRPr="00473731">
                  <w:rPr>
                    <w:rStyle w:val="Hyperlink"/>
                    <w:noProof/>
                  </w:rPr>
                  <w:t>https://www.citizensadvice.org.uk/work/problems-at-work/employment-tribunals-from-29-july-2013/employment-tribunals-valuing-a-claim/compensatory-award/calculating-the-compensatory-award/employment-tribunals-compensatory-award-for-unfair-dismissal-should-y</w:t>
                </w:r>
              </w:hyperlink>
              <w:r w:rsidR="006440BA">
                <w:rPr>
                  <w:noProof/>
                  <w:u w:val="single"/>
                </w:rPr>
                <w:t xml:space="preserve"> </w:t>
              </w:r>
              <w:r>
                <w:rPr>
                  <w:noProof/>
                </w:rPr>
                <w:t>[Accessed 01 May 2021].</w:t>
              </w:r>
            </w:p>
            <w:p w14:paraId="28152BD5" w14:textId="7F96AFA8" w:rsidR="00D31F30" w:rsidRDefault="00D31F30" w:rsidP="00D31F30">
              <w:pPr>
                <w:pStyle w:val="Bibliography"/>
                <w:ind w:left="0" w:firstLine="0"/>
                <w:rPr>
                  <w:noProof/>
                </w:rPr>
              </w:pPr>
              <w:r>
                <w:rPr>
                  <w:noProof/>
                </w:rPr>
                <w:t xml:space="preserve">BAILII, (2009). </w:t>
              </w:r>
              <w:r>
                <w:rPr>
                  <w:i/>
                  <w:iCs/>
                  <w:noProof/>
                </w:rPr>
                <w:t xml:space="preserve">United Kingdom Employment Appeal Tribunal. </w:t>
              </w:r>
              <w:r>
                <w:rPr>
                  <w:noProof/>
                </w:rPr>
                <w:t>[Online]</w:t>
              </w:r>
              <w:r w:rsidR="006440BA">
                <w:rPr>
                  <w:noProof/>
                </w:rPr>
                <w:t xml:space="preserve"> </w:t>
              </w:r>
              <w:r>
                <w:rPr>
                  <w:noProof/>
                </w:rPr>
                <w:t xml:space="preserve">Available at: </w:t>
              </w:r>
              <w:hyperlink r:id="rId15" w:history="1">
                <w:r w:rsidR="006440BA" w:rsidRPr="00473731">
                  <w:rPr>
                    <w:rStyle w:val="Hyperlink"/>
                    <w:noProof/>
                  </w:rPr>
                  <w:t>https://www.bailii.org/uk/cases/UKEAT/2009/0195_09_0608.html</w:t>
                </w:r>
              </w:hyperlink>
              <w:r w:rsidR="006440BA">
                <w:rPr>
                  <w:noProof/>
                  <w:u w:val="single"/>
                </w:rPr>
                <w:t xml:space="preserve"> </w:t>
              </w:r>
              <w:r>
                <w:rPr>
                  <w:noProof/>
                </w:rPr>
                <w:t>[Accessed 01 May 2021].</w:t>
              </w:r>
            </w:p>
            <w:p w14:paraId="4F3F401A" w14:textId="2956AF53" w:rsidR="00D31F30" w:rsidRDefault="00D31F30" w:rsidP="00D31F30">
              <w:pPr>
                <w:pStyle w:val="Bibliography"/>
                <w:ind w:left="0" w:firstLine="0"/>
                <w:rPr>
                  <w:noProof/>
                </w:rPr>
              </w:pPr>
              <w:r>
                <w:rPr>
                  <w:noProof/>
                </w:rPr>
                <w:t xml:space="preserve">Citizens Advice, (2020). </w:t>
              </w:r>
              <w:r>
                <w:rPr>
                  <w:i/>
                  <w:iCs/>
                  <w:noProof/>
                </w:rPr>
                <w:t xml:space="preserve">Tribunal trouble: How a backlogged tribunal system is stopping people enforcing their rights. </w:t>
              </w:r>
              <w:r>
                <w:rPr>
                  <w:noProof/>
                </w:rPr>
                <w:t>[Online]</w:t>
              </w:r>
              <w:r w:rsidR="006440BA">
                <w:rPr>
                  <w:noProof/>
                </w:rPr>
                <w:t xml:space="preserve"> </w:t>
              </w:r>
              <w:r>
                <w:rPr>
                  <w:noProof/>
                </w:rPr>
                <w:t xml:space="preserve">Available at: </w:t>
              </w:r>
              <w:hyperlink r:id="rId16" w:history="1">
                <w:r w:rsidR="006440BA" w:rsidRPr="00473731">
                  <w:rPr>
                    <w:rStyle w:val="Hyperlink"/>
                    <w:noProof/>
                  </w:rPr>
                  <w:t>https://www.citizensadvice.org.uk/about-us/our-work/policy/policy-research-topics/work-policy-research-surveys-and-consultation-responses/work-policy-research/tribunal-trouble-how-a-backlogged-tribunal-system-is-stopping-people-enforcing-their-rights/</w:t>
                </w:r>
              </w:hyperlink>
              <w:r w:rsidR="006440BA">
                <w:rPr>
                  <w:noProof/>
                  <w:u w:val="single"/>
                </w:rPr>
                <w:t xml:space="preserve"> </w:t>
              </w:r>
              <w:r>
                <w:rPr>
                  <w:noProof/>
                </w:rPr>
                <w:t>[Accessed 01 May 2021].</w:t>
              </w:r>
            </w:p>
            <w:p w14:paraId="488B085A" w14:textId="7A979918" w:rsidR="00D31F30" w:rsidRDefault="00D31F30" w:rsidP="00D31F30">
              <w:pPr>
                <w:pStyle w:val="Bibliography"/>
                <w:ind w:left="0" w:firstLine="0"/>
                <w:rPr>
                  <w:noProof/>
                </w:rPr>
              </w:pPr>
              <w:r>
                <w:rPr>
                  <w:noProof/>
                </w:rPr>
                <w:t xml:space="preserve">Citizens Advice, (2021). </w:t>
              </w:r>
              <w:r>
                <w:rPr>
                  <w:i/>
                  <w:iCs/>
                  <w:noProof/>
                </w:rPr>
                <w:t xml:space="preserve">Employment tribunals - compensatory award for unfair dismissal - should your compensation be increased?. </w:t>
              </w:r>
              <w:r>
                <w:rPr>
                  <w:noProof/>
                </w:rPr>
                <w:t>[Online]</w:t>
              </w:r>
              <w:r w:rsidR="006440BA">
                <w:rPr>
                  <w:noProof/>
                </w:rPr>
                <w:t xml:space="preserve"> </w:t>
              </w:r>
              <w:r>
                <w:rPr>
                  <w:noProof/>
                </w:rPr>
                <w:t xml:space="preserve">Available at: </w:t>
              </w:r>
              <w:hyperlink r:id="rId17" w:history="1">
                <w:r w:rsidR="006440BA" w:rsidRPr="00473731">
                  <w:rPr>
                    <w:rStyle w:val="Hyperlink"/>
                    <w:noProof/>
                  </w:rPr>
                  <w:t>https://www.citizensadvice.org.uk/work/problems-at-work/employment-tribunals-from-29-july-2013/employment-tribunals-valuing-a-claim/compensatory-award/calculating-the-compensatory-award/employment-tribunals-compensatory-award-for-unfair-dismissal-should-y</w:t>
                </w:r>
              </w:hyperlink>
              <w:r w:rsidR="006440BA">
                <w:rPr>
                  <w:noProof/>
                  <w:u w:val="single"/>
                </w:rPr>
                <w:t xml:space="preserve"> </w:t>
              </w:r>
              <w:r>
                <w:rPr>
                  <w:noProof/>
                </w:rPr>
                <w:t>[Accessed 08 May 2021].</w:t>
              </w:r>
            </w:p>
            <w:p w14:paraId="18CC358C" w14:textId="1F291E01" w:rsidR="00D31F30" w:rsidRDefault="00D31F30" w:rsidP="00D31F30">
              <w:pPr>
                <w:pStyle w:val="Bibliography"/>
                <w:ind w:left="0" w:firstLine="0"/>
                <w:rPr>
                  <w:noProof/>
                </w:rPr>
              </w:pPr>
              <w:r>
                <w:rPr>
                  <w:noProof/>
                </w:rPr>
                <w:t xml:space="preserve">Croner-i, (2017). </w:t>
              </w:r>
              <w:r>
                <w:rPr>
                  <w:i/>
                  <w:iCs/>
                  <w:noProof/>
                </w:rPr>
                <w:t xml:space="preserve">Breach of contract. </w:t>
              </w:r>
              <w:r>
                <w:rPr>
                  <w:noProof/>
                </w:rPr>
                <w:t>[Online]</w:t>
              </w:r>
              <w:r w:rsidR="006440BA">
                <w:rPr>
                  <w:noProof/>
                </w:rPr>
                <w:t xml:space="preserve"> </w:t>
              </w:r>
              <w:r>
                <w:rPr>
                  <w:noProof/>
                </w:rPr>
                <w:t xml:space="preserve">Available at: </w:t>
              </w:r>
              <w:hyperlink r:id="rId18" w:history="1">
                <w:r w:rsidR="006440BA" w:rsidRPr="00473731">
                  <w:rPr>
                    <w:rStyle w:val="Hyperlink"/>
                    <w:noProof/>
                  </w:rPr>
                  <w:t>https://app.croneri.co.uk/feature-articles/breach-contract#PO-HEADING-ID_ORCUMVFT30MP20G7SEYG</w:t>
                </w:r>
              </w:hyperlink>
              <w:r w:rsidR="006440BA">
                <w:rPr>
                  <w:noProof/>
                  <w:u w:val="single"/>
                </w:rPr>
                <w:t xml:space="preserve"> </w:t>
              </w:r>
              <w:r>
                <w:rPr>
                  <w:noProof/>
                </w:rPr>
                <w:t>[Accessed 08 May 2021].</w:t>
              </w:r>
            </w:p>
            <w:p w14:paraId="6D2EEEF5" w14:textId="5FCB9F96" w:rsidR="00D31F30" w:rsidRDefault="00D31F30" w:rsidP="00D31F30">
              <w:pPr>
                <w:pStyle w:val="Bibliography"/>
                <w:ind w:left="0" w:firstLine="0"/>
                <w:rPr>
                  <w:noProof/>
                </w:rPr>
              </w:pPr>
              <w:r>
                <w:rPr>
                  <w:noProof/>
                </w:rPr>
                <w:t xml:space="preserve">Croner-i, (2019). </w:t>
              </w:r>
              <w:r>
                <w:rPr>
                  <w:i/>
                  <w:iCs/>
                  <w:noProof/>
                </w:rPr>
                <w:t xml:space="preserve">Burchell t/a Bright Sights v Collins &amp; anr EAT 18 December 1997. </w:t>
              </w:r>
              <w:r>
                <w:rPr>
                  <w:noProof/>
                </w:rPr>
                <w:t xml:space="preserve">[Online] </w:t>
              </w:r>
              <w:r>
                <w:rPr>
                  <w:noProof/>
                </w:rPr>
                <w:br/>
                <w:t xml:space="preserve">Available at: </w:t>
              </w:r>
              <w:hyperlink r:id="rId19" w:history="1">
                <w:r w:rsidR="006440BA" w:rsidRPr="00473731">
                  <w:rPr>
                    <w:rStyle w:val="Hyperlink"/>
                    <w:noProof/>
                  </w:rPr>
                  <w:t>https://app.croneri.co.uk/law-and-guidance/case-reports/burchell-ta-bright-sights-v-collins-anr-eat-18-december-1997</w:t>
                </w:r>
              </w:hyperlink>
              <w:r w:rsidR="006440BA">
                <w:rPr>
                  <w:noProof/>
                  <w:u w:val="single"/>
                </w:rPr>
                <w:t xml:space="preserve"> </w:t>
              </w:r>
              <w:r>
                <w:rPr>
                  <w:noProof/>
                </w:rPr>
                <w:t>[Accessed 01 May 2021].</w:t>
              </w:r>
            </w:p>
            <w:p w14:paraId="3C922890" w14:textId="5A0F9E0B" w:rsidR="00D31F30" w:rsidRDefault="00D31F30" w:rsidP="00D31F30">
              <w:pPr>
                <w:pStyle w:val="Bibliography"/>
                <w:ind w:left="0" w:firstLine="0"/>
                <w:rPr>
                  <w:noProof/>
                </w:rPr>
              </w:pPr>
              <w:r>
                <w:rPr>
                  <w:noProof/>
                </w:rPr>
                <w:t xml:space="preserve">Daniels, K., (2019). </w:t>
              </w:r>
              <w:r>
                <w:rPr>
                  <w:i/>
                  <w:iCs/>
                  <w:noProof/>
                </w:rPr>
                <w:t xml:space="preserve">Introduction to Employment Law. </w:t>
              </w:r>
              <w:r>
                <w:rPr>
                  <w:noProof/>
                </w:rPr>
                <w:t>5 ed. London: Kogan Page.</w:t>
              </w:r>
            </w:p>
            <w:p w14:paraId="4E2AE405" w14:textId="315D0D88" w:rsidR="00D31F30" w:rsidRDefault="00D31F30" w:rsidP="00D31F30">
              <w:pPr>
                <w:pStyle w:val="Bibliography"/>
                <w:ind w:left="0" w:firstLine="0"/>
                <w:rPr>
                  <w:noProof/>
                </w:rPr>
              </w:pPr>
              <w:r>
                <w:rPr>
                  <w:noProof/>
                </w:rPr>
                <w:t xml:space="preserve">EHRC.a, (2020). </w:t>
              </w:r>
              <w:r>
                <w:rPr>
                  <w:i/>
                  <w:iCs/>
                  <w:noProof/>
                </w:rPr>
                <w:t xml:space="preserve">Time limits for discrimination claims. </w:t>
              </w:r>
              <w:r>
                <w:rPr>
                  <w:noProof/>
                </w:rPr>
                <w:t xml:space="preserve">[Online] Available at: </w:t>
              </w:r>
              <w:hyperlink r:id="rId20" w:history="1">
                <w:r w:rsidR="006440BA" w:rsidRPr="00473731">
                  <w:rPr>
                    <w:rStyle w:val="Hyperlink"/>
                    <w:noProof/>
                  </w:rPr>
                  <w:t>https://www.equalityhumanrights.com/en/advice-and-guidance/time-limits-discrimination-claims</w:t>
                </w:r>
              </w:hyperlink>
              <w:r w:rsidR="006440BA">
                <w:rPr>
                  <w:noProof/>
                  <w:u w:val="single"/>
                </w:rPr>
                <w:t xml:space="preserve"> </w:t>
              </w:r>
              <w:r>
                <w:rPr>
                  <w:noProof/>
                </w:rPr>
                <w:t>[Accessed 08 May 2021].</w:t>
              </w:r>
            </w:p>
            <w:p w14:paraId="5E7A6723" w14:textId="5CE5D0D2" w:rsidR="00D31F30" w:rsidRDefault="00D31F30" w:rsidP="00D31F30">
              <w:pPr>
                <w:pStyle w:val="Bibliography"/>
                <w:ind w:left="0" w:firstLine="0"/>
                <w:rPr>
                  <w:noProof/>
                </w:rPr>
              </w:pPr>
              <w:r>
                <w:rPr>
                  <w:noProof/>
                </w:rPr>
                <w:lastRenderedPageBreak/>
                <w:t xml:space="preserve">EHRC.b, (2020). </w:t>
              </w:r>
              <w:r>
                <w:rPr>
                  <w:i/>
                  <w:iCs/>
                  <w:noProof/>
                </w:rPr>
                <w:t xml:space="preserve">Your rights under the Equality Act 2010. </w:t>
              </w:r>
              <w:r>
                <w:rPr>
                  <w:noProof/>
                </w:rPr>
                <w:t>[Online]</w:t>
              </w:r>
              <w:r w:rsidR="006440BA">
                <w:rPr>
                  <w:noProof/>
                </w:rPr>
                <w:t xml:space="preserve"> </w:t>
              </w:r>
              <w:r>
                <w:rPr>
                  <w:noProof/>
                </w:rPr>
                <w:t xml:space="preserve">Available at: </w:t>
              </w:r>
              <w:hyperlink r:id="rId21" w:history="1">
                <w:r w:rsidR="006440BA" w:rsidRPr="00473731">
                  <w:rPr>
                    <w:rStyle w:val="Hyperlink"/>
                    <w:noProof/>
                  </w:rPr>
                  <w:t>https://www.equalityhumanrights.com/en/advice-and-guidance/your-rights-under-equality-act-2010</w:t>
                </w:r>
              </w:hyperlink>
              <w:r w:rsidR="006440BA">
                <w:rPr>
                  <w:noProof/>
                  <w:u w:val="single"/>
                </w:rPr>
                <w:t xml:space="preserve"> </w:t>
              </w:r>
              <w:r>
                <w:rPr>
                  <w:noProof/>
                </w:rPr>
                <w:t>[Accessed 08 May 2021].</w:t>
              </w:r>
            </w:p>
            <w:p w14:paraId="18D382F5" w14:textId="4071E919" w:rsidR="00D31F30" w:rsidRDefault="00D31F30" w:rsidP="00D31F30">
              <w:pPr>
                <w:pStyle w:val="Bibliography"/>
                <w:ind w:left="0" w:firstLine="0"/>
                <w:rPr>
                  <w:noProof/>
                </w:rPr>
              </w:pPr>
              <w:r>
                <w:rPr>
                  <w:noProof/>
                </w:rPr>
                <w:t xml:space="preserve">GOV.UK, (2020). </w:t>
              </w:r>
              <w:r>
                <w:rPr>
                  <w:i/>
                  <w:iCs/>
                  <w:noProof/>
                </w:rPr>
                <w:t xml:space="preserve">Employment tribunal procedure rules. </w:t>
              </w:r>
              <w:r>
                <w:rPr>
                  <w:noProof/>
                </w:rPr>
                <w:t>[Online]</w:t>
              </w:r>
              <w:r w:rsidR="006440BA">
                <w:rPr>
                  <w:noProof/>
                </w:rPr>
                <w:t xml:space="preserve"> </w:t>
              </w:r>
              <w:r>
                <w:rPr>
                  <w:noProof/>
                </w:rPr>
                <w:t xml:space="preserve">Available at: </w:t>
              </w:r>
              <w:hyperlink r:id="rId22" w:history="1">
                <w:r w:rsidR="006440BA" w:rsidRPr="00473731">
                  <w:rPr>
                    <w:rStyle w:val="Hyperlink"/>
                    <w:noProof/>
                  </w:rPr>
                  <w:t>https://assets.publishing.service.gov.uk/government/uploads/system/uploads/attachment_data/file/944801/employment-tribunal-rules-of-procedure.pdf</w:t>
                </w:r>
              </w:hyperlink>
              <w:r w:rsidR="006440BA">
                <w:rPr>
                  <w:noProof/>
                  <w:u w:val="single"/>
                </w:rPr>
                <w:t xml:space="preserve"> </w:t>
              </w:r>
              <w:r>
                <w:rPr>
                  <w:noProof/>
                </w:rPr>
                <w:t>[Accessed 01 May 2021].</w:t>
              </w:r>
            </w:p>
            <w:p w14:paraId="0553B14C" w14:textId="3702B1BE" w:rsidR="00D31F30" w:rsidRDefault="00D31F30" w:rsidP="00D31F30">
              <w:pPr>
                <w:pStyle w:val="Bibliography"/>
                <w:ind w:left="0" w:firstLine="0"/>
                <w:rPr>
                  <w:noProof/>
                </w:rPr>
              </w:pPr>
              <w:r>
                <w:rPr>
                  <w:noProof/>
                </w:rPr>
                <w:t xml:space="preserve">GOV.UK.a, (2021). </w:t>
              </w:r>
              <w:r>
                <w:rPr>
                  <w:i/>
                  <w:iCs/>
                  <w:noProof/>
                </w:rPr>
                <w:t xml:space="preserve">NHS Test and Trace in the workplace. </w:t>
              </w:r>
              <w:r>
                <w:rPr>
                  <w:noProof/>
                </w:rPr>
                <w:t xml:space="preserve">[Online] Available at: </w:t>
              </w:r>
              <w:hyperlink r:id="rId23" w:history="1">
                <w:r w:rsidR="006440BA" w:rsidRPr="00473731">
                  <w:rPr>
                    <w:rStyle w:val="Hyperlink"/>
                    <w:noProof/>
                  </w:rPr>
                  <w:t>https://www.gov.uk/guidance/nhs-test-and-trace-workplace-guidance</w:t>
                </w:r>
              </w:hyperlink>
              <w:r w:rsidR="006440BA">
                <w:rPr>
                  <w:noProof/>
                  <w:u w:val="single"/>
                </w:rPr>
                <w:t xml:space="preserve"> </w:t>
              </w:r>
              <w:r>
                <w:rPr>
                  <w:noProof/>
                </w:rPr>
                <w:t>[Accessed 08 May 2021].</w:t>
              </w:r>
            </w:p>
            <w:p w14:paraId="76C55E3D" w14:textId="6D6938AD" w:rsidR="00D31F30" w:rsidRDefault="00D31F30" w:rsidP="00D31F30">
              <w:pPr>
                <w:pStyle w:val="Bibliography"/>
                <w:ind w:left="0" w:firstLine="0"/>
                <w:rPr>
                  <w:noProof/>
                </w:rPr>
              </w:pPr>
              <w:r>
                <w:rPr>
                  <w:noProof/>
                </w:rPr>
                <w:t xml:space="preserve">GOV.UK.b, (2021). </w:t>
              </w:r>
              <w:r>
                <w:rPr>
                  <w:i/>
                  <w:iCs/>
                  <w:noProof/>
                </w:rPr>
                <w:t xml:space="preserve">Personal data an employer can keep about an employee. </w:t>
              </w:r>
              <w:r>
                <w:rPr>
                  <w:noProof/>
                </w:rPr>
                <w:t xml:space="preserve">[Online] </w:t>
              </w:r>
              <w:r>
                <w:rPr>
                  <w:noProof/>
                </w:rPr>
                <w:br/>
                <w:t xml:space="preserve">Available at: </w:t>
              </w:r>
              <w:hyperlink r:id="rId24" w:history="1">
                <w:r w:rsidR="006440BA" w:rsidRPr="00473731">
                  <w:rPr>
                    <w:rStyle w:val="Hyperlink"/>
                    <w:noProof/>
                  </w:rPr>
                  <w:t>https://www.gov.uk/personal-data-my-employer-can-keep-about-me</w:t>
                </w:r>
              </w:hyperlink>
              <w:r w:rsidR="006440BA">
                <w:rPr>
                  <w:noProof/>
                  <w:u w:val="single"/>
                </w:rPr>
                <w:t xml:space="preserve"> </w:t>
              </w:r>
              <w:r>
                <w:rPr>
                  <w:noProof/>
                </w:rPr>
                <w:t>[Accessed 08 May 2021].</w:t>
              </w:r>
            </w:p>
            <w:p w14:paraId="0CBD3BC1" w14:textId="43AFB3C4" w:rsidR="00D31F30" w:rsidRDefault="00D31F30" w:rsidP="00D31F30">
              <w:pPr>
                <w:pStyle w:val="Bibliography"/>
                <w:ind w:left="0" w:firstLine="0"/>
                <w:rPr>
                  <w:noProof/>
                </w:rPr>
              </w:pPr>
              <w:r>
                <w:rPr>
                  <w:noProof/>
                </w:rPr>
                <w:t xml:space="preserve">GOV.UK.c, (2021). </w:t>
              </w:r>
              <w:r>
                <w:rPr>
                  <w:i/>
                  <w:iCs/>
                  <w:noProof/>
                </w:rPr>
                <w:t xml:space="preserve">Time off for family and dependents. </w:t>
              </w:r>
              <w:r>
                <w:rPr>
                  <w:noProof/>
                </w:rPr>
                <w:t>[Online]</w:t>
              </w:r>
              <w:r w:rsidR="006440BA">
                <w:rPr>
                  <w:noProof/>
                </w:rPr>
                <w:t xml:space="preserve"> </w:t>
              </w:r>
              <w:r>
                <w:rPr>
                  <w:noProof/>
                </w:rPr>
                <w:t xml:space="preserve">Available at: </w:t>
              </w:r>
              <w:hyperlink r:id="rId25" w:history="1">
                <w:r w:rsidR="006440BA" w:rsidRPr="00473731">
                  <w:rPr>
                    <w:rStyle w:val="Hyperlink"/>
                    <w:noProof/>
                  </w:rPr>
                  <w:t>https://www.gov.uk/time-off-for-dependants</w:t>
                </w:r>
              </w:hyperlink>
              <w:r w:rsidR="006440BA">
                <w:rPr>
                  <w:noProof/>
                  <w:u w:val="single"/>
                </w:rPr>
                <w:t xml:space="preserve">  </w:t>
              </w:r>
              <w:r>
                <w:rPr>
                  <w:noProof/>
                </w:rPr>
                <w:t>[Accessed 08 May 2021].</w:t>
              </w:r>
            </w:p>
            <w:p w14:paraId="52AA1CAD" w14:textId="6731DAD3" w:rsidR="00D31F30" w:rsidRDefault="00D31F30" w:rsidP="00D31F30">
              <w:pPr>
                <w:pStyle w:val="Bibliography"/>
                <w:ind w:left="0" w:firstLine="0"/>
                <w:rPr>
                  <w:noProof/>
                </w:rPr>
              </w:pPr>
              <w:r>
                <w:rPr>
                  <w:noProof/>
                </w:rPr>
                <w:t xml:space="preserve">HSE.a, (2021). </w:t>
              </w:r>
              <w:r>
                <w:rPr>
                  <w:i/>
                  <w:iCs/>
                  <w:noProof/>
                </w:rPr>
                <w:t xml:space="preserve">Employer's responsibilities. </w:t>
              </w:r>
              <w:r>
                <w:rPr>
                  <w:noProof/>
                </w:rPr>
                <w:t xml:space="preserve">[Online] </w:t>
              </w:r>
              <w:r>
                <w:rPr>
                  <w:noProof/>
                </w:rPr>
                <w:br/>
                <w:t xml:space="preserve">Available at: </w:t>
              </w:r>
              <w:hyperlink r:id="rId26" w:history="1">
                <w:r w:rsidR="006440BA" w:rsidRPr="00473731">
                  <w:rPr>
                    <w:rStyle w:val="Hyperlink"/>
                    <w:noProof/>
                  </w:rPr>
                  <w:t>https://www.hse.gov.uk/workers/employers.htm</w:t>
                </w:r>
              </w:hyperlink>
              <w:r w:rsidR="006440BA">
                <w:rPr>
                  <w:noProof/>
                  <w:u w:val="single"/>
                </w:rPr>
                <w:t xml:space="preserve"> </w:t>
              </w:r>
              <w:r>
                <w:rPr>
                  <w:noProof/>
                </w:rPr>
                <w:t>[Accessed 08 May 2021].</w:t>
              </w:r>
            </w:p>
            <w:p w14:paraId="631AF036" w14:textId="5DF759D9" w:rsidR="00D31F30" w:rsidRDefault="00D31F30" w:rsidP="00D31F30">
              <w:pPr>
                <w:pStyle w:val="Bibliography"/>
                <w:ind w:left="0" w:firstLine="0"/>
                <w:rPr>
                  <w:noProof/>
                </w:rPr>
              </w:pPr>
              <w:r>
                <w:rPr>
                  <w:noProof/>
                </w:rPr>
                <w:t xml:space="preserve">HSE.b, (2021). </w:t>
              </w:r>
              <w:r>
                <w:rPr>
                  <w:i/>
                  <w:iCs/>
                  <w:noProof/>
                </w:rPr>
                <w:t xml:space="preserve">Managing sick leave and return to work. </w:t>
              </w:r>
              <w:r>
                <w:rPr>
                  <w:noProof/>
                </w:rPr>
                <w:t xml:space="preserve">[Online] </w:t>
              </w:r>
              <w:r>
                <w:rPr>
                  <w:noProof/>
                </w:rPr>
                <w:br/>
                <w:t xml:space="preserve">Available at: </w:t>
              </w:r>
              <w:hyperlink r:id="rId27" w:history="1">
                <w:r w:rsidR="006440BA" w:rsidRPr="00473731">
                  <w:rPr>
                    <w:rStyle w:val="Hyperlink"/>
                    <w:noProof/>
                  </w:rPr>
                  <w:t>https://www.hse.gov.uk/sicknessabsence/</w:t>
                </w:r>
              </w:hyperlink>
              <w:r w:rsidR="006440BA">
                <w:rPr>
                  <w:noProof/>
                  <w:u w:val="single"/>
                </w:rPr>
                <w:t xml:space="preserve"> </w:t>
              </w:r>
              <w:r>
                <w:rPr>
                  <w:noProof/>
                </w:rPr>
                <w:t>[Accessed 08 May 2021].</w:t>
              </w:r>
            </w:p>
            <w:p w14:paraId="1B7E3FE1" w14:textId="638A5D9A" w:rsidR="00D31F30" w:rsidRDefault="00D31F30" w:rsidP="00D31F30">
              <w:pPr>
                <w:pStyle w:val="Bibliography"/>
                <w:ind w:left="0" w:firstLine="0"/>
                <w:rPr>
                  <w:noProof/>
                </w:rPr>
              </w:pPr>
              <w:r>
                <w:rPr>
                  <w:noProof/>
                </w:rPr>
                <w:t xml:space="preserve">ICO, (2021). </w:t>
              </w:r>
              <w:r>
                <w:rPr>
                  <w:i/>
                  <w:iCs/>
                  <w:noProof/>
                </w:rPr>
                <w:t xml:space="preserve">Guide to the UK General Data Protection Regulation (UK GDPR). </w:t>
              </w:r>
              <w:r>
                <w:rPr>
                  <w:noProof/>
                </w:rPr>
                <w:t xml:space="preserve">[Online] </w:t>
              </w:r>
              <w:r>
                <w:rPr>
                  <w:noProof/>
                </w:rPr>
                <w:br/>
                <w:t xml:space="preserve">Available at: </w:t>
              </w:r>
              <w:hyperlink r:id="rId28" w:history="1">
                <w:r w:rsidR="006440BA" w:rsidRPr="00473731">
                  <w:rPr>
                    <w:rStyle w:val="Hyperlink"/>
                    <w:noProof/>
                  </w:rPr>
                  <w:t>https://ico.org.uk/for-organisations/guide-to-data-protection/guide-to-the-general-data-protection-regulation-gdpr/</w:t>
                </w:r>
              </w:hyperlink>
              <w:r w:rsidR="006440BA">
                <w:rPr>
                  <w:noProof/>
                  <w:u w:val="single"/>
                </w:rPr>
                <w:t xml:space="preserve"> </w:t>
              </w:r>
              <w:r>
                <w:rPr>
                  <w:noProof/>
                </w:rPr>
                <w:t>[Accessed 08 May 2021].</w:t>
              </w:r>
            </w:p>
            <w:p w14:paraId="556562AB" w14:textId="4E5B5065" w:rsidR="00D31F30" w:rsidRDefault="00D31F30" w:rsidP="00D31F30">
              <w:pPr>
                <w:pStyle w:val="Bibliography"/>
                <w:ind w:left="0" w:firstLine="0"/>
                <w:rPr>
                  <w:noProof/>
                </w:rPr>
              </w:pPr>
              <w:r>
                <w:rPr>
                  <w:noProof/>
                </w:rPr>
                <w:t xml:space="preserve">legislation.gov.uk, (1998). </w:t>
              </w:r>
              <w:r>
                <w:rPr>
                  <w:i/>
                  <w:iCs/>
                  <w:noProof/>
                </w:rPr>
                <w:t xml:space="preserve">The Working Time Regulations 1998. </w:t>
              </w:r>
              <w:r>
                <w:rPr>
                  <w:noProof/>
                </w:rPr>
                <w:t xml:space="preserve">[Online] </w:t>
              </w:r>
              <w:r>
                <w:rPr>
                  <w:noProof/>
                </w:rPr>
                <w:br/>
                <w:t xml:space="preserve">Available at: </w:t>
              </w:r>
              <w:hyperlink r:id="rId29" w:history="1">
                <w:r w:rsidR="006440BA" w:rsidRPr="00473731">
                  <w:rPr>
                    <w:rStyle w:val="Hyperlink"/>
                    <w:noProof/>
                  </w:rPr>
                  <w:t>https://www.legislation.gov.uk/uksi/1998/1833/contents/made</w:t>
                </w:r>
              </w:hyperlink>
              <w:r w:rsidR="006440BA">
                <w:rPr>
                  <w:noProof/>
                  <w:u w:val="single"/>
                </w:rPr>
                <w:t xml:space="preserve"> </w:t>
              </w:r>
              <w:r>
                <w:rPr>
                  <w:noProof/>
                </w:rPr>
                <w:t>[Accessed 08 May 2021].</w:t>
              </w:r>
            </w:p>
            <w:p w14:paraId="2D872259" w14:textId="5A32BE64" w:rsidR="00D31F30" w:rsidRDefault="00D31F30" w:rsidP="00D31F30">
              <w:pPr>
                <w:pStyle w:val="Bibliography"/>
                <w:ind w:left="0" w:firstLine="0"/>
                <w:rPr>
                  <w:noProof/>
                </w:rPr>
              </w:pPr>
              <w:r>
                <w:rPr>
                  <w:noProof/>
                </w:rPr>
                <w:t xml:space="preserve">legislation.gov.uk, (1999). </w:t>
              </w:r>
              <w:r>
                <w:rPr>
                  <w:i/>
                  <w:iCs/>
                  <w:noProof/>
                </w:rPr>
                <w:t xml:space="preserve">The Management of Health and Safety at Work Regulations 1999: Regulation 14. </w:t>
              </w:r>
              <w:r>
                <w:rPr>
                  <w:noProof/>
                </w:rPr>
                <w:t>[Online] Available at:</w:t>
              </w:r>
              <w:r w:rsidR="006440BA">
                <w:rPr>
                  <w:noProof/>
                </w:rPr>
                <w:t xml:space="preserve"> </w:t>
              </w:r>
              <w:hyperlink r:id="rId30" w:history="1">
                <w:r w:rsidR="006440BA" w:rsidRPr="00473731">
                  <w:rPr>
                    <w:rStyle w:val="Hyperlink"/>
                    <w:noProof/>
                  </w:rPr>
                  <w:t>https://www.legislation.gov.uk/uksi/1999/3242/regulation/14/made</w:t>
                </w:r>
              </w:hyperlink>
              <w:r>
                <w:rPr>
                  <w:noProof/>
                </w:rPr>
                <w:t>[Accessed 01 May 2021].</w:t>
              </w:r>
            </w:p>
            <w:p w14:paraId="343D7D36" w14:textId="0CD667CB" w:rsidR="00D31F30" w:rsidRDefault="00D31F30" w:rsidP="00D31F30">
              <w:pPr>
                <w:pStyle w:val="Bibliography"/>
                <w:ind w:left="0" w:firstLine="0"/>
                <w:rPr>
                  <w:noProof/>
                </w:rPr>
              </w:pPr>
              <w:r>
                <w:rPr>
                  <w:noProof/>
                </w:rPr>
                <w:t xml:space="preserve">legislation.gov.uk.a, (2006). </w:t>
              </w:r>
              <w:r>
                <w:rPr>
                  <w:i/>
                  <w:iCs/>
                  <w:noProof/>
                </w:rPr>
                <w:t xml:space="preserve">Employment Rights Act 1996: Section 100. </w:t>
              </w:r>
              <w:r>
                <w:rPr>
                  <w:noProof/>
                </w:rPr>
                <w:t xml:space="preserve">[Online] </w:t>
              </w:r>
              <w:r>
                <w:rPr>
                  <w:noProof/>
                </w:rPr>
                <w:br/>
                <w:t xml:space="preserve">Available at: </w:t>
              </w:r>
              <w:hyperlink r:id="rId31" w:history="1">
                <w:r w:rsidR="006440BA" w:rsidRPr="00473731">
                  <w:rPr>
                    <w:rStyle w:val="Hyperlink"/>
                    <w:noProof/>
                  </w:rPr>
                  <w:t>https://www.legislation.gov.uk/ukpga/1996/18/section/100</w:t>
                </w:r>
              </w:hyperlink>
              <w:r w:rsidR="006440BA">
                <w:rPr>
                  <w:noProof/>
                  <w:u w:val="single"/>
                </w:rPr>
                <w:t xml:space="preserve"> </w:t>
              </w:r>
              <w:r>
                <w:rPr>
                  <w:noProof/>
                </w:rPr>
                <w:t>[Accessed 08 May 2021].</w:t>
              </w:r>
            </w:p>
            <w:p w14:paraId="35F94208" w14:textId="198DA69E" w:rsidR="00D31F30" w:rsidRDefault="00D31F30" w:rsidP="00D31F30">
              <w:pPr>
                <w:pStyle w:val="Bibliography"/>
                <w:ind w:left="0" w:firstLine="0"/>
                <w:rPr>
                  <w:noProof/>
                </w:rPr>
              </w:pPr>
              <w:r>
                <w:rPr>
                  <w:noProof/>
                </w:rPr>
                <w:t xml:space="preserve">legislation.gov.uk.b, (2006). </w:t>
              </w:r>
              <w:r>
                <w:rPr>
                  <w:i/>
                  <w:iCs/>
                  <w:noProof/>
                </w:rPr>
                <w:t xml:space="preserve">Employment Rights Act 1996: Section 103A. </w:t>
              </w:r>
              <w:r>
                <w:rPr>
                  <w:noProof/>
                </w:rPr>
                <w:t xml:space="preserve">[Online] </w:t>
              </w:r>
              <w:r>
                <w:rPr>
                  <w:noProof/>
                </w:rPr>
                <w:br/>
                <w:t xml:space="preserve">Available at: </w:t>
              </w:r>
              <w:hyperlink r:id="rId32" w:history="1">
                <w:r w:rsidR="006440BA" w:rsidRPr="00473731">
                  <w:rPr>
                    <w:rStyle w:val="Hyperlink"/>
                    <w:noProof/>
                  </w:rPr>
                  <w:t>https://www.legislation.gov.uk/ukpga/1996/18/section/103A</w:t>
                </w:r>
              </w:hyperlink>
              <w:r w:rsidR="006440BA">
                <w:rPr>
                  <w:noProof/>
                  <w:u w:val="single"/>
                </w:rPr>
                <w:t xml:space="preserve"> </w:t>
              </w:r>
              <w:r>
                <w:rPr>
                  <w:noProof/>
                </w:rPr>
                <w:t>[Accessed 01 May 2021].</w:t>
              </w:r>
            </w:p>
            <w:p w14:paraId="3666F656" w14:textId="2F9D5BAF" w:rsidR="00D31F30" w:rsidRDefault="00D31F30" w:rsidP="00D31F30">
              <w:pPr>
                <w:pStyle w:val="Bibliography"/>
                <w:ind w:left="0" w:firstLine="0"/>
                <w:rPr>
                  <w:noProof/>
                </w:rPr>
              </w:pPr>
              <w:r>
                <w:rPr>
                  <w:noProof/>
                </w:rPr>
                <w:t xml:space="preserve">legislation.gov.uk.a, (2014). </w:t>
              </w:r>
              <w:r>
                <w:rPr>
                  <w:i/>
                  <w:iCs/>
                  <w:noProof/>
                </w:rPr>
                <w:t xml:space="preserve">Employment Rights Act 1996: Section 98. </w:t>
              </w:r>
              <w:r>
                <w:rPr>
                  <w:noProof/>
                </w:rPr>
                <w:t xml:space="preserve">[Online] </w:t>
              </w:r>
              <w:r>
                <w:rPr>
                  <w:noProof/>
                </w:rPr>
                <w:br/>
                <w:t xml:space="preserve">Available at: </w:t>
              </w:r>
              <w:hyperlink r:id="rId33" w:history="1">
                <w:r w:rsidR="006440BA" w:rsidRPr="00473731">
                  <w:rPr>
                    <w:rStyle w:val="Hyperlink"/>
                    <w:noProof/>
                  </w:rPr>
                  <w:t>https://www.legislation.gov.uk/ukpga/1996/18/section/98</w:t>
                </w:r>
              </w:hyperlink>
              <w:r w:rsidR="006440BA">
                <w:rPr>
                  <w:noProof/>
                  <w:u w:val="single"/>
                </w:rPr>
                <w:t xml:space="preserve"> </w:t>
              </w:r>
              <w:r>
                <w:rPr>
                  <w:noProof/>
                </w:rPr>
                <w:t>[Accessed 01 May 2021].</w:t>
              </w:r>
            </w:p>
            <w:p w14:paraId="27051B62" w14:textId="78DC19B3" w:rsidR="00D31F30" w:rsidRDefault="00D31F30" w:rsidP="00D31F30">
              <w:pPr>
                <w:pStyle w:val="Bibliography"/>
                <w:ind w:left="0" w:firstLine="0"/>
                <w:rPr>
                  <w:noProof/>
                </w:rPr>
              </w:pPr>
              <w:r>
                <w:rPr>
                  <w:noProof/>
                </w:rPr>
                <w:t xml:space="preserve">legislation.gov.uk.b, (2014). </w:t>
              </w:r>
              <w:r>
                <w:rPr>
                  <w:i/>
                  <w:iCs/>
                  <w:noProof/>
                </w:rPr>
                <w:t xml:space="preserve">The Flexible Working Regulations 2014. </w:t>
              </w:r>
              <w:r>
                <w:rPr>
                  <w:noProof/>
                </w:rPr>
                <w:t xml:space="preserve">[Online] </w:t>
              </w:r>
              <w:r>
                <w:rPr>
                  <w:noProof/>
                </w:rPr>
                <w:br/>
                <w:t xml:space="preserve">Available at: </w:t>
              </w:r>
              <w:hyperlink r:id="rId34" w:history="1">
                <w:r w:rsidR="006440BA" w:rsidRPr="00473731">
                  <w:rPr>
                    <w:rStyle w:val="Hyperlink"/>
                    <w:noProof/>
                  </w:rPr>
                  <w:t>https://www.legislation.gov.uk/uksi/2014/1398/made</w:t>
                </w:r>
              </w:hyperlink>
              <w:r w:rsidR="006440BA">
                <w:rPr>
                  <w:noProof/>
                  <w:u w:val="single"/>
                </w:rPr>
                <w:t xml:space="preserve"> </w:t>
              </w:r>
              <w:r>
                <w:rPr>
                  <w:noProof/>
                </w:rPr>
                <w:t>[Accessed 08 May 2021].</w:t>
              </w:r>
            </w:p>
            <w:p w14:paraId="09F845C9" w14:textId="51BF255D" w:rsidR="00D31F30" w:rsidRDefault="00D31F30" w:rsidP="00D31F30">
              <w:pPr>
                <w:pStyle w:val="Bibliography"/>
                <w:ind w:left="0" w:firstLine="0"/>
                <w:rPr>
                  <w:noProof/>
                </w:rPr>
              </w:pPr>
              <w:r>
                <w:rPr>
                  <w:noProof/>
                </w:rPr>
                <w:lastRenderedPageBreak/>
                <w:t xml:space="preserve">Menzies Law, (2013). </w:t>
              </w:r>
              <w:r>
                <w:rPr>
                  <w:i/>
                  <w:iCs/>
                  <w:noProof/>
                </w:rPr>
                <w:t xml:space="preserve">Grievance procedures and unfair dismissal. </w:t>
              </w:r>
              <w:r>
                <w:rPr>
                  <w:noProof/>
                </w:rPr>
                <w:t xml:space="preserve">[Online] </w:t>
              </w:r>
              <w:r>
                <w:rPr>
                  <w:noProof/>
                </w:rPr>
                <w:br/>
                <w:t xml:space="preserve">Available at: </w:t>
              </w:r>
              <w:hyperlink r:id="rId35" w:history="1">
                <w:r w:rsidR="006440BA" w:rsidRPr="00473731">
                  <w:rPr>
                    <w:rStyle w:val="Hyperlink"/>
                    <w:noProof/>
                  </w:rPr>
                  <w:t>https://www.menzieslaw.co.uk/case-update-1-grievance-procedures-and-unfair-dismissal/</w:t>
                </w:r>
              </w:hyperlink>
              <w:r w:rsidR="006440BA">
                <w:rPr>
                  <w:noProof/>
                  <w:u w:val="single"/>
                </w:rPr>
                <w:t xml:space="preserve"> </w:t>
              </w:r>
              <w:r>
                <w:rPr>
                  <w:noProof/>
                </w:rPr>
                <w:t>[Accessed 08 May 2021].</w:t>
              </w:r>
            </w:p>
            <w:p w14:paraId="1499F8EE" w14:textId="327199CF" w:rsidR="00D31F30" w:rsidRDefault="00D31F30" w:rsidP="00D31F30">
              <w:pPr>
                <w:pStyle w:val="Bibliography"/>
                <w:ind w:left="0" w:firstLine="0"/>
                <w:rPr>
                  <w:noProof/>
                </w:rPr>
              </w:pPr>
              <w:r>
                <w:rPr>
                  <w:noProof/>
                </w:rPr>
                <w:t xml:space="preserve">People Management, (2020). </w:t>
              </w:r>
              <w:r>
                <w:rPr>
                  <w:i/>
                  <w:iCs/>
                  <w:noProof/>
                </w:rPr>
                <w:t xml:space="preserve">Covid causing 'perfect storm' of outstanding tribunal cases, report warns. </w:t>
              </w:r>
              <w:r>
                <w:rPr>
                  <w:noProof/>
                </w:rPr>
                <w:t xml:space="preserve">[Online] Available at: </w:t>
              </w:r>
              <w:hyperlink r:id="rId36" w:history="1">
                <w:r w:rsidR="006440BA" w:rsidRPr="00473731">
                  <w:rPr>
                    <w:rStyle w:val="Hyperlink"/>
                    <w:noProof/>
                  </w:rPr>
                  <w:t>https://www.peoplemanagement.co.uk/news/articles/covid-causing-perfect-storm-of-outstanding-tribunal-cases#_ga=2.33571746.2044265509.1620561352-1542601472.1600793544</w:t>
                </w:r>
              </w:hyperlink>
              <w:r w:rsidR="006440BA">
                <w:rPr>
                  <w:noProof/>
                  <w:u w:val="single"/>
                </w:rPr>
                <w:t xml:space="preserve"> </w:t>
              </w:r>
              <w:r>
                <w:rPr>
                  <w:noProof/>
                </w:rPr>
                <w:t>[Accessed 08 Month 2021].</w:t>
              </w:r>
            </w:p>
            <w:p w14:paraId="71EF6BD2" w14:textId="377ED68D" w:rsidR="00D31F30" w:rsidRDefault="00D31F30" w:rsidP="00D31F30">
              <w:pPr>
                <w:pStyle w:val="Bibliography"/>
                <w:ind w:left="0" w:firstLine="0"/>
                <w:rPr>
                  <w:noProof/>
                </w:rPr>
              </w:pPr>
              <w:r>
                <w:rPr>
                  <w:noProof/>
                </w:rPr>
                <w:t xml:space="preserve">Personnel Today, (2019). </w:t>
              </w:r>
              <w:r>
                <w:rPr>
                  <w:i/>
                  <w:iCs/>
                  <w:noProof/>
                </w:rPr>
                <w:t xml:space="preserve">Court of Appeal: Junior doctor wins rest break test case. </w:t>
              </w:r>
              <w:r>
                <w:rPr>
                  <w:noProof/>
                </w:rPr>
                <w:t xml:space="preserve">[Online] </w:t>
              </w:r>
              <w:r>
                <w:rPr>
                  <w:noProof/>
                </w:rPr>
                <w:br/>
                <w:t xml:space="preserve">Available at: </w:t>
              </w:r>
              <w:hyperlink r:id="rId37" w:history="1">
                <w:r w:rsidR="006440BA" w:rsidRPr="00473731">
                  <w:rPr>
                    <w:rStyle w:val="Hyperlink"/>
                    <w:noProof/>
                  </w:rPr>
                  <w:t>https://www.personneltoday.com/hr/court-of-appeal-junior-doctor-rest-break-test-case/</w:t>
                </w:r>
              </w:hyperlink>
              <w:r w:rsidR="006440BA">
                <w:rPr>
                  <w:noProof/>
                  <w:u w:val="single"/>
                </w:rPr>
                <w:t xml:space="preserve"> </w:t>
              </w:r>
              <w:r>
                <w:rPr>
                  <w:noProof/>
                </w:rPr>
                <w:t>[Accessed 08 May 2021].</w:t>
              </w:r>
            </w:p>
            <w:p w14:paraId="4C0E2C9E" w14:textId="310E8B21" w:rsidR="00D31F30" w:rsidRDefault="00D31F30" w:rsidP="00D31F30">
              <w:pPr>
                <w:ind w:left="0" w:firstLine="0"/>
              </w:pPr>
            </w:p>
          </w:sdtContent>
        </w:sdt>
      </w:sdtContent>
    </w:sdt>
    <w:p w14:paraId="6F83463E" w14:textId="2A3F4F4B" w:rsidR="00D31F30" w:rsidRPr="006440BA" w:rsidRDefault="00D31F30" w:rsidP="006440BA">
      <w:pPr>
        <w:ind w:left="0" w:firstLine="0"/>
        <w:rPr>
          <w:b/>
          <w:bCs/>
        </w:rPr>
      </w:pPr>
    </w:p>
    <w:sectPr w:rsidR="00D31F30" w:rsidRPr="006440BA" w:rsidSect="00D31F30">
      <w:footerReference w:type="default" r:id="rId3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8C577" w14:textId="77777777" w:rsidR="006E3B2C" w:rsidRDefault="006E3B2C" w:rsidP="00D31F30">
      <w:pPr>
        <w:spacing w:before="0" w:after="0"/>
      </w:pPr>
      <w:r>
        <w:separator/>
      </w:r>
    </w:p>
  </w:endnote>
  <w:endnote w:type="continuationSeparator" w:id="0">
    <w:p w14:paraId="7E06A923" w14:textId="77777777" w:rsidR="006E3B2C" w:rsidRDefault="006E3B2C" w:rsidP="00D31F3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3489442"/>
      <w:docPartObj>
        <w:docPartGallery w:val="Page Numbers (Bottom of Page)"/>
        <w:docPartUnique/>
      </w:docPartObj>
    </w:sdtPr>
    <w:sdtEndPr>
      <w:rPr>
        <w:noProof/>
      </w:rPr>
    </w:sdtEndPr>
    <w:sdtContent>
      <w:p w14:paraId="00505DDC" w14:textId="379B0CF4" w:rsidR="00D31F30" w:rsidRDefault="00D31F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BFFBB7" w14:textId="77777777" w:rsidR="00D31F30" w:rsidRDefault="00D31F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F0125" w14:textId="77777777" w:rsidR="006E3B2C" w:rsidRDefault="006E3B2C" w:rsidP="00D31F30">
      <w:pPr>
        <w:spacing w:before="0" w:after="0"/>
      </w:pPr>
      <w:r>
        <w:separator/>
      </w:r>
    </w:p>
  </w:footnote>
  <w:footnote w:type="continuationSeparator" w:id="0">
    <w:p w14:paraId="024E6E00" w14:textId="77777777" w:rsidR="006E3B2C" w:rsidRDefault="006E3B2C" w:rsidP="00D31F30">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169" type="#_x0000_t75" style="width:810.15pt;height:810.15pt" o:bullet="t">
        <v:imagedata r:id="rId1" o:title="ribbon"/>
      </v:shape>
    </w:pict>
  </w:numPicBullet>
  <w:abstractNum w:abstractNumId="0" w15:restartNumberingAfterBreak="0">
    <w:nsid w:val="03155A65"/>
    <w:multiLevelType w:val="hybridMultilevel"/>
    <w:tmpl w:val="2E6C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C102D8"/>
    <w:multiLevelType w:val="hybridMultilevel"/>
    <w:tmpl w:val="12D4A8D6"/>
    <w:lvl w:ilvl="0" w:tplc="A5C2A34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EEE6A5E"/>
    <w:multiLevelType w:val="hybridMultilevel"/>
    <w:tmpl w:val="F2BCAB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942AFE"/>
    <w:multiLevelType w:val="hybridMultilevel"/>
    <w:tmpl w:val="36D60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D2B7C"/>
    <w:multiLevelType w:val="hybridMultilevel"/>
    <w:tmpl w:val="2E248036"/>
    <w:lvl w:ilvl="0" w:tplc="B1DA69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943A2B"/>
    <w:multiLevelType w:val="hybridMultilevel"/>
    <w:tmpl w:val="028CFBD0"/>
    <w:lvl w:ilvl="0" w:tplc="B10206CE">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196B1F"/>
    <w:multiLevelType w:val="hybridMultilevel"/>
    <w:tmpl w:val="BAFE2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7619C9"/>
    <w:multiLevelType w:val="hybridMultilevel"/>
    <w:tmpl w:val="DE94920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AA410C5"/>
    <w:multiLevelType w:val="hybridMultilevel"/>
    <w:tmpl w:val="F170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8C7FF7"/>
    <w:multiLevelType w:val="multilevel"/>
    <w:tmpl w:val="1BB8AAB2"/>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2F2A2784"/>
    <w:multiLevelType w:val="hybridMultilevel"/>
    <w:tmpl w:val="6FB4B6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85355F"/>
    <w:multiLevelType w:val="hybridMultilevel"/>
    <w:tmpl w:val="9E76850C"/>
    <w:lvl w:ilvl="0" w:tplc="28CEBE5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B6B188D"/>
    <w:multiLevelType w:val="hybridMultilevel"/>
    <w:tmpl w:val="06A0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DE2600"/>
    <w:multiLevelType w:val="hybridMultilevel"/>
    <w:tmpl w:val="3322195E"/>
    <w:lvl w:ilvl="0" w:tplc="08090011">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4B568C2"/>
    <w:multiLevelType w:val="hybridMultilevel"/>
    <w:tmpl w:val="B4A6CB5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8BA27BE"/>
    <w:multiLevelType w:val="hybridMultilevel"/>
    <w:tmpl w:val="B890F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AB2BE7"/>
    <w:multiLevelType w:val="hybridMultilevel"/>
    <w:tmpl w:val="F4CCDD36"/>
    <w:lvl w:ilvl="0" w:tplc="A93A9CD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AE42E32"/>
    <w:multiLevelType w:val="hybridMultilevel"/>
    <w:tmpl w:val="22BE5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B0497A"/>
    <w:multiLevelType w:val="hybridMultilevel"/>
    <w:tmpl w:val="F18C20E2"/>
    <w:lvl w:ilvl="0" w:tplc="E1448748">
      <w:start w:val="1"/>
      <w:numFmt w:val="lowerLetter"/>
      <w:lvlText w:val="%1)"/>
      <w:lvlJc w:val="left"/>
      <w:pPr>
        <w:ind w:left="720" w:hanging="360"/>
      </w:pPr>
      <w:rPr>
        <w:rFonts w:hint="default"/>
        <w:i w:val="0"/>
        <w:i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D41D54"/>
    <w:multiLevelType w:val="hybridMultilevel"/>
    <w:tmpl w:val="A81811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0773AE"/>
    <w:multiLevelType w:val="hybridMultilevel"/>
    <w:tmpl w:val="671C155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71330902"/>
    <w:multiLevelType w:val="hybridMultilevel"/>
    <w:tmpl w:val="638C7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4B724C"/>
    <w:multiLevelType w:val="hybridMultilevel"/>
    <w:tmpl w:val="70BC3B12"/>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9"/>
  </w:num>
  <w:num w:numId="3">
    <w:abstractNumId w:val="16"/>
  </w:num>
  <w:num w:numId="4">
    <w:abstractNumId w:val="11"/>
  </w:num>
  <w:num w:numId="5">
    <w:abstractNumId w:val="4"/>
  </w:num>
  <w:num w:numId="6">
    <w:abstractNumId w:val="22"/>
  </w:num>
  <w:num w:numId="7">
    <w:abstractNumId w:val="1"/>
  </w:num>
  <w:num w:numId="8">
    <w:abstractNumId w:val="17"/>
  </w:num>
  <w:num w:numId="9">
    <w:abstractNumId w:val="21"/>
  </w:num>
  <w:num w:numId="10">
    <w:abstractNumId w:val="6"/>
  </w:num>
  <w:num w:numId="11">
    <w:abstractNumId w:val="7"/>
  </w:num>
  <w:num w:numId="12">
    <w:abstractNumId w:val="18"/>
  </w:num>
  <w:num w:numId="13">
    <w:abstractNumId w:val="19"/>
  </w:num>
  <w:num w:numId="14">
    <w:abstractNumId w:val="2"/>
  </w:num>
  <w:num w:numId="15">
    <w:abstractNumId w:val="14"/>
  </w:num>
  <w:num w:numId="16">
    <w:abstractNumId w:val="3"/>
  </w:num>
  <w:num w:numId="17">
    <w:abstractNumId w:val="8"/>
  </w:num>
  <w:num w:numId="18">
    <w:abstractNumId w:val="0"/>
  </w:num>
  <w:num w:numId="19">
    <w:abstractNumId w:val="12"/>
  </w:num>
  <w:num w:numId="20">
    <w:abstractNumId w:val="10"/>
  </w:num>
  <w:num w:numId="21">
    <w:abstractNumId w:val="15"/>
  </w:num>
  <w:num w:numId="22">
    <w:abstractNumId w:val="2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UwsbQwMzQ3NzE3NDFR0lEKTi0uzszPAykwrAUAZU1heiwAAAA="/>
  </w:docVars>
  <w:rsids>
    <w:rsidRoot w:val="00D922AF"/>
    <w:rsid w:val="003D4008"/>
    <w:rsid w:val="006440BA"/>
    <w:rsid w:val="006E3B2C"/>
    <w:rsid w:val="00781435"/>
    <w:rsid w:val="00930F30"/>
    <w:rsid w:val="00A851E8"/>
    <w:rsid w:val="00C26CE3"/>
    <w:rsid w:val="00D31F30"/>
    <w:rsid w:val="00D922AF"/>
    <w:rsid w:val="00F17FDD"/>
    <w:rsid w:val="00FB44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3E6F5"/>
  <w15:chartTrackingRefBased/>
  <w15:docId w15:val="{3B0AB083-D2A8-43B6-ADF3-FA803823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360" w:after="120"/>
        <w:ind w:left="431" w:hanging="43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1E8"/>
  </w:style>
  <w:style w:type="paragraph" w:styleId="Heading1">
    <w:name w:val="heading 1"/>
    <w:basedOn w:val="Normal"/>
    <w:next w:val="Normal"/>
    <w:link w:val="Heading1Char"/>
    <w:autoRedefine/>
    <w:uiPriority w:val="9"/>
    <w:qFormat/>
    <w:rsid w:val="00781435"/>
    <w:pPr>
      <w:keepNext/>
      <w:keepLines/>
      <w:numPr>
        <w:numId w:val="2"/>
      </w:numPr>
      <w:spacing w:before="240" w:after="0"/>
      <w:ind w:hanging="360"/>
      <w:outlineLvl w:val="0"/>
    </w:pPr>
    <w:rPr>
      <w:rFonts w:asciiTheme="majorHAnsi" w:eastAsiaTheme="majorEastAsia" w:hAnsiTheme="majorHAnsi" w:cstheme="majorBidi"/>
      <w:caps/>
      <w:color w:val="0D0D0D" w:themeColor="text1" w:themeTint="F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1435"/>
    <w:rPr>
      <w:rFonts w:asciiTheme="majorHAnsi" w:eastAsiaTheme="majorEastAsia" w:hAnsiTheme="majorHAnsi" w:cstheme="majorBidi"/>
      <w:caps/>
      <w:color w:val="0D0D0D" w:themeColor="text1" w:themeTint="F2"/>
      <w:sz w:val="32"/>
      <w:szCs w:val="32"/>
    </w:rPr>
  </w:style>
  <w:style w:type="paragraph" w:styleId="ListParagraph">
    <w:name w:val="List Paragraph"/>
    <w:basedOn w:val="Normal"/>
    <w:uiPriority w:val="34"/>
    <w:qFormat/>
    <w:rsid w:val="00A851E8"/>
    <w:pPr>
      <w:ind w:left="720"/>
      <w:contextualSpacing/>
    </w:pPr>
  </w:style>
  <w:style w:type="character" w:styleId="Hyperlink">
    <w:name w:val="Hyperlink"/>
    <w:basedOn w:val="DefaultParagraphFont"/>
    <w:uiPriority w:val="99"/>
    <w:unhideWhenUsed/>
    <w:rsid w:val="00A851E8"/>
    <w:rPr>
      <w:color w:val="0563C1" w:themeColor="hyperlink"/>
      <w:u w:val="single"/>
    </w:rPr>
  </w:style>
  <w:style w:type="paragraph" w:styleId="NoSpacing">
    <w:name w:val="No Spacing"/>
    <w:uiPriority w:val="1"/>
    <w:qFormat/>
    <w:rsid w:val="00A851E8"/>
    <w:pPr>
      <w:spacing w:before="0" w:after="0"/>
    </w:pPr>
  </w:style>
  <w:style w:type="paragraph" w:customStyle="1" w:styleId="paragraph">
    <w:name w:val="paragraph"/>
    <w:basedOn w:val="Normal"/>
    <w:rsid w:val="00A851E8"/>
    <w:pPr>
      <w:spacing w:before="100" w:beforeAutospacing="1" w:after="100" w:afterAutospacing="1"/>
      <w:ind w:left="0" w:firstLine="0"/>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851E8"/>
  </w:style>
  <w:style w:type="character" w:customStyle="1" w:styleId="eop">
    <w:name w:val="eop"/>
    <w:basedOn w:val="DefaultParagraphFont"/>
    <w:rsid w:val="00A851E8"/>
  </w:style>
  <w:style w:type="character" w:customStyle="1" w:styleId="tabchar">
    <w:name w:val="tabchar"/>
    <w:basedOn w:val="DefaultParagraphFont"/>
    <w:rsid w:val="00A851E8"/>
  </w:style>
  <w:style w:type="paragraph" w:styleId="Header">
    <w:name w:val="header"/>
    <w:basedOn w:val="Normal"/>
    <w:link w:val="HeaderChar"/>
    <w:uiPriority w:val="99"/>
    <w:unhideWhenUsed/>
    <w:rsid w:val="00D31F30"/>
    <w:pPr>
      <w:tabs>
        <w:tab w:val="center" w:pos="4513"/>
        <w:tab w:val="right" w:pos="9026"/>
      </w:tabs>
      <w:spacing w:before="0" w:after="0"/>
    </w:pPr>
  </w:style>
  <w:style w:type="character" w:customStyle="1" w:styleId="HeaderChar">
    <w:name w:val="Header Char"/>
    <w:basedOn w:val="DefaultParagraphFont"/>
    <w:link w:val="Header"/>
    <w:uiPriority w:val="99"/>
    <w:rsid w:val="00D31F30"/>
  </w:style>
  <w:style w:type="paragraph" w:styleId="Footer">
    <w:name w:val="footer"/>
    <w:basedOn w:val="Normal"/>
    <w:link w:val="FooterChar"/>
    <w:uiPriority w:val="99"/>
    <w:unhideWhenUsed/>
    <w:rsid w:val="00D31F30"/>
    <w:pPr>
      <w:tabs>
        <w:tab w:val="center" w:pos="4513"/>
        <w:tab w:val="right" w:pos="9026"/>
      </w:tabs>
      <w:spacing w:before="0" w:after="0"/>
    </w:pPr>
  </w:style>
  <w:style w:type="character" w:customStyle="1" w:styleId="FooterChar">
    <w:name w:val="Footer Char"/>
    <w:basedOn w:val="DefaultParagraphFont"/>
    <w:link w:val="Footer"/>
    <w:uiPriority w:val="99"/>
    <w:rsid w:val="00D31F30"/>
  </w:style>
  <w:style w:type="paragraph" w:styleId="Bibliography">
    <w:name w:val="Bibliography"/>
    <w:basedOn w:val="Normal"/>
    <w:next w:val="Normal"/>
    <w:uiPriority w:val="37"/>
    <w:unhideWhenUsed/>
    <w:rsid w:val="00D31F30"/>
  </w:style>
  <w:style w:type="character" w:styleId="UnresolvedMention">
    <w:name w:val="Unresolved Mention"/>
    <w:basedOn w:val="DefaultParagraphFont"/>
    <w:uiPriority w:val="99"/>
    <w:semiHidden/>
    <w:unhideWhenUsed/>
    <w:rsid w:val="006440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6429">
      <w:bodyDiv w:val="1"/>
      <w:marLeft w:val="0"/>
      <w:marRight w:val="0"/>
      <w:marTop w:val="0"/>
      <w:marBottom w:val="0"/>
      <w:divBdr>
        <w:top w:val="none" w:sz="0" w:space="0" w:color="auto"/>
        <w:left w:val="none" w:sz="0" w:space="0" w:color="auto"/>
        <w:bottom w:val="none" w:sz="0" w:space="0" w:color="auto"/>
        <w:right w:val="none" w:sz="0" w:space="0" w:color="auto"/>
      </w:divBdr>
    </w:div>
    <w:div w:id="81806519">
      <w:bodyDiv w:val="1"/>
      <w:marLeft w:val="0"/>
      <w:marRight w:val="0"/>
      <w:marTop w:val="0"/>
      <w:marBottom w:val="0"/>
      <w:divBdr>
        <w:top w:val="none" w:sz="0" w:space="0" w:color="auto"/>
        <w:left w:val="none" w:sz="0" w:space="0" w:color="auto"/>
        <w:bottom w:val="none" w:sz="0" w:space="0" w:color="auto"/>
        <w:right w:val="none" w:sz="0" w:space="0" w:color="auto"/>
      </w:divBdr>
    </w:div>
    <w:div w:id="108744869">
      <w:bodyDiv w:val="1"/>
      <w:marLeft w:val="0"/>
      <w:marRight w:val="0"/>
      <w:marTop w:val="0"/>
      <w:marBottom w:val="0"/>
      <w:divBdr>
        <w:top w:val="none" w:sz="0" w:space="0" w:color="auto"/>
        <w:left w:val="none" w:sz="0" w:space="0" w:color="auto"/>
        <w:bottom w:val="none" w:sz="0" w:space="0" w:color="auto"/>
        <w:right w:val="none" w:sz="0" w:space="0" w:color="auto"/>
      </w:divBdr>
    </w:div>
    <w:div w:id="135923045">
      <w:bodyDiv w:val="1"/>
      <w:marLeft w:val="0"/>
      <w:marRight w:val="0"/>
      <w:marTop w:val="0"/>
      <w:marBottom w:val="0"/>
      <w:divBdr>
        <w:top w:val="none" w:sz="0" w:space="0" w:color="auto"/>
        <w:left w:val="none" w:sz="0" w:space="0" w:color="auto"/>
        <w:bottom w:val="none" w:sz="0" w:space="0" w:color="auto"/>
        <w:right w:val="none" w:sz="0" w:space="0" w:color="auto"/>
      </w:divBdr>
    </w:div>
    <w:div w:id="168760356">
      <w:bodyDiv w:val="1"/>
      <w:marLeft w:val="0"/>
      <w:marRight w:val="0"/>
      <w:marTop w:val="0"/>
      <w:marBottom w:val="0"/>
      <w:divBdr>
        <w:top w:val="none" w:sz="0" w:space="0" w:color="auto"/>
        <w:left w:val="none" w:sz="0" w:space="0" w:color="auto"/>
        <w:bottom w:val="none" w:sz="0" w:space="0" w:color="auto"/>
        <w:right w:val="none" w:sz="0" w:space="0" w:color="auto"/>
      </w:divBdr>
    </w:div>
    <w:div w:id="172959904">
      <w:bodyDiv w:val="1"/>
      <w:marLeft w:val="0"/>
      <w:marRight w:val="0"/>
      <w:marTop w:val="0"/>
      <w:marBottom w:val="0"/>
      <w:divBdr>
        <w:top w:val="none" w:sz="0" w:space="0" w:color="auto"/>
        <w:left w:val="none" w:sz="0" w:space="0" w:color="auto"/>
        <w:bottom w:val="none" w:sz="0" w:space="0" w:color="auto"/>
        <w:right w:val="none" w:sz="0" w:space="0" w:color="auto"/>
      </w:divBdr>
    </w:div>
    <w:div w:id="192807569">
      <w:bodyDiv w:val="1"/>
      <w:marLeft w:val="0"/>
      <w:marRight w:val="0"/>
      <w:marTop w:val="0"/>
      <w:marBottom w:val="0"/>
      <w:divBdr>
        <w:top w:val="none" w:sz="0" w:space="0" w:color="auto"/>
        <w:left w:val="none" w:sz="0" w:space="0" w:color="auto"/>
        <w:bottom w:val="none" w:sz="0" w:space="0" w:color="auto"/>
        <w:right w:val="none" w:sz="0" w:space="0" w:color="auto"/>
      </w:divBdr>
    </w:div>
    <w:div w:id="205605101">
      <w:bodyDiv w:val="1"/>
      <w:marLeft w:val="0"/>
      <w:marRight w:val="0"/>
      <w:marTop w:val="0"/>
      <w:marBottom w:val="0"/>
      <w:divBdr>
        <w:top w:val="none" w:sz="0" w:space="0" w:color="auto"/>
        <w:left w:val="none" w:sz="0" w:space="0" w:color="auto"/>
        <w:bottom w:val="none" w:sz="0" w:space="0" w:color="auto"/>
        <w:right w:val="none" w:sz="0" w:space="0" w:color="auto"/>
      </w:divBdr>
    </w:div>
    <w:div w:id="216405247">
      <w:bodyDiv w:val="1"/>
      <w:marLeft w:val="0"/>
      <w:marRight w:val="0"/>
      <w:marTop w:val="0"/>
      <w:marBottom w:val="0"/>
      <w:divBdr>
        <w:top w:val="none" w:sz="0" w:space="0" w:color="auto"/>
        <w:left w:val="none" w:sz="0" w:space="0" w:color="auto"/>
        <w:bottom w:val="none" w:sz="0" w:space="0" w:color="auto"/>
        <w:right w:val="none" w:sz="0" w:space="0" w:color="auto"/>
      </w:divBdr>
    </w:div>
    <w:div w:id="226693644">
      <w:bodyDiv w:val="1"/>
      <w:marLeft w:val="0"/>
      <w:marRight w:val="0"/>
      <w:marTop w:val="0"/>
      <w:marBottom w:val="0"/>
      <w:divBdr>
        <w:top w:val="none" w:sz="0" w:space="0" w:color="auto"/>
        <w:left w:val="none" w:sz="0" w:space="0" w:color="auto"/>
        <w:bottom w:val="none" w:sz="0" w:space="0" w:color="auto"/>
        <w:right w:val="none" w:sz="0" w:space="0" w:color="auto"/>
      </w:divBdr>
    </w:div>
    <w:div w:id="233244092">
      <w:bodyDiv w:val="1"/>
      <w:marLeft w:val="0"/>
      <w:marRight w:val="0"/>
      <w:marTop w:val="0"/>
      <w:marBottom w:val="0"/>
      <w:divBdr>
        <w:top w:val="none" w:sz="0" w:space="0" w:color="auto"/>
        <w:left w:val="none" w:sz="0" w:space="0" w:color="auto"/>
        <w:bottom w:val="none" w:sz="0" w:space="0" w:color="auto"/>
        <w:right w:val="none" w:sz="0" w:space="0" w:color="auto"/>
      </w:divBdr>
    </w:div>
    <w:div w:id="251866036">
      <w:bodyDiv w:val="1"/>
      <w:marLeft w:val="0"/>
      <w:marRight w:val="0"/>
      <w:marTop w:val="0"/>
      <w:marBottom w:val="0"/>
      <w:divBdr>
        <w:top w:val="none" w:sz="0" w:space="0" w:color="auto"/>
        <w:left w:val="none" w:sz="0" w:space="0" w:color="auto"/>
        <w:bottom w:val="none" w:sz="0" w:space="0" w:color="auto"/>
        <w:right w:val="none" w:sz="0" w:space="0" w:color="auto"/>
      </w:divBdr>
    </w:div>
    <w:div w:id="278728317">
      <w:bodyDiv w:val="1"/>
      <w:marLeft w:val="0"/>
      <w:marRight w:val="0"/>
      <w:marTop w:val="0"/>
      <w:marBottom w:val="0"/>
      <w:divBdr>
        <w:top w:val="none" w:sz="0" w:space="0" w:color="auto"/>
        <w:left w:val="none" w:sz="0" w:space="0" w:color="auto"/>
        <w:bottom w:val="none" w:sz="0" w:space="0" w:color="auto"/>
        <w:right w:val="none" w:sz="0" w:space="0" w:color="auto"/>
      </w:divBdr>
    </w:div>
    <w:div w:id="353926737">
      <w:bodyDiv w:val="1"/>
      <w:marLeft w:val="0"/>
      <w:marRight w:val="0"/>
      <w:marTop w:val="0"/>
      <w:marBottom w:val="0"/>
      <w:divBdr>
        <w:top w:val="none" w:sz="0" w:space="0" w:color="auto"/>
        <w:left w:val="none" w:sz="0" w:space="0" w:color="auto"/>
        <w:bottom w:val="none" w:sz="0" w:space="0" w:color="auto"/>
        <w:right w:val="none" w:sz="0" w:space="0" w:color="auto"/>
      </w:divBdr>
    </w:div>
    <w:div w:id="374544625">
      <w:bodyDiv w:val="1"/>
      <w:marLeft w:val="0"/>
      <w:marRight w:val="0"/>
      <w:marTop w:val="0"/>
      <w:marBottom w:val="0"/>
      <w:divBdr>
        <w:top w:val="none" w:sz="0" w:space="0" w:color="auto"/>
        <w:left w:val="none" w:sz="0" w:space="0" w:color="auto"/>
        <w:bottom w:val="none" w:sz="0" w:space="0" w:color="auto"/>
        <w:right w:val="none" w:sz="0" w:space="0" w:color="auto"/>
      </w:divBdr>
    </w:div>
    <w:div w:id="378211982">
      <w:bodyDiv w:val="1"/>
      <w:marLeft w:val="0"/>
      <w:marRight w:val="0"/>
      <w:marTop w:val="0"/>
      <w:marBottom w:val="0"/>
      <w:divBdr>
        <w:top w:val="none" w:sz="0" w:space="0" w:color="auto"/>
        <w:left w:val="none" w:sz="0" w:space="0" w:color="auto"/>
        <w:bottom w:val="none" w:sz="0" w:space="0" w:color="auto"/>
        <w:right w:val="none" w:sz="0" w:space="0" w:color="auto"/>
      </w:divBdr>
    </w:div>
    <w:div w:id="419445522">
      <w:bodyDiv w:val="1"/>
      <w:marLeft w:val="0"/>
      <w:marRight w:val="0"/>
      <w:marTop w:val="0"/>
      <w:marBottom w:val="0"/>
      <w:divBdr>
        <w:top w:val="none" w:sz="0" w:space="0" w:color="auto"/>
        <w:left w:val="none" w:sz="0" w:space="0" w:color="auto"/>
        <w:bottom w:val="none" w:sz="0" w:space="0" w:color="auto"/>
        <w:right w:val="none" w:sz="0" w:space="0" w:color="auto"/>
      </w:divBdr>
    </w:div>
    <w:div w:id="419523562">
      <w:bodyDiv w:val="1"/>
      <w:marLeft w:val="0"/>
      <w:marRight w:val="0"/>
      <w:marTop w:val="0"/>
      <w:marBottom w:val="0"/>
      <w:divBdr>
        <w:top w:val="none" w:sz="0" w:space="0" w:color="auto"/>
        <w:left w:val="none" w:sz="0" w:space="0" w:color="auto"/>
        <w:bottom w:val="none" w:sz="0" w:space="0" w:color="auto"/>
        <w:right w:val="none" w:sz="0" w:space="0" w:color="auto"/>
      </w:divBdr>
    </w:div>
    <w:div w:id="431585345">
      <w:bodyDiv w:val="1"/>
      <w:marLeft w:val="0"/>
      <w:marRight w:val="0"/>
      <w:marTop w:val="0"/>
      <w:marBottom w:val="0"/>
      <w:divBdr>
        <w:top w:val="none" w:sz="0" w:space="0" w:color="auto"/>
        <w:left w:val="none" w:sz="0" w:space="0" w:color="auto"/>
        <w:bottom w:val="none" w:sz="0" w:space="0" w:color="auto"/>
        <w:right w:val="none" w:sz="0" w:space="0" w:color="auto"/>
      </w:divBdr>
    </w:div>
    <w:div w:id="496772581">
      <w:bodyDiv w:val="1"/>
      <w:marLeft w:val="0"/>
      <w:marRight w:val="0"/>
      <w:marTop w:val="0"/>
      <w:marBottom w:val="0"/>
      <w:divBdr>
        <w:top w:val="none" w:sz="0" w:space="0" w:color="auto"/>
        <w:left w:val="none" w:sz="0" w:space="0" w:color="auto"/>
        <w:bottom w:val="none" w:sz="0" w:space="0" w:color="auto"/>
        <w:right w:val="none" w:sz="0" w:space="0" w:color="auto"/>
      </w:divBdr>
    </w:div>
    <w:div w:id="504785530">
      <w:bodyDiv w:val="1"/>
      <w:marLeft w:val="0"/>
      <w:marRight w:val="0"/>
      <w:marTop w:val="0"/>
      <w:marBottom w:val="0"/>
      <w:divBdr>
        <w:top w:val="none" w:sz="0" w:space="0" w:color="auto"/>
        <w:left w:val="none" w:sz="0" w:space="0" w:color="auto"/>
        <w:bottom w:val="none" w:sz="0" w:space="0" w:color="auto"/>
        <w:right w:val="none" w:sz="0" w:space="0" w:color="auto"/>
      </w:divBdr>
    </w:div>
    <w:div w:id="527259753">
      <w:bodyDiv w:val="1"/>
      <w:marLeft w:val="0"/>
      <w:marRight w:val="0"/>
      <w:marTop w:val="0"/>
      <w:marBottom w:val="0"/>
      <w:divBdr>
        <w:top w:val="none" w:sz="0" w:space="0" w:color="auto"/>
        <w:left w:val="none" w:sz="0" w:space="0" w:color="auto"/>
        <w:bottom w:val="none" w:sz="0" w:space="0" w:color="auto"/>
        <w:right w:val="none" w:sz="0" w:space="0" w:color="auto"/>
      </w:divBdr>
    </w:div>
    <w:div w:id="535973094">
      <w:bodyDiv w:val="1"/>
      <w:marLeft w:val="0"/>
      <w:marRight w:val="0"/>
      <w:marTop w:val="0"/>
      <w:marBottom w:val="0"/>
      <w:divBdr>
        <w:top w:val="none" w:sz="0" w:space="0" w:color="auto"/>
        <w:left w:val="none" w:sz="0" w:space="0" w:color="auto"/>
        <w:bottom w:val="none" w:sz="0" w:space="0" w:color="auto"/>
        <w:right w:val="none" w:sz="0" w:space="0" w:color="auto"/>
      </w:divBdr>
    </w:div>
    <w:div w:id="595868207">
      <w:bodyDiv w:val="1"/>
      <w:marLeft w:val="0"/>
      <w:marRight w:val="0"/>
      <w:marTop w:val="0"/>
      <w:marBottom w:val="0"/>
      <w:divBdr>
        <w:top w:val="none" w:sz="0" w:space="0" w:color="auto"/>
        <w:left w:val="none" w:sz="0" w:space="0" w:color="auto"/>
        <w:bottom w:val="none" w:sz="0" w:space="0" w:color="auto"/>
        <w:right w:val="none" w:sz="0" w:space="0" w:color="auto"/>
      </w:divBdr>
    </w:div>
    <w:div w:id="618217207">
      <w:bodyDiv w:val="1"/>
      <w:marLeft w:val="0"/>
      <w:marRight w:val="0"/>
      <w:marTop w:val="0"/>
      <w:marBottom w:val="0"/>
      <w:divBdr>
        <w:top w:val="none" w:sz="0" w:space="0" w:color="auto"/>
        <w:left w:val="none" w:sz="0" w:space="0" w:color="auto"/>
        <w:bottom w:val="none" w:sz="0" w:space="0" w:color="auto"/>
        <w:right w:val="none" w:sz="0" w:space="0" w:color="auto"/>
      </w:divBdr>
    </w:div>
    <w:div w:id="625283634">
      <w:bodyDiv w:val="1"/>
      <w:marLeft w:val="0"/>
      <w:marRight w:val="0"/>
      <w:marTop w:val="0"/>
      <w:marBottom w:val="0"/>
      <w:divBdr>
        <w:top w:val="none" w:sz="0" w:space="0" w:color="auto"/>
        <w:left w:val="none" w:sz="0" w:space="0" w:color="auto"/>
        <w:bottom w:val="none" w:sz="0" w:space="0" w:color="auto"/>
        <w:right w:val="none" w:sz="0" w:space="0" w:color="auto"/>
      </w:divBdr>
    </w:div>
    <w:div w:id="641619416">
      <w:bodyDiv w:val="1"/>
      <w:marLeft w:val="0"/>
      <w:marRight w:val="0"/>
      <w:marTop w:val="0"/>
      <w:marBottom w:val="0"/>
      <w:divBdr>
        <w:top w:val="none" w:sz="0" w:space="0" w:color="auto"/>
        <w:left w:val="none" w:sz="0" w:space="0" w:color="auto"/>
        <w:bottom w:val="none" w:sz="0" w:space="0" w:color="auto"/>
        <w:right w:val="none" w:sz="0" w:space="0" w:color="auto"/>
      </w:divBdr>
    </w:div>
    <w:div w:id="648873283">
      <w:bodyDiv w:val="1"/>
      <w:marLeft w:val="0"/>
      <w:marRight w:val="0"/>
      <w:marTop w:val="0"/>
      <w:marBottom w:val="0"/>
      <w:divBdr>
        <w:top w:val="none" w:sz="0" w:space="0" w:color="auto"/>
        <w:left w:val="none" w:sz="0" w:space="0" w:color="auto"/>
        <w:bottom w:val="none" w:sz="0" w:space="0" w:color="auto"/>
        <w:right w:val="none" w:sz="0" w:space="0" w:color="auto"/>
      </w:divBdr>
    </w:div>
    <w:div w:id="649529002">
      <w:bodyDiv w:val="1"/>
      <w:marLeft w:val="0"/>
      <w:marRight w:val="0"/>
      <w:marTop w:val="0"/>
      <w:marBottom w:val="0"/>
      <w:divBdr>
        <w:top w:val="none" w:sz="0" w:space="0" w:color="auto"/>
        <w:left w:val="none" w:sz="0" w:space="0" w:color="auto"/>
        <w:bottom w:val="none" w:sz="0" w:space="0" w:color="auto"/>
        <w:right w:val="none" w:sz="0" w:space="0" w:color="auto"/>
      </w:divBdr>
    </w:div>
    <w:div w:id="674696128">
      <w:bodyDiv w:val="1"/>
      <w:marLeft w:val="0"/>
      <w:marRight w:val="0"/>
      <w:marTop w:val="0"/>
      <w:marBottom w:val="0"/>
      <w:divBdr>
        <w:top w:val="none" w:sz="0" w:space="0" w:color="auto"/>
        <w:left w:val="none" w:sz="0" w:space="0" w:color="auto"/>
        <w:bottom w:val="none" w:sz="0" w:space="0" w:color="auto"/>
        <w:right w:val="none" w:sz="0" w:space="0" w:color="auto"/>
      </w:divBdr>
    </w:div>
    <w:div w:id="706102977">
      <w:bodyDiv w:val="1"/>
      <w:marLeft w:val="0"/>
      <w:marRight w:val="0"/>
      <w:marTop w:val="0"/>
      <w:marBottom w:val="0"/>
      <w:divBdr>
        <w:top w:val="none" w:sz="0" w:space="0" w:color="auto"/>
        <w:left w:val="none" w:sz="0" w:space="0" w:color="auto"/>
        <w:bottom w:val="none" w:sz="0" w:space="0" w:color="auto"/>
        <w:right w:val="none" w:sz="0" w:space="0" w:color="auto"/>
      </w:divBdr>
    </w:div>
    <w:div w:id="736053264">
      <w:bodyDiv w:val="1"/>
      <w:marLeft w:val="0"/>
      <w:marRight w:val="0"/>
      <w:marTop w:val="0"/>
      <w:marBottom w:val="0"/>
      <w:divBdr>
        <w:top w:val="none" w:sz="0" w:space="0" w:color="auto"/>
        <w:left w:val="none" w:sz="0" w:space="0" w:color="auto"/>
        <w:bottom w:val="none" w:sz="0" w:space="0" w:color="auto"/>
        <w:right w:val="none" w:sz="0" w:space="0" w:color="auto"/>
      </w:divBdr>
    </w:div>
    <w:div w:id="744717999">
      <w:bodyDiv w:val="1"/>
      <w:marLeft w:val="0"/>
      <w:marRight w:val="0"/>
      <w:marTop w:val="0"/>
      <w:marBottom w:val="0"/>
      <w:divBdr>
        <w:top w:val="none" w:sz="0" w:space="0" w:color="auto"/>
        <w:left w:val="none" w:sz="0" w:space="0" w:color="auto"/>
        <w:bottom w:val="none" w:sz="0" w:space="0" w:color="auto"/>
        <w:right w:val="none" w:sz="0" w:space="0" w:color="auto"/>
      </w:divBdr>
    </w:div>
    <w:div w:id="760760290">
      <w:bodyDiv w:val="1"/>
      <w:marLeft w:val="0"/>
      <w:marRight w:val="0"/>
      <w:marTop w:val="0"/>
      <w:marBottom w:val="0"/>
      <w:divBdr>
        <w:top w:val="none" w:sz="0" w:space="0" w:color="auto"/>
        <w:left w:val="none" w:sz="0" w:space="0" w:color="auto"/>
        <w:bottom w:val="none" w:sz="0" w:space="0" w:color="auto"/>
        <w:right w:val="none" w:sz="0" w:space="0" w:color="auto"/>
      </w:divBdr>
    </w:div>
    <w:div w:id="772280833">
      <w:bodyDiv w:val="1"/>
      <w:marLeft w:val="0"/>
      <w:marRight w:val="0"/>
      <w:marTop w:val="0"/>
      <w:marBottom w:val="0"/>
      <w:divBdr>
        <w:top w:val="none" w:sz="0" w:space="0" w:color="auto"/>
        <w:left w:val="none" w:sz="0" w:space="0" w:color="auto"/>
        <w:bottom w:val="none" w:sz="0" w:space="0" w:color="auto"/>
        <w:right w:val="none" w:sz="0" w:space="0" w:color="auto"/>
      </w:divBdr>
    </w:div>
    <w:div w:id="829641430">
      <w:bodyDiv w:val="1"/>
      <w:marLeft w:val="0"/>
      <w:marRight w:val="0"/>
      <w:marTop w:val="0"/>
      <w:marBottom w:val="0"/>
      <w:divBdr>
        <w:top w:val="none" w:sz="0" w:space="0" w:color="auto"/>
        <w:left w:val="none" w:sz="0" w:space="0" w:color="auto"/>
        <w:bottom w:val="none" w:sz="0" w:space="0" w:color="auto"/>
        <w:right w:val="none" w:sz="0" w:space="0" w:color="auto"/>
      </w:divBdr>
    </w:div>
    <w:div w:id="832723103">
      <w:bodyDiv w:val="1"/>
      <w:marLeft w:val="0"/>
      <w:marRight w:val="0"/>
      <w:marTop w:val="0"/>
      <w:marBottom w:val="0"/>
      <w:divBdr>
        <w:top w:val="none" w:sz="0" w:space="0" w:color="auto"/>
        <w:left w:val="none" w:sz="0" w:space="0" w:color="auto"/>
        <w:bottom w:val="none" w:sz="0" w:space="0" w:color="auto"/>
        <w:right w:val="none" w:sz="0" w:space="0" w:color="auto"/>
      </w:divBdr>
    </w:div>
    <w:div w:id="840046719">
      <w:bodyDiv w:val="1"/>
      <w:marLeft w:val="0"/>
      <w:marRight w:val="0"/>
      <w:marTop w:val="0"/>
      <w:marBottom w:val="0"/>
      <w:divBdr>
        <w:top w:val="none" w:sz="0" w:space="0" w:color="auto"/>
        <w:left w:val="none" w:sz="0" w:space="0" w:color="auto"/>
        <w:bottom w:val="none" w:sz="0" w:space="0" w:color="auto"/>
        <w:right w:val="none" w:sz="0" w:space="0" w:color="auto"/>
      </w:divBdr>
    </w:div>
    <w:div w:id="843664217">
      <w:bodyDiv w:val="1"/>
      <w:marLeft w:val="0"/>
      <w:marRight w:val="0"/>
      <w:marTop w:val="0"/>
      <w:marBottom w:val="0"/>
      <w:divBdr>
        <w:top w:val="none" w:sz="0" w:space="0" w:color="auto"/>
        <w:left w:val="none" w:sz="0" w:space="0" w:color="auto"/>
        <w:bottom w:val="none" w:sz="0" w:space="0" w:color="auto"/>
        <w:right w:val="none" w:sz="0" w:space="0" w:color="auto"/>
      </w:divBdr>
    </w:div>
    <w:div w:id="862354642">
      <w:bodyDiv w:val="1"/>
      <w:marLeft w:val="0"/>
      <w:marRight w:val="0"/>
      <w:marTop w:val="0"/>
      <w:marBottom w:val="0"/>
      <w:divBdr>
        <w:top w:val="none" w:sz="0" w:space="0" w:color="auto"/>
        <w:left w:val="none" w:sz="0" w:space="0" w:color="auto"/>
        <w:bottom w:val="none" w:sz="0" w:space="0" w:color="auto"/>
        <w:right w:val="none" w:sz="0" w:space="0" w:color="auto"/>
      </w:divBdr>
    </w:div>
    <w:div w:id="879439148">
      <w:bodyDiv w:val="1"/>
      <w:marLeft w:val="0"/>
      <w:marRight w:val="0"/>
      <w:marTop w:val="0"/>
      <w:marBottom w:val="0"/>
      <w:divBdr>
        <w:top w:val="none" w:sz="0" w:space="0" w:color="auto"/>
        <w:left w:val="none" w:sz="0" w:space="0" w:color="auto"/>
        <w:bottom w:val="none" w:sz="0" w:space="0" w:color="auto"/>
        <w:right w:val="none" w:sz="0" w:space="0" w:color="auto"/>
      </w:divBdr>
    </w:div>
    <w:div w:id="884374144">
      <w:bodyDiv w:val="1"/>
      <w:marLeft w:val="0"/>
      <w:marRight w:val="0"/>
      <w:marTop w:val="0"/>
      <w:marBottom w:val="0"/>
      <w:divBdr>
        <w:top w:val="none" w:sz="0" w:space="0" w:color="auto"/>
        <w:left w:val="none" w:sz="0" w:space="0" w:color="auto"/>
        <w:bottom w:val="none" w:sz="0" w:space="0" w:color="auto"/>
        <w:right w:val="none" w:sz="0" w:space="0" w:color="auto"/>
      </w:divBdr>
    </w:div>
    <w:div w:id="891575566">
      <w:bodyDiv w:val="1"/>
      <w:marLeft w:val="0"/>
      <w:marRight w:val="0"/>
      <w:marTop w:val="0"/>
      <w:marBottom w:val="0"/>
      <w:divBdr>
        <w:top w:val="none" w:sz="0" w:space="0" w:color="auto"/>
        <w:left w:val="none" w:sz="0" w:space="0" w:color="auto"/>
        <w:bottom w:val="none" w:sz="0" w:space="0" w:color="auto"/>
        <w:right w:val="none" w:sz="0" w:space="0" w:color="auto"/>
      </w:divBdr>
    </w:div>
    <w:div w:id="900287142">
      <w:bodyDiv w:val="1"/>
      <w:marLeft w:val="0"/>
      <w:marRight w:val="0"/>
      <w:marTop w:val="0"/>
      <w:marBottom w:val="0"/>
      <w:divBdr>
        <w:top w:val="none" w:sz="0" w:space="0" w:color="auto"/>
        <w:left w:val="none" w:sz="0" w:space="0" w:color="auto"/>
        <w:bottom w:val="none" w:sz="0" w:space="0" w:color="auto"/>
        <w:right w:val="none" w:sz="0" w:space="0" w:color="auto"/>
      </w:divBdr>
    </w:div>
    <w:div w:id="906500975">
      <w:bodyDiv w:val="1"/>
      <w:marLeft w:val="0"/>
      <w:marRight w:val="0"/>
      <w:marTop w:val="0"/>
      <w:marBottom w:val="0"/>
      <w:divBdr>
        <w:top w:val="none" w:sz="0" w:space="0" w:color="auto"/>
        <w:left w:val="none" w:sz="0" w:space="0" w:color="auto"/>
        <w:bottom w:val="none" w:sz="0" w:space="0" w:color="auto"/>
        <w:right w:val="none" w:sz="0" w:space="0" w:color="auto"/>
      </w:divBdr>
    </w:div>
    <w:div w:id="913661314">
      <w:bodyDiv w:val="1"/>
      <w:marLeft w:val="0"/>
      <w:marRight w:val="0"/>
      <w:marTop w:val="0"/>
      <w:marBottom w:val="0"/>
      <w:divBdr>
        <w:top w:val="none" w:sz="0" w:space="0" w:color="auto"/>
        <w:left w:val="none" w:sz="0" w:space="0" w:color="auto"/>
        <w:bottom w:val="none" w:sz="0" w:space="0" w:color="auto"/>
        <w:right w:val="none" w:sz="0" w:space="0" w:color="auto"/>
      </w:divBdr>
    </w:div>
    <w:div w:id="918097961">
      <w:bodyDiv w:val="1"/>
      <w:marLeft w:val="0"/>
      <w:marRight w:val="0"/>
      <w:marTop w:val="0"/>
      <w:marBottom w:val="0"/>
      <w:divBdr>
        <w:top w:val="none" w:sz="0" w:space="0" w:color="auto"/>
        <w:left w:val="none" w:sz="0" w:space="0" w:color="auto"/>
        <w:bottom w:val="none" w:sz="0" w:space="0" w:color="auto"/>
        <w:right w:val="none" w:sz="0" w:space="0" w:color="auto"/>
      </w:divBdr>
    </w:div>
    <w:div w:id="921331791">
      <w:bodyDiv w:val="1"/>
      <w:marLeft w:val="0"/>
      <w:marRight w:val="0"/>
      <w:marTop w:val="0"/>
      <w:marBottom w:val="0"/>
      <w:divBdr>
        <w:top w:val="none" w:sz="0" w:space="0" w:color="auto"/>
        <w:left w:val="none" w:sz="0" w:space="0" w:color="auto"/>
        <w:bottom w:val="none" w:sz="0" w:space="0" w:color="auto"/>
        <w:right w:val="none" w:sz="0" w:space="0" w:color="auto"/>
      </w:divBdr>
    </w:div>
    <w:div w:id="935165892">
      <w:bodyDiv w:val="1"/>
      <w:marLeft w:val="0"/>
      <w:marRight w:val="0"/>
      <w:marTop w:val="0"/>
      <w:marBottom w:val="0"/>
      <w:divBdr>
        <w:top w:val="none" w:sz="0" w:space="0" w:color="auto"/>
        <w:left w:val="none" w:sz="0" w:space="0" w:color="auto"/>
        <w:bottom w:val="none" w:sz="0" w:space="0" w:color="auto"/>
        <w:right w:val="none" w:sz="0" w:space="0" w:color="auto"/>
      </w:divBdr>
    </w:div>
    <w:div w:id="936059220">
      <w:bodyDiv w:val="1"/>
      <w:marLeft w:val="0"/>
      <w:marRight w:val="0"/>
      <w:marTop w:val="0"/>
      <w:marBottom w:val="0"/>
      <w:divBdr>
        <w:top w:val="none" w:sz="0" w:space="0" w:color="auto"/>
        <w:left w:val="none" w:sz="0" w:space="0" w:color="auto"/>
        <w:bottom w:val="none" w:sz="0" w:space="0" w:color="auto"/>
        <w:right w:val="none" w:sz="0" w:space="0" w:color="auto"/>
      </w:divBdr>
    </w:div>
    <w:div w:id="968780702">
      <w:bodyDiv w:val="1"/>
      <w:marLeft w:val="0"/>
      <w:marRight w:val="0"/>
      <w:marTop w:val="0"/>
      <w:marBottom w:val="0"/>
      <w:divBdr>
        <w:top w:val="none" w:sz="0" w:space="0" w:color="auto"/>
        <w:left w:val="none" w:sz="0" w:space="0" w:color="auto"/>
        <w:bottom w:val="none" w:sz="0" w:space="0" w:color="auto"/>
        <w:right w:val="none" w:sz="0" w:space="0" w:color="auto"/>
      </w:divBdr>
    </w:div>
    <w:div w:id="971515539">
      <w:bodyDiv w:val="1"/>
      <w:marLeft w:val="0"/>
      <w:marRight w:val="0"/>
      <w:marTop w:val="0"/>
      <w:marBottom w:val="0"/>
      <w:divBdr>
        <w:top w:val="none" w:sz="0" w:space="0" w:color="auto"/>
        <w:left w:val="none" w:sz="0" w:space="0" w:color="auto"/>
        <w:bottom w:val="none" w:sz="0" w:space="0" w:color="auto"/>
        <w:right w:val="none" w:sz="0" w:space="0" w:color="auto"/>
      </w:divBdr>
    </w:div>
    <w:div w:id="972254736">
      <w:bodyDiv w:val="1"/>
      <w:marLeft w:val="0"/>
      <w:marRight w:val="0"/>
      <w:marTop w:val="0"/>
      <w:marBottom w:val="0"/>
      <w:divBdr>
        <w:top w:val="none" w:sz="0" w:space="0" w:color="auto"/>
        <w:left w:val="none" w:sz="0" w:space="0" w:color="auto"/>
        <w:bottom w:val="none" w:sz="0" w:space="0" w:color="auto"/>
        <w:right w:val="none" w:sz="0" w:space="0" w:color="auto"/>
      </w:divBdr>
    </w:div>
    <w:div w:id="972255720">
      <w:bodyDiv w:val="1"/>
      <w:marLeft w:val="0"/>
      <w:marRight w:val="0"/>
      <w:marTop w:val="0"/>
      <w:marBottom w:val="0"/>
      <w:divBdr>
        <w:top w:val="none" w:sz="0" w:space="0" w:color="auto"/>
        <w:left w:val="none" w:sz="0" w:space="0" w:color="auto"/>
        <w:bottom w:val="none" w:sz="0" w:space="0" w:color="auto"/>
        <w:right w:val="none" w:sz="0" w:space="0" w:color="auto"/>
      </w:divBdr>
    </w:div>
    <w:div w:id="997733117">
      <w:bodyDiv w:val="1"/>
      <w:marLeft w:val="0"/>
      <w:marRight w:val="0"/>
      <w:marTop w:val="0"/>
      <w:marBottom w:val="0"/>
      <w:divBdr>
        <w:top w:val="none" w:sz="0" w:space="0" w:color="auto"/>
        <w:left w:val="none" w:sz="0" w:space="0" w:color="auto"/>
        <w:bottom w:val="none" w:sz="0" w:space="0" w:color="auto"/>
        <w:right w:val="none" w:sz="0" w:space="0" w:color="auto"/>
      </w:divBdr>
    </w:div>
    <w:div w:id="1036586224">
      <w:bodyDiv w:val="1"/>
      <w:marLeft w:val="0"/>
      <w:marRight w:val="0"/>
      <w:marTop w:val="0"/>
      <w:marBottom w:val="0"/>
      <w:divBdr>
        <w:top w:val="none" w:sz="0" w:space="0" w:color="auto"/>
        <w:left w:val="none" w:sz="0" w:space="0" w:color="auto"/>
        <w:bottom w:val="none" w:sz="0" w:space="0" w:color="auto"/>
        <w:right w:val="none" w:sz="0" w:space="0" w:color="auto"/>
      </w:divBdr>
    </w:div>
    <w:div w:id="1049719919">
      <w:bodyDiv w:val="1"/>
      <w:marLeft w:val="0"/>
      <w:marRight w:val="0"/>
      <w:marTop w:val="0"/>
      <w:marBottom w:val="0"/>
      <w:divBdr>
        <w:top w:val="none" w:sz="0" w:space="0" w:color="auto"/>
        <w:left w:val="none" w:sz="0" w:space="0" w:color="auto"/>
        <w:bottom w:val="none" w:sz="0" w:space="0" w:color="auto"/>
        <w:right w:val="none" w:sz="0" w:space="0" w:color="auto"/>
      </w:divBdr>
    </w:div>
    <w:div w:id="1051155479">
      <w:bodyDiv w:val="1"/>
      <w:marLeft w:val="0"/>
      <w:marRight w:val="0"/>
      <w:marTop w:val="0"/>
      <w:marBottom w:val="0"/>
      <w:divBdr>
        <w:top w:val="none" w:sz="0" w:space="0" w:color="auto"/>
        <w:left w:val="none" w:sz="0" w:space="0" w:color="auto"/>
        <w:bottom w:val="none" w:sz="0" w:space="0" w:color="auto"/>
        <w:right w:val="none" w:sz="0" w:space="0" w:color="auto"/>
      </w:divBdr>
    </w:div>
    <w:div w:id="1069380928">
      <w:bodyDiv w:val="1"/>
      <w:marLeft w:val="0"/>
      <w:marRight w:val="0"/>
      <w:marTop w:val="0"/>
      <w:marBottom w:val="0"/>
      <w:divBdr>
        <w:top w:val="none" w:sz="0" w:space="0" w:color="auto"/>
        <w:left w:val="none" w:sz="0" w:space="0" w:color="auto"/>
        <w:bottom w:val="none" w:sz="0" w:space="0" w:color="auto"/>
        <w:right w:val="none" w:sz="0" w:space="0" w:color="auto"/>
      </w:divBdr>
    </w:div>
    <w:div w:id="1076124947">
      <w:bodyDiv w:val="1"/>
      <w:marLeft w:val="0"/>
      <w:marRight w:val="0"/>
      <w:marTop w:val="0"/>
      <w:marBottom w:val="0"/>
      <w:divBdr>
        <w:top w:val="none" w:sz="0" w:space="0" w:color="auto"/>
        <w:left w:val="none" w:sz="0" w:space="0" w:color="auto"/>
        <w:bottom w:val="none" w:sz="0" w:space="0" w:color="auto"/>
        <w:right w:val="none" w:sz="0" w:space="0" w:color="auto"/>
      </w:divBdr>
    </w:div>
    <w:div w:id="1080981604">
      <w:bodyDiv w:val="1"/>
      <w:marLeft w:val="0"/>
      <w:marRight w:val="0"/>
      <w:marTop w:val="0"/>
      <w:marBottom w:val="0"/>
      <w:divBdr>
        <w:top w:val="none" w:sz="0" w:space="0" w:color="auto"/>
        <w:left w:val="none" w:sz="0" w:space="0" w:color="auto"/>
        <w:bottom w:val="none" w:sz="0" w:space="0" w:color="auto"/>
        <w:right w:val="none" w:sz="0" w:space="0" w:color="auto"/>
      </w:divBdr>
    </w:div>
    <w:div w:id="1104351131">
      <w:bodyDiv w:val="1"/>
      <w:marLeft w:val="0"/>
      <w:marRight w:val="0"/>
      <w:marTop w:val="0"/>
      <w:marBottom w:val="0"/>
      <w:divBdr>
        <w:top w:val="none" w:sz="0" w:space="0" w:color="auto"/>
        <w:left w:val="none" w:sz="0" w:space="0" w:color="auto"/>
        <w:bottom w:val="none" w:sz="0" w:space="0" w:color="auto"/>
        <w:right w:val="none" w:sz="0" w:space="0" w:color="auto"/>
      </w:divBdr>
    </w:div>
    <w:div w:id="1112821361">
      <w:bodyDiv w:val="1"/>
      <w:marLeft w:val="0"/>
      <w:marRight w:val="0"/>
      <w:marTop w:val="0"/>
      <w:marBottom w:val="0"/>
      <w:divBdr>
        <w:top w:val="none" w:sz="0" w:space="0" w:color="auto"/>
        <w:left w:val="none" w:sz="0" w:space="0" w:color="auto"/>
        <w:bottom w:val="none" w:sz="0" w:space="0" w:color="auto"/>
        <w:right w:val="none" w:sz="0" w:space="0" w:color="auto"/>
      </w:divBdr>
    </w:div>
    <w:div w:id="1146704396">
      <w:bodyDiv w:val="1"/>
      <w:marLeft w:val="0"/>
      <w:marRight w:val="0"/>
      <w:marTop w:val="0"/>
      <w:marBottom w:val="0"/>
      <w:divBdr>
        <w:top w:val="none" w:sz="0" w:space="0" w:color="auto"/>
        <w:left w:val="none" w:sz="0" w:space="0" w:color="auto"/>
        <w:bottom w:val="none" w:sz="0" w:space="0" w:color="auto"/>
        <w:right w:val="none" w:sz="0" w:space="0" w:color="auto"/>
      </w:divBdr>
    </w:div>
    <w:div w:id="1163400099">
      <w:bodyDiv w:val="1"/>
      <w:marLeft w:val="0"/>
      <w:marRight w:val="0"/>
      <w:marTop w:val="0"/>
      <w:marBottom w:val="0"/>
      <w:divBdr>
        <w:top w:val="none" w:sz="0" w:space="0" w:color="auto"/>
        <w:left w:val="none" w:sz="0" w:space="0" w:color="auto"/>
        <w:bottom w:val="none" w:sz="0" w:space="0" w:color="auto"/>
        <w:right w:val="none" w:sz="0" w:space="0" w:color="auto"/>
      </w:divBdr>
    </w:div>
    <w:div w:id="1165630878">
      <w:bodyDiv w:val="1"/>
      <w:marLeft w:val="0"/>
      <w:marRight w:val="0"/>
      <w:marTop w:val="0"/>
      <w:marBottom w:val="0"/>
      <w:divBdr>
        <w:top w:val="none" w:sz="0" w:space="0" w:color="auto"/>
        <w:left w:val="none" w:sz="0" w:space="0" w:color="auto"/>
        <w:bottom w:val="none" w:sz="0" w:space="0" w:color="auto"/>
        <w:right w:val="none" w:sz="0" w:space="0" w:color="auto"/>
      </w:divBdr>
    </w:div>
    <w:div w:id="1165974699">
      <w:bodyDiv w:val="1"/>
      <w:marLeft w:val="0"/>
      <w:marRight w:val="0"/>
      <w:marTop w:val="0"/>
      <w:marBottom w:val="0"/>
      <w:divBdr>
        <w:top w:val="none" w:sz="0" w:space="0" w:color="auto"/>
        <w:left w:val="none" w:sz="0" w:space="0" w:color="auto"/>
        <w:bottom w:val="none" w:sz="0" w:space="0" w:color="auto"/>
        <w:right w:val="none" w:sz="0" w:space="0" w:color="auto"/>
      </w:divBdr>
    </w:div>
    <w:div w:id="1168984792">
      <w:bodyDiv w:val="1"/>
      <w:marLeft w:val="0"/>
      <w:marRight w:val="0"/>
      <w:marTop w:val="0"/>
      <w:marBottom w:val="0"/>
      <w:divBdr>
        <w:top w:val="none" w:sz="0" w:space="0" w:color="auto"/>
        <w:left w:val="none" w:sz="0" w:space="0" w:color="auto"/>
        <w:bottom w:val="none" w:sz="0" w:space="0" w:color="auto"/>
        <w:right w:val="none" w:sz="0" w:space="0" w:color="auto"/>
      </w:divBdr>
    </w:div>
    <w:div w:id="1198589504">
      <w:bodyDiv w:val="1"/>
      <w:marLeft w:val="0"/>
      <w:marRight w:val="0"/>
      <w:marTop w:val="0"/>
      <w:marBottom w:val="0"/>
      <w:divBdr>
        <w:top w:val="none" w:sz="0" w:space="0" w:color="auto"/>
        <w:left w:val="none" w:sz="0" w:space="0" w:color="auto"/>
        <w:bottom w:val="none" w:sz="0" w:space="0" w:color="auto"/>
        <w:right w:val="none" w:sz="0" w:space="0" w:color="auto"/>
      </w:divBdr>
    </w:div>
    <w:div w:id="1226644226">
      <w:bodyDiv w:val="1"/>
      <w:marLeft w:val="0"/>
      <w:marRight w:val="0"/>
      <w:marTop w:val="0"/>
      <w:marBottom w:val="0"/>
      <w:divBdr>
        <w:top w:val="none" w:sz="0" w:space="0" w:color="auto"/>
        <w:left w:val="none" w:sz="0" w:space="0" w:color="auto"/>
        <w:bottom w:val="none" w:sz="0" w:space="0" w:color="auto"/>
        <w:right w:val="none" w:sz="0" w:space="0" w:color="auto"/>
      </w:divBdr>
    </w:div>
    <w:div w:id="1238712772">
      <w:bodyDiv w:val="1"/>
      <w:marLeft w:val="0"/>
      <w:marRight w:val="0"/>
      <w:marTop w:val="0"/>
      <w:marBottom w:val="0"/>
      <w:divBdr>
        <w:top w:val="none" w:sz="0" w:space="0" w:color="auto"/>
        <w:left w:val="none" w:sz="0" w:space="0" w:color="auto"/>
        <w:bottom w:val="none" w:sz="0" w:space="0" w:color="auto"/>
        <w:right w:val="none" w:sz="0" w:space="0" w:color="auto"/>
      </w:divBdr>
    </w:div>
    <w:div w:id="1239369094">
      <w:bodyDiv w:val="1"/>
      <w:marLeft w:val="0"/>
      <w:marRight w:val="0"/>
      <w:marTop w:val="0"/>
      <w:marBottom w:val="0"/>
      <w:divBdr>
        <w:top w:val="none" w:sz="0" w:space="0" w:color="auto"/>
        <w:left w:val="none" w:sz="0" w:space="0" w:color="auto"/>
        <w:bottom w:val="none" w:sz="0" w:space="0" w:color="auto"/>
        <w:right w:val="none" w:sz="0" w:space="0" w:color="auto"/>
      </w:divBdr>
    </w:div>
    <w:div w:id="1243487908">
      <w:bodyDiv w:val="1"/>
      <w:marLeft w:val="0"/>
      <w:marRight w:val="0"/>
      <w:marTop w:val="0"/>
      <w:marBottom w:val="0"/>
      <w:divBdr>
        <w:top w:val="none" w:sz="0" w:space="0" w:color="auto"/>
        <w:left w:val="none" w:sz="0" w:space="0" w:color="auto"/>
        <w:bottom w:val="none" w:sz="0" w:space="0" w:color="auto"/>
        <w:right w:val="none" w:sz="0" w:space="0" w:color="auto"/>
      </w:divBdr>
    </w:div>
    <w:div w:id="1244485543">
      <w:bodyDiv w:val="1"/>
      <w:marLeft w:val="0"/>
      <w:marRight w:val="0"/>
      <w:marTop w:val="0"/>
      <w:marBottom w:val="0"/>
      <w:divBdr>
        <w:top w:val="none" w:sz="0" w:space="0" w:color="auto"/>
        <w:left w:val="none" w:sz="0" w:space="0" w:color="auto"/>
        <w:bottom w:val="none" w:sz="0" w:space="0" w:color="auto"/>
        <w:right w:val="none" w:sz="0" w:space="0" w:color="auto"/>
      </w:divBdr>
    </w:div>
    <w:div w:id="1274171061">
      <w:bodyDiv w:val="1"/>
      <w:marLeft w:val="0"/>
      <w:marRight w:val="0"/>
      <w:marTop w:val="0"/>
      <w:marBottom w:val="0"/>
      <w:divBdr>
        <w:top w:val="none" w:sz="0" w:space="0" w:color="auto"/>
        <w:left w:val="none" w:sz="0" w:space="0" w:color="auto"/>
        <w:bottom w:val="none" w:sz="0" w:space="0" w:color="auto"/>
        <w:right w:val="none" w:sz="0" w:space="0" w:color="auto"/>
      </w:divBdr>
    </w:div>
    <w:div w:id="1279873079">
      <w:bodyDiv w:val="1"/>
      <w:marLeft w:val="0"/>
      <w:marRight w:val="0"/>
      <w:marTop w:val="0"/>
      <w:marBottom w:val="0"/>
      <w:divBdr>
        <w:top w:val="none" w:sz="0" w:space="0" w:color="auto"/>
        <w:left w:val="none" w:sz="0" w:space="0" w:color="auto"/>
        <w:bottom w:val="none" w:sz="0" w:space="0" w:color="auto"/>
        <w:right w:val="none" w:sz="0" w:space="0" w:color="auto"/>
      </w:divBdr>
    </w:div>
    <w:div w:id="1297880651">
      <w:bodyDiv w:val="1"/>
      <w:marLeft w:val="0"/>
      <w:marRight w:val="0"/>
      <w:marTop w:val="0"/>
      <w:marBottom w:val="0"/>
      <w:divBdr>
        <w:top w:val="none" w:sz="0" w:space="0" w:color="auto"/>
        <w:left w:val="none" w:sz="0" w:space="0" w:color="auto"/>
        <w:bottom w:val="none" w:sz="0" w:space="0" w:color="auto"/>
        <w:right w:val="none" w:sz="0" w:space="0" w:color="auto"/>
      </w:divBdr>
    </w:div>
    <w:div w:id="1309625111">
      <w:bodyDiv w:val="1"/>
      <w:marLeft w:val="0"/>
      <w:marRight w:val="0"/>
      <w:marTop w:val="0"/>
      <w:marBottom w:val="0"/>
      <w:divBdr>
        <w:top w:val="none" w:sz="0" w:space="0" w:color="auto"/>
        <w:left w:val="none" w:sz="0" w:space="0" w:color="auto"/>
        <w:bottom w:val="none" w:sz="0" w:space="0" w:color="auto"/>
        <w:right w:val="none" w:sz="0" w:space="0" w:color="auto"/>
      </w:divBdr>
    </w:div>
    <w:div w:id="1392384706">
      <w:bodyDiv w:val="1"/>
      <w:marLeft w:val="0"/>
      <w:marRight w:val="0"/>
      <w:marTop w:val="0"/>
      <w:marBottom w:val="0"/>
      <w:divBdr>
        <w:top w:val="none" w:sz="0" w:space="0" w:color="auto"/>
        <w:left w:val="none" w:sz="0" w:space="0" w:color="auto"/>
        <w:bottom w:val="none" w:sz="0" w:space="0" w:color="auto"/>
        <w:right w:val="none" w:sz="0" w:space="0" w:color="auto"/>
      </w:divBdr>
    </w:div>
    <w:div w:id="1396784363">
      <w:bodyDiv w:val="1"/>
      <w:marLeft w:val="0"/>
      <w:marRight w:val="0"/>
      <w:marTop w:val="0"/>
      <w:marBottom w:val="0"/>
      <w:divBdr>
        <w:top w:val="none" w:sz="0" w:space="0" w:color="auto"/>
        <w:left w:val="none" w:sz="0" w:space="0" w:color="auto"/>
        <w:bottom w:val="none" w:sz="0" w:space="0" w:color="auto"/>
        <w:right w:val="none" w:sz="0" w:space="0" w:color="auto"/>
      </w:divBdr>
    </w:div>
    <w:div w:id="1401100943">
      <w:bodyDiv w:val="1"/>
      <w:marLeft w:val="0"/>
      <w:marRight w:val="0"/>
      <w:marTop w:val="0"/>
      <w:marBottom w:val="0"/>
      <w:divBdr>
        <w:top w:val="none" w:sz="0" w:space="0" w:color="auto"/>
        <w:left w:val="none" w:sz="0" w:space="0" w:color="auto"/>
        <w:bottom w:val="none" w:sz="0" w:space="0" w:color="auto"/>
        <w:right w:val="none" w:sz="0" w:space="0" w:color="auto"/>
      </w:divBdr>
    </w:div>
    <w:div w:id="1417048534">
      <w:bodyDiv w:val="1"/>
      <w:marLeft w:val="0"/>
      <w:marRight w:val="0"/>
      <w:marTop w:val="0"/>
      <w:marBottom w:val="0"/>
      <w:divBdr>
        <w:top w:val="none" w:sz="0" w:space="0" w:color="auto"/>
        <w:left w:val="none" w:sz="0" w:space="0" w:color="auto"/>
        <w:bottom w:val="none" w:sz="0" w:space="0" w:color="auto"/>
        <w:right w:val="none" w:sz="0" w:space="0" w:color="auto"/>
      </w:divBdr>
    </w:div>
    <w:div w:id="1422290816">
      <w:bodyDiv w:val="1"/>
      <w:marLeft w:val="0"/>
      <w:marRight w:val="0"/>
      <w:marTop w:val="0"/>
      <w:marBottom w:val="0"/>
      <w:divBdr>
        <w:top w:val="none" w:sz="0" w:space="0" w:color="auto"/>
        <w:left w:val="none" w:sz="0" w:space="0" w:color="auto"/>
        <w:bottom w:val="none" w:sz="0" w:space="0" w:color="auto"/>
        <w:right w:val="none" w:sz="0" w:space="0" w:color="auto"/>
      </w:divBdr>
    </w:div>
    <w:div w:id="1437602102">
      <w:bodyDiv w:val="1"/>
      <w:marLeft w:val="0"/>
      <w:marRight w:val="0"/>
      <w:marTop w:val="0"/>
      <w:marBottom w:val="0"/>
      <w:divBdr>
        <w:top w:val="none" w:sz="0" w:space="0" w:color="auto"/>
        <w:left w:val="none" w:sz="0" w:space="0" w:color="auto"/>
        <w:bottom w:val="none" w:sz="0" w:space="0" w:color="auto"/>
        <w:right w:val="none" w:sz="0" w:space="0" w:color="auto"/>
      </w:divBdr>
    </w:div>
    <w:div w:id="1456563506">
      <w:bodyDiv w:val="1"/>
      <w:marLeft w:val="0"/>
      <w:marRight w:val="0"/>
      <w:marTop w:val="0"/>
      <w:marBottom w:val="0"/>
      <w:divBdr>
        <w:top w:val="none" w:sz="0" w:space="0" w:color="auto"/>
        <w:left w:val="none" w:sz="0" w:space="0" w:color="auto"/>
        <w:bottom w:val="none" w:sz="0" w:space="0" w:color="auto"/>
        <w:right w:val="none" w:sz="0" w:space="0" w:color="auto"/>
      </w:divBdr>
    </w:div>
    <w:div w:id="1464929199">
      <w:bodyDiv w:val="1"/>
      <w:marLeft w:val="0"/>
      <w:marRight w:val="0"/>
      <w:marTop w:val="0"/>
      <w:marBottom w:val="0"/>
      <w:divBdr>
        <w:top w:val="none" w:sz="0" w:space="0" w:color="auto"/>
        <w:left w:val="none" w:sz="0" w:space="0" w:color="auto"/>
        <w:bottom w:val="none" w:sz="0" w:space="0" w:color="auto"/>
        <w:right w:val="none" w:sz="0" w:space="0" w:color="auto"/>
      </w:divBdr>
    </w:div>
    <w:div w:id="1464999565">
      <w:bodyDiv w:val="1"/>
      <w:marLeft w:val="0"/>
      <w:marRight w:val="0"/>
      <w:marTop w:val="0"/>
      <w:marBottom w:val="0"/>
      <w:divBdr>
        <w:top w:val="none" w:sz="0" w:space="0" w:color="auto"/>
        <w:left w:val="none" w:sz="0" w:space="0" w:color="auto"/>
        <w:bottom w:val="none" w:sz="0" w:space="0" w:color="auto"/>
        <w:right w:val="none" w:sz="0" w:space="0" w:color="auto"/>
      </w:divBdr>
    </w:div>
    <w:div w:id="1475558869">
      <w:bodyDiv w:val="1"/>
      <w:marLeft w:val="0"/>
      <w:marRight w:val="0"/>
      <w:marTop w:val="0"/>
      <w:marBottom w:val="0"/>
      <w:divBdr>
        <w:top w:val="none" w:sz="0" w:space="0" w:color="auto"/>
        <w:left w:val="none" w:sz="0" w:space="0" w:color="auto"/>
        <w:bottom w:val="none" w:sz="0" w:space="0" w:color="auto"/>
        <w:right w:val="none" w:sz="0" w:space="0" w:color="auto"/>
      </w:divBdr>
    </w:div>
    <w:div w:id="1511990689">
      <w:bodyDiv w:val="1"/>
      <w:marLeft w:val="0"/>
      <w:marRight w:val="0"/>
      <w:marTop w:val="0"/>
      <w:marBottom w:val="0"/>
      <w:divBdr>
        <w:top w:val="none" w:sz="0" w:space="0" w:color="auto"/>
        <w:left w:val="none" w:sz="0" w:space="0" w:color="auto"/>
        <w:bottom w:val="none" w:sz="0" w:space="0" w:color="auto"/>
        <w:right w:val="none" w:sz="0" w:space="0" w:color="auto"/>
      </w:divBdr>
    </w:div>
    <w:div w:id="1517694851">
      <w:bodyDiv w:val="1"/>
      <w:marLeft w:val="0"/>
      <w:marRight w:val="0"/>
      <w:marTop w:val="0"/>
      <w:marBottom w:val="0"/>
      <w:divBdr>
        <w:top w:val="none" w:sz="0" w:space="0" w:color="auto"/>
        <w:left w:val="none" w:sz="0" w:space="0" w:color="auto"/>
        <w:bottom w:val="none" w:sz="0" w:space="0" w:color="auto"/>
        <w:right w:val="none" w:sz="0" w:space="0" w:color="auto"/>
      </w:divBdr>
    </w:div>
    <w:div w:id="1541866217">
      <w:bodyDiv w:val="1"/>
      <w:marLeft w:val="0"/>
      <w:marRight w:val="0"/>
      <w:marTop w:val="0"/>
      <w:marBottom w:val="0"/>
      <w:divBdr>
        <w:top w:val="none" w:sz="0" w:space="0" w:color="auto"/>
        <w:left w:val="none" w:sz="0" w:space="0" w:color="auto"/>
        <w:bottom w:val="none" w:sz="0" w:space="0" w:color="auto"/>
        <w:right w:val="none" w:sz="0" w:space="0" w:color="auto"/>
      </w:divBdr>
    </w:div>
    <w:div w:id="1557202890">
      <w:bodyDiv w:val="1"/>
      <w:marLeft w:val="0"/>
      <w:marRight w:val="0"/>
      <w:marTop w:val="0"/>
      <w:marBottom w:val="0"/>
      <w:divBdr>
        <w:top w:val="none" w:sz="0" w:space="0" w:color="auto"/>
        <w:left w:val="none" w:sz="0" w:space="0" w:color="auto"/>
        <w:bottom w:val="none" w:sz="0" w:space="0" w:color="auto"/>
        <w:right w:val="none" w:sz="0" w:space="0" w:color="auto"/>
      </w:divBdr>
    </w:div>
    <w:div w:id="1577784374">
      <w:bodyDiv w:val="1"/>
      <w:marLeft w:val="0"/>
      <w:marRight w:val="0"/>
      <w:marTop w:val="0"/>
      <w:marBottom w:val="0"/>
      <w:divBdr>
        <w:top w:val="none" w:sz="0" w:space="0" w:color="auto"/>
        <w:left w:val="none" w:sz="0" w:space="0" w:color="auto"/>
        <w:bottom w:val="none" w:sz="0" w:space="0" w:color="auto"/>
        <w:right w:val="none" w:sz="0" w:space="0" w:color="auto"/>
      </w:divBdr>
    </w:div>
    <w:div w:id="1578050906">
      <w:bodyDiv w:val="1"/>
      <w:marLeft w:val="0"/>
      <w:marRight w:val="0"/>
      <w:marTop w:val="0"/>
      <w:marBottom w:val="0"/>
      <w:divBdr>
        <w:top w:val="none" w:sz="0" w:space="0" w:color="auto"/>
        <w:left w:val="none" w:sz="0" w:space="0" w:color="auto"/>
        <w:bottom w:val="none" w:sz="0" w:space="0" w:color="auto"/>
        <w:right w:val="none" w:sz="0" w:space="0" w:color="auto"/>
      </w:divBdr>
    </w:div>
    <w:div w:id="1583373565">
      <w:bodyDiv w:val="1"/>
      <w:marLeft w:val="0"/>
      <w:marRight w:val="0"/>
      <w:marTop w:val="0"/>
      <w:marBottom w:val="0"/>
      <w:divBdr>
        <w:top w:val="none" w:sz="0" w:space="0" w:color="auto"/>
        <w:left w:val="none" w:sz="0" w:space="0" w:color="auto"/>
        <w:bottom w:val="none" w:sz="0" w:space="0" w:color="auto"/>
        <w:right w:val="none" w:sz="0" w:space="0" w:color="auto"/>
      </w:divBdr>
    </w:div>
    <w:div w:id="1585186226">
      <w:bodyDiv w:val="1"/>
      <w:marLeft w:val="0"/>
      <w:marRight w:val="0"/>
      <w:marTop w:val="0"/>
      <w:marBottom w:val="0"/>
      <w:divBdr>
        <w:top w:val="none" w:sz="0" w:space="0" w:color="auto"/>
        <w:left w:val="none" w:sz="0" w:space="0" w:color="auto"/>
        <w:bottom w:val="none" w:sz="0" w:space="0" w:color="auto"/>
        <w:right w:val="none" w:sz="0" w:space="0" w:color="auto"/>
      </w:divBdr>
    </w:div>
    <w:div w:id="1588925399">
      <w:bodyDiv w:val="1"/>
      <w:marLeft w:val="0"/>
      <w:marRight w:val="0"/>
      <w:marTop w:val="0"/>
      <w:marBottom w:val="0"/>
      <w:divBdr>
        <w:top w:val="none" w:sz="0" w:space="0" w:color="auto"/>
        <w:left w:val="none" w:sz="0" w:space="0" w:color="auto"/>
        <w:bottom w:val="none" w:sz="0" w:space="0" w:color="auto"/>
        <w:right w:val="none" w:sz="0" w:space="0" w:color="auto"/>
      </w:divBdr>
    </w:div>
    <w:div w:id="1603034074">
      <w:bodyDiv w:val="1"/>
      <w:marLeft w:val="0"/>
      <w:marRight w:val="0"/>
      <w:marTop w:val="0"/>
      <w:marBottom w:val="0"/>
      <w:divBdr>
        <w:top w:val="none" w:sz="0" w:space="0" w:color="auto"/>
        <w:left w:val="none" w:sz="0" w:space="0" w:color="auto"/>
        <w:bottom w:val="none" w:sz="0" w:space="0" w:color="auto"/>
        <w:right w:val="none" w:sz="0" w:space="0" w:color="auto"/>
      </w:divBdr>
    </w:div>
    <w:div w:id="1603872931">
      <w:bodyDiv w:val="1"/>
      <w:marLeft w:val="0"/>
      <w:marRight w:val="0"/>
      <w:marTop w:val="0"/>
      <w:marBottom w:val="0"/>
      <w:divBdr>
        <w:top w:val="none" w:sz="0" w:space="0" w:color="auto"/>
        <w:left w:val="none" w:sz="0" w:space="0" w:color="auto"/>
        <w:bottom w:val="none" w:sz="0" w:space="0" w:color="auto"/>
        <w:right w:val="none" w:sz="0" w:space="0" w:color="auto"/>
      </w:divBdr>
    </w:div>
    <w:div w:id="1612857288">
      <w:bodyDiv w:val="1"/>
      <w:marLeft w:val="0"/>
      <w:marRight w:val="0"/>
      <w:marTop w:val="0"/>
      <w:marBottom w:val="0"/>
      <w:divBdr>
        <w:top w:val="none" w:sz="0" w:space="0" w:color="auto"/>
        <w:left w:val="none" w:sz="0" w:space="0" w:color="auto"/>
        <w:bottom w:val="none" w:sz="0" w:space="0" w:color="auto"/>
        <w:right w:val="none" w:sz="0" w:space="0" w:color="auto"/>
      </w:divBdr>
    </w:div>
    <w:div w:id="1643075726">
      <w:bodyDiv w:val="1"/>
      <w:marLeft w:val="0"/>
      <w:marRight w:val="0"/>
      <w:marTop w:val="0"/>
      <w:marBottom w:val="0"/>
      <w:divBdr>
        <w:top w:val="none" w:sz="0" w:space="0" w:color="auto"/>
        <w:left w:val="none" w:sz="0" w:space="0" w:color="auto"/>
        <w:bottom w:val="none" w:sz="0" w:space="0" w:color="auto"/>
        <w:right w:val="none" w:sz="0" w:space="0" w:color="auto"/>
      </w:divBdr>
    </w:div>
    <w:div w:id="1652905604">
      <w:bodyDiv w:val="1"/>
      <w:marLeft w:val="0"/>
      <w:marRight w:val="0"/>
      <w:marTop w:val="0"/>
      <w:marBottom w:val="0"/>
      <w:divBdr>
        <w:top w:val="none" w:sz="0" w:space="0" w:color="auto"/>
        <w:left w:val="none" w:sz="0" w:space="0" w:color="auto"/>
        <w:bottom w:val="none" w:sz="0" w:space="0" w:color="auto"/>
        <w:right w:val="none" w:sz="0" w:space="0" w:color="auto"/>
      </w:divBdr>
    </w:div>
    <w:div w:id="1654942447">
      <w:bodyDiv w:val="1"/>
      <w:marLeft w:val="0"/>
      <w:marRight w:val="0"/>
      <w:marTop w:val="0"/>
      <w:marBottom w:val="0"/>
      <w:divBdr>
        <w:top w:val="none" w:sz="0" w:space="0" w:color="auto"/>
        <w:left w:val="none" w:sz="0" w:space="0" w:color="auto"/>
        <w:bottom w:val="none" w:sz="0" w:space="0" w:color="auto"/>
        <w:right w:val="none" w:sz="0" w:space="0" w:color="auto"/>
      </w:divBdr>
    </w:div>
    <w:div w:id="1656688700">
      <w:bodyDiv w:val="1"/>
      <w:marLeft w:val="0"/>
      <w:marRight w:val="0"/>
      <w:marTop w:val="0"/>
      <w:marBottom w:val="0"/>
      <w:divBdr>
        <w:top w:val="none" w:sz="0" w:space="0" w:color="auto"/>
        <w:left w:val="none" w:sz="0" w:space="0" w:color="auto"/>
        <w:bottom w:val="none" w:sz="0" w:space="0" w:color="auto"/>
        <w:right w:val="none" w:sz="0" w:space="0" w:color="auto"/>
      </w:divBdr>
    </w:div>
    <w:div w:id="1670207745">
      <w:bodyDiv w:val="1"/>
      <w:marLeft w:val="0"/>
      <w:marRight w:val="0"/>
      <w:marTop w:val="0"/>
      <w:marBottom w:val="0"/>
      <w:divBdr>
        <w:top w:val="none" w:sz="0" w:space="0" w:color="auto"/>
        <w:left w:val="none" w:sz="0" w:space="0" w:color="auto"/>
        <w:bottom w:val="none" w:sz="0" w:space="0" w:color="auto"/>
        <w:right w:val="none" w:sz="0" w:space="0" w:color="auto"/>
      </w:divBdr>
    </w:div>
    <w:div w:id="1684436951">
      <w:bodyDiv w:val="1"/>
      <w:marLeft w:val="0"/>
      <w:marRight w:val="0"/>
      <w:marTop w:val="0"/>
      <w:marBottom w:val="0"/>
      <w:divBdr>
        <w:top w:val="none" w:sz="0" w:space="0" w:color="auto"/>
        <w:left w:val="none" w:sz="0" w:space="0" w:color="auto"/>
        <w:bottom w:val="none" w:sz="0" w:space="0" w:color="auto"/>
        <w:right w:val="none" w:sz="0" w:space="0" w:color="auto"/>
      </w:divBdr>
    </w:div>
    <w:div w:id="1696690726">
      <w:bodyDiv w:val="1"/>
      <w:marLeft w:val="0"/>
      <w:marRight w:val="0"/>
      <w:marTop w:val="0"/>
      <w:marBottom w:val="0"/>
      <w:divBdr>
        <w:top w:val="none" w:sz="0" w:space="0" w:color="auto"/>
        <w:left w:val="none" w:sz="0" w:space="0" w:color="auto"/>
        <w:bottom w:val="none" w:sz="0" w:space="0" w:color="auto"/>
        <w:right w:val="none" w:sz="0" w:space="0" w:color="auto"/>
      </w:divBdr>
    </w:div>
    <w:div w:id="1708139948">
      <w:bodyDiv w:val="1"/>
      <w:marLeft w:val="0"/>
      <w:marRight w:val="0"/>
      <w:marTop w:val="0"/>
      <w:marBottom w:val="0"/>
      <w:divBdr>
        <w:top w:val="none" w:sz="0" w:space="0" w:color="auto"/>
        <w:left w:val="none" w:sz="0" w:space="0" w:color="auto"/>
        <w:bottom w:val="none" w:sz="0" w:space="0" w:color="auto"/>
        <w:right w:val="none" w:sz="0" w:space="0" w:color="auto"/>
      </w:divBdr>
    </w:div>
    <w:div w:id="1739747018">
      <w:bodyDiv w:val="1"/>
      <w:marLeft w:val="0"/>
      <w:marRight w:val="0"/>
      <w:marTop w:val="0"/>
      <w:marBottom w:val="0"/>
      <w:divBdr>
        <w:top w:val="none" w:sz="0" w:space="0" w:color="auto"/>
        <w:left w:val="none" w:sz="0" w:space="0" w:color="auto"/>
        <w:bottom w:val="none" w:sz="0" w:space="0" w:color="auto"/>
        <w:right w:val="none" w:sz="0" w:space="0" w:color="auto"/>
      </w:divBdr>
    </w:div>
    <w:div w:id="1744715417">
      <w:bodyDiv w:val="1"/>
      <w:marLeft w:val="0"/>
      <w:marRight w:val="0"/>
      <w:marTop w:val="0"/>
      <w:marBottom w:val="0"/>
      <w:divBdr>
        <w:top w:val="none" w:sz="0" w:space="0" w:color="auto"/>
        <w:left w:val="none" w:sz="0" w:space="0" w:color="auto"/>
        <w:bottom w:val="none" w:sz="0" w:space="0" w:color="auto"/>
        <w:right w:val="none" w:sz="0" w:space="0" w:color="auto"/>
      </w:divBdr>
    </w:div>
    <w:div w:id="1747265369">
      <w:bodyDiv w:val="1"/>
      <w:marLeft w:val="0"/>
      <w:marRight w:val="0"/>
      <w:marTop w:val="0"/>
      <w:marBottom w:val="0"/>
      <w:divBdr>
        <w:top w:val="none" w:sz="0" w:space="0" w:color="auto"/>
        <w:left w:val="none" w:sz="0" w:space="0" w:color="auto"/>
        <w:bottom w:val="none" w:sz="0" w:space="0" w:color="auto"/>
        <w:right w:val="none" w:sz="0" w:space="0" w:color="auto"/>
      </w:divBdr>
    </w:div>
    <w:div w:id="1761485850">
      <w:bodyDiv w:val="1"/>
      <w:marLeft w:val="0"/>
      <w:marRight w:val="0"/>
      <w:marTop w:val="0"/>
      <w:marBottom w:val="0"/>
      <w:divBdr>
        <w:top w:val="none" w:sz="0" w:space="0" w:color="auto"/>
        <w:left w:val="none" w:sz="0" w:space="0" w:color="auto"/>
        <w:bottom w:val="none" w:sz="0" w:space="0" w:color="auto"/>
        <w:right w:val="none" w:sz="0" w:space="0" w:color="auto"/>
      </w:divBdr>
    </w:div>
    <w:div w:id="1764885271">
      <w:bodyDiv w:val="1"/>
      <w:marLeft w:val="0"/>
      <w:marRight w:val="0"/>
      <w:marTop w:val="0"/>
      <w:marBottom w:val="0"/>
      <w:divBdr>
        <w:top w:val="none" w:sz="0" w:space="0" w:color="auto"/>
        <w:left w:val="none" w:sz="0" w:space="0" w:color="auto"/>
        <w:bottom w:val="none" w:sz="0" w:space="0" w:color="auto"/>
        <w:right w:val="none" w:sz="0" w:space="0" w:color="auto"/>
      </w:divBdr>
    </w:div>
    <w:div w:id="1766612100">
      <w:bodyDiv w:val="1"/>
      <w:marLeft w:val="0"/>
      <w:marRight w:val="0"/>
      <w:marTop w:val="0"/>
      <w:marBottom w:val="0"/>
      <w:divBdr>
        <w:top w:val="none" w:sz="0" w:space="0" w:color="auto"/>
        <w:left w:val="none" w:sz="0" w:space="0" w:color="auto"/>
        <w:bottom w:val="none" w:sz="0" w:space="0" w:color="auto"/>
        <w:right w:val="none" w:sz="0" w:space="0" w:color="auto"/>
      </w:divBdr>
    </w:div>
    <w:div w:id="1789080592">
      <w:bodyDiv w:val="1"/>
      <w:marLeft w:val="0"/>
      <w:marRight w:val="0"/>
      <w:marTop w:val="0"/>
      <w:marBottom w:val="0"/>
      <w:divBdr>
        <w:top w:val="none" w:sz="0" w:space="0" w:color="auto"/>
        <w:left w:val="none" w:sz="0" w:space="0" w:color="auto"/>
        <w:bottom w:val="none" w:sz="0" w:space="0" w:color="auto"/>
        <w:right w:val="none" w:sz="0" w:space="0" w:color="auto"/>
      </w:divBdr>
    </w:div>
    <w:div w:id="1809593459">
      <w:bodyDiv w:val="1"/>
      <w:marLeft w:val="0"/>
      <w:marRight w:val="0"/>
      <w:marTop w:val="0"/>
      <w:marBottom w:val="0"/>
      <w:divBdr>
        <w:top w:val="none" w:sz="0" w:space="0" w:color="auto"/>
        <w:left w:val="none" w:sz="0" w:space="0" w:color="auto"/>
        <w:bottom w:val="none" w:sz="0" w:space="0" w:color="auto"/>
        <w:right w:val="none" w:sz="0" w:space="0" w:color="auto"/>
      </w:divBdr>
    </w:div>
    <w:div w:id="1815827229">
      <w:bodyDiv w:val="1"/>
      <w:marLeft w:val="0"/>
      <w:marRight w:val="0"/>
      <w:marTop w:val="0"/>
      <w:marBottom w:val="0"/>
      <w:divBdr>
        <w:top w:val="none" w:sz="0" w:space="0" w:color="auto"/>
        <w:left w:val="none" w:sz="0" w:space="0" w:color="auto"/>
        <w:bottom w:val="none" w:sz="0" w:space="0" w:color="auto"/>
        <w:right w:val="none" w:sz="0" w:space="0" w:color="auto"/>
      </w:divBdr>
    </w:div>
    <w:div w:id="1871868892">
      <w:bodyDiv w:val="1"/>
      <w:marLeft w:val="0"/>
      <w:marRight w:val="0"/>
      <w:marTop w:val="0"/>
      <w:marBottom w:val="0"/>
      <w:divBdr>
        <w:top w:val="none" w:sz="0" w:space="0" w:color="auto"/>
        <w:left w:val="none" w:sz="0" w:space="0" w:color="auto"/>
        <w:bottom w:val="none" w:sz="0" w:space="0" w:color="auto"/>
        <w:right w:val="none" w:sz="0" w:space="0" w:color="auto"/>
      </w:divBdr>
    </w:div>
    <w:div w:id="1891575785">
      <w:bodyDiv w:val="1"/>
      <w:marLeft w:val="0"/>
      <w:marRight w:val="0"/>
      <w:marTop w:val="0"/>
      <w:marBottom w:val="0"/>
      <w:divBdr>
        <w:top w:val="none" w:sz="0" w:space="0" w:color="auto"/>
        <w:left w:val="none" w:sz="0" w:space="0" w:color="auto"/>
        <w:bottom w:val="none" w:sz="0" w:space="0" w:color="auto"/>
        <w:right w:val="none" w:sz="0" w:space="0" w:color="auto"/>
      </w:divBdr>
    </w:div>
    <w:div w:id="1909487702">
      <w:bodyDiv w:val="1"/>
      <w:marLeft w:val="0"/>
      <w:marRight w:val="0"/>
      <w:marTop w:val="0"/>
      <w:marBottom w:val="0"/>
      <w:divBdr>
        <w:top w:val="none" w:sz="0" w:space="0" w:color="auto"/>
        <w:left w:val="none" w:sz="0" w:space="0" w:color="auto"/>
        <w:bottom w:val="none" w:sz="0" w:space="0" w:color="auto"/>
        <w:right w:val="none" w:sz="0" w:space="0" w:color="auto"/>
      </w:divBdr>
    </w:div>
    <w:div w:id="1935818097">
      <w:bodyDiv w:val="1"/>
      <w:marLeft w:val="0"/>
      <w:marRight w:val="0"/>
      <w:marTop w:val="0"/>
      <w:marBottom w:val="0"/>
      <w:divBdr>
        <w:top w:val="none" w:sz="0" w:space="0" w:color="auto"/>
        <w:left w:val="none" w:sz="0" w:space="0" w:color="auto"/>
        <w:bottom w:val="none" w:sz="0" w:space="0" w:color="auto"/>
        <w:right w:val="none" w:sz="0" w:space="0" w:color="auto"/>
      </w:divBdr>
    </w:div>
    <w:div w:id="1972398582">
      <w:bodyDiv w:val="1"/>
      <w:marLeft w:val="0"/>
      <w:marRight w:val="0"/>
      <w:marTop w:val="0"/>
      <w:marBottom w:val="0"/>
      <w:divBdr>
        <w:top w:val="none" w:sz="0" w:space="0" w:color="auto"/>
        <w:left w:val="none" w:sz="0" w:space="0" w:color="auto"/>
        <w:bottom w:val="none" w:sz="0" w:space="0" w:color="auto"/>
        <w:right w:val="none" w:sz="0" w:space="0" w:color="auto"/>
      </w:divBdr>
    </w:div>
    <w:div w:id="1988587856">
      <w:bodyDiv w:val="1"/>
      <w:marLeft w:val="0"/>
      <w:marRight w:val="0"/>
      <w:marTop w:val="0"/>
      <w:marBottom w:val="0"/>
      <w:divBdr>
        <w:top w:val="none" w:sz="0" w:space="0" w:color="auto"/>
        <w:left w:val="none" w:sz="0" w:space="0" w:color="auto"/>
        <w:bottom w:val="none" w:sz="0" w:space="0" w:color="auto"/>
        <w:right w:val="none" w:sz="0" w:space="0" w:color="auto"/>
      </w:divBdr>
    </w:div>
    <w:div w:id="2026714216">
      <w:bodyDiv w:val="1"/>
      <w:marLeft w:val="0"/>
      <w:marRight w:val="0"/>
      <w:marTop w:val="0"/>
      <w:marBottom w:val="0"/>
      <w:divBdr>
        <w:top w:val="none" w:sz="0" w:space="0" w:color="auto"/>
        <w:left w:val="none" w:sz="0" w:space="0" w:color="auto"/>
        <w:bottom w:val="none" w:sz="0" w:space="0" w:color="auto"/>
        <w:right w:val="none" w:sz="0" w:space="0" w:color="auto"/>
      </w:divBdr>
    </w:div>
    <w:div w:id="2027319396">
      <w:bodyDiv w:val="1"/>
      <w:marLeft w:val="0"/>
      <w:marRight w:val="0"/>
      <w:marTop w:val="0"/>
      <w:marBottom w:val="0"/>
      <w:divBdr>
        <w:top w:val="none" w:sz="0" w:space="0" w:color="auto"/>
        <w:left w:val="none" w:sz="0" w:space="0" w:color="auto"/>
        <w:bottom w:val="none" w:sz="0" w:space="0" w:color="auto"/>
        <w:right w:val="none" w:sz="0" w:space="0" w:color="auto"/>
      </w:divBdr>
    </w:div>
    <w:div w:id="2042317306">
      <w:bodyDiv w:val="1"/>
      <w:marLeft w:val="0"/>
      <w:marRight w:val="0"/>
      <w:marTop w:val="0"/>
      <w:marBottom w:val="0"/>
      <w:divBdr>
        <w:top w:val="none" w:sz="0" w:space="0" w:color="auto"/>
        <w:left w:val="none" w:sz="0" w:space="0" w:color="auto"/>
        <w:bottom w:val="none" w:sz="0" w:space="0" w:color="auto"/>
        <w:right w:val="none" w:sz="0" w:space="0" w:color="auto"/>
      </w:divBdr>
    </w:div>
    <w:div w:id="2057656553">
      <w:bodyDiv w:val="1"/>
      <w:marLeft w:val="0"/>
      <w:marRight w:val="0"/>
      <w:marTop w:val="0"/>
      <w:marBottom w:val="0"/>
      <w:divBdr>
        <w:top w:val="none" w:sz="0" w:space="0" w:color="auto"/>
        <w:left w:val="none" w:sz="0" w:space="0" w:color="auto"/>
        <w:bottom w:val="none" w:sz="0" w:space="0" w:color="auto"/>
        <w:right w:val="none" w:sz="0" w:space="0" w:color="auto"/>
      </w:divBdr>
    </w:div>
    <w:div w:id="2095317917">
      <w:bodyDiv w:val="1"/>
      <w:marLeft w:val="0"/>
      <w:marRight w:val="0"/>
      <w:marTop w:val="0"/>
      <w:marBottom w:val="0"/>
      <w:divBdr>
        <w:top w:val="none" w:sz="0" w:space="0" w:color="auto"/>
        <w:left w:val="none" w:sz="0" w:space="0" w:color="auto"/>
        <w:bottom w:val="none" w:sz="0" w:space="0" w:color="auto"/>
        <w:right w:val="none" w:sz="0" w:space="0" w:color="auto"/>
      </w:divBdr>
    </w:div>
    <w:div w:id="2098020002">
      <w:bodyDiv w:val="1"/>
      <w:marLeft w:val="0"/>
      <w:marRight w:val="0"/>
      <w:marTop w:val="0"/>
      <w:marBottom w:val="0"/>
      <w:divBdr>
        <w:top w:val="none" w:sz="0" w:space="0" w:color="auto"/>
        <w:left w:val="none" w:sz="0" w:space="0" w:color="auto"/>
        <w:bottom w:val="none" w:sz="0" w:space="0" w:color="auto"/>
        <w:right w:val="none" w:sz="0" w:space="0" w:color="auto"/>
      </w:divBdr>
    </w:div>
    <w:div w:id="2106069797">
      <w:bodyDiv w:val="1"/>
      <w:marLeft w:val="0"/>
      <w:marRight w:val="0"/>
      <w:marTop w:val="0"/>
      <w:marBottom w:val="0"/>
      <w:divBdr>
        <w:top w:val="none" w:sz="0" w:space="0" w:color="auto"/>
        <w:left w:val="none" w:sz="0" w:space="0" w:color="auto"/>
        <w:bottom w:val="none" w:sz="0" w:space="0" w:color="auto"/>
        <w:right w:val="none" w:sz="0" w:space="0" w:color="auto"/>
      </w:divBdr>
    </w:div>
    <w:div w:id="214612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responding-to-a-flexible-working-request" TargetMode="External"/><Relationship Id="rId18" Type="http://schemas.openxmlformats.org/officeDocument/2006/relationships/hyperlink" Target="https://app.croneri.co.uk/feature-articles/breach-contract#PO-HEADING-ID_ORCUMVFT30MP20G7SEYG" TargetMode="External"/><Relationship Id="rId26" Type="http://schemas.openxmlformats.org/officeDocument/2006/relationships/hyperlink" Target="https://www.hse.gov.uk/workers/employers.htm" TargetMode="External"/><Relationship Id="rId39" Type="http://schemas.openxmlformats.org/officeDocument/2006/relationships/fontTable" Target="fontTable.xml"/><Relationship Id="rId21" Type="http://schemas.openxmlformats.org/officeDocument/2006/relationships/hyperlink" Target="https://www.equalityhumanrights.com/en/advice-and-guidance/your-rights-under-equality-act-2010" TargetMode="External"/><Relationship Id="rId34" Type="http://schemas.openxmlformats.org/officeDocument/2006/relationships/hyperlink" Target="https://www.legislation.gov.uk/uksi/2014/1398/made" TargetMode="External"/><Relationship Id="rId7" Type="http://schemas.openxmlformats.org/officeDocument/2006/relationships/endnotes" Target="endnotes.xml"/><Relationship Id="rId12" Type="http://schemas.openxmlformats.org/officeDocument/2006/relationships/hyperlink" Target="https://www.acas.org.uk/disciplinary-and-grievance-procedures" TargetMode="External"/><Relationship Id="rId17" Type="http://schemas.openxmlformats.org/officeDocument/2006/relationships/hyperlink" Target="https://www.citizensadvice.org.uk/work/problems-at-work/employment-tribunals-from-29-july-2013/employment-tribunals-valuing-a-claim/compensatory-award/calculating-the-compensatory-award/employment-tribunals-compensatory-award-for-unfair-dismissal-should-y" TargetMode="External"/><Relationship Id="rId25" Type="http://schemas.openxmlformats.org/officeDocument/2006/relationships/hyperlink" Target="https://www.gov.uk/time-off-for-dependants" TargetMode="External"/><Relationship Id="rId33" Type="http://schemas.openxmlformats.org/officeDocument/2006/relationships/hyperlink" Target="https://www.legislation.gov.uk/ukpga/1996/18/section/98"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citizensadvice.org.uk/about-us/our-work/policy/policy-research-topics/work-policy-research-surveys-and-consultation-responses/work-policy-research/tribunal-trouble-how-a-backlogged-tribunal-system-is-stopping-people-enforcing-their-rights/" TargetMode="External"/><Relationship Id="rId20" Type="http://schemas.openxmlformats.org/officeDocument/2006/relationships/hyperlink" Target="https://www.equalityhumanrights.com/en/advice-and-guidance/time-limits-discrimination-claims" TargetMode="External"/><Relationship Id="rId29" Type="http://schemas.openxmlformats.org/officeDocument/2006/relationships/hyperlink" Target="https://www.legislation.gov.uk/uksi/1998/1833/contents/ma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as.org.uk/early-conciliation/if-youre-being-taken-to-an-employment-tribunal" TargetMode="External"/><Relationship Id="rId24" Type="http://schemas.openxmlformats.org/officeDocument/2006/relationships/hyperlink" Target="https://www.gov.uk/personal-data-my-employer-can-keep-about-me" TargetMode="External"/><Relationship Id="rId32" Type="http://schemas.openxmlformats.org/officeDocument/2006/relationships/hyperlink" Target="https://www.legislation.gov.uk/ukpga/1996/18/section/103A" TargetMode="External"/><Relationship Id="rId37" Type="http://schemas.openxmlformats.org/officeDocument/2006/relationships/hyperlink" Target="https://www.personneltoday.com/hr/court-of-appeal-junior-doctor-rest-break-test-case/"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ilii.org/uk/cases/UKEAT/2009/0195_09_0608.html" TargetMode="External"/><Relationship Id="rId23" Type="http://schemas.openxmlformats.org/officeDocument/2006/relationships/hyperlink" Target="https://www.gov.uk/guidance/nhs-test-and-trace-workplace-guidance" TargetMode="External"/><Relationship Id="rId28" Type="http://schemas.openxmlformats.org/officeDocument/2006/relationships/hyperlink" Target="https://ico.org.uk/for-organisations/guide-to-data-protection/guide-to-the-general-data-protection-regulation-gdpr/" TargetMode="External"/><Relationship Id="rId36" Type="http://schemas.openxmlformats.org/officeDocument/2006/relationships/hyperlink" Target="https://www.peoplemanagement.co.uk/news/articles/covid-causing-perfect-storm-of-outstanding-tribunal-cases#_ga=2.33571746.2044265509.1620561352-1542601472.1600793544" TargetMode="External"/><Relationship Id="rId10" Type="http://schemas.openxmlformats.org/officeDocument/2006/relationships/hyperlink" Target="https://ico.org.uk/for-organisations/guide-to-data-protection/guide-to-the-general-data-protection-regulation-gdpr/personal-data-breaches/" TargetMode="External"/><Relationship Id="rId19" Type="http://schemas.openxmlformats.org/officeDocument/2006/relationships/hyperlink" Target="https://app.croneri.co.uk/law-and-guidance/case-reports/burchell-ta-bright-sights-v-collins-anr-eat-18-december-1997" TargetMode="External"/><Relationship Id="rId31" Type="http://schemas.openxmlformats.org/officeDocument/2006/relationships/hyperlink" Target="https://www.legislation.gov.uk/ukpga/1996/18/section/100" TargetMode="External"/><Relationship Id="rId4" Type="http://schemas.openxmlformats.org/officeDocument/2006/relationships/settings" Target="settings.xml"/><Relationship Id="rId9" Type="http://schemas.openxmlformats.org/officeDocument/2006/relationships/hyperlink" Target="https://www.gov.uk/government/publications/the-right-to-request-flexible-working-form" TargetMode="External"/><Relationship Id="rId14" Type="http://schemas.openxmlformats.org/officeDocument/2006/relationships/hyperlink" Target="https://www.citizensadvice.org.uk/work/problems-at-work/employment-tribunals-from-29-july-2013/employment-tribunals-valuing-a-claim/compensatory-award/calculating-the-compensatory-award/employment-tribunals-compensatory-award-for-unfair-dismissal-should-y" TargetMode="External"/><Relationship Id="rId22" Type="http://schemas.openxmlformats.org/officeDocument/2006/relationships/hyperlink" Target="https://assets.publishing.service.gov.uk/government/uploads/system/uploads/attachment_data/file/944801/employment-tribunal-rules-of-procedure.pdf" TargetMode="External"/><Relationship Id="rId27" Type="http://schemas.openxmlformats.org/officeDocument/2006/relationships/hyperlink" Target="https://www.hse.gov.uk/sicknessabsence/" TargetMode="External"/><Relationship Id="rId30" Type="http://schemas.openxmlformats.org/officeDocument/2006/relationships/hyperlink" Target="https://www.legislation.gov.uk/uksi/1999/3242/regulation/14/made" TargetMode="External"/><Relationship Id="rId35" Type="http://schemas.openxmlformats.org/officeDocument/2006/relationships/hyperlink" Target="https://www.menzieslaw.co.uk/case-update-1-grievance-procedures-and-unfair-dismissal/" TargetMode="External"/><Relationship Id="rId8" Type="http://schemas.openxmlformats.org/officeDocument/2006/relationships/hyperlink" Target="https://www.acas.org.uk/disciplinary-and-grievance-procedures"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GOV201</b:Tag>
    <b:SourceType>DocumentFromInternetSite</b:SourceType>
    <b:Guid>{94A1DA08-0212-421D-8763-E30AF7ADA772}</b:Guid>
    <b:Title>Employment tribunal procedure rules</b:Title>
    <b:Year>2020</b:Year>
    <b:YearAccessed>2021</b:YearAccessed>
    <b:MonthAccessed>May</b:MonthAccessed>
    <b:DayAccessed>01</b:DayAccessed>
    <b:URL>https://assets.publishing.service.gov.uk/government/uploads/system/uploads/attachment_data/file/944801/employment-tribunal-rules-of-procedure.pdf</b:URL>
    <b:Author>
      <b:Author>
        <b:Corporate>GOV.UK.a</b:Corporate>
      </b:Author>
    </b:Author>
    <b:Month>December</b:Month>
    <b:Day>16</b:Day>
    <b:RefOrder>1</b:RefOrder>
  </b:Source>
  <b:Source>
    <b:Tag>Cit20</b:Tag>
    <b:SourceType>InternetSite</b:SourceType>
    <b:Guid>{57592DF2-46A1-4698-9223-886BBA8BC097}</b:Guid>
    <b:Title>Tribunal trouble: How a backlogged tribunal system is stopping people enforcing their rights</b:Title>
    <b:Year>2020</b:Year>
    <b:YearAccessed>2021</b:YearAccessed>
    <b:MonthAccessed>May</b:MonthAccessed>
    <b:DayAccessed>01</b:DayAccessed>
    <b:URL>https://www.citizensadvice.org.uk/about-us/our-work/policy/policy-research-topics/work-policy-research-surveys-and-consultation-responses/work-policy-research/tribunal-trouble-how-a-backlogged-tribunal-system-is-stopping-people-enforcing-their-rights/</b:URL>
    <b:Author>
      <b:Author>
        <b:Corporate>Citizens Advice</b:Corporate>
      </b:Author>
    </b:Author>
    <b:RefOrder>2</b:RefOrder>
  </b:Source>
  <b:Source>
    <b:Tag>ACA211</b:Tag>
    <b:SourceType>InternetSite</b:SourceType>
    <b:Guid>{FCCB986C-C294-4D6C-84DE-02E2BD293FC3}</b:Guid>
    <b:Author>
      <b:Author>
        <b:Corporate>ACAS.b</b:Corporate>
      </b:Author>
    </b:Author>
    <b:Title>Early conciliation</b:Title>
    <b:Year>2021</b:Year>
    <b:YearAccessed>2021</b:YearAccessed>
    <b:MonthAccessed>May</b:MonthAccessed>
    <b:DayAccessed>01</b:DayAccessed>
    <b:URL>https://www.acas.org.uk/early-conciliation/if-youre-being-taken-to-an-employment-tribunal</b:URL>
    <b:RefOrder>3</b:RefOrder>
  </b:Source>
  <b:Source>
    <b:Tag>Cro19</b:Tag>
    <b:SourceType>InternetSite</b:SourceType>
    <b:Guid>{30F15B27-6D78-4BC1-9B86-753D61491E7F}</b:Guid>
    <b:Author>
      <b:Author>
        <b:Corporate>Croner-i</b:Corporate>
      </b:Author>
    </b:Author>
    <b:Title>Burchell t/a Bright Sights v Collins &amp; anr EAT 18 December 1997</b:Title>
    <b:Year>2019</b:Year>
    <b:YearAccessed>2021</b:YearAccessed>
    <b:MonthAccessed>May</b:MonthAccessed>
    <b:DayAccessed>01</b:DayAccessed>
    <b:URL>https://app.croneri.co.uk/law-and-guidance/case-reports/burchell-ta-bright-sights-v-collins-anr-eat-18-december-1997</b:URL>
    <b:RefOrder>5</b:RefOrder>
  </b:Source>
  <b:Source>
    <b:Tag>ACA212</b:Tag>
    <b:SourceType>InternetSite</b:SourceType>
    <b:Guid>{AF56EC20-0B99-429C-BE56-927B80664F2B}</b:Guid>
    <b:Author>
      <b:Author>
        <b:Corporate>ACAS</b:Corporate>
      </b:Author>
    </b:Author>
    <b:Title>Disciplinary and grievance procedures</b:Title>
    <b:Year>2009</b:Year>
    <b:YearAccessed>2021</b:YearAccessed>
    <b:MonthAccessed>May</b:MonthAccessed>
    <b:DayAccessed>01</b:DayAccessed>
    <b:URL>https://www.acas.org.uk/disciplinary-and-grievance-procedures</b:URL>
    <b:RefOrder>6</b:RefOrder>
  </b:Source>
  <b:Source>
    <b:Tag>leg99</b:Tag>
    <b:SourceType>InternetSite</b:SourceType>
    <b:Guid>{796A6613-179E-4729-99F3-786B388F42ED}</b:Guid>
    <b:Author>
      <b:Author>
        <b:Corporate>legislation.gov.uk</b:Corporate>
      </b:Author>
    </b:Author>
    <b:Title>The Management of Health and Safety at Work Regulations 1999: Regulation 14</b:Title>
    <b:Year>1999</b:Year>
    <b:YearAccessed>2021</b:YearAccessed>
    <b:MonthAccessed>May</b:MonthAccessed>
    <b:DayAccessed>01</b:DayAccessed>
    <b:URL>https://www.legislation.gov.uk/uksi/1999/3242/regulation/14/made</b:URL>
    <b:RefOrder>8</b:RefOrder>
  </b:Source>
  <b:Source>
    <b:Tag>BAI09</b:Tag>
    <b:SourceType>InternetSite</b:SourceType>
    <b:Guid>{B7A6E9FD-930F-4582-8723-D46CC1E745EB}</b:Guid>
    <b:Author>
      <b:Author>
        <b:Corporate>BAILII</b:Corporate>
      </b:Author>
    </b:Author>
    <b:Title>United Kingdom Employment Appeal Tribunal</b:Title>
    <b:Year>2009</b:Year>
    <b:YearAccessed>2021</b:YearAccessed>
    <b:MonthAccessed>May</b:MonthAccessed>
    <b:DayAccessed>01</b:DayAccessed>
    <b:URL>https://www.bailii.org/uk/cases/UKEAT/2009/0195_09_0608.html</b:URL>
    <b:RefOrder>9</b:RefOrder>
  </b:Source>
  <b:Source>
    <b:Tag>leg061</b:Tag>
    <b:SourceType>InternetSite</b:SourceType>
    <b:Guid>{2F22E194-A6DE-41DD-885A-5E1EA0B9EFD3}</b:Guid>
    <b:Author>
      <b:Author>
        <b:Corporate>legislation.gov.uk</b:Corporate>
      </b:Author>
    </b:Author>
    <b:Title>Employment Rights Act 1996: Section 100</b:Title>
    <b:Year>2006</b:Year>
    <b:YearAccessed>2021</b:YearAccessed>
    <b:MonthAccessed>May</b:MonthAccessed>
    <b:DayAccessed>08</b:DayAccessed>
    <b:URL>https://www.legislation.gov.uk/ukpga/1996/18/section/100</b:URL>
    <b:RefOrder>10</b:RefOrder>
  </b:Source>
  <b:Source>
    <b:Tag>Men13</b:Tag>
    <b:SourceType>InternetSite</b:SourceType>
    <b:Guid>{E01E3B4A-9BC8-498D-964E-E96176ED3B7E}</b:Guid>
    <b:Author>
      <b:Author>
        <b:Corporate>Menzies Law</b:Corporate>
      </b:Author>
    </b:Author>
    <b:Title>Grievance procedures and unfair dismissal</b:Title>
    <b:Year>2013</b:Year>
    <b:YearAccessed>2021</b:YearAccessed>
    <b:MonthAccessed>May</b:MonthAccessed>
    <b:DayAccessed>08</b:DayAccessed>
    <b:URL>https://www.menzieslaw.co.uk/case-update-1-grievance-procedures-and-unfair-dismissal/</b:URL>
    <b:RefOrder>11</b:RefOrder>
  </b:Source>
  <b:Source>
    <b:Tag>ACA213</b:Tag>
    <b:SourceType>InternetSite</b:SourceType>
    <b:Guid>{E732CEDB-F4FF-41BF-BED4-95620CF4DDE5}</b:Guid>
    <b:Author>
      <b:Author>
        <b:Corporate>ACAS</b:Corporate>
      </b:Author>
    </b:Author>
    <b:Title>Employment tribunals - compensatory award for unfair dismissal - should your compensation be increased?</b:Title>
    <b:Year>2021</b:Year>
    <b:YearAccessed>2021</b:YearAccessed>
    <b:MonthAccessed>May</b:MonthAccessed>
    <b:DayAccessed>01</b:DayAccessed>
    <b:URL>https://www.citizensadvice.org.uk/work/problems-at-work/employment-tribunals-from-29-july-2013/employment-tribunals-valuing-a-claim/compensatory-award/calculating-the-compensatory-award/employment-tribunals-compensatory-award-for-unfair-dismissal-should-y</b:URL>
    <b:RefOrder>12</b:RefOrder>
  </b:Source>
  <b:Source>
    <b:Tag>Cro17</b:Tag>
    <b:SourceType>InternetSite</b:SourceType>
    <b:Guid>{5879F430-33E9-406A-9A81-EE65B77CF6D6}</b:Guid>
    <b:Author>
      <b:Author>
        <b:Corporate>Croner-i</b:Corporate>
      </b:Author>
    </b:Author>
    <b:Title>Breach of contract</b:Title>
    <b:Year>2017</b:Year>
    <b:YearAccessed>2021</b:YearAccessed>
    <b:MonthAccessed>May</b:MonthAccessed>
    <b:DayAccessed>08</b:DayAccessed>
    <b:URL>https://app.croneri.co.uk/feature-articles/breach-contract#PO-HEADING-ID_ORCUMVFT30MP20G7SEYG</b:URL>
    <b:RefOrder>13</b:RefOrder>
  </b:Source>
  <b:Source>
    <b:Tag>leg14</b:Tag>
    <b:SourceType>InternetSite</b:SourceType>
    <b:Guid>{262CB0A7-06BB-4A79-AB26-BD51DB01FC98}</b:Guid>
    <b:Author>
      <b:Author>
        <b:Corporate>legislation.gov.uk</b:Corporate>
      </b:Author>
    </b:Author>
    <b:Title>The Flexible Working Regulations 2014</b:Title>
    <b:Year>2014</b:Year>
    <b:YearAccessed>2021</b:YearAccessed>
    <b:MonthAccessed>May</b:MonthAccessed>
    <b:DayAccessed>08</b:DayAccessed>
    <b:URL>https://www.legislation.gov.uk/uksi/2014/1398/made</b:URL>
    <b:RefOrder>15</b:RefOrder>
  </b:Source>
  <b:Source>
    <b:Tag>leg98</b:Tag>
    <b:SourceType>InternetSite</b:SourceType>
    <b:Guid>{C53F4685-2083-4DDA-B3FA-526512588F03}</b:Guid>
    <b:Author>
      <b:Author>
        <b:Corporate>legislation.gov.uk</b:Corporate>
      </b:Author>
    </b:Author>
    <b:Title>The Working Time Regulations 1998</b:Title>
    <b:Year>1998</b:Year>
    <b:YearAccessed>2021</b:YearAccessed>
    <b:MonthAccessed>May</b:MonthAccessed>
    <b:DayAccessed>08</b:DayAccessed>
    <b:URL>https://www.legislation.gov.uk/uksi/1998/1833/contents/made</b:URL>
    <b:RefOrder>16</b:RefOrder>
  </b:Source>
  <b:Source>
    <b:Tag>Per191</b:Tag>
    <b:SourceType>InternetSite</b:SourceType>
    <b:Guid>{829DA87A-B835-4D14-89FD-4F1792AB1916}</b:Guid>
    <b:Author>
      <b:Author>
        <b:Corporate>Personnel Today</b:Corporate>
      </b:Author>
    </b:Author>
    <b:Title>Court of Appeal: Junior doctor wins rest break test case</b:Title>
    <b:Year>2019</b:Year>
    <b:YearAccessed>2021</b:YearAccessed>
    <b:MonthAccessed>May</b:MonthAccessed>
    <b:DayAccessed>08</b:DayAccessed>
    <b:URL>https://www.personneltoday.com/hr/court-of-appeal-junior-doctor-rest-break-test-case/</b:URL>
    <b:RefOrder>18</b:RefOrder>
  </b:Source>
  <b:Source>
    <b:Tag>EHR20</b:Tag>
    <b:SourceType>InternetSite</b:SourceType>
    <b:Guid>{85D90737-0D87-4D17-AB95-05BD89A9A7E5}</b:Guid>
    <b:Author>
      <b:Author>
        <b:Corporate>EHRC</b:Corporate>
      </b:Author>
    </b:Author>
    <b:Title>Your rights under the Equality Act 2010</b:Title>
    <b:Year>2020</b:Year>
    <b:YearAccessed>2021</b:YearAccessed>
    <b:MonthAccessed>May</b:MonthAccessed>
    <b:DayAccessed>08</b:DayAccessed>
    <b:URL>https://www.equalityhumanrights.com/en/advice-and-guidance/your-rights-under-equality-act-2010</b:URL>
    <b:RefOrder>20</b:RefOrder>
  </b:Source>
  <b:Source>
    <b:Tag>GOV211</b:Tag>
    <b:SourceType>InternetSite</b:SourceType>
    <b:Guid>{A42FF61B-3F8E-4629-84C9-481B12B12572}</b:Guid>
    <b:Author>
      <b:Author>
        <b:Corporate>GOV.UK</b:Corporate>
      </b:Author>
    </b:Author>
    <b:Title>Time off for family and dependents</b:Title>
    <b:Year>2021</b:Year>
    <b:YearAccessed>2021</b:YearAccessed>
    <b:MonthAccessed>May</b:MonthAccessed>
    <b:DayAccessed>08</b:DayAccessed>
    <b:URL>https://www.gov.uk/time-off-for-dependants</b:URL>
    <b:RefOrder>21</b:RefOrder>
  </b:Source>
  <b:Source>
    <b:Tag>HSE21</b:Tag>
    <b:SourceType>InternetSite</b:SourceType>
    <b:Guid>{BA5F74E3-D94C-4885-B3CF-77779C4F26F3}</b:Guid>
    <b:Author>
      <b:Author>
        <b:Corporate>HSE</b:Corporate>
      </b:Author>
    </b:Author>
    <b:Title>Employer's responsibilities</b:Title>
    <b:Year>2021</b:Year>
    <b:YearAccessed>2021</b:YearAccessed>
    <b:MonthAccessed>May</b:MonthAccessed>
    <b:DayAccessed>08</b:DayAccessed>
    <b:URL>https://www.hse.gov.uk/workers/employers.htm</b:URL>
    <b:RefOrder>22</b:RefOrder>
  </b:Source>
  <b:Source>
    <b:Tag>GOV212</b:Tag>
    <b:SourceType>InternetSite</b:SourceType>
    <b:Guid>{8E8EAD26-5F47-42F9-9D79-827BFF234D6F}</b:Guid>
    <b:Author>
      <b:Author>
        <b:Corporate>GOV.UK</b:Corporate>
      </b:Author>
    </b:Author>
    <b:Title>NHS Test and Trace in the workplace</b:Title>
    <b:Year>2021</b:Year>
    <b:YearAccessed>2021</b:YearAccessed>
    <b:MonthAccessed>May</b:MonthAccessed>
    <b:DayAccessed>08</b:DayAccessed>
    <b:URL>https://www.gov.uk/guidance/nhs-test-and-trace-workplace-guidance</b:URL>
    <b:RefOrder>23</b:RefOrder>
  </b:Source>
  <b:Source>
    <b:Tag>ICO21</b:Tag>
    <b:SourceType>InternetSite</b:SourceType>
    <b:Guid>{F1DAD642-DDE8-45BB-971A-35AC3CE2282A}</b:Guid>
    <b:Author>
      <b:Author>
        <b:Corporate>ICO</b:Corporate>
      </b:Author>
    </b:Author>
    <b:Title>Guide to the UK General Data Protection Regulation (UK GDPR)</b:Title>
    <b:Year>2021</b:Year>
    <b:YearAccessed>2021</b:YearAccessed>
    <b:MonthAccessed>May</b:MonthAccessed>
    <b:DayAccessed>08</b:DayAccessed>
    <b:URL>https://ico.org.uk/for-organisations/guide-to-data-protection/guide-to-the-general-data-protection-regulation-gdpr/</b:URL>
    <b:RefOrder>24</b:RefOrder>
  </b:Source>
  <b:Source>
    <b:Tag>GOV213</b:Tag>
    <b:SourceType>InternetSite</b:SourceType>
    <b:Guid>{A4379CED-57D0-4C6D-8875-AFC38AA94108}</b:Guid>
    <b:Author>
      <b:Author>
        <b:Corporate>GOV.UK</b:Corporate>
      </b:Author>
    </b:Author>
    <b:Title>Personal data an employer can keep about an employee</b:Title>
    <b:Year>2021</b:Year>
    <b:YearAccessed>2021</b:YearAccessed>
    <b:MonthAccessed>May</b:MonthAccessed>
    <b:DayAccessed>08</b:DayAccessed>
    <b:URL>https://www.gov.uk/personal-data-my-employer-can-keep-about-me</b:URL>
    <b:RefOrder>25</b:RefOrder>
  </b:Source>
  <b:Source>
    <b:Tag>EHR201</b:Tag>
    <b:SourceType>InternetSite</b:SourceType>
    <b:Guid>{B629B02E-CBAA-4725-ABD7-891CC04AA502}</b:Guid>
    <b:Author>
      <b:Author>
        <b:Corporate>EHRC</b:Corporate>
      </b:Author>
    </b:Author>
    <b:Title>Time limits for discrimination claims</b:Title>
    <b:Year>2020</b:Year>
    <b:YearAccessed>2021</b:YearAccessed>
    <b:MonthAccessed>May</b:MonthAccessed>
    <b:DayAccessed>08</b:DayAccessed>
    <b:URL>https://www.equalityhumanrights.com/en/advice-and-guidance/time-limits-discrimination-claims</b:URL>
    <b:RefOrder>26</b:RefOrder>
  </b:Source>
  <b:Source>
    <b:Tag>Cit21</b:Tag>
    <b:SourceType>InternetSite</b:SourceType>
    <b:Guid>{AA0E4352-33DF-4B6E-97B8-9A7CD094D733}</b:Guid>
    <b:Author>
      <b:Author>
        <b:Corporate>Citizens Advice</b:Corporate>
      </b:Author>
    </b:Author>
    <b:Title>Employment tribunals - compensatory award for unfair dismissal - should your compensation be increased?</b:Title>
    <b:Year>2021</b:Year>
    <b:YearAccessed>2021</b:YearAccessed>
    <b:MonthAccessed>May</b:MonthAccessed>
    <b:DayAccessed>08</b:DayAccessed>
    <b:URL>https://www.citizensadvice.org.uk/work/problems-at-work/employment-tribunals-from-29-july-2013/employment-tribunals-valuing-a-claim/compensatory-award/calculating-the-compensatory-award/employment-tribunals-compensatory-award-for-unfair-dismissal-should-y</b:URL>
    <b:RefOrder>27</b:RefOrder>
  </b:Source>
  <b:Source>
    <b:Tag>HSE211</b:Tag>
    <b:SourceType>InternetSite</b:SourceType>
    <b:Guid>{68C7F22D-C64A-4559-9849-A0E64FAAACDF}</b:Guid>
    <b:Author>
      <b:Author>
        <b:Corporate>HSE</b:Corporate>
      </b:Author>
    </b:Author>
    <b:Title>Managing sick leave and return to work</b:Title>
    <b:Year>2021</b:Year>
    <b:YearAccessed>2021</b:YearAccessed>
    <b:MonthAccessed>May</b:MonthAccessed>
    <b:DayAccessed>08</b:DayAccessed>
    <b:URL>https://www.hse.gov.uk/sicknessabsence/</b:URL>
    <b:RefOrder>28</b:RefOrder>
  </b:Source>
  <b:Source>
    <b:Tag>CIP212</b:Tag>
    <b:SourceType>InternetSite</b:SourceType>
    <b:Guid>{513FDF2F-99F6-4A5F-8E8B-1F953AD4A650}</b:Guid>
    <b:Author>
      <b:Author>
        <b:Corporate>CIPD.b</b:Corporate>
      </b:Author>
    </b:Author>
    <b:Title>Employment tribunals</b:Title>
    <b:Year>2021</b:Year>
    <b:YearAccessed>2021</b:YearAccessed>
    <b:MonthAccessed>May</b:MonthAccessed>
    <b:DayAccessed>01</b:DayAccessed>
    <b:URL>https://www.cipd.co.uk/knowledge/fundamentals/emp-law/tribunals</b:URL>
    <b:RefOrder>29</b:RefOrder>
  </b:Source>
  <b:Source>
    <b:Tag>CIP211</b:Tag>
    <b:SourceType>InternetSite</b:SourceType>
    <b:Guid>{3A9DA352-D6A2-42A6-B94F-DFA201FFF1B2}</b:Guid>
    <b:Title>The role of employment tribunals</b:Title>
    <b:Year>2021</b:Year>
    <b:Publisher>CIPD</b:Publisher>
    <b:Author>
      <b:Author>
        <b:Corporate>CIPD.a</b:Corporate>
      </b:Author>
    </b:Author>
    <b:YearAccessed>2021</b:YearAccessed>
    <b:MonthAccessed>May</b:MonthAccessed>
    <b:DayAccessed>01</b:DayAccessed>
    <b:URL>https://www.cipd.co.uk/knowledge/fundamentals/emp-law/tribunals/factsheet</b:URL>
    <b:RefOrder>30</b:RefOrder>
  </b:Source>
  <b:Source>
    <b:Tag>CIP213</b:Tag>
    <b:SourceType>InternetSite</b:SourceType>
    <b:Guid>{D0702D77-A938-45C2-A46C-2E89B691B9AF}</b:Guid>
    <b:Author>
      <b:Author>
        <b:Corporate>CIPD.c</b:Corporate>
      </b:Author>
    </b:Author>
    <b:Title>Tribunal claims Q&amp;As</b:Title>
    <b:Year>2021</b:Year>
    <b:YearAccessed>2021</b:YearAccessed>
    <b:MonthAccessed>May</b:MonthAccessed>
    <b:DayAccessed>01</b:DayAccessed>
    <b:URL>https://www.cipd.co.uk/knowledge/fundamentals/emp-law/tribunals/questions</b:URL>
    <b:RefOrder>31</b:RefOrder>
  </b:Source>
  <b:Source>
    <b:Tag>ACA21</b:Tag>
    <b:SourceType>InternetSite</b:SourceType>
    <b:Guid>{6676C261-4D7F-42B9-BF8C-E737A17EBEE2}</b:Guid>
    <b:Author>
      <b:Author>
        <b:Corporate>ACAS.a</b:Corporate>
      </b:Author>
    </b:Author>
    <b:Title>Making a claim to an employment tribunal</b:Title>
    <b:Year>2021</b:Year>
    <b:YearAccessed>2021</b:YearAccessed>
    <b:MonthAccessed>May</b:MonthAccessed>
    <b:DayAccessed>01</b:DayAccessed>
    <b:URL>https://www.acas.org.uk/making-a-claim-to-an-employment-tribunal</b:URL>
    <b:RefOrder>32</b:RefOrder>
  </b:Source>
  <b:Source>
    <b:Tag>ACA20</b:Tag>
    <b:SourceType>InternetSite</b:SourceType>
    <b:Guid>{6D886BC1-3A2B-4512-9D9C-6AF11EC62418}</b:Guid>
    <b:Author>
      <b:Author>
        <b:Corporate>ACAS</b:Corporate>
      </b:Author>
    </b:Author>
    <b:Title>Responding to a flexible working request</b:Title>
    <b:Year>2020</b:Year>
    <b:YearAccessed>2021</b:YearAccessed>
    <b:MonthAccessed>May</b:MonthAccessed>
    <b:DayAccessed>08</b:DayAccessed>
    <b:URL>https://www.acas.org.uk/responding-to-a-flexible-working-request</b:URL>
    <b:RefOrder>17</b:RefOrder>
  </b:Source>
  <b:Source>
    <b:Tag>PEo20</b:Tag>
    <b:SourceType>InternetSite</b:SourceType>
    <b:Guid>{C247FCB5-0EAF-4E05-87E1-FAFB45713301}</b:Guid>
    <b:Author>
      <b:Author>
        <b:Corporate>People Management</b:Corporate>
      </b:Author>
    </b:Author>
    <b:Title>Covid causing 'perfect storm' of outstanding tribunal cases, report warns</b:Title>
    <b:Year>2020</b:Year>
    <b:YearAccessed>2021</b:YearAccessed>
    <b:MonthAccessed>Month</b:MonthAccessed>
    <b:DayAccessed>08</b:DayAccessed>
    <b:URL>https://www.peoplemanagement.co.uk/news/articles/covid-causing-perfect-storm-of-outstanding-tribunal-cases#_ga=2.33571746.2044265509.1620561352-1542601472.1600793544</b:URL>
    <b:RefOrder>14</b:RefOrder>
  </b:Source>
  <b:Source>
    <b:Tag>Leg96</b:Tag>
    <b:SourceType>InternetSite</b:SourceType>
    <b:Guid>{EAC85AAD-D87A-4033-8A28-9571C610A5E9}</b:Guid>
    <b:Title>Employment Rights Act</b:Title>
    <b:Year>1996</b:Year>
    <b:Author>
      <b:Author>
        <b:Corporate>Legislation.gov.uk</b:Corporate>
      </b:Author>
    </b:Author>
    <b:YearAccessed>2021</b:YearAccessed>
    <b:MonthAccessed>March</b:MonthAccessed>
    <b:DayAccessed>30</b:DayAccessed>
    <b:URL>https://www.legislation.gov.uk/ukpga/1996/18/contents</b:URL>
    <b:RefOrder>33</b:RefOrder>
  </b:Source>
  <b:Source>
    <b:Tag>leg96</b:Tag>
    <b:SourceType>InternetSite</b:SourceType>
    <b:Guid>{5B47E7CB-1F2F-444A-B31B-45553E078359}</b:Guid>
    <b:Author>
      <b:Author>
        <b:Corporate>legislation.gov.uk.a</b:Corporate>
      </b:Author>
    </b:Author>
    <b:Title>Employment Rights Act 1996, Setion 111A</b:Title>
    <b:Year>1996</b:Year>
    <b:YearAccessed>2021</b:YearAccessed>
    <b:MonthAccessed>May</b:MonthAccessed>
    <b:DayAccessed>01</b:DayAccessed>
    <b:URL>https://www.legislation.gov.uk/ukpga/1996/18/section/111A</b:URL>
    <b:RefOrder>34</b:RefOrder>
  </b:Source>
  <b:Source>
    <b:Tag>leg06</b:Tag>
    <b:SourceType>InternetSite</b:SourceType>
    <b:Guid>{7C4B7841-E33D-4EDE-85F5-0FC7279BFA7B}</b:Guid>
    <b:Author>
      <b:Author>
        <b:Corporate>legislation.gov.uk</b:Corporate>
      </b:Author>
    </b:Author>
    <b:Title>Employment Rights Act 1996: Section 103A</b:Title>
    <b:Year>2006</b:Year>
    <b:YearAccessed>2021</b:YearAccessed>
    <b:MonthAccessed>May</b:MonthAccessed>
    <b:DayAccessed>01</b:DayAccessed>
    <b:URL>https://www.legislation.gov.uk/ukpga/1996/18/section/103A</b:URL>
    <b:RefOrder>7</b:RefOrder>
  </b:Source>
  <b:Source>
    <b:Tag>leg961</b:Tag>
    <b:SourceType>InternetSite</b:SourceType>
    <b:Guid>{45BF9929-951F-48D0-841A-7C09F3166A3A}</b:Guid>
    <b:Author>
      <b:Author>
        <b:Corporate>legislation.gov.uk</b:Corporate>
      </b:Author>
    </b:Author>
    <b:Title>Employment Rights Act 1996: Section 98</b:Title>
    <b:Year>2014</b:Year>
    <b:YearAccessed>2021</b:YearAccessed>
    <b:MonthAccessed>May</b:MonthAccessed>
    <b:DayAccessed>01</b:DayAccessed>
    <b:URL>https://www.legislation.gov.uk/ukpga/1996/18/section/98</b:URL>
    <b:RefOrder>4</b:RefOrder>
  </b:Source>
  <b:Source>
    <b:Tag>Leg10</b:Tag>
    <b:SourceType>InternetSite</b:SourceType>
    <b:Guid>{C20C1078-FA4C-43D0-9C41-9C61045E77FE}</b:Guid>
    <b:Author>
      <b:Author>
        <b:Corporate>Legislation.Gov.UK</b:Corporate>
      </b:Author>
    </b:Author>
    <b:Title>Equality 2010</b:Title>
    <b:Year>2010</b:Year>
    <b:YearAccessed>2021</b:YearAccessed>
    <b:MonthAccessed>February</b:MonthAccessed>
    <b:DayAccessed>01</b:DayAccessed>
    <b:URL>https://www.legislation.gov.uk/ukpga/2010/15/contents</b:URL>
    <b:RefOrder>35</b:RefOrder>
  </b:Source>
  <b:Source>
    <b:Tag>Leg102</b:Tag>
    <b:SourceType>InternetSite</b:SourceType>
    <b:Guid>{655642FA-E763-471F-8CD9-DFA3A05BC408}</b:Guid>
    <b:Author>
      <b:Author>
        <b:Corporate>Legislation.gov.uk</b:Corporate>
      </b:Author>
    </b:Author>
    <b:Title>Equality Act 2010 Section 119</b:Title>
    <b:Year>2010</b:Year>
    <b:YearAccessed>2021</b:YearAccessed>
    <b:MonthAccessed>April</b:MonthAccessed>
    <b:DayAccessed>1</b:DayAccessed>
    <b:URL>https://www.legislation.gov.uk/ukpga/2010/15/section/119</b:URL>
    <b:RefOrder>36</b:RefOrder>
  </b:Source>
  <b:Source>
    <b:Tag>Dan21</b:Tag>
    <b:SourceType>InternetSite</b:SourceType>
    <b:Guid>{A7E0ED22-93E4-4FFE-918A-83F9AFE49BBC}</b:Guid>
    <b:Title>Daniel Barnett Employment Law Barrister</b:Title>
    <b:Year>2021</b:Year>
    <b:Author>
      <b:Composer>
        <b:NameList>
          <b:Person>
            <b:Last>Daniel</b:Last>
          </b:Person>
        </b:NameList>
      </b:Composer>
      <b:Author>
        <b:NameList>
          <b:Person>
            <b:Last>Barnett</b:Last>
            <b:First>Daniel</b:First>
          </b:Person>
        </b:NameList>
      </b:Author>
    </b:Author>
    <b:YearAccessed>2021</b:YearAccessed>
    <b:MonthAccessed>March</b:MonthAccessed>
    <b:DayAccessed>30</b:DayAccessed>
    <b:URL>https://www.danielbarnett.co.uk/</b:URL>
    <b:RefOrder>37</b:RefOrder>
  </b:Source>
  <b:Source>
    <b:Tag>Kat19</b:Tag>
    <b:SourceType>Book</b:SourceType>
    <b:Guid>{676C2460-F8E6-4C66-B3B0-564EFC491D1A}</b:Guid>
    <b:Title>Introduction to Employment Law</b:Title>
    <b:Year>2019</b:Year>
    <b:Author>
      <b:Author>
        <b:NameList>
          <b:Person>
            <b:Last>Daniels</b:Last>
            <b:First>Kathy</b:First>
          </b:Person>
        </b:NameList>
      </b:Author>
    </b:Author>
    <b:City>London</b:City>
    <b:Publisher>Kogan Page</b:Publisher>
    <b:Edition>5</b:Edition>
    <b:RefOrder>19</b:RefOrder>
  </b:Source>
  <b:Source>
    <b:Tag>Lew17</b:Tag>
    <b:SourceType>Book</b:SourceType>
    <b:Guid>{C0FBEAB0-BAD2-46FF-AF5E-B678245B0A97}</b:Guid>
    <b:Title>Employment Law The Essentials</b:Title>
    <b:Year>2017</b:Year>
    <b:City>London</b:City>
    <b:Publisher>CIPD</b:Publisher>
    <b:Edition>14</b:Edition>
    <b:Author>
      <b:Author>
        <b:NameList>
          <b:Person>
            <b:Last>Lewis</b:Last>
            <b:First>David</b:First>
          </b:Person>
          <b:Person>
            <b:Last>Sargeant</b:Last>
            <b:First>Malcolm</b:First>
          </b:Person>
        </b:NameList>
      </b:Author>
    </b:Author>
    <b:RefOrder>38</b:RefOrder>
  </b:Source>
</b:Sources>
</file>

<file path=customXml/itemProps1.xml><?xml version="1.0" encoding="utf-8"?>
<ds:datastoreItem xmlns:ds="http://schemas.openxmlformats.org/officeDocument/2006/customXml" ds:itemID="{55BF82A7-689C-4D59-B80D-B043CB9F0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5956</Words>
  <Characters>33952</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Littlejohns</dc:creator>
  <cp:keywords/>
  <dc:description/>
  <cp:lastModifiedBy>Gemma Littlejohns</cp:lastModifiedBy>
  <cp:revision>7</cp:revision>
  <dcterms:created xsi:type="dcterms:W3CDTF">2021-05-09T16:04:00Z</dcterms:created>
  <dcterms:modified xsi:type="dcterms:W3CDTF">2021-05-09T17:40:00Z</dcterms:modified>
</cp:coreProperties>
</file>