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41B40" w14:textId="23038517" w:rsidR="00117AA4" w:rsidRDefault="00B07EC4" w:rsidP="00B07EC4">
      <w:pPr>
        <w:jc w:val="center"/>
        <w:rPr>
          <w:u w:val="single"/>
        </w:rPr>
      </w:pPr>
      <w:bookmarkStart w:id="0" w:name="_GoBack"/>
      <w:bookmarkEnd w:id="0"/>
      <w:r>
        <w:rPr>
          <w:u w:val="single"/>
        </w:rPr>
        <w:t xml:space="preserve">Based on a particular type of material evidence critically </w:t>
      </w:r>
      <w:proofErr w:type="gramStart"/>
      <w:r>
        <w:rPr>
          <w:u w:val="single"/>
        </w:rPr>
        <w:t>discuss</w:t>
      </w:r>
      <w:proofErr w:type="gramEnd"/>
      <w:r>
        <w:rPr>
          <w:u w:val="single"/>
        </w:rPr>
        <w:t xml:space="preserve"> the Greek and Roman influence during the 3</w:t>
      </w:r>
      <w:r w:rsidRPr="00B07EC4">
        <w:rPr>
          <w:u w:val="single"/>
          <w:vertAlign w:val="superscript"/>
        </w:rPr>
        <w:t>rd</w:t>
      </w:r>
      <w:r>
        <w:rPr>
          <w:u w:val="single"/>
        </w:rPr>
        <w:t xml:space="preserve"> – 1</w:t>
      </w:r>
      <w:r w:rsidRPr="00B07EC4">
        <w:rPr>
          <w:u w:val="single"/>
          <w:vertAlign w:val="superscript"/>
        </w:rPr>
        <w:t>st</w:t>
      </w:r>
      <w:r>
        <w:rPr>
          <w:u w:val="single"/>
        </w:rPr>
        <w:t xml:space="preserve"> century BCE.</w:t>
      </w:r>
    </w:p>
    <w:p w14:paraId="59157DE0" w14:textId="288ACEE5" w:rsidR="00B07EC4" w:rsidRDefault="00B07EC4" w:rsidP="00B07EC4">
      <w:pPr>
        <w:rPr>
          <w:u w:val="single"/>
        </w:rPr>
      </w:pPr>
    </w:p>
    <w:p w14:paraId="6CDE13C6" w14:textId="295220C9" w:rsidR="002D6FFD" w:rsidRDefault="00B07EC4">
      <w:pPr>
        <w:rPr>
          <w:u w:val="single"/>
        </w:rPr>
      </w:pPr>
      <w:r>
        <w:rPr>
          <w:u w:val="single"/>
        </w:rPr>
        <w:t>Int</w:t>
      </w:r>
      <w:r w:rsidR="00D12174">
        <w:rPr>
          <w:u w:val="single"/>
        </w:rPr>
        <w:t>r</w:t>
      </w:r>
      <w:r w:rsidR="00117AA4">
        <w:rPr>
          <w:u w:val="single"/>
        </w:rPr>
        <w:t>oduction</w:t>
      </w:r>
      <w:r>
        <w:rPr>
          <w:u w:val="single"/>
        </w:rPr>
        <w:t>.</w:t>
      </w:r>
    </w:p>
    <w:p w14:paraId="2FD41975" w14:textId="66FD0568" w:rsidR="00AA0E21" w:rsidRDefault="00AA0E21">
      <w:r>
        <w:t xml:space="preserve">The aim of this research is to look at the coins that were used by the ‘Celts’ of the </w:t>
      </w:r>
      <w:proofErr w:type="spellStart"/>
      <w:r>
        <w:t>Parisii</w:t>
      </w:r>
      <w:proofErr w:type="spellEnd"/>
      <w:r>
        <w:t xml:space="preserve"> </w:t>
      </w:r>
      <w:r w:rsidR="007A70DF">
        <w:t>people</w:t>
      </w:r>
      <w:r w:rsidR="00117AA4">
        <w:t xml:space="preserve"> of Gaul</w:t>
      </w:r>
      <w:r w:rsidR="007A70DF">
        <w:t xml:space="preserve"> who resided in what is modern day Paris</w:t>
      </w:r>
      <w:r>
        <w:t>, to see what Greek and Roman influences there are</w:t>
      </w:r>
      <w:r w:rsidR="00FD2D57">
        <w:t>, if there are any</w:t>
      </w:r>
      <w:r>
        <w:t>. To do this I will be looking at books and articles in order to see what specific influences there are</w:t>
      </w:r>
      <w:r w:rsidR="00FD2D57">
        <w:t xml:space="preserve">, and how the influence could subside. </w:t>
      </w:r>
      <w:r w:rsidR="00740552">
        <w:t xml:space="preserve">It is suggested that there are a few Greek influences across the ‘Celtic’ world, and it will be discussed in this report. </w:t>
      </w:r>
    </w:p>
    <w:p w14:paraId="1E61C013" w14:textId="27125692" w:rsidR="00AA0E21" w:rsidRDefault="00AA0E21"/>
    <w:p w14:paraId="058FE553" w14:textId="7131F61E" w:rsidR="00AA0E21" w:rsidRDefault="008C0D17">
      <w:pPr>
        <w:rPr>
          <w:u w:val="single"/>
        </w:rPr>
      </w:pPr>
      <w:proofErr w:type="gramStart"/>
      <w:r>
        <w:rPr>
          <w:u w:val="single"/>
        </w:rPr>
        <w:t>Similar to</w:t>
      </w:r>
      <w:proofErr w:type="gramEnd"/>
      <w:r>
        <w:rPr>
          <w:u w:val="single"/>
        </w:rPr>
        <w:t xml:space="preserve"> Greek or Roman coins.</w:t>
      </w:r>
    </w:p>
    <w:p w14:paraId="24BBD95B" w14:textId="7A2C484C" w:rsidR="00DE2EC8" w:rsidRPr="00DE2EC8" w:rsidRDefault="00DE2EC8">
      <w:r>
        <w:t>One thing to understand before looking in more detail is that “Our knowle</w:t>
      </w:r>
      <w:r>
        <w:t>dge of its use and distribution, in the absence of written sources, depends entirely on archaeology”</w:t>
      </w:r>
      <w:r>
        <w:rPr>
          <w:rStyle w:val="FootnoteReference"/>
        </w:rPr>
        <w:footnoteReference w:id="1"/>
      </w:r>
      <w:r>
        <w:t>.</w:t>
      </w:r>
      <w:r w:rsidR="00794D9C">
        <w:t xml:space="preserve"> Meaning that what we get is what we see, and therefor we can only go by what has bee</w:t>
      </w:r>
      <w:r w:rsidR="00740552">
        <w:t>n</w:t>
      </w:r>
      <w:r w:rsidR="00794D9C">
        <w:t xml:space="preserve"> found</w:t>
      </w:r>
      <w:r w:rsidR="00740552">
        <w:t xml:space="preserve"> so far. </w:t>
      </w:r>
      <w:r w:rsidR="00794D9C">
        <w:t xml:space="preserve"> </w:t>
      </w:r>
    </w:p>
    <w:p w14:paraId="4A4E08C7" w14:textId="6115FE9A" w:rsidR="00D12174" w:rsidRDefault="00D12174">
      <w:r>
        <w:t xml:space="preserve">The first thing to look at is where </w:t>
      </w:r>
      <w:r w:rsidR="00740552">
        <w:t xml:space="preserve">‘Celtic’ </w:t>
      </w:r>
      <w:r>
        <w:t>coins</w:t>
      </w:r>
      <w:r w:rsidR="00740552">
        <w:t xml:space="preserve"> may have</w:t>
      </w:r>
      <w:r>
        <w:t xml:space="preserve"> originated, and John Koch wrote that “the earliest Celtic coins copied Greek design”</w:t>
      </w:r>
      <w:r>
        <w:rPr>
          <w:rStyle w:val="FootnoteReference"/>
        </w:rPr>
        <w:footnoteReference w:id="2"/>
      </w:r>
      <w:r>
        <w:t xml:space="preserve">. </w:t>
      </w:r>
      <w:r w:rsidR="00AE4FFF">
        <w:t>This already shows us</w:t>
      </w:r>
      <w:r w:rsidR="00740552">
        <w:t xml:space="preserve"> that there is</w:t>
      </w:r>
      <w:r w:rsidR="00AE4FFF">
        <w:t xml:space="preserve"> some form of Greek influence, as </w:t>
      </w:r>
      <w:r w:rsidR="00740552">
        <w:t xml:space="preserve">its </w:t>
      </w:r>
      <w:r w:rsidR="00AE4FFF">
        <w:t>stated that the design was copied.</w:t>
      </w:r>
      <w:r w:rsidR="00686C7D">
        <w:t xml:space="preserve"> </w:t>
      </w:r>
      <w:r w:rsidR="00686C7D">
        <w:lastRenderedPageBreak/>
        <w:t xml:space="preserve">To back this up one author wrote that </w:t>
      </w:r>
      <w:r w:rsidR="00740552">
        <w:t xml:space="preserve">the </w:t>
      </w:r>
      <w:r w:rsidR="004B33CC">
        <w:t xml:space="preserve">“most interesting and beautiful coins which elaborated on and converted </w:t>
      </w:r>
      <w:r w:rsidR="00740552">
        <w:t>t</w:t>
      </w:r>
      <w:r w:rsidR="004B33CC">
        <w:t>he Greek template design to meet their own”</w:t>
      </w:r>
      <w:r w:rsidR="004B33CC">
        <w:rPr>
          <w:rStyle w:val="FootnoteReference"/>
        </w:rPr>
        <w:footnoteReference w:id="3"/>
      </w:r>
      <w:r w:rsidR="004B33CC">
        <w:t xml:space="preserve">. This also shows us how there has been </w:t>
      </w:r>
      <w:r w:rsidR="00740552">
        <w:t>a strong Greek influence</w:t>
      </w:r>
      <w:r w:rsidR="003B768C">
        <w:t>, and</w:t>
      </w:r>
      <w:r w:rsidR="004B33CC">
        <w:t xml:space="preserve"> that the </w:t>
      </w:r>
      <w:proofErr w:type="spellStart"/>
      <w:r w:rsidR="004B33CC">
        <w:t>Parisii</w:t>
      </w:r>
      <w:proofErr w:type="spellEnd"/>
      <w:r w:rsidR="004B33CC">
        <w:t xml:space="preserve"> people based their design off what the Greeks used, and over time</w:t>
      </w:r>
      <w:r w:rsidR="003B768C">
        <w:t>, they have</w:t>
      </w:r>
      <w:r w:rsidR="004B33CC">
        <w:t xml:space="preserve"> converted it to be their own type of design. </w:t>
      </w:r>
    </w:p>
    <w:p w14:paraId="6A0B2919" w14:textId="59F019A3" w:rsidR="00A70FE4" w:rsidRDefault="00A70FE4">
      <w:r>
        <w:t>Its been suggested that coins were most common in Gaul by the late second century BC</w:t>
      </w:r>
      <w:r w:rsidR="002B3E12">
        <w:t>E</w:t>
      </w:r>
      <w:r>
        <w:t xml:space="preserve"> as Miranda Green wrote “coinage was not common even after the oppida had been established. In Gaul these coins are exceptionally common”</w:t>
      </w:r>
      <w:r>
        <w:rPr>
          <w:rStyle w:val="FootnoteReference"/>
        </w:rPr>
        <w:footnoteReference w:id="4"/>
      </w:r>
      <w:r>
        <w:t xml:space="preserve">. This therefore suggests that the </w:t>
      </w:r>
      <w:proofErr w:type="spellStart"/>
      <w:r>
        <w:t>Gauls</w:t>
      </w:r>
      <w:proofErr w:type="spellEnd"/>
      <w:r>
        <w:t xml:space="preserve"> had been influenced more by the Greeks a</w:t>
      </w:r>
      <w:r w:rsidR="00740552">
        <w:t>nd</w:t>
      </w:r>
      <w:r>
        <w:t xml:space="preserve"> its suggested that the coins were more common with them. Or it could just mean that coins from other places in Europe from this time have not been discovered yet, and that there could be influence from more than just the Greeks.</w:t>
      </w:r>
      <w:r w:rsidR="00740552">
        <w:t xml:space="preserve"> It could also be suggested that coins were more common in Gaul because of trading. </w:t>
      </w:r>
    </w:p>
    <w:p w14:paraId="64465297" w14:textId="3DEB8088" w:rsidR="008C0D17" w:rsidRDefault="008C0D17">
      <w:r>
        <w:t>One sim</w:t>
      </w:r>
      <w:r w:rsidR="003B768C">
        <w:t xml:space="preserve">ilarity we also see is that “the </w:t>
      </w:r>
      <w:proofErr w:type="spellStart"/>
      <w:r w:rsidR="003B768C">
        <w:t>Parisii</w:t>
      </w:r>
      <w:proofErr w:type="spellEnd"/>
      <w:r w:rsidR="003B768C">
        <w:t xml:space="preserve"> were sufficiently organised and wealth to g</w:t>
      </w:r>
      <w:r w:rsidR="00740552">
        <w:t>i</w:t>
      </w:r>
      <w:r w:rsidR="003B768C">
        <w:t>ve their own gold coinage”</w:t>
      </w:r>
      <w:r w:rsidR="003B768C">
        <w:rPr>
          <w:rStyle w:val="FootnoteReference"/>
        </w:rPr>
        <w:footnoteReference w:id="5"/>
      </w:r>
      <w:r w:rsidR="003B768C">
        <w:t xml:space="preserve">. This is similar as the Greeks also sometimes made their coins out of gold, yet this could just occur due to the </w:t>
      </w:r>
      <w:r w:rsidR="00740552">
        <w:t xml:space="preserve">natural </w:t>
      </w:r>
      <w:r w:rsidR="003B768C">
        <w:t xml:space="preserve">resources that are available in the area, and not just from </w:t>
      </w:r>
      <w:r w:rsidR="00740552">
        <w:t xml:space="preserve">the </w:t>
      </w:r>
      <w:r w:rsidR="003B768C">
        <w:t>influences of others.</w:t>
      </w:r>
      <w:r w:rsidR="00D21541">
        <w:t xml:space="preserve"> This also suggests that the </w:t>
      </w:r>
      <w:proofErr w:type="spellStart"/>
      <w:r w:rsidR="00D21541">
        <w:t>Parisii</w:t>
      </w:r>
      <w:proofErr w:type="spellEnd"/>
      <w:r w:rsidR="00D21541">
        <w:t xml:space="preserve"> may have produced their own coins, where as other tribes may have had them imported.</w:t>
      </w:r>
      <w:r w:rsidR="003B768C">
        <w:t xml:space="preserve"> </w:t>
      </w:r>
      <w:r w:rsidR="002074C9">
        <w:t xml:space="preserve">To back this up Christiane </w:t>
      </w:r>
      <w:proofErr w:type="spellStart"/>
      <w:r w:rsidR="002074C9">
        <w:t>Eluère</w:t>
      </w:r>
      <w:proofErr w:type="spellEnd"/>
      <w:r w:rsidR="002074C9">
        <w:t xml:space="preserve"> wrote that “Some peoples such as the </w:t>
      </w:r>
      <w:proofErr w:type="spellStart"/>
      <w:r w:rsidR="002074C9">
        <w:t>Parisii</w:t>
      </w:r>
      <w:proofErr w:type="spellEnd"/>
      <w:r w:rsidR="002074C9">
        <w:t xml:space="preserve">, had </w:t>
      </w:r>
      <w:r w:rsidR="002074C9">
        <w:lastRenderedPageBreak/>
        <w:t xml:space="preserve">gold </w:t>
      </w:r>
      <w:proofErr w:type="spellStart"/>
      <w:r w:rsidR="002074C9">
        <w:t>staters</w:t>
      </w:r>
      <w:proofErr w:type="spellEnd"/>
      <w:r w:rsidR="002074C9">
        <w:t xml:space="preserve"> until the conquest. Others used triple alloys”</w:t>
      </w:r>
      <w:r w:rsidR="002074C9">
        <w:rPr>
          <w:rStyle w:val="FootnoteReference"/>
        </w:rPr>
        <w:footnoteReference w:id="6"/>
      </w:r>
      <w:r w:rsidR="00AC213D">
        <w:t xml:space="preserve">. One thing that we notice here is that unlike the </w:t>
      </w:r>
      <w:proofErr w:type="spellStart"/>
      <w:r w:rsidR="00AC213D">
        <w:t>Parisii</w:t>
      </w:r>
      <w:proofErr w:type="spellEnd"/>
      <w:r w:rsidR="00AC213D">
        <w:t xml:space="preserve"> people, it seems like most others used a triple alloy, this could mean that these people did not have as much gold or silver and therefore had to mix in copper, </w:t>
      </w:r>
      <w:r w:rsidR="00740552">
        <w:t>and</w:t>
      </w:r>
      <w:r w:rsidR="00AC213D">
        <w:t xml:space="preserve"> could be due to the resources available, or it could be that using just gold or silver would make it more Greek or Roman, and certain ‘Celtic’ tribes may not have wanted that. </w:t>
      </w:r>
    </w:p>
    <w:p w14:paraId="22420754" w14:textId="2AD27A70" w:rsidR="00DE2EC8" w:rsidRDefault="00DE2EC8">
      <w:r>
        <w:t>According to Miranda Green “The coin evidence points to a profound change in the organization of trade”</w:t>
      </w:r>
      <w:r>
        <w:rPr>
          <w:rStyle w:val="FootnoteReference"/>
        </w:rPr>
        <w:footnoteReference w:id="7"/>
      </w:r>
      <w:r>
        <w:t xml:space="preserve">. This suggests to us that because of the Greek influence of coins the organization of trade changed, therefor suggesting that this had a major impact across the ‘Celtic’ world. Yet we can not take this as </w:t>
      </w:r>
      <w:r w:rsidR="00735C8B">
        <w:t xml:space="preserve">fact, as the only evidence we have is the coins, and because the ‘Celtic’ people never wrote anything down what we get is just interpretations of what different </w:t>
      </w:r>
      <w:r w:rsidR="00740552">
        <w:t>scholars</w:t>
      </w:r>
      <w:r w:rsidR="00735C8B">
        <w:t xml:space="preserve"> think. </w:t>
      </w:r>
    </w:p>
    <w:p w14:paraId="126AE9DC" w14:textId="77777777" w:rsidR="008C0D17" w:rsidRDefault="008C0D17"/>
    <w:p w14:paraId="0821B304" w14:textId="219FC3A6" w:rsidR="008C0D17" w:rsidRPr="008C0D17" w:rsidRDefault="008C0D17">
      <w:pPr>
        <w:rPr>
          <w:u w:val="single"/>
        </w:rPr>
      </w:pPr>
      <w:r>
        <w:rPr>
          <w:u w:val="single"/>
        </w:rPr>
        <w:t>Different to Greek or Roman coins.</w:t>
      </w:r>
    </w:p>
    <w:p w14:paraId="37AF27A8" w14:textId="67AFEA56" w:rsidR="002209D3" w:rsidRDefault="00021785" w:rsidP="00021785">
      <w:r>
        <w:t>One thing to note is that the shape of the coins can sometimes change therefor</w:t>
      </w:r>
      <w:r w:rsidR="00740552">
        <w:t>e</w:t>
      </w:r>
      <w:r>
        <w:t xml:space="preserve"> “The question that must be asked is where the Celtic craftsmen who created coins in antiquity also strove to achieve the effects of shape changing”</w:t>
      </w:r>
      <w:r>
        <w:rPr>
          <w:rStyle w:val="FootnoteReference"/>
        </w:rPr>
        <w:footnoteReference w:id="8"/>
      </w:r>
      <w:r w:rsidR="003B768C">
        <w:t xml:space="preserve">. This could be a suggestion as to </w:t>
      </w:r>
      <w:r w:rsidR="00C90EF0">
        <w:t xml:space="preserve">the </w:t>
      </w:r>
      <w:proofErr w:type="spellStart"/>
      <w:r w:rsidR="00C90EF0">
        <w:t>Parisii</w:t>
      </w:r>
      <w:proofErr w:type="spellEnd"/>
      <w:r w:rsidR="00C90EF0">
        <w:t xml:space="preserve"> changing the style of the coin to be their own </w:t>
      </w:r>
      <w:r w:rsidR="00C90EF0">
        <w:lastRenderedPageBreak/>
        <w:t xml:space="preserve">thing, or it could be that the craftsmen have not yet had enough practice to form a perfect shape. </w:t>
      </w:r>
    </w:p>
    <w:p w14:paraId="08CFDF26" w14:textId="584E0358" w:rsidR="00794D9C" w:rsidRDefault="00794D9C" w:rsidP="00021785">
      <w:r>
        <w:t>Another thing to note is that when looking at Greek and Roman</w:t>
      </w:r>
      <w:r w:rsidR="002074C9">
        <w:t xml:space="preserve"> coins is that they would often have of the emperor on them, </w:t>
      </w:r>
      <w:r w:rsidR="00740552">
        <w:t>whereas</w:t>
      </w:r>
      <w:r w:rsidR="002074C9">
        <w:t xml:space="preserve"> with the </w:t>
      </w:r>
      <w:r w:rsidR="00740552">
        <w:t>‘</w:t>
      </w:r>
      <w:r w:rsidR="002074C9">
        <w:t>Celtic’ coins they would have a depiction of a horse normally, according to Barry Cunliffe “Celtic die cutters interpreted the horse in their own style, sometimes reducing it to its constituent element in a pleasing abstract design”</w:t>
      </w:r>
      <w:r w:rsidR="002074C9">
        <w:rPr>
          <w:rStyle w:val="FootnoteReference"/>
        </w:rPr>
        <w:footnoteReference w:id="9"/>
      </w:r>
      <w:r w:rsidR="002074C9">
        <w:t>. This does give some explanation as to why when we see horses and other animals on coins</w:t>
      </w:r>
      <w:r w:rsidR="00740552">
        <w:t xml:space="preserve">, and as </w:t>
      </w:r>
      <w:proofErr w:type="spellStart"/>
      <w:r w:rsidR="00740552">
        <w:t>to</w:t>
      </w:r>
      <w:r w:rsidR="002074C9">
        <w:t>why</w:t>
      </w:r>
      <w:proofErr w:type="spellEnd"/>
      <w:r w:rsidR="002074C9">
        <w:t xml:space="preserve"> there is an abstract design compared to the more formal coins of the Greeks and Romans. </w:t>
      </w:r>
    </w:p>
    <w:p w14:paraId="4FD56D6B" w14:textId="289330B6" w:rsidR="006D7B07" w:rsidRDefault="006D7B07" w:rsidP="00021785">
      <w:r>
        <w:t xml:space="preserve">Something that the </w:t>
      </w:r>
      <w:proofErr w:type="spellStart"/>
      <w:r>
        <w:t>Parisii</w:t>
      </w:r>
      <w:proofErr w:type="spellEnd"/>
      <w:r>
        <w:t xml:space="preserve"> did was put depictions of the Gods on their coins</w:t>
      </w:r>
      <w:r w:rsidR="00FB339E">
        <w:t>, or so we think,</w:t>
      </w:r>
      <w:r w:rsidR="00740552">
        <w:t xml:space="preserve"> but many modern scholars have interpreted them as Greek or Roman Gods, therefore showing how there was an influence once again.</w:t>
      </w:r>
      <w:r w:rsidR="00FB339E">
        <w:t xml:space="preserve"> </w:t>
      </w:r>
      <w:r w:rsidR="00740552">
        <w:t>I</w:t>
      </w:r>
      <w:r w:rsidR="00FB339E">
        <w:t xml:space="preserve">n one article its written that “The stylized head of Apollo on the </w:t>
      </w:r>
      <w:proofErr w:type="spellStart"/>
      <w:r w:rsidR="00FB339E">
        <w:t>staters</w:t>
      </w:r>
      <w:proofErr w:type="spellEnd"/>
      <w:r w:rsidR="00FB339E">
        <w:t xml:space="preserve"> of the </w:t>
      </w:r>
      <w:proofErr w:type="spellStart"/>
      <w:r w:rsidR="00FB339E">
        <w:t>Parisii</w:t>
      </w:r>
      <w:proofErr w:type="spellEnd"/>
      <w:r w:rsidR="00FB339E">
        <w:t xml:space="preserve"> appears extremely modern”</w:t>
      </w:r>
      <w:r w:rsidR="00FB339E">
        <w:rPr>
          <w:rStyle w:val="FootnoteReference"/>
        </w:rPr>
        <w:footnoteReference w:id="10"/>
      </w:r>
      <w:r w:rsidR="00FB339E">
        <w:t xml:space="preserve">. This suggests that over time the Greek style of coins changed, and a more ‘Celtic’ one came to </w:t>
      </w:r>
      <w:proofErr w:type="gramStart"/>
      <w:r w:rsidR="00FB339E">
        <w:t>be</w:t>
      </w:r>
      <w:proofErr w:type="gramEnd"/>
      <w:r w:rsidR="00FB339E">
        <w:t xml:space="preserve"> and this could be because there was less connections with the Greeks by the end, meaning that there was less influence. Or it could just be because they developed their own style of coins.</w:t>
      </w:r>
    </w:p>
    <w:p w14:paraId="23D265F6" w14:textId="599E5300" w:rsidR="002209D3" w:rsidRDefault="002209D3" w:rsidP="00021785"/>
    <w:p w14:paraId="29E30F87" w14:textId="429A416A" w:rsidR="002209D3" w:rsidRDefault="002209D3" w:rsidP="00021785">
      <w:pPr>
        <w:rPr>
          <w:u w:val="single"/>
        </w:rPr>
      </w:pPr>
      <w:r>
        <w:rPr>
          <w:u w:val="single"/>
        </w:rPr>
        <w:t>Conclusion.</w:t>
      </w:r>
    </w:p>
    <w:p w14:paraId="00EF9282" w14:textId="77777777" w:rsidR="003B796B" w:rsidRDefault="003B796B">
      <w:r>
        <w:lastRenderedPageBreak/>
        <w:t xml:space="preserve">To conclude we can see that there was a lot of Greek and Roman influence on the ‘Celtic’ tribes, and some like the </w:t>
      </w:r>
      <w:proofErr w:type="spellStart"/>
      <w:r>
        <w:t>Parisii</w:t>
      </w:r>
      <w:proofErr w:type="spellEnd"/>
      <w:r>
        <w:t xml:space="preserve"> adopted the Greek style and changed it to be their own type of thing over time, and this could be due to a few reasons either that the Greek influence was diminishing and the people were developing their own style, or it could be because there was more influence arriving and therefore the style of coin would change along with it.</w:t>
      </w:r>
    </w:p>
    <w:p w14:paraId="47D11EB1" w14:textId="55177BA7" w:rsidR="00D12174" w:rsidRDefault="003B796B">
      <w:r>
        <w:t xml:space="preserve"> </w:t>
      </w:r>
    </w:p>
    <w:sdt>
      <w:sdtPr>
        <w:rPr>
          <w:rFonts w:ascii="Comic Sans MS" w:eastAsiaTheme="minorHAnsi" w:hAnsi="Comic Sans MS" w:cs="Arial"/>
          <w:color w:val="auto"/>
          <w:spacing w:val="20"/>
          <w:sz w:val="24"/>
          <w:szCs w:val="22"/>
          <w:lang w:val="en-GB"/>
        </w:rPr>
        <w:id w:val="-268933342"/>
        <w:docPartObj>
          <w:docPartGallery w:val="Bibliographies"/>
          <w:docPartUnique/>
        </w:docPartObj>
      </w:sdtPr>
      <w:sdtEndPr/>
      <w:sdtContent>
        <w:p w14:paraId="47B2717B" w14:textId="70E61E77" w:rsidR="00D12174" w:rsidRDefault="00D12174">
          <w:pPr>
            <w:pStyle w:val="Heading1"/>
          </w:pPr>
          <w:r>
            <w:t>Bibliography</w:t>
          </w:r>
        </w:p>
        <w:sdt>
          <w:sdtPr>
            <w:id w:val="111145805"/>
            <w:bibliography/>
          </w:sdtPr>
          <w:sdtEndPr/>
          <w:sdtContent>
            <w:p w14:paraId="37EB5E89" w14:textId="77777777" w:rsidR="00FB339E" w:rsidRDefault="00D12174" w:rsidP="00FB339E">
              <w:pPr>
                <w:pStyle w:val="Bibliography"/>
                <w:ind w:left="720" w:hanging="720"/>
                <w:rPr>
                  <w:noProof/>
                  <w:szCs w:val="24"/>
                  <w:lang w:val="en-US"/>
                </w:rPr>
              </w:pPr>
              <w:r>
                <w:fldChar w:fldCharType="begin"/>
              </w:r>
              <w:r>
                <w:instrText xml:space="preserve"> BIBLIOGRAPHY </w:instrText>
              </w:r>
              <w:r>
                <w:fldChar w:fldCharType="separate"/>
              </w:r>
              <w:r w:rsidR="00FB339E">
                <w:rPr>
                  <w:noProof/>
                  <w:lang w:val="en-US"/>
                </w:rPr>
                <w:t xml:space="preserve">Anthony, J. (2019, 01 18). </w:t>
              </w:r>
              <w:r w:rsidR="00FB339E">
                <w:rPr>
                  <w:i/>
                  <w:iCs/>
                  <w:noProof/>
                  <w:lang w:val="en-US"/>
                </w:rPr>
                <w:t>Encyclopaedia Britannica</w:t>
              </w:r>
              <w:r w:rsidR="00FB339E">
                <w:rPr>
                  <w:noProof/>
                  <w:lang w:val="en-US"/>
                </w:rPr>
                <w:t>. Retrieved from Paris: https://www.britannica.com/place/Paris/Education#ref364936</w:t>
              </w:r>
            </w:p>
            <w:p w14:paraId="5B9690E6" w14:textId="77777777" w:rsidR="00FB339E" w:rsidRDefault="00FB339E" w:rsidP="00FB339E">
              <w:pPr>
                <w:pStyle w:val="Bibliography"/>
                <w:ind w:left="720" w:hanging="720"/>
                <w:rPr>
                  <w:noProof/>
                  <w:lang w:val="en-US"/>
                </w:rPr>
              </w:pPr>
              <w:r>
                <w:rPr>
                  <w:noProof/>
                  <w:lang w:val="en-US"/>
                </w:rPr>
                <w:t xml:space="preserve">Chimirri-Russell, G. (2005). Changin Artistic Perspective on Celtic Coins. </w:t>
              </w:r>
              <w:r>
                <w:rPr>
                  <w:i/>
                  <w:iCs/>
                  <w:noProof/>
                  <w:lang w:val="en-US"/>
                </w:rPr>
                <w:t>Dialnet</w:t>
              </w:r>
              <w:r>
                <w:rPr>
                  <w:noProof/>
                  <w:lang w:val="en-US"/>
                </w:rPr>
                <w:t>, 441-446.</w:t>
              </w:r>
            </w:p>
            <w:p w14:paraId="3A41AD4F" w14:textId="77777777" w:rsidR="00FB339E" w:rsidRDefault="00FB339E" w:rsidP="00FB339E">
              <w:pPr>
                <w:pStyle w:val="Bibliography"/>
                <w:ind w:left="720" w:hanging="720"/>
                <w:rPr>
                  <w:noProof/>
                  <w:lang w:val="en-US"/>
                </w:rPr>
              </w:pPr>
              <w:r>
                <w:rPr>
                  <w:noProof/>
                  <w:lang w:val="en-US"/>
                </w:rPr>
                <w:t xml:space="preserve">Cunliffe, B. (1992). </w:t>
              </w:r>
              <w:r>
                <w:rPr>
                  <w:i/>
                  <w:iCs/>
                  <w:noProof/>
                  <w:lang w:val="en-US"/>
                </w:rPr>
                <w:t>The Celitc World .</w:t>
              </w:r>
              <w:r>
                <w:rPr>
                  <w:noProof/>
                  <w:lang w:val="en-US"/>
                </w:rPr>
                <w:t xml:space="preserve"> London: Constable and Company Ltd.</w:t>
              </w:r>
            </w:p>
            <w:p w14:paraId="04A27CCE" w14:textId="77777777" w:rsidR="00FB339E" w:rsidRDefault="00FB339E" w:rsidP="00FB339E">
              <w:pPr>
                <w:pStyle w:val="Bibliography"/>
                <w:ind w:left="720" w:hanging="720"/>
                <w:rPr>
                  <w:noProof/>
                  <w:lang w:val="en-US"/>
                </w:rPr>
              </w:pPr>
              <w:r>
                <w:rPr>
                  <w:noProof/>
                  <w:lang w:val="en-US"/>
                </w:rPr>
                <w:t xml:space="preserve">Eluère, C. (1993). </w:t>
              </w:r>
              <w:r>
                <w:rPr>
                  <w:i/>
                  <w:iCs/>
                  <w:noProof/>
                  <w:lang w:val="en-US"/>
                </w:rPr>
                <w:t>The Celts: First Masters of Europe.</w:t>
              </w:r>
              <w:r>
                <w:rPr>
                  <w:noProof/>
                  <w:lang w:val="en-US"/>
                </w:rPr>
                <w:t xml:space="preserve"> London: Thames &amp; Hudson.</w:t>
              </w:r>
            </w:p>
            <w:p w14:paraId="689A9ACA" w14:textId="77777777" w:rsidR="00FB339E" w:rsidRDefault="00FB339E" w:rsidP="00FB339E">
              <w:pPr>
                <w:pStyle w:val="Bibliography"/>
                <w:ind w:left="720" w:hanging="720"/>
                <w:rPr>
                  <w:noProof/>
                  <w:lang w:val="en-US"/>
                </w:rPr>
              </w:pPr>
              <w:r>
                <w:rPr>
                  <w:noProof/>
                  <w:lang w:val="en-US"/>
                </w:rPr>
                <w:t xml:space="preserve">Foundation, S. (n.d.). </w:t>
              </w:r>
              <w:r>
                <w:rPr>
                  <w:i/>
                  <w:iCs/>
                  <w:noProof/>
                  <w:lang w:val="en-US"/>
                </w:rPr>
                <w:t>Money Museum</w:t>
              </w:r>
              <w:r>
                <w:rPr>
                  <w:noProof/>
                  <w:lang w:val="en-US"/>
                </w:rPr>
                <w:t>. Retrieved from Publications: https://www.moneymuseum.com/en/coins/publications-on-the-history-of-money?s=0&amp;t=&amp;a=</w:t>
              </w:r>
            </w:p>
            <w:p w14:paraId="0E311AD1" w14:textId="77777777" w:rsidR="00FB339E" w:rsidRDefault="00FB339E" w:rsidP="00FB339E">
              <w:pPr>
                <w:pStyle w:val="Bibliography"/>
                <w:ind w:left="720" w:hanging="720"/>
                <w:rPr>
                  <w:noProof/>
                  <w:lang w:val="en-US"/>
                </w:rPr>
              </w:pPr>
              <w:r>
                <w:rPr>
                  <w:noProof/>
                  <w:lang w:val="en-US"/>
                </w:rPr>
                <w:t xml:space="preserve">Green, M. J. (1996). </w:t>
              </w:r>
              <w:r>
                <w:rPr>
                  <w:i/>
                  <w:iCs/>
                  <w:noProof/>
                  <w:lang w:val="en-US"/>
                </w:rPr>
                <w:t>The Celtic World.</w:t>
              </w:r>
              <w:r>
                <w:rPr>
                  <w:noProof/>
                  <w:lang w:val="en-US"/>
                </w:rPr>
                <w:t xml:space="preserve"> London: Routledge.</w:t>
              </w:r>
            </w:p>
            <w:p w14:paraId="0CDE78D4" w14:textId="77777777" w:rsidR="00FB339E" w:rsidRDefault="00FB339E" w:rsidP="00FB339E">
              <w:pPr>
                <w:pStyle w:val="Bibliography"/>
                <w:ind w:left="720" w:hanging="720"/>
                <w:rPr>
                  <w:noProof/>
                  <w:lang w:val="en-US"/>
                </w:rPr>
              </w:pPr>
              <w:r>
                <w:rPr>
                  <w:noProof/>
                  <w:lang w:val="en-US"/>
                </w:rPr>
                <w:t xml:space="preserve">James, D. (1996). </w:t>
              </w:r>
              <w:r>
                <w:rPr>
                  <w:i/>
                  <w:iCs/>
                  <w:noProof/>
                  <w:lang w:val="en-US"/>
                </w:rPr>
                <w:t>Celtic Connections: The Ancient Celts, their Traditions and Living Legacy.</w:t>
              </w:r>
              <w:r>
                <w:rPr>
                  <w:noProof/>
                  <w:lang w:val="en-US"/>
                </w:rPr>
                <w:t xml:space="preserve"> London: Blandford.</w:t>
              </w:r>
            </w:p>
            <w:p w14:paraId="4DCE19A2" w14:textId="77777777" w:rsidR="00FB339E" w:rsidRDefault="00FB339E" w:rsidP="00FB339E">
              <w:pPr>
                <w:pStyle w:val="Bibliography"/>
                <w:ind w:left="720" w:hanging="720"/>
                <w:rPr>
                  <w:noProof/>
                  <w:lang w:val="en-US"/>
                </w:rPr>
              </w:pPr>
              <w:r>
                <w:rPr>
                  <w:noProof/>
                  <w:lang w:val="en-US"/>
                </w:rPr>
                <w:lastRenderedPageBreak/>
                <w:t xml:space="preserve">Koch, J. T. (2005). </w:t>
              </w:r>
              <w:r>
                <w:rPr>
                  <w:i/>
                  <w:iCs/>
                  <w:noProof/>
                  <w:lang w:val="en-US"/>
                </w:rPr>
                <w:t>Celtic Cultures: A Historical Encyclopaedia.</w:t>
              </w:r>
              <w:r>
                <w:rPr>
                  <w:noProof/>
                  <w:lang w:val="en-US"/>
                </w:rPr>
                <w:t xml:space="preserve"> California: ABC-CLIO Inc.</w:t>
              </w:r>
            </w:p>
            <w:p w14:paraId="76BA33AA" w14:textId="77777777" w:rsidR="00FB339E" w:rsidRDefault="00FB339E" w:rsidP="00FB339E">
              <w:pPr>
                <w:pStyle w:val="Bibliography"/>
                <w:ind w:left="720" w:hanging="720"/>
                <w:rPr>
                  <w:noProof/>
                  <w:lang w:val="en-US"/>
                </w:rPr>
              </w:pPr>
              <w:r>
                <w:rPr>
                  <w:noProof/>
                  <w:lang w:val="en-US"/>
                </w:rPr>
                <w:t xml:space="preserve">Religion, A. (2014, 03 28). </w:t>
              </w:r>
              <w:r>
                <w:rPr>
                  <w:i/>
                  <w:iCs/>
                  <w:noProof/>
                  <w:lang w:val="en-US"/>
                </w:rPr>
                <w:t>Atlantic Religion</w:t>
              </w:r>
              <w:r>
                <w:rPr>
                  <w:noProof/>
                  <w:lang w:val="en-US"/>
                </w:rPr>
                <w:t>. Retrieved from Symbolism on Celtic coins: https://atlanticreligion.com/2014/03/28/horse-symbolism-on-celtic-coins/</w:t>
              </w:r>
            </w:p>
            <w:p w14:paraId="23B85899" w14:textId="298FF052" w:rsidR="00D12174" w:rsidRDefault="00D12174" w:rsidP="00FB339E">
              <w:r>
                <w:rPr>
                  <w:b/>
                  <w:bCs/>
                  <w:noProof/>
                </w:rPr>
                <w:fldChar w:fldCharType="end"/>
              </w:r>
            </w:p>
          </w:sdtContent>
        </w:sdt>
      </w:sdtContent>
    </w:sdt>
    <w:p w14:paraId="2E35D492" w14:textId="77777777" w:rsidR="00D12174" w:rsidRPr="00D12174" w:rsidRDefault="00D12174"/>
    <w:sectPr w:rsidR="00D12174" w:rsidRPr="00D121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9E301" w14:textId="77777777" w:rsidR="00203DA9" w:rsidRDefault="00203DA9" w:rsidP="00D12174">
      <w:pPr>
        <w:spacing w:after="0" w:line="240" w:lineRule="auto"/>
      </w:pPr>
      <w:r>
        <w:separator/>
      </w:r>
    </w:p>
  </w:endnote>
  <w:endnote w:type="continuationSeparator" w:id="0">
    <w:p w14:paraId="47CB18DB" w14:textId="77777777" w:rsidR="00203DA9" w:rsidRDefault="00203DA9" w:rsidP="00D12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B03185" w14:textId="77777777" w:rsidR="00203DA9" w:rsidRDefault="00203DA9" w:rsidP="00D12174">
      <w:pPr>
        <w:spacing w:after="0" w:line="240" w:lineRule="auto"/>
      </w:pPr>
      <w:r>
        <w:separator/>
      </w:r>
    </w:p>
  </w:footnote>
  <w:footnote w:type="continuationSeparator" w:id="0">
    <w:p w14:paraId="0AB5B41C" w14:textId="77777777" w:rsidR="00203DA9" w:rsidRDefault="00203DA9" w:rsidP="00D12174">
      <w:pPr>
        <w:spacing w:after="0" w:line="240" w:lineRule="auto"/>
      </w:pPr>
      <w:r>
        <w:continuationSeparator/>
      </w:r>
    </w:p>
  </w:footnote>
  <w:footnote w:id="1">
    <w:p w14:paraId="632664FE" w14:textId="088728F4" w:rsidR="00DE2EC8" w:rsidRPr="00DE2EC8" w:rsidRDefault="00DE2EC8">
      <w:pPr>
        <w:pStyle w:val="FootnoteText"/>
      </w:pPr>
      <w:r>
        <w:rPr>
          <w:rStyle w:val="FootnoteReference"/>
        </w:rPr>
        <w:footnoteRef/>
      </w:r>
      <w:r>
        <w:t xml:space="preserve"> James, David, </w:t>
      </w:r>
      <w:r>
        <w:rPr>
          <w:i/>
        </w:rPr>
        <w:t>Celtic Connections: The Ancient Celts, their Traditions and Living Legacy,</w:t>
      </w:r>
      <w:r>
        <w:t xml:space="preserve"> 1996, p.48</w:t>
      </w:r>
    </w:p>
  </w:footnote>
  <w:footnote w:id="2">
    <w:p w14:paraId="59E3C2D5" w14:textId="2C17436C" w:rsidR="00D12174" w:rsidRPr="00D12174" w:rsidRDefault="00D12174">
      <w:pPr>
        <w:pStyle w:val="FootnoteText"/>
      </w:pPr>
      <w:r>
        <w:rPr>
          <w:rStyle w:val="FootnoteReference"/>
        </w:rPr>
        <w:footnoteRef/>
      </w:r>
      <w:r>
        <w:t xml:space="preserve"> Koch, John, </w:t>
      </w:r>
      <w:r>
        <w:rPr>
          <w:i/>
        </w:rPr>
        <w:t>Celtic Culture: A Historical Encyclopaedia,</w:t>
      </w:r>
      <w:r>
        <w:t xml:space="preserve"> 2005, p.461</w:t>
      </w:r>
    </w:p>
  </w:footnote>
  <w:footnote w:id="3">
    <w:p w14:paraId="37D22467" w14:textId="0587D6E1" w:rsidR="004B33CC" w:rsidRDefault="004B33CC">
      <w:pPr>
        <w:pStyle w:val="FootnoteText"/>
      </w:pPr>
      <w:r>
        <w:rPr>
          <w:rStyle w:val="FootnoteReference"/>
        </w:rPr>
        <w:footnoteRef/>
      </w:r>
      <w:r>
        <w:t xml:space="preserve"> Atlantic Religion (2014)</w:t>
      </w:r>
      <w:r w:rsidR="003B768C">
        <w:t xml:space="preserve"> Atlantic Religion</w:t>
      </w:r>
    </w:p>
  </w:footnote>
  <w:footnote w:id="4">
    <w:p w14:paraId="5F99CD03" w14:textId="061A19F1" w:rsidR="00A70FE4" w:rsidRPr="00A70FE4" w:rsidRDefault="00A70FE4">
      <w:pPr>
        <w:pStyle w:val="FootnoteText"/>
      </w:pPr>
      <w:r>
        <w:rPr>
          <w:rStyle w:val="FootnoteReference"/>
        </w:rPr>
        <w:footnoteRef/>
      </w:r>
      <w:r>
        <w:t xml:space="preserve"> Green, Miranda, </w:t>
      </w:r>
      <w:r>
        <w:rPr>
          <w:i/>
        </w:rPr>
        <w:t>The Celtic World,</w:t>
      </w:r>
      <w:r>
        <w:t xml:space="preserve"> 1996, p.172</w:t>
      </w:r>
    </w:p>
  </w:footnote>
  <w:footnote w:id="5">
    <w:p w14:paraId="65B63817" w14:textId="7D1097BE" w:rsidR="003B768C" w:rsidRDefault="003B768C">
      <w:pPr>
        <w:pStyle w:val="FootnoteText"/>
      </w:pPr>
      <w:r>
        <w:rPr>
          <w:rStyle w:val="FootnoteReference"/>
        </w:rPr>
        <w:footnoteRef/>
      </w:r>
      <w:r>
        <w:t xml:space="preserve"> Anthony, John (2019) Encyclopaedia Britannica</w:t>
      </w:r>
    </w:p>
  </w:footnote>
  <w:footnote w:id="6">
    <w:p w14:paraId="7BF83CA6" w14:textId="2C070B9C" w:rsidR="002074C9" w:rsidRPr="002074C9" w:rsidRDefault="002074C9">
      <w:pPr>
        <w:pStyle w:val="FootnoteText"/>
      </w:pPr>
      <w:r>
        <w:rPr>
          <w:rStyle w:val="FootnoteReference"/>
        </w:rPr>
        <w:footnoteRef/>
      </w:r>
      <w:r>
        <w:t xml:space="preserve"> </w:t>
      </w:r>
      <w:proofErr w:type="spellStart"/>
      <w:r>
        <w:t>Eluère</w:t>
      </w:r>
      <w:proofErr w:type="spellEnd"/>
      <w:r>
        <w:t xml:space="preserve">, Christiane, </w:t>
      </w:r>
      <w:r>
        <w:rPr>
          <w:i/>
        </w:rPr>
        <w:t>The Celts: First Masters of Europe,</w:t>
      </w:r>
      <w:r>
        <w:t xml:space="preserve"> 1993, p.</w:t>
      </w:r>
      <w:r w:rsidR="00F45283">
        <w:t>91</w:t>
      </w:r>
    </w:p>
  </w:footnote>
  <w:footnote w:id="7">
    <w:p w14:paraId="729814E0" w14:textId="0CD61299" w:rsidR="00DE2EC8" w:rsidRPr="00DE2EC8" w:rsidRDefault="00DE2EC8">
      <w:pPr>
        <w:pStyle w:val="FootnoteText"/>
      </w:pPr>
      <w:r>
        <w:rPr>
          <w:rStyle w:val="FootnoteReference"/>
        </w:rPr>
        <w:footnoteRef/>
      </w:r>
      <w:r>
        <w:t xml:space="preserve"> Green, Miranda, </w:t>
      </w:r>
      <w:r>
        <w:rPr>
          <w:i/>
        </w:rPr>
        <w:t>The Celtic World,</w:t>
      </w:r>
      <w:r>
        <w:t xml:space="preserve"> 1996, p.204</w:t>
      </w:r>
    </w:p>
  </w:footnote>
  <w:footnote w:id="8">
    <w:p w14:paraId="2F2BB086" w14:textId="17B2A89C" w:rsidR="00021785" w:rsidRDefault="00021785">
      <w:pPr>
        <w:pStyle w:val="FootnoteText"/>
      </w:pPr>
      <w:r>
        <w:rPr>
          <w:rStyle w:val="FootnoteReference"/>
        </w:rPr>
        <w:footnoteRef/>
      </w:r>
      <w:r>
        <w:t xml:space="preserve"> </w:t>
      </w:r>
      <w:proofErr w:type="spellStart"/>
      <w:r>
        <w:t>Chimirri</w:t>
      </w:r>
      <w:proofErr w:type="spellEnd"/>
      <w:r>
        <w:t xml:space="preserve">-Ruddell, </w:t>
      </w:r>
      <w:r w:rsidRPr="00DE2EC8">
        <w:rPr>
          <w:i/>
        </w:rPr>
        <w:t>Geraldine</w:t>
      </w:r>
      <w:r>
        <w:t>, (2005) p.442</w:t>
      </w:r>
    </w:p>
  </w:footnote>
  <w:footnote w:id="9">
    <w:p w14:paraId="4786A7FE" w14:textId="45AC68C2" w:rsidR="002074C9" w:rsidRPr="002074C9" w:rsidRDefault="002074C9">
      <w:pPr>
        <w:pStyle w:val="FootnoteText"/>
      </w:pPr>
      <w:r>
        <w:rPr>
          <w:rStyle w:val="FootnoteReference"/>
        </w:rPr>
        <w:footnoteRef/>
      </w:r>
      <w:r>
        <w:t xml:space="preserve"> Cunliffe, Barry,</w:t>
      </w:r>
      <w:r>
        <w:rPr>
          <w:i/>
        </w:rPr>
        <w:t xml:space="preserve"> The Celtic World,</w:t>
      </w:r>
      <w:r>
        <w:t xml:space="preserve"> 1992, p.52</w:t>
      </w:r>
    </w:p>
  </w:footnote>
  <w:footnote w:id="10">
    <w:p w14:paraId="5FA9C354" w14:textId="705A822C" w:rsidR="00FB339E" w:rsidRDefault="00FB339E">
      <w:pPr>
        <w:pStyle w:val="FootnoteText"/>
      </w:pPr>
      <w:r>
        <w:rPr>
          <w:rStyle w:val="FootnoteReference"/>
        </w:rPr>
        <w:footnoteRef/>
      </w:r>
      <w:r>
        <w:t xml:space="preserve"> Money Museum, p.4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EC4"/>
    <w:rsid w:val="00021785"/>
    <w:rsid w:val="000E198D"/>
    <w:rsid w:val="00117AA4"/>
    <w:rsid w:val="00197BA7"/>
    <w:rsid w:val="00203DA9"/>
    <w:rsid w:val="002074C9"/>
    <w:rsid w:val="002209D3"/>
    <w:rsid w:val="002B3E12"/>
    <w:rsid w:val="002D6FFD"/>
    <w:rsid w:val="003B768C"/>
    <w:rsid w:val="003B796B"/>
    <w:rsid w:val="00444870"/>
    <w:rsid w:val="004B33CC"/>
    <w:rsid w:val="00542AE3"/>
    <w:rsid w:val="00686C7D"/>
    <w:rsid w:val="006D7B07"/>
    <w:rsid w:val="0071687B"/>
    <w:rsid w:val="00735C8B"/>
    <w:rsid w:val="00740552"/>
    <w:rsid w:val="00794D9C"/>
    <w:rsid w:val="007A70DF"/>
    <w:rsid w:val="00891E72"/>
    <w:rsid w:val="008C0D17"/>
    <w:rsid w:val="00A70FE4"/>
    <w:rsid w:val="00AA0E21"/>
    <w:rsid w:val="00AC213D"/>
    <w:rsid w:val="00AE4FFF"/>
    <w:rsid w:val="00B07EC4"/>
    <w:rsid w:val="00B17012"/>
    <w:rsid w:val="00C90EF0"/>
    <w:rsid w:val="00D12174"/>
    <w:rsid w:val="00D21541"/>
    <w:rsid w:val="00DE2EC8"/>
    <w:rsid w:val="00F40939"/>
    <w:rsid w:val="00F45283"/>
    <w:rsid w:val="00FB339E"/>
    <w:rsid w:val="00FD2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F285F"/>
  <w15:chartTrackingRefBased/>
  <w15:docId w15:val="{3088D342-DE07-45E5-BF6B-B869AC44F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Arial"/>
        <w:spacing w:val="20"/>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174"/>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121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2174"/>
    <w:rPr>
      <w:sz w:val="20"/>
      <w:szCs w:val="20"/>
    </w:rPr>
  </w:style>
  <w:style w:type="character" w:styleId="FootnoteReference">
    <w:name w:val="footnote reference"/>
    <w:basedOn w:val="DefaultParagraphFont"/>
    <w:uiPriority w:val="99"/>
    <w:semiHidden/>
    <w:unhideWhenUsed/>
    <w:rsid w:val="00D12174"/>
    <w:rPr>
      <w:vertAlign w:val="superscript"/>
    </w:rPr>
  </w:style>
  <w:style w:type="character" w:customStyle="1" w:styleId="Heading1Char">
    <w:name w:val="Heading 1 Char"/>
    <w:basedOn w:val="DefaultParagraphFont"/>
    <w:link w:val="Heading1"/>
    <w:uiPriority w:val="9"/>
    <w:rsid w:val="00D12174"/>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D121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92532">
      <w:bodyDiv w:val="1"/>
      <w:marLeft w:val="0"/>
      <w:marRight w:val="0"/>
      <w:marTop w:val="0"/>
      <w:marBottom w:val="0"/>
      <w:divBdr>
        <w:top w:val="none" w:sz="0" w:space="0" w:color="auto"/>
        <w:left w:val="none" w:sz="0" w:space="0" w:color="auto"/>
        <w:bottom w:val="none" w:sz="0" w:space="0" w:color="auto"/>
        <w:right w:val="none" w:sz="0" w:space="0" w:color="auto"/>
      </w:divBdr>
    </w:div>
    <w:div w:id="153690127">
      <w:bodyDiv w:val="1"/>
      <w:marLeft w:val="0"/>
      <w:marRight w:val="0"/>
      <w:marTop w:val="0"/>
      <w:marBottom w:val="0"/>
      <w:divBdr>
        <w:top w:val="none" w:sz="0" w:space="0" w:color="auto"/>
        <w:left w:val="none" w:sz="0" w:space="0" w:color="auto"/>
        <w:bottom w:val="none" w:sz="0" w:space="0" w:color="auto"/>
        <w:right w:val="none" w:sz="0" w:space="0" w:color="auto"/>
      </w:divBdr>
    </w:div>
    <w:div w:id="580332223">
      <w:bodyDiv w:val="1"/>
      <w:marLeft w:val="0"/>
      <w:marRight w:val="0"/>
      <w:marTop w:val="0"/>
      <w:marBottom w:val="0"/>
      <w:divBdr>
        <w:top w:val="none" w:sz="0" w:space="0" w:color="auto"/>
        <w:left w:val="none" w:sz="0" w:space="0" w:color="auto"/>
        <w:bottom w:val="none" w:sz="0" w:space="0" w:color="auto"/>
        <w:right w:val="none" w:sz="0" w:space="0" w:color="auto"/>
      </w:divBdr>
    </w:div>
    <w:div w:id="616108321">
      <w:bodyDiv w:val="1"/>
      <w:marLeft w:val="0"/>
      <w:marRight w:val="0"/>
      <w:marTop w:val="0"/>
      <w:marBottom w:val="0"/>
      <w:divBdr>
        <w:top w:val="none" w:sz="0" w:space="0" w:color="auto"/>
        <w:left w:val="none" w:sz="0" w:space="0" w:color="auto"/>
        <w:bottom w:val="none" w:sz="0" w:space="0" w:color="auto"/>
        <w:right w:val="none" w:sz="0" w:space="0" w:color="auto"/>
      </w:divBdr>
    </w:div>
    <w:div w:id="1031539625">
      <w:bodyDiv w:val="1"/>
      <w:marLeft w:val="0"/>
      <w:marRight w:val="0"/>
      <w:marTop w:val="0"/>
      <w:marBottom w:val="0"/>
      <w:divBdr>
        <w:top w:val="none" w:sz="0" w:space="0" w:color="auto"/>
        <w:left w:val="none" w:sz="0" w:space="0" w:color="auto"/>
        <w:bottom w:val="none" w:sz="0" w:space="0" w:color="auto"/>
        <w:right w:val="none" w:sz="0" w:space="0" w:color="auto"/>
      </w:divBdr>
    </w:div>
    <w:div w:id="1734768936">
      <w:bodyDiv w:val="1"/>
      <w:marLeft w:val="0"/>
      <w:marRight w:val="0"/>
      <w:marTop w:val="0"/>
      <w:marBottom w:val="0"/>
      <w:divBdr>
        <w:top w:val="none" w:sz="0" w:space="0" w:color="auto"/>
        <w:left w:val="none" w:sz="0" w:space="0" w:color="auto"/>
        <w:bottom w:val="none" w:sz="0" w:space="0" w:color="auto"/>
        <w:right w:val="none" w:sz="0" w:space="0" w:color="auto"/>
      </w:divBdr>
    </w:div>
    <w:div w:id="1745104030">
      <w:bodyDiv w:val="1"/>
      <w:marLeft w:val="0"/>
      <w:marRight w:val="0"/>
      <w:marTop w:val="0"/>
      <w:marBottom w:val="0"/>
      <w:divBdr>
        <w:top w:val="none" w:sz="0" w:space="0" w:color="auto"/>
        <w:left w:val="none" w:sz="0" w:space="0" w:color="auto"/>
        <w:bottom w:val="none" w:sz="0" w:space="0" w:color="auto"/>
        <w:right w:val="none" w:sz="0" w:space="0" w:color="auto"/>
      </w:divBdr>
    </w:div>
    <w:div w:id="1882548884">
      <w:bodyDiv w:val="1"/>
      <w:marLeft w:val="0"/>
      <w:marRight w:val="0"/>
      <w:marTop w:val="0"/>
      <w:marBottom w:val="0"/>
      <w:divBdr>
        <w:top w:val="none" w:sz="0" w:space="0" w:color="auto"/>
        <w:left w:val="none" w:sz="0" w:space="0" w:color="auto"/>
        <w:bottom w:val="none" w:sz="0" w:space="0" w:color="auto"/>
        <w:right w:val="none" w:sz="0" w:space="0" w:color="auto"/>
      </w:divBdr>
    </w:div>
    <w:div w:id="1927883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Koc05</b:Tag>
    <b:SourceType>Book</b:SourceType>
    <b:Guid>{F6FEDCD4-533B-4BAF-B511-74EBB5A7CDC6}</b:Guid>
    <b:Title>Celtic Cultures: A Historical Encyclopaedia</b:Title>
    <b:Year>2005</b:Year>
    <b:Author>
      <b:Author>
        <b:NameList>
          <b:Person>
            <b:Last>Koch</b:Last>
            <b:First>John</b:First>
            <b:Middle>T</b:Middle>
          </b:Person>
        </b:NameList>
      </b:Author>
    </b:Author>
    <b:City>California</b:City>
    <b:Publisher>ABC-CLIO Inc</b:Publisher>
    <b:RefOrder>1</b:RefOrder>
  </b:Source>
  <b:Source>
    <b:Tag>Placeholder1</b:Tag>
    <b:SourceType>InternetSite</b:SourceType>
    <b:Guid>{C7BA5A0E-68DF-40C6-89AF-DE2EC10C86D6}</b:Guid>
    <b:Author>
      <b:Author>
        <b:NameList>
          <b:Person>
            <b:Last>Religion</b:Last>
            <b:First>Atlantic</b:First>
          </b:Person>
        </b:NameList>
      </b:Author>
    </b:Author>
    <b:Title>Atlantic Religion</b:Title>
    <b:InternetSiteTitle>Symbolism on Celtic coins</b:InternetSiteTitle>
    <b:Year>2014</b:Year>
    <b:Month>03</b:Month>
    <b:Day>28</b:Day>
    <b:URL>https://atlanticreligion.com/2014/03/28/horse-symbolism-on-celtic-coins/</b:URL>
    <b:RefOrder>2</b:RefOrder>
  </b:Source>
  <b:Source>
    <b:Tag>Chi05</b:Tag>
    <b:SourceType>JournalArticle</b:SourceType>
    <b:Guid>{1BF848FC-EEF9-4942-BF7C-0C34DF4AF941}</b:Guid>
    <b:Title>Changin Artistic Perspective on Celtic Coins</b:Title>
    <b:Year>2005</b:Year>
    <b:Author>
      <b:Author>
        <b:NameList>
          <b:Person>
            <b:Last>Chimirri-Russell</b:Last>
            <b:First>Geraldine</b:First>
          </b:Person>
        </b:NameList>
      </b:Author>
    </b:Author>
    <b:JournalName>Dialnet</b:JournalName>
    <b:Pages>441-446</b:Pages>
    <b:RefOrder>3</b:RefOrder>
  </b:Source>
  <b:Source>
    <b:Tag>Ant19</b:Tag>
    <b:SourceType>InternetSite</b:SourceType>
    <b:Guid>{B0680FF9-3A51-4F46-9541-CE0B75B9B612}</b:Guid>
    <b:Title>Encyclopaedia Britannica</b:Title>
    <b:Year>2019</b:Year>
    <b:Author>
      <b:Author>
        <b:NameList>
          <b:Person>
            <b:Last>Anthony</b:Last>
            <b:First>John</b:First>
          </b:Person>
        </b:NameList>
      </b:Author>
    </b:Author>
    <b:InternetSiteTitle>Paris</b:InternetSiteTitle>
    <b:Month>01</b:Month>
    <b:Day>18</b:Day>
    <b:URL>https://www.britannica.com/place/Paris/Education#ref364936</b:URL>
    <b:RefOrder>4</b:RefOrder>
  </b:Source>
  <b:Source>
    <b:Tag>Jam96</b:Tag>
    <b:SourceType>Book</b:SourceType>
    <b:Guid>{C32A5E2B-648B-47BF-9893-5A68B0A20E26}</b:Guid>
    <b:Title>Celtic Connections: The Ancient Celts, their Traditions and Living Legacy</b:Title>
    <b:Year>1996</b:Year>
    <b:Publisher>Blandford</b:Publisher>
    <b:City>London</b:City>
    <b:Author>
      <b:Author>
        <b:NameList>
          <b:Person>
            <b:Last>James</b:Last>
            <b:First>David</b:First>
          </b:Person>
        </b:NameList>
      </b:Author>
    </b:Author>
    <b:RefOrder>5</b:RefOrder>
  </b:Source>
  <b:Source>
    <b:Tag>Gre95</b:Tag>
    <b:SourceType>Book</b:SourceType>
    <b:Guid>{875F2C16-4BB9-4D0B-B831-FE177150EC0E}</b:Guid>
    <b:Title>The Celtic World</b:Title>
    <b:Year>1996</b:Year>
    <b:Author>
      <b:Author>
        <b:NameList>
          <b:Person>
            <b:Last>Green</b:Last>
            <b:First>Miranda</b:First>
            <b:Middle>J</b:Middle>
          </b:Person>
        </b:NameList>
      </b:Author>
    </b:Author>
    <b:City>London</b:City>
    <b:Publisher>Routledge</b:Publisher>
    <b:RefOrder>6</b:RefOrder>
  </b:Source>
  <b:Source>
    <b:Tag>Cun92</b:Tag>
    <b:SourceType>Book</b:SourceType>
    <b:Guid>{CC8089A0-9058-447F-B0EB-57D797489E69}</b:Guid>
    <b:Author>
      <b:Author>
        <b:NameList>
          <b:Person>
            <b:Last>Cunliffe</b:Last>
            <b:First>Barry</b:First>
          </b:Person>
        </b:NameList>
      </b:Author>
    </b:Author>
    <b:Title>The Celitc World </b:Title>
    <b:Year>1992</b:Year>
    <b:City>London</b:City>
    <b:Publisher>Constable and Company Ltd</b:Publisher>
    <b:RefOrder>7</b:RefOrder>
  </b:Source>
  <b:Source>
    <b:Tag>Elu93</b:Tag>
    <b:SourceType>Book</b:SourceType>
    <b:Guid>{2E60A057-CCBC-45CB-B42B-AFD0E928B2EF}</b:Guid>
    <b:Author>
      <b:Author>
        <b:NameList>
          <b:Person>
            <b:Last>Eluère</b:Last>
            <b:First>Christiane</b:First>
          </b:Person>
        </b:NameList>
      </b:Author>
    </b:Author>
    <b:Title>The Celts: First Masters of Europe</b:Title>
    <b:Year>1993</b:Year>
    <b:City>London</b:City>
    <b:Publisher>Thames &amp; Hudson</b:Publisher>
    <b:RefOrder>8</b:RefOrder>
  </b:Source>
  <b:Source>
    <b:Tag>Sun</b:Tag>
    <b:SourceType>InternetSite</b:SourceType>
    <b:Guid>{DC13D6F3-AD21-4475-93C2-8F602149D2D1}</b:Guid>
    <b:Title>Money Museum</b:Title>
    <b:Author>
      <b:Author>
        <b:NameList>
          <b:Person>
            <b:Last>Foundation</b:Last>
            <b:First>Sunflower</b:First>
          </b:Person>
        </b:NameList>
      </b:Author>
    </b:Author>
    <b:InternetSiteTitle>Publications</b:InternetSiteTitle>
    <b:URL>https://www.moneymuseum.com/en/coins/publications-on-the-history-of-money?s=0&amp;t=&amp;a=</b:URL>
    <b:RefOrder>9</b:RefOrder>
  </b:Source>
</b:Sources>
</file>

<file path=customXml/itemProps1.xml><?xml version="1.0" encoding="utf-8"?>
<ds:datastoreItem xmlns:ds="http://schemas.openxmlformats.org/officeDocument/2006/customXml" ds:itemID="{60CD1AC6-BE16-4C99-9113-0EDBB5794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6</Pages>
  <Words>1011</Words>
  <Characters>5766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 (1700665)</dc:creator>
  <cp:keywords/>
  <dc:description/>
  <cp:lastModifiedBy>Angharad Lloyd (1700665)</cp:lastModifiedBy>
  <cp:revision>17</cp:revision>
  <dcterms:created xsi:type="dcterms:W3CDTF">2019-02-02T15:47:00Z</dcterms:created>
  <dcterms:modified xsi:type="dcterms:W3CDTF">2019-02-03T12:27:00Z</dcterms:modified>
</cp:coreProperties>
</file>