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848D6EE" w:rsidP="50FF6E60" w:rsidRDefault="6848D6EE" w14:paraId="2602E2CA" w14:textId="3E5EE4FC">
      <w:pPr>
        <w:spacing w:before="240" w:beforeAutospacing="off" w:after="240" w:afterAutospacing="off"/>
        <w:jc w:val="center"/>
        <w:rPr>
          <w:rFonts w:ascii="Aptos Display" w:hAnsi="Aptos Display" w:eastAsia="Aptos Display" w:cs="Aptos Display"/>
          <w:b w:val="1"/>
          <w:bCs w:val="1"/>
          <w:noProof w:val="0"/>
          <w:sz w:val="32"/>
          <w:szCs w:val="32"/>
          <w:lang w:val="en-GB"/>
        </w:rPr>
      </w:pPr>
      <w:r w:rsidRPr="50FF6E60" w:rsidR="6848D6EE">
        <w:rPr>
          <w:rFonts w:ascii="Aptos Display" w:hAnsi="Aptos Display" w:eastAsia="Aptos Display" w:cs="Aptos Display"/>
          <w:b w:val="1"/>
          <w:bCs w:val="1"/>
          <w:noProof w:val="0"/>
          <w:sz w:val="32"/>
          <w:szCs w:val="32"/>
          <w:lang w:val="en-GB"/>
        </w:rPr>
        <w:t xml:space="preserve">Global perspectives in education (ECIE6004) </w:t>
      </w:r>
    </w:p>
    <w:p w:rsidR="6848D6EE" w:rsidP="50FF6E60" w:rsidRDefault="6848D6EE" w14:paraId="0C4C6787" w14:textId="50B8FC2C">
      <w:pPr>
        <w:spacing w:before="240" w:beforeAutospacing="off" w:after="240" w:afterAutospacing="off"/>
        <w:jc w:val="center"/>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3612BD02" w14:textId="49201C71">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7E546015" w14:textId="7AEA0287">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53C8CB4C" w14:textId="308B101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E7F5E53" w14:textId="722C6535">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41508458" w14:textId="4208D266">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FC9B5A5" w14:textId="74DDBC7D">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A4C14B1" w14:textId="3A4E8203">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3C6E4194" w14:textId="4EE8FC49">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4D21E05E" w14:textId="02473D3A">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7AD3DCB9" w14:textId="13A72F13">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2B10F7B8" w14:textId="105EE900">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4872D814" w14:textId="54AC1362">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5C88D9D5" w14:textId="1B997CC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CFA77EF" w14:textId="3DE3F029">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3D00007A" w14:textId="41EF8847">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419ED2EE" w14:textId="390ADE0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103BFDE8" w14:textId="27106AF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B1E9D70" w14:textId="4B0FF77A">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3DC32D27" w14:textId="196E4EF2">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59948776" w14:textId="08F1B6C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16F3A6B1" w14:textId="6C503227">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7B5E282D" w14:textId="11E93CF6">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6916BE21" w14:textId="0B11CA16">
      <w:pPr>
        <w:spacing w:before="299" w:beforeAutospacing="off" w:after="299" w:afterAutospacing="off"/>
        <w:jc w:val="both"/>
      </w:pPr>
      <w:r w:rsidRPr="50FF6E60" w:rsidR="6848D6EE">
        <w:rPr>
          <w:rFonts w:ascii="Aptos Display" w:hAnsi="Aptos Display" w:eastAsia="Aptos Display" w:cs="Aptos Display"/>
          <w:noProof w:val="0"/>
          <w:sz w:val="24"/>
          <w:szCs w:val="24"/>
          <w:lang w:val="en-GB"/>
        </w:rPr>
        <w:t xml:space="preserve"> </w:t>
      </w:r>
      <w:r w:rsidRPr="50FF6E60" w:rsidR="69A653A2">
        <w:rPr>
          <w:rFonts w:ascii="Aptos Display" w:hAnsi="Aptos Display" w:eastAsia="Aptos Display" w:cs="Aptos Display"/>
          <w:b w:val="1"/>
          <w:bCs w:val="1"/>
          <w:noProof w:val="0"/>
          <w:sz w:val="36"/>
          <w:szCs w:val="36"/>
          <w:lang w:val="en-GB"/>
        </w:rPr>
        <w:t>Contents</w:t>
      </w:r>
    </w:p>
    <w:p w:rsidR="69A653A2" w:rsidP="50FF6E60" w:rsidRDefault="69A653A2" w14:paraId="28378448" w14:textId="12F27D1C">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Introduction</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3</w:t>
      </w:r>
    </w:p>
    <w:p w:rsidR="69A653A2" w:rsidP="50FF6E60" w:rsidRDefault="69A653A2" w14:paraId="35481239" w14:textId="341E798E">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Education as a Human Right and Global Perspectives</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3</w:t>
      </w:r>
    </w:p>
    <w:p w:rsidR="69A653A2" w:rsidP="50FF6E60" w:rsidRDefault="69A653A2" w14:paraId="706A976F" w14:textId="67449A88">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Globalisation, Global Education, and Childhood Globalisation</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6F1AA68E">
        <w:rPr>
          <w:rFonts w:ascii="Aptos Display" w:hAnsi="Aptos Display" w:eastAsia="Aptos Display" w:cs="Aptos Display" w:asciiTheme="majorAscii" w:hAnsiTheme="majorAscii" w:eastAsiaTheme="majorAscii" w:cstheme="majorAscii"/>
          <w:b w:val="0"/>
          <w:bCs w:val="0"/>
          <w:noProof w:val="0"/>
          <w:sz w:val="24"/>
          <w:szCs w:val="24"/>
          <w:lang w:val="en-GB"/>
        </w:rPr>
        <w:t>4</w:t>
      </w:r>
    </w:p>
    <w:p w:rsidR="69A653A2" w:rsidP="50FF6E60" w:rsidRDefault="69A653A2" w14:paraId="3CB84525" w14:textId="38C95452">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Education for Sustainable Development and Global Policy Frameworks</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653193B3">
        <w:rPr>
          <w:rFonts w:ascii="Aptos Display" w:hAnsi="Aptos Display" w:eastAsia="Aptos Display" w:cs="Aptos Display" w:asciiTheme="majorAscii" w:hAnsiTheme="majorAscii" w:eastAsiaTheme="majorAscii" w:cstheme="majorAscii"/>
          <w:b w:val="0"/>
          <w:bCs w:val="0"/>
          <w:noProof w:val="0"/>
          <w:sz w:val="24"/>
          <w:szCs w:val="24"/>
          <w:lang w:val="en-GB"/>
        </w:rPr>
        <w:t>5</w:t>
      </w:r>
    </w:p>
    <w:p w:rsidR="69A653A2" w:rsidP="50FF6E60" w:rsidRDefault="69A653A2" w14:paraId="4845F6D5" w14:textId="546A7E3D">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Gender Inequality in Global Education</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199EC239">
        <w:rPr>
          <w:rFonts w:ascii="Aptos Display" w:hAnsi="Aptos Display" w:eastAsia="Aptos Display" w:cs="Aptos Display" w:asciiTheme="majorAscii" w:hAnsiTheme="majorAscii" w:eastAsiaTheme="majorAscii" w:cstheme="majorAscii"/>
          <w:b w:val="0"/>
          <w:bCs w:val="0"/>
          <w:noProof w:val="0"/>
          <w:sz w:val="24"/>
          <w:szCs w:val="24"/>
          <w:lang w:val="en-GB"/>
        </w:rPr>
        <w:t>6</w:t>
      </w:r>
    </w:p>
    <w:p w:rsidR="69A653A2" w:rsidP="50FF6E60" w:rsidRDefault="69A653A2" w14:paraId="0B440F58" w14:textId="1CD9A922">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Education Financing, Governance, and Global Inequalities</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3D51D502">
        <w:rPr>
          <w:rFonts w:ascii="Aptos Display" w:hAnsi="Aptos Display" w:eastAsia="Aptos Display" w:cs="Aptos Display" w:asciiTheme="majorAscii" w:hAnsiTheme="majorAscii" w:eastAsiaTheme="majorAscii" w:cstheme="majorAscii"/>
          <w:b w:val="0"/>
          <w:bCs w:val="0"/>
          <w:noProof w:val="0"/>
          <w:sz w:val="24"/>
          <w:szCs w:val="24"/>
          <w:lang w:val="en-GB"/>
        </w:rPr>
        <w:t>6</w:t>
      </w:r>
    </w:p>
    <w:p w:rsidR="69A653A2" w:rsidP="50FF6E60" w:rsidRDefault="69A653A2" w14:paraId="0DD07E13" w14:textId="44CA9A66">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Iraq as a Case Study: Historical and Postcolonial Context ......</w:t>
      </w:r>
      <w:r w:rsidRPr="50FF6E60" w:rsidR="495A3481">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50FF6E60" w:rsidR="4E9D60F4">
        <w:rPr>
          <w:rFonts w:ascii="Aptos Display" w:hAnsi="Aptos Display" w:eastAsia="Aptos Display" w:cs="Aptos Display" w:asciiTheme="majorAscii" w:hAnsiTheme="majorAscii" w:eastAsiaTheme="majorAscii" w:cstheme="majorAscii"/>
          <w:b w:val="0"/>
          <w:bCs w:val="0"/>
          <w:noProof w:val="0"/>
          <w:sz w:val="24"/>
          <w:szCs w:val="24"/>
          <w:lang w:val="en-GB"/>
        </w:rPr>
        <w:t>6</w:t>
      </w:r>
    </w:p>
    <w:p w:rsidR="69A653A2" w:rsidP="50FF6E60" w:rsidRDefault="69A653A2" w14:paraId="152507CE" w14:textId="75B8BB29">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Barriers to Education in Iraq ..............................................</w:t>
      </w:r>
      <w:r w:rsidRPr="50FF6E60" w:rsidR="52A40326">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50FF6E60" w:rsidR="7F2C9EE5">
        <w:rPr>
          <w:rFonts w:ascii="Aptos Display" w:hAnsi="Aptos Display" w:eastAsia="Aptos Display" w:cs="Aptos Display" w:asciiTheme="majorAscii" w:hAnsiTheme="majorAscii" w:eastAsiaTheme="majorAscii" w:cstheme="majorAscii"/>
          <w:b w:val="0"/>
          <w:bCs w:val="0"/>
          <w:noProof w:val="0"/>
          <w:sz w:val="24"/>
          <w:szCs w:val="24"/>
          <w:lang w:val="en-GB"/>
        </w:rPr>
        <w:t>7</w:t>
      </w:r>
    </w:p>
    <w:p w:rsidR="69A653A2" w:rsidP="50FF6E60" w:rsidRDefault="69A653A2" w14:paraId="0809181E" w14:textId="20B40DE8">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Gender, Displacement, and Marginalised Children in Iraq</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5D0432DD">
        <w:rPr>
          <w:rFonts w:ascii="Aptos Display" w:hAnsi="Aptos Display" w:eastAsia="Aptos Display" w:cs="Aptos Display" w:asciiTheme="majorAscii" w:hAnsiTheme="majorAscii" w:eastAsiaTheme="majorAscii" w:cstheme="majorAscii"/>
          <w:b w:val="0"/>
          <w:bCs w:val="0"/>
          <w:noProof w:val="0"/>
          <w:sz w:val="24"/>
          <w:szCs w:val="24"/>
          <w:lang w:val="en-GB"/>
        </w:rPr>
        <w:t>7</w:t>
      </w:r>
    </w:p>
    <w:p w:rsidR="69A653A2" w:rsidP="50FF6E60" w:rsidRDefault="69A653A2" w14:paraId="248570C7" w14:textId="264E12C5">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Role of International Organisations and Educational Aid in Iraq</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1A2F773B">
        <w:rPr>
          <w:rFonts w:ascii="Aptos Display" w:hAnsi="Aptos Display" w:eastAsia="Aptos Display" w:cs="Aptos Display" w:asciiTheme="majorAscii" w:hAnsiTheme="majorAscii" w:eastAsiaTheme="majorAscii" w:cstheme="majorAscii"/>
          <w:b w:val="0"/>
          <w:bCs w:val="0"/>
          <w:noProof w:val="0"/>
          <w:sz w:val="24"/>
          <w:szCs w:val="24"/>
          <w:lang w:val="en-GB"/>
        </w:rPr>
        <w:t>8</w:t>
      </w:r>
    </w:p>
    <w:p w:rsidR="69A653A2" w:rsidP="50FF6E60" w:rsidRDefault="69A653A2" w14:paraId="69645D0C" w14:textId="77E41A94">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Discussion: Sustainability, Governance, and Global Responsibility</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 </w:t>
      </w:r>
      <w:r w:rsidRPr="50FF6E60" w:rsidR="24582D01">
        <w:rPr>
          <w:rFonts w:ascii="Aptos Display" w:hAnsi="Aptos Display" w:eastAsia="Aptos Display" w:cs="Aptos Display" w:asciiTheme="majorAscii" w:hAnsiTheme="majorAscii" w:eastAsiaTheme="majorAscii" w:cstheme="majorAscii"/>
          <w:b w:val="0"/>
          <w:bCs w:val="0"/>
          <w:noProof w:val="0"/>
          <w:sz w:val="24"/>
          <w:szCs w:val="24"/>
          <w:lang w:val="en-GB"/>
        </w:rPr>
        <w:t>8</w:t>
      </w:r>
    </w:p>
    <w:p w:rsidR="69A653A2" w:rsidP="50FF6E60" w:rsidRDefault="69A653A2" w14:paraId="368B7DB2" w14:textId="4E7AECA3">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Conclusion and Recommendations ............................ </w:t>
      </w:r>
      <w:r w:rsidRPr="50FF6E60" w:rsidR="48B289C5">
        <w:rPr>
          <w:rFonts w:ascii="Aptos Display" w:hAnsi="Aptos Display" w:eastAsia="Aptos Display" w:cs="Aptos Display" w:asciiTheme="majorAscii" w:hAnsiTheme="majorAscii" w:eastAsiaTheme="majorAscii" w:cstheme="majorAscii"/>
          <w:b w:val="0"/>
          <w:bCs w:val="0"/>
          <w:noProof w:val="0"/>
          <w:sz w:val="24"/>
          <w:szCs w:val="24"/>
          <w:lang w:val="en-GB"/>
        </w:rPr>
        <w:t>9</w:t>
      </w:r>
    </w:p>
    <w:p w:rsidR="69A653A2" w:rsidP="50FF6E60" w:rsidRDefault="69A653A2" w14:paraId="5D503110" w14:textId="7EEBDA91">
      <w:pPr>
        <w:pStyle w:val="ListParagraph"/>
        <w:numPr>
          <w:ilvl w:val="0"/>
          <w:numId w:val="9"/>
        </w:numPr>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Reference List</w:t>
      </w:r>
      <w:r w:rsidRPr="50FF6E60" w:rsidR="69A653A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50FF6E60" w:rsidR="754AFD1B">
        <w:rPr>
          <w:rFonts w:ascii="Aptos Display" w:hAnsi="Aptos Display" w:eastAsia="Aptos Display" w:cs="Aptos Display" w:asciiTheme="majorAscii" w:hAnsiTheme="majorAscii" w:eastAsiaTheme="majorAscii" w:cstheme="majorAscii"/>
          <w:b w:val="0"/>
          <w:bCs w:val="0"/>
          <w:noProof w:val="0"/>
          <w:sz w:val="24"/>
          <w:szCs w:val="24"/>
          <w:lang w:val="en-GB"/>
        </w:rPr>
        <w:t>10</w:t>
      </w:r>
    </w:p>
    <w:p w:rsidR="50FF6E60" w:rsidP="50FF6E60" w:rsidRDefault="50FF6E60" w14:paraId="0363240D" w14:textId="115619C7">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rPr>
      </w:pPr>
    </w:p>
    <w:p w:rsidR="50FF6E60" w:rsidP="50FF6E60" w:rsidRDefault="50FF6E60" w14:paraId="152B45A6" w14:textId="0247951F">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0DD862EA" w14:textId="61AAC360">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55EC5955" w14:textId="2E97D2A2">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431CB7F3" w14:textId="32BBE572">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0DE90661" w14:textId="40D1BA4C">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0936E0D5" w14:textId="6221AF8B">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542361BA" w14:textId="0A46A807">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1B200A7C" w14:textId="4F59B909">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3901260D" w14:textId="26837CBB">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2C99B68A" w14:textId="54EDB792">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23277D26" w14:textId="2A1CADAF">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0557DC3E" w14:textId="7D75E534">
      <w:pPr>
        <w:spacing w:before="240" w:beforeAutospacing="off" w:after="240" w:afterAutospacing="off"/>
        <w:jc w:val="both"/>
        <w:rPr>
          <w:rFonts w:ascii="Aptos Display" w:hAnsi="Aptos Display" w:eastAsia="Aptos Display" w:cs="Aptos Display"/>
          <w:noProof w:val="0"/>
          <w:sz w:val="24"/>
          <w:szCs w:val="24"/>
          <w:lang w:val="en-GB"/>
        </w:rPr>
      </w:pPr>
    </w:p>
    <w:p w:rsidR="6848D6EE" w:rsidP="50FF6E60" w:rsidRDefault="6848D6EE" w14:paraId="16DD92DE" w14:textId="4FBF687A">
      <w:pPr>
        <w:pStyle w:val="Normal"/>
        <w:spacing w:before="240" w:beforeAutospacing="off" w:after="240" w:afterAutospacing="off"/>
        <w:jc w:val="both"/>
        <w:rPr>
          <w:rFonts w:ascii="Aptos Display" w:hAnsi="Aptos Display" w:eastAsia="Aptos Display" w:cs="Aptos Display"/>
          <w:noProof w:val="0"/>
          <w:sz w:val="24"/>
          <w:szCs w:val="24"/>
          <w:lang w:val="en-GB"/>
        </w:rPr>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4A069814" w14:textId="5489D74F">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Education is a human right; every child has the right to an education, and every individual is entitled to be able to satisfy his or her learning needs through lifelong learning. Education is the foundation of developing identity, as an individual and as a society. Education is essential for sustainable development, reducing global poverty, and enabling people to live together in peace. It enables people to improve their political, social, cultural, and economic circumstances. "Everyone has the right to education. Education shall be free, at least in the elementary and fundamental stages. Elementary education shall be compulsory. Technical and professional education shall be made generally available, and higher education shall be equally accessible to all based on merit.” This statement refers to Article 26 (1) of the Universal Declaration of Human Rights. Completing basic education significantly increases the chance of political participation in society and reduces the risk of marginalisation. From a human rights perspective, a state's failure to provide universal, free, and accessible education constitutes a breach of internationally recognised obligations. The United Nations Convention on the Rights of the Child (UNCRC) further strengthens the global legal framework for education through Article 28, which obliges states to ensure free and compulsory primary education and to encourage regular attendance and reduce dropout rates, and Article 29, which defines the aims of education as developing the child’s personality, talents, mental and physical abilities, respect for human rights, and preparation for a responsible life in a free society. In the context of Iraq, ongoing conflict, displacement, overcrowded classrooms, and underinvestment undermine both articles by restricting access to education and limiting its quality and purpose. For girls, displaced children, and children with disabilities, these failures represent not only barriers to schooling but also violations of the broader educational aims outlined in Article 29, including dignity, equality, and social inclusion. </w:t>
      </w:r>
    </w:p>
    <w:p w:rsidR="6848D6EE" w:rsidP="50FF6E60" w:rsidRDefault="6848D6EE" w14:paraId="0D7B2C8A" w14:textId="7084DCA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Education is essential for sustainable development, poverty reduction, and social harmony and peace in a globalising society. Despite global commitments to universal education, learning chances are still unequal. Globalisation has made sharing information and travelling simpler, but not everyone benefits, especially in developing countries and war zones. Poverty, gender inequality, displacement, weak governance, and insufficient finance prohibit millions of children from attending school, showing a gap between international policy aspirations and local realities. This essay critically analyses the global obstacles to educational access, with a specific focus on how gender inequality acts as a systemic barrier. It assesses the involvement of governments and international organisations in tackling these concerns via policy frameworks related to human rights, sustainability, and global development, evaluating the effectiveness of their approaches. This essay examines Iraq as a case study to demonstrate how historical war, political instability, and economic limitations have compromised educational access, particularly for girls, displaced children, and other marginalised populations. The essay argues that achieving fair and sustainable global education requires more than just laws and international goals. It necessitates substantial long-term investments, governance reforms tailored to specific contexts, and the integration of social theory and empirical evidence to drive meaningful change.  </w:t>
      </w:r>
    </w:p>
    <w:p w:rsidR="6848D6EE" w:rsidP="50FF6E60" w:rsidRDefault="6848D6EE" w14:paraId="732DC6EE" w14:textId="6117CB39">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4A664B29" w14:textId="03675A1A">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792641AE" w14:textId="43195ECA">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These encompass cultural competency, adaptation, critical thinking, and cross-cultural communication. The capability approach views education as enhancing individuals' abilities to engage fully in social, economic, and political spheres, rather than merely preparing them for employment. Regardless of whether students start on careers in business, technology, education, or international relations, the competencies acquired through global education will benefit them across all sectors (Participate Learning, 2024).  Article 22 of the Universal Declaration of Human Rights (1948) states, "Everyone, as a member of society, is entitled to the realisation of the economic, social, and cultural rights indispensable for his dignity and the free development of his personality." Globalisation is the rising interdependence of the world's economies, cultures, and demographics due to cross-border trade, technology, investment, people, and information (International Monetary Fund, 2018). For decades, countries have formed economic agreements to assist these movements. After the Cold War in the early 1990s, these cooperative agreements influenced modern life, making the phrase widespread. Globalisation, like other technical breakthroughs, has benefited society but has been criticised for apparently affecting groups and worsening inflation, supply chain problems, trade disputes, and national security concerns. </w:t>
      </w:r>
    </w:p>
    <w:p w:rsidR="6848D6EE" w:rsidP="50FF6E60" w:rsidRDefault="6848D6EE" w14:paraId="586F55AB" w14:textId="44E06C99">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Childhood globalisation indicates the growing awareness and understanding of global issues, especially environmental challenges, among children worldwide. Exposure to diverse cultures, ecological issues, and social matters through media, education, and technology develops their opinions and ideals. It exemplifies how children can achieve understanding and engage as global citizens championing sustainability and equity. The term “childhood globalisation” combines "childhood", the developmental stage of life, with "globalisation", the escalating interconnectedness and interdependence of nations and cultures. Globalisation shapes children's perspectives and experiences. It has been used in research and social discussions to analyse the effects of global dynamics on children's development, education, and socialisation. While globalisation has improved knowledge and educational mobility, critics argue that it exacerbates structural inequality, particularly in conflict-affected nations like Iraq, which lack the necessary resources for equitable benefits (UNICEF, 2018). </w:t>
      </w:r>
    </w:p>
    <w:p w:rsidR="6848D6EE" w:rsidP="50FF6E60" w:rsidRDefault="6848D6EE" w14:paraId="76F1C0C9" w14:textId="67E82EA8">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Education for Sustainable Development (ESD) originated from heightened awareness of environmental concerns in the mid-20th century and received global acknowledgement at the 1972 UN Stockholm Conference. Its objective is to provide learners with the knowledge, skills, values, and attitudes needed to tackle complex environmental, social, and economic issues for current and future generations, incorporating sustainability across all disciplines through critical thinking and participatory approaches. It addresses global challenges such as climate change, poverty, and inequality, emphasising comprehensive solutions and the empowerment of action (SEEd, n.d.). UNESCO acts as the Secretariat for the Greening Education Partnership, which seeks to enhance nations' ability to deliver effective climate change education and integrate sustainability into all facets of learning (UNESCO, 2017). The Sustainable Development Goals provide a call to action for all nations—regardless of economic status—to foster prosperity while protecting the planet. The United Nations (2015) acknowledges that combating poverty requires the execution of strategies that promote economic growth and fulfil diverse social needs, including education, health, social protection, and employment opportunities, while also tackling climate change and protecting the environment. In 2000, during the World Education Forum in Dakar, the global community adopted the Education for All Global Action Plan. The target date for reaching these goals was established as 2015, coinciding with the Millennium Development Goals initiated in that year. Despite the significant advancements achieved in several nations, the overall outcome was unsatisfactory. No EFA targets were met by 2015. The essential objective of guaranteeing that all children globally enrol in and finish primary education was not achieved. (BMZ, 2024).  </w:t>
      </w:r>
    </w:p>
    <w:p w:rsidR="6848D6EE" w:rsidP="50FF6E60" w:rsidRDefault="6848D6EE" w14:paraId="4195CB4D" w14:textId="51957BC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Gender inequality persists as a significant obstacle to attaining universal education worldwide, especially in developing areas, where girls encounter systemic, cultural, and economic disadvantages. Barriers including poverty, early marriage, gendered work responsibilities, and unsafe school environments limit girls' access to and involvement in education, despite statutory promises of equality (Fennell &amp; Arnot, 2008). These obstacles immediately contravene the African Charter on the Rights and Welfare of the Child, which asserts every child's right to education without discrimination and mandates states to safeguard children, particularly females, from damaging social and cultural practices. Despite Iraq's non-signatory status to the African Charter on the Rights and Welfare of the Child, this Charter serves as a comparative regional framework to critically underscore how similar structural impediments, including gender discrimination and detrimental cultural practices, compromise children's right to education throughout the rest of the world. The Charter establishes a robust legal foundation; nonetheless, its implementation is frequently hindered by insufficient resources, political instability, and entrenched gender norms. Feminist theory (1984) highlights the systematic inequity in girls' education resulting from sexist societal institutions, particularly in conflict-affected cultures where traditional gender roles are reinforced. From a postcolonial feminist perspective, gender disparity in education is exacerbated by colonial legacies and externally imposed development frameworks that frequently marginalise indigenous women's perspectives and neglect the interplay of gender, culture, and historical power dynamics. The disparity between policy and practice underscores how global and regional commitments to children's rights are compromised by overarching inequalities, indicating that attaining gender equality in education necessitates not only legal frameworks but also enduring social, economic, and institutional transformation. </w:t>
      </w:r>
    </w:p>
    <w:p w:rsidR="6848D6EE" w:rsidP="50FF6E60" w:rsidRDefault="6848D6EE" w14:paraId="17D38C16" w14:textId="4DDEC2BF">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The second UNESCO–World Bank Education Finance Watch 2024 report emphasised that funding continues to be a significant impediment to attaining great education globally. Education constitutes less than 15% of the total spending on education and 4% of GDP in 40% of countries. The disparity is significant: low-income nations allocated $55 per student in 2022, whereas high-income countries expended $8,543. The UNESCO–World Bank report cautions about the increasing burden of debt repayments. In 2022, African countries allocated approximately equivalent funds for debt servicing and education. In 2022, education constituted 7.6% of global official development assistance, a decline from 9.3% in 2019. In 2020, the G20's continuous collaboration culminated in the inaugural cohesive framework for debt restructuring. UNESCO is advocating for nations to establish a multilateral framework to convert debt into sustainable educational funding. This technology could support nations burdened by unsustainable debt in transforming it into investments in education (UNESCO, 2024). Governance theory (2016) highlights a continual disparity between international obligations and national implementation, particularly in fragile governments where corruption, indebtedness, and political instability obstruct reform efforts. </w:t>
      </w:r>
    </w:p>
    <w:p w:rsidR="6848D6EE" w:rsidP="50FF6E60" w:rsidRDefault="6848D6EE" w14:paraId="4F05D013" w14:textId="77C1ED9D">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Iraq will be used as a case study to understand the relevance of global education and the role of educational institutions and the barriers that prohibit a historical country like Iraq from growing globally in education. The rich area between the Tigris and Euphrates inspired the wheel, grain crops, and cursive lettering. Mesopotamia was the origin of civilisation, and today's Iraqis are descendants of the Sumerians, Babylonians, Assyrians, and Arabs. Arabs, Kurds, Jews, Muslims, and Christians have lived in the land since Alexander the Great, and it has been a battlefield. It was a Turkish-ruled Ottoman province when the British administration identified its promise in the late 19th century. The British saw Mesopotamia's promise as military and economic for India, their imperial frontier. British economic interests built Basra in the south as a Gulf port with shipping and commerce linkages to the Far East by 1914.  A British mandate defined Iraq's borders, governmental structure, and economic trajectory following World War I, ending centuries of Ottoman authority. British colonialism imposed a Hashemite monarchy, created a Sunni-dominated political elite, and prioritised oil extraction, which led to decades of political instability, sectarian tensions, and military power in Iraq (History and Policy, n.d.). Similarly, following the 2003 US-led invasion, external powers once again shaped Iraq’s political and institutional landscape. From a postcolonial perspective, the use of Western educational theories, which is often pushed by international reform efforts, can be seen as a type of cultural imperialism. These models typically fail to consider Iraq's unique historical, linguistic, and social-political environment. </w:t>
      </w:r>
    </w:p>
    <w:p w:rsidR="6848D6EE" w:rsidP="50FF6E60" w:rsidRDefault="6848D6EE" w14:paraId="0F65D84B" w14:textId="53DB2415">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Prolonged conflict and inadequate funding in Iraq have decimated the previously exceptional education system in the region, severely restricting Iraqi children's access to quality education. The persistent disruption of education in Iraq threatens both individual opportunities and the nation's long-term social and economic stability. Currently, around 3.2 million school-aged children in Iraq are not enrolled in school. The situation is particularly alarming in conflict-affected governorates, such as Salah al-Din and Diyala, where over 90% of school-age children are excluded from the education system. Nearly 50% of all school-age displaced children, as well as 355,000, are not enrolled in educational institutions. The circumstances are more dire for females, who are under-represented in both primary and secondary education. Children who are not enrolled in school are more likely to experience abuse and exploitation, such as child labour, recruitment by militias, and early marriage. Children and educators went through the trauma of conflict, displacement, and the bereavement of loved ones. This trauma has a persistent psychological effect that influences teaching and learning processes and capabilities. Furthermore, the quantity and proportion of qualified teachers in Iraq have diminished throughout all educational tiers, except for pre-school. In recent years, Iraq has committed less than 6% of its national budget to the education sector, placing it at the lowest rank among Middle Eastern countries (UNICEF, 2018). The deficiency in investment has led to overcrowded classrooms, hazardous school facilities, and inadequate instructional resources. Furthermore, teachers in the Kurdistan Region of Iraq have not been getting their salary consistently since October 2023, resulting in considerable disturbances within the education system. This critical scenario has resulted in over 70,000 teachers quitting teaching and more than 700,000 students abandoning their education. </w:t>
      </w:r>
    </w:p>
    <w:p w:rsidR="6848D6EE" w:rsidP="50FF6E60" w:rsidRDefault="6848D6EE" w14:paraId="7AF5F8D1" w14:textId="6AED3D38">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Millions of children are deprived of educational opportunities. At the beginning of the conflict against the Islamic State of Iraq and Syria (ISIS), a Salafi jihadist militant group fighting a U.S.-led coalition, the Iraqi government substantially reduced or eliminated support for 5.2 million children, as reported by the Norwegian Council for the Displaced. The Norwegian organisation reports that, despite Iraq's strong economic conditions, its schools function in two or three shifts. Each shift accommodates about 650 pupils. The four-year struggle led to the destruction of almost half of the educational infrastructure. In territories governed by IS, children and adolescents were instructed using the IS curriculum, which promoted IS ideology and subjected them to violent and extremist material. Numerous families in IS-controlled regions have chosen to withdraw their children from school to safeguard them from radicalisation. Furthermore, many children born or living in IS-controlled regions between 2014 and 2017 lack essential civic documentation. In 2019, over 460,000 children lacked national identity cards, which are requisite for accessing basic services. </w:t>
      </w:r>
    </w:p>
    <w:p w:rsidR="6848D6EE" w:rsidP="50FF6E60" w:rsidRDefault="6848D6EE" w14:paraId="00DF66E4" w14:textId="6446D640">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Since 2023, 770,000 displaced children have resided in hazardous circumstances, frequently in improvised shelters. Conflict and instability have displaced many young people from their families, significantly undermining their access to education. Although the legal requirement exists, individuals lack access to schools, teachers, and educational resources. The Iraqi government's neglect of UN recommendations has intensified the crisis. These proposals especially apply to the educational requirements of internally displaced individuals within the nation. The UN requested cash to aid the education of underprivileged children, although the Iraqi government allocated about $17.5 million of the $35 million requested. </w:t>
      </w:r>
    </w:p>
    <w:p w:rsidR="6848D6EE" w:rsidP="50FF6E60" w:rsidRDefault="6848D6EE" w14:paraId="541F0C9C" w14:textId="1025077F">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Individual children who have lived through conflict and displacement have witnessed violence and potentially experienced traumatic events, whether in Syria or Iraq. For example, a mental health and psychosocial support (MHPSS) survey conducted in Kirkuk in 2019 found several signs of distress among adolescents, such as fears, worrying, depression, stress, tiredness and aggressiveness, sadness, and moodiness (Save the Children, 2019). Their parents might also display the same or additional symptoms, pointing to household-wide needs for psychosocial support in specific households (Save the Children, 2019).  Family and society dynamics, along with pre-established gender roles at the community and household level, have historically limited girls’ access to education, their perceived and actual insecurity on the way to school, and the low quality of teaching and education infrastructure, especially in remote areas (ACAPS, 2020).  </w:t>
      </w:r>
    </w:p>
    <w:p w:rsidR="6848D6EE" w:rsidP="50FF6E60" w:rsidRDefault="6848D6EE" w14:paraId="4D0FCBFE" w14:textId="461B42D1">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The 2018 MICS showed a positive trend in terms of attendance, with 93% of boys compared to 90% of girls of primary school age enrolled in school. The net attendance ratio is the same for both girls and boys in lower secondary school (58%), while in the upper secondary stage slightly more girls are attending than boys (35% vs 31%) (MICS, 2019). While girls’ enrolment rates have grown, data from 2017 and 2018 show they have higher school cutoff rates compared to boys (MICS, 2019; UNICEF, 2018). Lower attendance and completion rates, especially at the primary level, have a long-term impact on girls’ access to preferred professional careers, as well as on higher wages, which are related to higher levels of education. Girls and women in Iraq are less likely to successfully make up for lost years of education with work experience compared to their male peers (UNICEF 2018). Adding to these pre-existing challenges, girls run the risk of taking on additional caregiving responsibilities during the pandemic with a subsequent reduction of time and energy spent on learning (CARE, 2020).  In addition, some family and community members believe that the education of their disabled children, especially girls, is a lower priority because there are fewer job opportunities available once they finish school. These findings might be one reason why more than half of people surveyed with disabilities over the age of 17 had not completed primary school (ACAPS, 2020).  </w:t>
      </w:r>
    </w:p>
    <w:p w:rsidR="6848D6EE" w:rsidP="50FF6E60" w:rsidRDefault="6848D6EE" w14:paraId="4B60CA15" w14:textId="31E9B1C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Iraqi education unions have been the most vocal about the need for the government to spend more money on public education to deal with these problems. The government recently decided to hire more than 300,000 more teachers in the public sector because they continued to argue for it. In Iraq, the Go Public! Fund Education campaign officially started in September 2023. A group from Education International went to Baghdad to meet with the president and prime minister, as well as the Iraqi Teachers' Unions and EI member groups in Arab countries. On May 6 and 7, 2024, Education International, the Iraq Teachers Union (ITU), and the Kurdistan Teachers Union (KTU) held a planning session in Baghdad. The goal was to gather together essential union members to come up with more plans for the Go Public! Fund Education campaign. The Go Public! Fund Education campaign from Education International pushes for policies that make sure public education around the world has enough money and resources. The campaign's goal is to create fair and democratic societies where every child has access to a good education. It does this by saying that investing in education means investing in the future. The UN High-Level Panel on the Teaching Profession also says that countries should put teachers first when it comes to spending money. This means better training for teachers, more pay, and chances for professional growth, all of which are necessary for building a good education system (Education International, 2024). </w:t>
      </w:r>
    </w:p>
    <w:p w:rsidR="6848D6EE" w:rsidP="50FF6E60" w:rsidRDefault="6848D6EE" w14:paraId="610F151F" w14:textId="78114997">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With funding from the World Bank under the Iraq Emergency Operation for Development project (EODP), the Ministry of Education has rebuilt 26 schools between 2020 and 2023, providing over 10,000 children with new learning spaces. In addition, more than 5,000 teachers and counsellors have been trained in foundational literacy and numeracy skills and psycho-social support using an innovative cascade training model. As of 2023, this novel teacher training programme has been implemented in eight governorates and is being evaluated for national scale-up.  The project is also helping the Ministry of Education to set up digital infrastructure and streamline education data collection, which improves monitoring and evaluation of the education system. Overall, an estimated 135,000 students and over 5,000 educators benefited from project activities (World Bank, 2024). While international aid initiatives have contributed to rebuilding infrastructure and improving access to education in Iraq, critics argue that aid-driven reforms often prioritise donor agendas, short-term targets, and measurable outputs over locally grounded, long-term educational transformation. </w:t>
      </w:r>
    </w:p>
    <w:p w:rsidR="6848D6EE" w:rsidP="50FF6E60" w:rsidRDefault="6848D6EE" w14:paraId="63D0AABE" w14:textId="005B6A25">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This essay has carefully analysed the global barriers to educational access, using Iraq as a case study, and has shown how violence, displacement, gender disparity, ineffective governance, and persistent underinvestment converge to impede children's right to decent education. The findings indicate that educational inequality in Iraq is systemic rather than coincidental, with girls, displaced children, and children with disabilities being disproportionately disadvantaged despite the presence of robust international human rights frameworks such as the UDHR, UNCRC, and the Sustainable Development Goals. The continuing disparity between global commitments and local realities highlights the shortcomings of policy frameworks lacking good governance, sufficient resources, and contextual awareness.</w:t>
      </w:r>
      <w:r>
        <w:br/>
      </w:r>
      <w:r w:rsidRPr="50FF6E60" w:rsidR="6848D6EE">
        <w:rPr>
          <w:rFonts w:ascii="Aptos Display" w:hAnsi="Aptos Display" w:eastAsia="Aptos Display" w:cs="Aptos Display"/>
          <w:noProof w:val="0"/>
          <w:sz w:val="24"/>
          <w:szCs w:val="24"/>
          <w:lang w:val="en-GB"/>
        </w:rPr>
        <w:t xml:space="preserve"> </w:t>
      </w:r>
      <w:r>
        <w:br/>
      </w:r>
      <w:r w:rsidRPr="50FF6E60" w:rsidR="6848D6EE">
        <w:rPr>
          <w:rFonts w:ascii="Aptos Display" w:hAnsi="Aptos Display" w:eastAsia="Aptos Display" w:cs="Aptos Display"/>
          <w:noProof w:val="0"/>
          <w:sz w:val="24"/>
          <w:szCs w:val="24"/>
          <w:lang w:val="en-GB"/>
        </w:rPr>
        <w:t xml:space="preserve">The analysis indicates that although international organisations and assistance projects have aided in reconstructing educational infrastructure and enhancing access, these efforts frequently lack longevity and are driven by funding sources, which raises issues about sustainability and national ownership. The continuous disruption of education in Iraq not only jeopardises individual opportunities but also undermines long-term social cohesion, economic progress, and peacebuilding efforts, particularly from a sustainability standpoint. This essay advocates for a shift towards long-term, rights-based, and gender-sensitive educational reform that prioritises national ownership and considers local contexts to effectively address these challenges. Sustained investment in teachers, inclusive facilities, and trauma-informed pedagogy is essential for rebuilding trust in the educational system and providing effective support to vulnerable students. Moreover, incorporating Education for Sustainable Development into national curricula helps enhance resilience and foster social and environmental accountability. In conclusion, achieving fair and sustainable global education requires moving beyond legal obligations and short-term aid to implement transformative, context-specific governance and investment strategies. </w:t>
      </w:r>
    </w:p>
    <w:p w:rsidR="6848D6EE" w:rsidP="50FF6E60" w:rsidRDefault="6848D6EE" w14:paraId="3C2D693D" w14:textId="12F7D166">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64E3E2E3" w14:textId="57B79CCD">
      <w:pPr>
        <w:spacing w:before="240" w:beforeAutospacing="off" w:after="240" w:afterAutospacing="off"/>
        <w:jc w:val="both"/>
        <w:rPr>
          <w:rFonts w:ascii="Aptos Display" w:hAnsi="Aptos Display" w:eastAsia="Aptos Display" w:cs="Aptos Display"/>
          <w:b w:val="1"/>
          <w:bCs w:val="1"/>
          <w:noProof w:val="0"/>
          <w:sz w:val="24"/>
          <w:szCs w:val="24"/>
          <w:lang w:val="en-GB"/>
        </w:rPr>
      </w:pPr>
      <w:r w:rsidRPr="50FF6E60" w:rsidR="6848D6EE">
        <w:rPr>
          <w:rFonts w:ascii="Aptos Display" w:hAnsi="Aptos Display" w:eastAsia="Aptos Display" w:cs="Aptos Display"/>
          <w:b w:val="1"/>
          <w:bCs w:val="1"/>
          <w:noProof w:val="0"/>
          <w:sz w:val="24"/>
          <w:szCs w:val="24"/>
          <w:lang w:val="en-GB"/>
        </w:rPr>
        <w:t xml:space="preserve">Reference list: </w:t>
      </w:r>
    </w:p>
    <w:p w:rsidR="6848D6EE" w:rsidP="50FF6E60" w:rsidRDefault="6848D6EE" w14:paraId="19DAD50D" w14:textId="36ED8B6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ACAPS (2020). </w:t>
      </w:r>
      <w:r w:rsidRPr="50FF6E60" w:rsidR="6848D6EE">
        <w:rPr>
          <w:rFonts w:ascii="Aptos Display" w:hAnsi="Aptos Display" w:eastAsia="Aptos Display" w:cs="Aptos Display"/>
          <w:i w:val="1"/>
          <w:iCs w:val="1"/>
          <w:noProof w:val="0"/>
          <w:sz w:val="24"/>
          <w:szCs w:val="24"/>
          <w:lang w:val="en-GB"/>
        </w:rPr>
        <w:t>Education in Iraq: Thematic report</w:t>
      </w:r>
      <w:r w:rsidRPr="50FF6E60" w:rsidR="6848D6EE">
        <w:rPr>
          <w:rFonts w:ascii="Aptos Display" w:hAnsi="Aptos Display" w:eastAsia="Aptos Display" w:cs="Aptos Display"/>
          <w:noProof w:val="0"/>
          <w:sz w:val="24"/>
          <w:szCs w:val="24"/>
          <w:lang w:val="en-GB"/>
        </w:rPr>
        <w:t xml:space="preserve">. Geneva: ACAPS. Available at: </w:t>
      </w:r>
      <w:hyperlink r:id="R3beb4a95d27247c0">
        <w:r w:rsidRPr="50FF6E60" w:rsidR="6848D6EE">
          <w:rPr>
            <w:rStyle w:val="Hyperlink"/>
            <w:rFonts w:ascii="Aptos Display" w:hAnsi="Aptos Display" w:eastAsia="Aptos Display" w:cs="Aptos Display"/>
            <w:noProof w:val="0"/>
            <w:sz w:val="24"/>
            <w:szCs w:val="24"/>
            <w:u w:val="single"/>
            <w:lang w:val="en-GB"/>
          </w:rPr>
          <w:t>https://www.acaps.org/fileadmin/Data_Product/Main_media/20201109_acaps_thematic_report_on_education_in_iraq.pdf</w:t>
        </w:r>
      </w:hyperlink>
      <w:r w:rsidRPr="50FF6E60" w:rsidR="6848D6EE">
        <w:rPr>
          <w:rFonts w:ascii="Aptos Display" w:hAnsi="Aptos Display" w:eastAsia="Aptos Display" w:cs="Aptos Display"/>
          <w:noProof w:val="0"/>
          <w:sz w:val="24"/>
          <w:szCs w:val="24"/>
          <w:lang w:val="en-GB"/>
        </w:rPr>
        <w:t xml:space="preserve"> (Accessed: 20 January 2026). </w:t>
      </w:r>
    </w:p>
    <w:p w:rsidR="6848D6EE" w:rsidP="50FF6E60" w:rsidRDefault="6848D6EE" w14:paraId="258C5A8A" w14:textId="2590B6C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BMZ – Federal Ministry for Economic Cooperation and Development (n.d.) </w:t>
      </w:r>
      <w:r w:rsidRPr="50FF6E60" w:rsidR="6848D6EE">
        <w:rPr>
          <w:rFonts w:ascii="Aptos Display" w:hAnsi="Aptos Display" w:eastAsia="Aptos Display" w:cs="Aptos Display"/>
          <w:i w:val="1"/>
          <w:iCs w:val="1"/>
          <w:noProof w:val="0"/>
          <w:sz w:val="24"/>
          <w:szCs w:val="24"/>
          <w:lang w:val="en-GB"/>
        </w:rPr>
        <w:t>Education in developing countries</w:t>
      </w:r>
      <w:r w:rsidRPr="50FF6E60" w:rsidR="6848D6EE">
        <w:rPr>
          <w:rFonts w:ascii="Aptos Display" w:hAnsi="Aptos Display" w:eastAsia="Aptos Display" w:cs="Aptos Display"/>
          <w:noProof w:val="0"/>
          <w:sz w:val="24"/>
          <w:szCs w:val="24"/>
          <w:lang w:val="en-GB"/>
        </w:rPr>
        <w:t xml:space="preserve">. Available at: </w:t>
      </w:r>
      <w:hyperlink r:id="Rfb0435222289400b">
        <w:r w:rsidRPr="50FF6E60" w:rsidR="6848D6EE">
          <w:rPr>
            <w:rStyle w:val="Hyperlink"/>
            <w:rFonts w:ascii="Aptos Display" w:hAnsi="Aptos Display" w:eastAsia="Aptos Display" w:cs="Aptos Display"/>
            <w:noProof w:val="0"/>
            <w:sz w:val="24"/>
            <w:szCs w:val="24"/>
            <w:u w:val="single"/>
            <w:lang w:val="en-GB"/>
          </w:rPr>
          <w:t>https://www.bmz.de/en/issues/education-a-human-right/education-in-developing-countries-197598</w:t>
        </w:r>
      </w:hyperlink>
      <w:r w:rsidRPr="50FF6E60" w:rsidR="6848D6EE">
        <w:rPr>
          <w:rFonts w:ascii="Aptos Display" w:hAnsi="Aptos Display" w:eastAsia="Aptos Display" w:cs="Aptos Display"/>
          <w:noProof w:val="0"/>
          <w:sz w:val="24"/>
          <w:szCs w:val="24"/>
          <w:lang w:val="en-GB"/>
        </w:rPr>
        <w:t xml:space="preserve"> (Accessed: 20 January 2026). </w:t>
      </w:r>
    </w:p>
    <w:p w:rsidR="6848D6EE" w:rsidP="50FF6E60" w:rsidRDefault="6848D6EE" w14:paraId="594CADD1" w14:textId="0D15C21E">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CARE (2020). </w:t>
      </w:r>
      <w:r w:rsidRPr="50FF6E60" w:rsidR="6848D6EE">
        <w:rPr>
          <w:rFonts w:ascii="Aptos Display" w:hAnsi="Aptos Display" w:eastAsia="Aptos Display" w:cs="Aptos Display"/>
          <w:i w:val="1"/>
          <w:iCs w:val="1"/>
          <w:noProof w:val="0"/>
          <w:sz w:val="24"/>
          <w:szCs w:val="24"/>
          <w:lang w:val="en-GB"/>
        </w:rPr>
        <w:t>Gender and education in crisis contexts</w:t>
      </w:r>
      <w:r w:rsidRPr="50FF6E60" w:rsidR="6848D6EE">
        <w:rPr>
          <w:rFonts w:ascii="Aptos Display" w:hAnsi="Aptos Display" w:eastAsia="Aptos Display" w:cs="Aptos Display"/>
          <w:noProof w:val="0"/>
          <w:sz w:val="24"/>
          <w:szCs w:val="24"/>
          <w:lang w:val="en-GB"/>
        </w:rPr>
        <w:t xml:space="preserve">. Available at: </w:t>
      </w:r>
      <w:hyperlink r:id="Rc893b891d71142dc">
        <w:r w:rsidRPr="50FF6E60" w:rsidR="6848D6EE">
          <w:rPr>
            <w:rStyle w:val="Hyperlink"/>
            <w:rFonts w:ascii="Aptos Display" w:hAnsi="Aptos Display" w:eastAsia="Aptos Display" w:cs="Aptos Display"/>
            <w:noProof w:val="0"/>
            <w:sz w:val="24"/>
            <w:szCs w:val="24"/>
            <w:u w:val="single"/>
            <w:lang w:val="en-GB"/>
          </w:rPr>
          <w:t>https://www.care.org</w:t>
        </w:r>
      </w:hyperlink>
      <w:r w:rsidRPr="50FF6E60" w:rsidR="6848D6EE">
        <w:rPr>
          <w:rFonts w:ascii="Aptos Display" w:hAnsi="Aptos Display" w:eastAsia="Aptos Display" w:cs="Aptos Display"/>
          <w:noProof w:val="0"/>
          <w:sz w:val="24"/>
          <w:szCs w:val="24"/>
          <w:lang w:val="en-GB"/>
        </w:rPr>
        <w:t xml:space="preserve"> (Accessed: 30 January 2026). </w:t>
      </w:r>
    </w:p>
    <w:p w:rsidR="6848D6EE" w:rsidP="50FF6E60" w:rsidRDefault="6848D6EE" w14:paraId="3EB60985" w14:textId="2C905C71">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Education International (2024) </w:t>
      </w:r>
      <w:r w:rsidRPr="50FF6E60" w:rsidR="6848D6EE">
        <w:rPr>
          <w:rFonts w:ascii="Aptos Display" w:hAnsi="Aptos Display" w:eastAsia="Aptos Display" w:cs="Aptos Display"/>
          <w:i w:val="1"/>
          <w:iCs w:val="1"/>
          <w:noProof w:val="0"/>
          <w:sz w:val="24"/>
          <w:szCs w:val="24"/>
          <w:lang w:val="en-GB"/>
        </w:rPr>
        <w:t>Go public! Strengthening Iraq’s public education system</w:t>
      </w:r>
      <w:r w:rsidRPr="50FF6E60" w:rsidR="6848D6EE">
        <w:rPr>
          <w:rFonts w:ascii="Aptos Display" w:hAnsi="Aptos Display" w:eastAsia="Aptos Display" w:cs="Aptos Display"/>
          <w:noProof w:val="0"/>
          <w:sz w:val="24"/>
          <w:szCs w:val="24"/>
          <w:lang w:val="en-GB"/>
        </w:rPr>
        <w:t xml:space="preserve">. Available at: </w:t>
      </w:r>
      <w:hyperlink r:id="R9479843c91044b89">
        <w:r w:rsidRPr="50FF6E60" w:rsidR="6848D6EE">
          <w:rPr>
            <w:rStyle w:val="Hyperlink"/>
            <w:rFonts w:ascii="Aptos Display" w:hAnsi="Aptos Display" w:eastAsia="Aptos Display" w:cs="Aptos Display"/>
            <w:noProof w:val="0"/>
            <w:sz w:val="24"/>
            <w:szCs w:val="24"/>
            <w:u w:val="single"/>
            <w:lang w:val="en-GB"/>
          </w:rPr>
          <w:t>https://www.ei-ie.org/en/item/28658:go-public-strengthening-iraqs-public-education-system</w:t>
        </w:r>
      </w:hyperlink>
      <w:r w:rsidRPr="50FF6E60" w:rsidR="6848D6EE">
        <w:rPr>
          <w:rFonts w:ascii="Aptos Display" w:hAnsi="Aptos Display" w:eastAsia="Aptos Display" w:cs="Aptos Display"/>
          <w:noProof w:val="0"/>
          <w:sz w:val="24"/>
          <w:szCs w:val="24"/>
          <w:lang w:val="en-GB"/>
        </w:rPr>
        <w:t xml:space="preserve"> (Accessed: 10 January 2026). </w:t>
      </w:r>
    </w:p>
    <w:p w:rsidR="6848D6EE" w:rsidP="50FF6E60" w:rsidRDefault="6848D6EE" w14:paraId="6643FE7B" w14:textId="38E55133">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Ekundayo, O. (2015) ‘Does the African Charter on the Rights and Welfare of the Child (ACRWC) only underline and repeat the Convention on the Rights of the Child (CRC)’s provisions? Examining the similarities and the differences between the ACRWC and the CRC’, </w:t>
      </w:r>
      <w:r w:rsidRPr="50FF6E60" w:rsidR="6848D6EE">
        <w:rPr>
          <w:rFonts w:ascii="Aptos Display" w:hAnsi="Aptos Display" w:eastAsia="Aptos Display" w:cs="Aptos Display"/>
          <w:i w:val="1"/>
          <w:iCs w:val="1"/>
          <w:noProof w:val="0"/>
          <w:sz w:val="24"/>
          <w:szCs w:val="24"/>
          <w:lang w:val="en-GB"/>
        </w:rPr>
        <w:t>International Journal of Humanities and Social Science</w:t>
      </w:r>
      <w:r w:rsidRPr="50FF6E60" w:rsidR="6848D6EE">
        <w:rPr>
          <w:rFonts w:ascii="Aptos Display" w:hAnsi="Aptos Display" w:eastAsia="Aptos Display" w:cs="Aptos Display"/>
          <w:noProof w:val="0"/>
          <w:sz w:val="24"/>
          <w:szCs w:val="24"/>
          <w:lang w:val="en-GB"/>
        </w:rPr>
        <w:t xml:space="preserve">, 5(7), pp. 125–134. Available at: </w:t>
      </w:r>
      <w:hyperlink r:id="R2a8aa8166a614238">
        <w:r w:rsidRPr="50FF6E60" w:rsidR="6848D6EE">
          <w:rPr>
            <w:rStyle w:val="Hyperlink"/>
            <w:rFonts w:ascii="Aptos Display" w:hAnsi="Aptos Display" w:eastAsia="Aptos Display" w:cs="Aptos Display"/>
            <w:noProof w:val="0"/>
            <w:sz w:val="24"/>
            <w:szCs w:val="24"/>
            <w:u w:val="single"/>
            <w:lang w:val="en-GB"/>
          </w:rPr>
          <w:t>https://ijhss.thebrpi.org/journals/Vol_5_No_7_1_July_2015/17.pdf</w:t>
        </w:r>
      </w:hyperlink>
      <w:r w:rsidRPr="50FF6E60" w:rsidR="6848D6EE">
        <w:rPr>
          <w:rFonts w:ascii="Aptos Display" w:hAnsi="Aptos Display" w:eastAsia="Aptos Display" w:cs="Aptos Display"/>
          <w:noProof w:val="0"/>
          <w:sz w:val="24"/>
          <w:szCs w:val="24"/>
          <w:lang w:val="en-GB"/>
        </w:rPr>
        <w:t xml:space="preserve"> (Accessed: 09 January 2026). </w:t>
      </w:r>
    </w:p>
    <w:p w:rsidR="6848D6EE" w:rsidP="50FF6E60" w:rsidRDefault="6848D6EE" w14:paraId="42FAC591" w14:textId="0B84FFC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Fennell, S. and Arnot, M. (eds.) (2008) </w:t>
      </w:r>
      <w:r w:rsidRPr="50FF6E60" w:rsidR="6848D6EE">
        <w:rPr>
          <w:rFonts w:ascii="Aptos Display" w:hAnsi="Aptos Display" w:eastAsia="Aptos Display" w:cs="Aptos Display"/>
          <w:i w:val="1"/>
          <w:iCs w:val="1"/>
          <w:noProof w:val="0"/>
          <w:sz w:val="24"/>
          <w:szCs w:val="24"/>
          <w:lang w:val="en-GB"/>
        </w:rPr>
        <w:t>Gender, education and equality in a global context</w:t>
      </w:r>
      <w:r w:rsidRPr="50FF6E60" w:rsidR="6848D6EE">
        <w:rPr>
          <w:rFonts w:ascii="Aptos Display" w:hAnsi="Aptos Display" w:eastAsia="Aptos Display" w:cs="Aptos Display"/>
          <w:noProof w:val="0"/>
          <w:sz w:val="24"/>
          <w:szCs w:val="24"/>
          <w:lang w:val="en-GB"/>
        </w:rPr>
        <w:t xml:space="preserve">. London: Routledge. </w:t>
      </w:r>
    </w:p>
    <w:p w:rsidR="6848D6EE" w:rsidP="50FF6E60" w:rsidRDefault="6848D6EE" w14:paraId="1EDDF465" w14:textId="25EF148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History &amp; Policy (n.d.) </w:t>
      </w:r>
      <w:r w:rsidRPr="50FF6E60" w:rsidR="6848D6EE">
        <w:rPr>
          <w:rFonts w:ascii="Aptos Display" w:hAnsi="Aptos Display" w:eastAsia="Aptos Display" w:cs="Aptos Display"/>
          <w:i w:val="1"/>
          <w:iCs w:val="1"/>
          <w:noProof w:val="0"/>
          <w:sz w:val="24"/>
          <w:szCs w:val="24"/>
          <w:lang w:val="en-GB"/>
        </w:rPr>
        <w:t>Iraq: past, present and future – a thoroughly modern mandate</w:t>
      </w:r>
      <w:r w:rsidRPr="50FF6E60" w:rsidR="6848D6EE">
        <w:rPr>
          <w:rFonts w:ascii="Aptos Display" w:hAnsi="Aptos Display" w:eastAsia="Aptos Display" w:cs="Aptos Display"/>
          <w:noProof w:val="0"/>
          <w:sz w:val="24"/>
          <w:szCs w:val="24"/>
          <w:lang w:val="en-GB"/>
        </w:rPr>
        <w:t xml:space="preserve">. Available at: </w:t>
      </w:r>
      <w:hyperlink r:id="Rbf329dca83d34e40">
        <w:r w:rsidRPr="50FF6E60" w:rsidR="6848D6EE">
          <w:rPr>
            <w:rStyle w:val="Hyperlink"/>
            <w:rFonts w:ascii="Aptos Display" w:hAnsi="Aptos Display" w:eastAsia="Aptos Display" w:cs="Aptos Display"/>
            <w:noProof w:val="0"/>
            <w:sz w:val="24"/>
            <w:szCs w:val="24"/>
            <w:u w:val="single"/>
            <w:lang w:val="en-GB"/>
          </w:rPr>
          <w:t>https://historyandpolicy.org/policy-papers/papers/iraq-past-present-and-future-a-thoroughly-modern-mandate/</w:t>
        </w:r>
      </w:hyperlink>
      <w:r w:rsidRPr="50FF6E60" w:rsidR="6848D6EE">
        <w:rPr>
          <w:rFonts w:ascii="Aptos Display" w:hAnsi="Aptos Display" w:eastAsia="Aptos Display" w:cs="Aptos Display"/>
          <w:noProof w:val="0"/>
          <w:sz w:val="24"/>
          <w:szCs w:val="24"/>
          <w:lang w:val="en-GB"/>
        </w:rPr>
        <w:t xml:space="preserve"> (Accessed: 22 January 2026). </w:t>
      </w:r>
    </w:p>
    <w:p w:rsidR="6848D6EE" w:rsidP="50FF6E60" w:rsidRDefault="6848D6EE" w14:paraId="27563732" w14:textId="4803849A">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International Monetary Fund (2018) </w:t>
      </w:r>
      <w:r w:rsidRPr="50FF6E60" w:rsidR="6848D6EE">
        <w:rPr>
          <w:rFonts w:ascii="Aptos Display" w:hAnsi="Aptos Display" w:eastAsia="Aptos Display" w:cs="Aptos Display"/>
          <w:i w:val="1"/>
          <w:iCs w:val="1"/>
          <w:noProof w:val="0"/>
          <w:sz w:val="24"/>
          <w:szCs w:val="24"/>
          <w:lang w:val="en-GB"/>
        </w:rPr>
        <w:t>Globalisation: A brief overview</w:t>
      </w:r>
      <w:r w:rsidRPr="50FF6E60" w:rsidR="6848D6EE">
        <w:rPr>
          <w:rFonts w:ascii="Aptos Display" w:hAnsi="Aptos Display" w:eastAsia="Aptos Display" w:cs="Aptos Display"/>
          <w:noProof w:val="0"/>
          <w:sz w:val="24"/>
          <w:szCs w:val="24"/>
          <w:lang w:val="en-GB"/>
        </w:rPr>
        <w:t xml:space="preserve">. Available at: </w:t>
      </w:r>
      <w:hyperlink r:id="R9a9c4dd5b60d4942">
        <w:r w:rsidRPr="50FF6E60" w:rsidR="6848D6EE">
          <w:rPr>
            <w:rStyle w:val="Hyperlink"/>
            <w:rFonts w:ascii="Aptos Display" w:hAnsi="Aptos Display" w:eastAsia="Aptos Display" w:cs="Aptos Display"/>
            <w:noProof w:val="0"/>
            <w:sz w:val="24"/>
            <w:szCs w:val="24"/>
            <w:u w:val="single"/>
            <w:lang w:val="en-GB"/>
          </w:rPr>
          <w:t>https://www.imf.org/en/Publications/fandd/issues/Series/Back-to-Basics/Globalization</w:t>
        </w:r>
      </w:hyperlink>
      <w:r w:rsidRPr="50FF6E60" w:rsidR="6848D6EE">
        <w:rPr>
          <w:rFonts w:ascii="Aptos Display" w:hAnsi="Aptos Display" w:eastAsia="Aptos Display" w:cs="Aptos Display"/>
          <w:noProof w:val="0"/>
          <w:sz w:val="24"/>
          <w:szCs w:val="24"/>
          <w:lang w:val="en-GB"/>
        </w:rPr>
        <w:t xml:space="preserve"> (Accessed: 20 January 2026). </w:t>
      </w:r>
    </w:p>
    <w:p w:rsidR="6848D6EE" w:rsidP="50FF6E60" w:rsidRDefault="6848D6EE" w14:paraId="633FE97B" w14:textId="361DDF3A">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Participate Learning (n.d.). </w:t>
      </w:r>
      <w:r w:rsidRPr="50FF6E60" w:rsidR="6848D6EE">
        <w:rPr>
          <w:rFonts w:ascii="Aptos Display" w:hAnsi="Aptos Display" w:eastAsia="Aptos Display" w:cs="Aptos Display"/>
          <w:i w:val="1"/>
          <w:iCs w:val="1"/>
          <w:noProof w:val="0"/>
          <w:sz w:val="24"/>
          <w:szCs w:val="24"/>
          <w:lang w:val="en-GB"/>
        </w:rPr>
        <w:t>What are the benefits of global education for students?</w:t>
      </w:r>
      <w:r w:rsidRPr="50FF6E60" w:rsidR="6848D6EE">
        <w:rPr>
          <w:rFonts w:ascii="Aptos Display" w:hAnsi="Aptos Display" w:eastAsia="Aptos Display" w:cs="Aptos Display"/>
          <w:noProof w:val="0"/>
          <w:sz w:val="24"/>
          <w:szCs w:val="24"/>
          <w:lang w:val="en-GB"/>
        </w:rPr>
        <w:t xml:space="preserve"> Available at: </w:t>
      </w:r>
      <w:hyperlink r:id="R93fd945dd58d4d43">
        <w:r w:rsidRPr="50FF6E60" w:rsidR="6848D6EE">
          <w:rPr>
            <w:rStyle w:val="Hyperlink"/>
            <w:rFonts w:ascii="Aptos Display" w:hAnsi="Aptos Display" w:eastAsia="Aptos Display" w:cs="Aptos Display"/>
            <w:noProof w:val="0"/>
            <w:sz w:val="24"/>
            <w:szCs w:val="24"/>
            <w:u w:val="single"/>
            <w:lang w:val="en-GB"/>
          </w:rPr>
          <w:t>https://www.participatelearning.com/blog/benefits-global-education-students/</w:t>
        </w:r>
      </w:hyperlink>
      <w:r w:rsidRPr="50FF6E60" w:rsidR="6848D6EE">
        <w:rPr>
          <w:rFonts w:ascii="Aptos Display" w:hAnsi="Aptos Display" w:eastAsia="Aptos Display" w:cs="Aptos Display"/>
          <w:noProof w:val="0"/>
          <w:sz w:val="24"/>
          <w:szCs w:val="24"/>
          <w:lang w:val="en-GB"/>
        </w:rPr>
        <w:t xml:space="preserve"> (Accessed: 23 January 2026). </w:t>
      </w:r>
    </w:p>
    <w:p w:rsidR="6848D6EE" w:rsidP="50FF6E60" w:rsidRDefault="6848D6EE" w14:paraId="1D8D01EF" w14:textId="6BBD83E6">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Peterson Institute for International Economics (n.d.). </w:t>
      </w:r>
      <w:r w:rsidRPr="50FF6E60" w:rsidR="6848D6EE">
        <w:rPr>
          <w:rFonts w:ascii="Aptos Display" w:hAnsi="Aptos Display" w:eastAsia="Aptos Display" w:cs="Aptos Display"/>
          <w:i w:val="1"/>
          <w:iCs w:val="1"/>
          <w:noProof w:val="0"/>
          <w:sz w:val="24"/>
          <w:szCs w:val="24"/>
          <w:lang w:val="en-GB"/>
        </w:rPr>
        <w:t>What is globalisation?</w:t>
      </w:r>
      <w:r w:rsidRPr="50FF6E60" w:rsidR="6848D6EE">
        <w:rPr>
          <w:rFonts w:ascii="Aptos Display" w:hAnsi="Aptos Display" w:eastAsia="Aptos Display" w:cs="Aptos Display"/>
          <w:noProof w:val="0"/>
          <w:sz w:val="24"/>
          <w:szCs w:val="24"/>
          <w:lang w:val="en-GB"/>
        </w:rPr>
        <w:t xml:space="preserve"> Available at: </w:t>
      </w:r>
      <w:hyperlink r:id="Rcf776a1153084178">
        <w:r w:rsidRPr="50FF6E60" w:rsidR="6848D6EE">
          <w:rPr>
            <w:rStyle w:val="Hyperlink"/>
            <w:rFonts w:ascii="Aptos Display" w:hAnsi="Aptos Display" w:eastAsia="Aptos Display" w:cs="Aptos Display"/>
            <w:noProof w:val="0"/>
            <w:sz w:val="24"/>
            <w:szCs w:val="24"/>
            <w:u w:val="single"/>
            <w:lang w:val="en-GB"/>
          </w:rPr>
          <w:t>https://www.piie.com/microsites/globalization/what-is-globalization</w:t>
        </w:r>
      </w:hyperlink>
      <w:r w:rsidRPr="50FF6E60" w:rsidR="6848D6EE">
        <w:rPr>
          <w:rFonts w:ascii="Aptos Display" w:hAnsi="Aptos Display" w:eastAsia="Aptos Display" w:cs="Aptos Display"/>
          <w:noProof w:val="0"/>
          <w:sz w:val="24"/>
          <w:szCs w:val="24"/>
          <w:lang w:val="en-GB"/>
        </w:rPr>
        <w:t xml:space="preserve"> (Accessed: 10 January 2026). </w:t>
      </w:r>
    </w:p>
    <w:p w:rsidR="6848D6EE" w:rsidP="50FF6E60" w:rsidRDefault="6848D6EE" w14:paraId="771A8658" w14:textId="72689CC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CARE (2020). </w:t>
      </w:r>
      <w:r w:rsidRPr="50FF6E60" w:rsidR="6848D6EE">
        <w:rPr>
          <w:rFonts w:ascii="Aptos Display" w:hAnsi="Aptos Display" w:eastAsia="Aptos Display" w:cs="Aptos Display"/>
          <w:i w:val="1"/>
          <w:iCs w:val="1"/>
          <w:noProof w:val="0"/>
          <w:sz w:val="24"/>
          <w:szCs w:val="24"/>
          <w:lang w:val="en-GB"/>
        </w:rPr>
        <w:t>Gender and education in crisis contexts</w:t>
      </w:r>
      <w:r w:rsidRPr="50FF6E60" w:rsidR="6848D6EE">
        <w:rPr>
          <w:rFonts w:ascii="Aptos Display" w:hAnsi="Aptos Display" w:eastAsia="Aptos Display" w:cs="Aptos Display"/>
          <w:noProof w:val="0"/>
          <w:sz w:val="24"/>
          <w:szCs w:val="24"/>
          <w:lang w:val="en-GB"/>
        </w:rPr>
        <w:t xml:space="preserve">. Available at: </w:t>
      </w:r>
      <w:hyperlink r:id="Rf0cac1e8fea24845">
        <w:r w:rsidRPr="50FF6E60" w:rsidR="6848D6EE">
          <w:rPr>
            <w:rStyle w:val="Hyperlink"/>
            <w:rFonts w:ascii="Aptos Display" w:hAnsi="Aptos Display" w:eastAsia="Aptos Display" w:cs="Aptos Display"/>
            <w:noProof w:val="0"/>
            <w:sz w:val="24"/>
            <w:szCs w:val="24"/>
            <w:u w:val="single"/>
            <w:lang w:val="en-GB"/>
          </w:rPr>
          <w:t>https://www.care.org</w:t>
        </w:r>
      </w:hyperlink>
      <w:r w:rsidRPr="50FF6E60" w:rsidR="6848D6EE">
        <w:rPr>
          <w:rFonts w:ascii="Aptos Display" w:hAnsi="Aptos Display" w:eastAsia="Aptos Display" w:cs="Aptos Display"/>
          <w:noProof w:val="0"/>
          <w:sz w:val="24"/>
          <w:szCs w:val="24"/>
          <w:lang w:val="en-GB"/>
        </w:rPr>
        <w:t xml:space="preserve"> (Accessed: 25 January 2026). </w:t>
      </w:r>
    </w:p>
    <w:p w:rsidR="6848D6EE" w:rsidP="50FF6E60" w:rsidRDefault="6848D6EE" w14:paraId="43633EEA" w14:textId="6958E245">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SEEd (n.d.). </w:t>
      </w:r>
      <w:r w:rsidRPr="50FF6E60" w:rsidR="6848D6EE">
        <w:rPr>
          <w:rFonts w:ascii="Aptos Display" w:hAnsi="Aptos Display" w:eastAsia="Aptos Display" w:cs="Aptos Display"/>
          <w:i w:val="1"/>
          <w:iCs w:val="1"/>
          <w:noProof w:val="0"/>
          <w:sz w:val="24"/>
          <w:szCs w:val="24"/>
          <w:lang w:val="en-GB"/>
        </w:rPr>
        <w:t>Our history</w:t>
      </w:r>
      <w:r w:rsidRPr="50FF6E60" w:rsidR="6848D6EE">
        <w:rPr>
          <w:rFonts w:ascii="Aptos Display" w:hAnsi="Aptos Display" w:eastAsia="Aptos Display" w:cs="Aptos Display"/>
          <w:noProof w:val="0"/>
          <w:sz w:val="24"/>
          <w:szCs w:val="24"/>
          <w:lang w:val="en-GB"/>
        </w:rPr>
        <w:t xml:space="preserve">. Available at: </w:t>
      </w:r>
      <w:hyperlink r:id="R0f32dc8093324ef8">
        <w:r w:rsidRPr="50FF6E60" w:rsidR="6848D6EE">
          <w:rPr>
            <w:rStyle w:val="Hyperlink"/>
            <w:rFonts w:ascii="Aptos Display" w:hAnsi="Aptos Display" w:eastAsia="Aptos Display" w:cs="Aptos Display"/>
            <w:noProof w:val="0"/>
            <w:sz w:val="24"/>
            <w:szCs w:val="24"/>
            <w:u w:val="single"/>
            <w:lang w:val="en-GB"/>
          </w:rPr>
          <w:t>https://se-ed.org.uk/about-us/our-history/</w:t>
        </w:r>
      </w:hyperlink>
      <w:r w:rsidRPr="50FF6E60" w:rsidR="6848D6EE">
        <w:rPr>
          <w:rFonts w:ascii="Aptos Display" w:hAnsi="Aptos Display" w:eastAsia="Aptos Display" w:cs="Aptos Display"/>
          <w:noProof w:val="0"/>
          <w:sz w:val="24"/>
          <w:szCs w:val="24"/>
          <w:lang w:val="en-GB"/>
        </w:rPr>
        <w:t xml:space="preserve"> (Accessed: 25 January 2026). </w:t>
      </w:r>
    </w:p>
    <w:p w:rsidR="6848D6EE" w:rsidP="50FF6E60" w:rsidRDefault="6848D6EE" w14:paraId="11C196E3" w14:textId="13B1DDE6">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Sustainability Directory (n.d.). </w:t>
      </w:r>
      <w:r w:rsidRPr="50FF6E60" w:rsidR="6848D6EE">
        <w:rPr>
          <w:rFonts w:ascii="Aptos Display" w:hAnsi="Aptos Display" w:eastAsia="Aptos Display" w:cs="Aptos Display"/>
          <w:i w:val="1"/>
          <w:iCs w:val="1"/>
          <w:noProof w:val="0"/>
          <w:sz w:val="24"/>
          <w:szCs w:val="24"/>
          <w:lang w:val="en-GB"/>
        </w:rPr>
        <w:t>Childhood globalisation</w:t>
      </w:r>
      <w:r w:rsidRPr="50FF6E60" w:rsidR="6848D6EE">
        <w:rPr>
          <w:rFonts w:ascii="Aptos Display" w:hAnsi="Aptos Display" w:eastAsia="Aptos Display" w:cs="Aptos Display"/>
          <w:noProof w:val="0"/>
          <w:sz w:val="24"/>
          <w:szCs w:val="24"/>
          <w:lang w:val="en-GB"/>
        </w:rPr>
        <w:t xml:space="preserve">. Available at: </w:t>
      </w:r>
      <w:hyperlink r:id="Rf535d4619dc441d2">
        <w:r w:rsidRPr="50FF6E60" w:rsidR="6848D6EE">
          <w:rPr>
            <w:rStyle w:val="Hyperlink"/>
            <w:rFonts w:ascii="Aptos Display" w:hAnsi="Aptos Display" w:eastAsia="Aptos Display" w:cs="Aptos Display"/>
            <w:noProof w:val="0"/>
            <w:sz w:val="24"/>
            <w:szCs w:val="24"/>
            <w:u w:val="single"/>
            <w:lang w:val="en-GB"/>
          </w:rPr>
          <w:t>https://lifestyle.sustainability-directory.com/area/childhood-globalisation/</w:t>
        </w:r>
      </w:hyperlink>
      <w:r w:rsidRPr="50FF6E60" w:rsidR="6848D6EE">
        <w:rPr>
          <w:rFonts w:ascii="Aptos Display" w:hAnsi="Aptos Display" w:eastAsia="Aptos Display" w:cs="Aptos Display"/>
          <w:noProof w:val="0"/>
          <w:sz w:val="24"/>
          <w:szCs w:val="24"/>
          <w:lang w:val="en-GB"/>
        </w:rPr>
        <w:t xml:space="preserve"> (Accessed: 09 January 2026). </w:t>
      </w:r>
    </w:p>
    <w:p w:rsidR="6848D6EE" w:rsidP="50FF6E60" w:rsidRDefault="6848D6EE" w14:paraId="3293C806" w14:textId="789EF548">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Teach For Life (n.d.). </w:t>
      </w:r>
      <w:r w:rsidRPr="50FF6E60" w:rsidR="6848D6EE">
        <w:rPr>
          <w:rFonts w:ascii="Aptos Display" w:hAnsi="Aptos Display" w:eastAsia="Aptos Display" w:cs="Aptos Display"/>
          <w:i w:val="1"/>
          <w:iCs w:val="1"/>
          <w:noProof w:val="0"/>
          <w:sz w:val="24"/>
          <w:szCs w:val="24"/>
          <w:lang w:val="en-GB"/>
        </w:rPr>
        <w:t>The importance of a global perspective in education</w:t>
      </w:r>
      <w:r w:rsidRPr="50FF6E60" w:rsidR="6848D6EE">
        <w:rPr>
          <w:rFonts w:ascii="Aptos Display" w:hAnsi="Aptos Display" w:eastAsia="Aptos Display" w:cs="Aptos Display"/>
          <w:noProof w:val="0"/>
          <w:sz w:val="24"/>
          <w:szCs w:val="24"/>
          <w:lang w:val="en-GB"/>
        </w:rPr>
        <w:t xml:space="preserve">. Available at: </w:t>
      </w:r>
      <w:hyperlink r:id="Re34223e6435b4c30">
        <w:r w:rsidRPr="50FF6E60" w:rsidR="6848D6EE">
          <w:rPr>
            <w:rStyle w:val="Hyperlink"/>
            <w:rFonts w:ascii="Aptos Display" w:hAnsi="Aptos Display" w:eastAsia="Aptos Display" w:cs="Aptos Display"/>
            <w:noProof w:val="0"/>
            <w:sz w:val="24"/>
            <w:szCs w:val="24"/>
            <w:u w:val="single"/>
            <w:lang w:val="en-GB"/>
          </w:rPr>
          <w:t>https://www.teachforlife.com/post/the-importance-of-a-global-perspective-in-education</w:t>
        </w:r>
      </w:hyperlink>
      <w:r w:rsidRPr="50FF6E60" w:rsidR="6848D6EE">
        <w:rPr>
          <w:rFonts w:ascii="Aptos Display" w:hAnsi="Aptos Display" w:eastAsia="Aptos Display" w:cs="Aptos Display"/>
          <w:noProof w:val="0"/>
          <w:sz w:val="24"/>
          <w:szCs w:val="24"/>
          <w:lang w:val="en-GB"/>
        </w:rPr>
        <w:t xml:space="preserve"> (Accessed: 20 January 2026). </w:t>
      </w:r>
    </w:p>
    <w:p w:rsidR="6848D6EE" w:rsidP="50FF6E60" w:rsidRDefault="6848D6EE" w14:paraId="5294784D" w14:textId="1CD96E83">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UNESCO (2023). </w:t>
      </w:r>
      <w:r w:rsidRPr="50FF6E60" w:rsidR="6848D6EE">
        <w:rPr>
          <w:rFonts w:ascii="Aptos Display" w:hAnsi="Aptos Display" w:eastAsia="Aptos Display" w:cs="Aptos Display"/>
          <w:i w:val="1"/>
          <w:iCs w:val="1"/>
          <w:noProof w:val="0"/>
          <w:sz w:val="24"/>
          <w:szCs w:val="24"/>
          <w:lang w:val="en-GB"/>
        </w:rPr>
        <w:t>Equity and access</w:t>
      </w:r>
      <w:r w:rsidRPr="50FF6E60" w:rsidR="6848D6EE">
        <w:rPr>
          <w:rFonts w:ascii="Aptos Display" w:hAnsi="Aptos Display" w:eastAsia="Aptos Display" w:cs="Aptos Display"/>
          <w:noProof w:val="0"/>
          <w:sz w:val="24"/>
          <w:szCs w:val="24"/>
          <w:lang w:val="en-GB"/>
        </w:rPr>
        <w:t xml:space="preserve">. Global Education Monitoring Report. Available at: </w:t>
      </w:r>
      <w:hyperlink r:id="Rb05f4b47dabd4191">
        <w:r w:rsidRPr="50FF6E60" w:rsidR="6848D6EE">
          <w:rPr>
            <w:rStyle w:val="Hyperlink"/>
            <w:rFonts w:ascii="Aptos Display" w:hAnsi="Aptos Display" w:eastAsia="Aptos Display" w:cs="Aptos Display"/>
            <w:noProof w:val="0"/>
            <w:sz w:val="24"/>
            <w:szCs w:val="24"/>
            <w:u w:val="single"/>
            <w:lang w:val="en-GB"/>
          </w:rPr>
          <w:t>https://www.unesco.org/gem-report/en/publication/equity-and-access</w:t>
        </w:r>
      </w:hyperlink>
      <w:r w:rsidRPr="50FF6E60" w:rsidR="6848D6EE">
        <w:rPr>
          <w:rFonts w:ascii="Aptos Display" w:hAnsi="Aptos Display" w:eastAsia="Aptos Display" w:cs="Aptos Display"/>
          <w:noProof w:val="0"/>
          <w:sz w:val="24"/>
          <w:szCs w:val="24"/>
          <w:lang w:val="en-GB"/>
        </w:rPr>
        <w:t xml:space="preserve"> (Accessed: 15 January 2026). </w:t>
      </w:r>
    </w:p>
    <w:p w:rsidR="6848D6EE" w:rsidP="50FF6E60" w:rsidRDefault="6848D6EE" w14:paraId="189FE815" w14:textId="7B7F6A8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UNESCO (2024) </w:t>
      </w:r>
      <w:r w:rsidRPr="50FF6E60" w:rsidR="6848D6EE">
        <w:rPr>
          <w:rFonts w:ascii="Aptos Display" w:hAnsi="Aptos Display" w:eastAsia="Aptos Display" w:cs="Aptos Display"/>
          <w:i w:val="1"/>
          <w:iCs w:val="1"/>
          <w:noProof w:val="0"/>
          <w:sz w:val="24"/>
          <w:szCs w:val="24"/>
          <w:lang w:val="en-GB"/>
        </w:rPr>
        <w:t>251 million children and youth still out of school despite decades of progress, UNESCO report</w:t>
      </w:r>
      <w:r w:rsidRPr="50FF6E60" w:rsidR="6848D6EE">
        <w:rPr>
          <w:rFonts w:ascii="Aptos Display" w:hAnsi="Aptos Display" w:eastAsia="Aptos Display" w:cs="Aptos Display"/>
          <w:noProof w:val="0"/>
          <w:sz w:val="24"/>
          <w:szCs w:val="24"/>
          <w:lang w:val="en-GB"/>
        </w:rPr>
        <w:t xml:space="preserve">. Available at: </w:t>
      </w:r>
      <w:hyperlink r:id="R08afd519bf9241b6">
        <w:r w:rsidRPr="50FF6E60" w:rsidR="6848D6EE">
          <w:rPr>
            <w:rStyle w:val="Hyperlink"/>
            <w:rFonts w:ascii="Aptos Display" w:hAnsi="Aptos Display" w:eastAsia="Aptos Display" w:cs="Aptos Display"/>
            <w:noProof w:val="0"/>
            <w:sz w:val="24"/>
            <w:szCs w:val="24"/>
            <w:u w:val="single"/>
            <w:lang w:val="en-GB"/>
          </w:rPr>
          <w:t>https://www.unesco.org/en/articles/251m-children-and-youth-still-out-school-despite-decades-progress-unesco-report</w:t>
        </w:r>
      </w:hyperlink>
      <w:r w:rsidRPr="50FF6E60" w:rsidR="6848D6EE">
        <w:rPr>
          <w:rFonts w:ascii="Aptos Display" w:hAnsi="Aptos Display" w:eastAsia="Aptos Display" w:cs="Aptos Display"/>
          <w:noProof w:val="0"/>
          <w:sz w:val="24"/>
          <w:szCs w:val="24"/>
          <w:lang w:val="en-GB"/>
        </w:rPr>
        <w:t xml:space="preserve"> (Accessed: 27 January 2026). </w:t>
      </w:r>
    </w:p>
    <w:p w:rsidR="6848D6EE" w:rsidP="50FF6E60" w:rsidRDefault="6848D6EE" w14:paraId="03024C09" w14:textId="702D69C6">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UNESCO (2025) </w:t>
      </w:r>
      <w:r w:rsidRPr="50FF6E60" w:rsidR="6848D6EE">
        <w:rPr>
          <w:rFonts w:ascii="Aptos Display" w:hAnsi="Aptos Display" w:eastAsia="Aptos Display" w:cs="Aptos Display"/>
          <w:i w:val="1"/>
          <w:iCs w:val="1"/>
          <w:noProof w:val="0"/>
          <w:sz w:val="24"/>
          <w:szCs w:val="24"/>
          <w:lang w:val="en-GB"/>
        </w:rPr>
        <w:t>Education for sustainable development</w:t>
      </w:r>
      <w:r w:rsidRPr="50FF6E60" w:rsidR="6848D6EE">
        <w:rPr>
          <w:rFonts w:ascii="Aptos Display" w:hAnsi="Aptos Display" w:eastAsia="Aptos Display" w:cs="Aptos Display"/>
          <w:noProof w:val="0"/>
          <w:sz w:val="24"/>
          <w:szCs w:val="24"/>
          <w:lang w:val="en-GB"/>
        </w:rPr>
        <w:t xml:space="preserve">. Available at: </w:t>
      </w:r>
      <w:hyperlink r:id="R858a0b571bd44075">
        <w:r w:rsidRPr="50FF6E60" w:rsidR="6848D6EE">
          <w:rPr>
            <w:rStyle w:val="Hyperlink"/>
            <w:rFonts w:ascii="Aptos Display" w:hAnsi="Aptos Display" w:eastAsia="Aptos Display" w:cs="Aptos Display"/>
            <w:noProof w:val="0"/>
            <w:sz w:val="24"/>
            <w:szCs w:val="24"/>
            <w:u w:val="single"/>
            <w:lang w:val="en-GB"/>
          </w:rPr>
          <w:t>https://www.unesco.org/en/sustainable-development/education</w:t>
        </w:r>
      </w:hyperlink>
      <w:r w:rsidRPr="50FF6E60" w:rsidR="6848D6EE">
        <w:rPr>
          <w:rFonts w:ascii="Aptos Display" w:hAnsi="Aptos Display" w:eastAsia="Aptos Display" w:cs="Aptos Display"/>
          <w:noProof w:val="0"/>
          <w:sz w:val="24"/>
          <w:szCs w:val="24"/>
          <w:lang w:val="en-GB"/>
        </w:rPr>
        <w:t xml:space="preserve"> (Accessed: 23 January 2026). </w:t>
      </w:r>
    </w:p>
    <w:p w:rsidR="6848D6EE" w:rsidP="50FF6E60" w:rsidRDefault="6848D6EE" w14:paraId="6A9AAD5A" w14:textId="3C755B39">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UNICEF (2018). </w:t>
      </w:r>
      <w:r w:rsidRPr="50FF6E60" w:rsidR="6848D6EE">
        <w:rPr>
          <w:rFonts w:ascii="Aptos Display" w:hAnsi="Aptos Display" w:eastAsia="Aptos Display" w:cs="Aptos Display"/>
          <w:i w:val="1"/>
          <w:iCs w:val="1"/>
          <w:noProof w:val="0"/>
          <w:sz w:val="24"/>
          <w:szCs w:val="24"/>
          <w:lang w:val="en-GB"/>
        </w:rPr>
        <w:t>Education</w:t>
      </w:r>
      <w:r w:rsidRPr="50FF6E60" w:rsidR="6848D6EE">
        <w:rPr>
          <w:rFonts w:ascii="Aptos Display" w:hAnsi="Aptos Display" w:eastAsia="Aptos Display" w:cs="Aptos Display"/>
          <w:noProof w:val="0"/>
          <w:sz w:val="24"/>
          <w:szCs w:val="24"/>
          <w:lang w:val="en-GB"/>
        </w:rPr>
        <w:t xml:space="preserve">. UNICEF Iraq. Available at: </w:t>
      </w:r>
      <w:hyperlink r:id="R3c4f93c27a074d20">
        <w:r w:rsidRPr="50FF6E60" w:rsidR="6848D6EE">
          <w:rPr>
            <w:rStyle w:val="Hyperlink"/>
            <w:rFonts w:ascii="Aptos Display" w:hAnsi="Aptos Display" w:eastAsia="Aptos Display" w:cs="Aptos Display"/>
            <w:noProof w:val="0"/>
            <w:sz w:val="24"/>
            <w:szCs w:val="24"/>
            <w:u w:val="single"/>
            <w:lang w:val="en-GB"/>
          </w:rPr>
          <w:t>https://www.unicef.org/iraq/what-we-do/education</w:t>
        </w:r>
      </w:hyperlink>
      <w:r w:rsidRPr="50FF6E60" w:rsidR="6848D6EE">
        <w:rPr>
          <w:rFonts w:ascii="Aptos Display" w:hAnsi="Aptos Display" w:eastAsia="Aptos Display" w:cs="Aptos Display"/>
          <w:noProof w:val="0"/>
          <w:sz w:val="24"/>
          <w:szCs w:val="24"/>
          <w:lang w:val="en-GB"/>
        </w:rPr>
        <w:t xml:space="preserve"> (Accessed: 21 January 2026). </w:t>
      </w:r>
    </w:p>
    <w:p w:rsidR="6848D6EE" w:rsidP="50FF6E60" w:rsidRDefault="6848D6EE" w14:paraId="38C67A8F" w14:textId="4B4C46B0">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UNICEF (2019) </w:t>
      </w:r>
      <w:r w:rsidRPr="50FF6E60" w:rsidR="6848D6EE">
        <w:rPr>
          <w:rFonts w:ascii="Aptos Display" w:hAnsi="Aptos Display" w:eastAsia="Aptos Display" w:cs="Aptos Display"/>
          <w:i w:val="1"/>
          <w:iCs w:val="1"/>
          <w:noProof w:val="0"/>
          <w:sz w:val="24"/>
          <w:szCs w:val="24"/>
          <w:lang w:val="en-GB"/>
        </w:rPr>
        <w:t>Multiple Indicator Cluster Survey (MICS): Iraq</w:t>
      </w:r>
      <w:r w:rsidRPr="50FF6E60" w:rsidR="6848D6EE">
        <w:rPr>
          <w:rFonts w:ascii="Aptos Display" w:hAnsi="Aptos Display" w:eastAsia="Aptos Display" w:cs="Aptos Display"/>
          <w:noProof w:val="0"/>
          <w:sz w:val="24"/>
          <w:szCs w:val="24"/>
          <w:lang w:val="en-GB"/>
        </w:rPr>
        <w:t xml:space="preserve">. Available at: </w:t>
      </w:r>
      <w:hyperlink r:id="R6ed6ae2987d646b5">
        <w:r w:rsidRPr="50FF6E60" w:rsidR="6848D6EE">
          <w:rPr>
            <w:rStyle w:val="Hyperlink"/>
            <w:rFonts w:ascii="Aptos Display" w:hAnsi="Aptos Display" w:eastAsia="Aptos Display" w:cs="Aptos Display"/>
            <w:noProof w:val="0"/>
            <w:sz w:val="24"/>
            <w:szCs w:val="24"/>
            <w:u w:val="single"/>
            <w:lang w:val="en-GB"/>
          </w:rPr>
          <w:t>https://mics.unicef.org/surveys</w:t>
        </w:r>
      </w:hyperlink>
      <w:r w:rsidRPr="50FF6E60" w:rsidR="6848D6EE">
        <w:rPr>
          <w:rFonts w:ascii="Aptos Display" w:hAnsi="Aptos Display" w:eastAsia="Aptos Display" w:cs="Aptos Display"/>
          <w:noProof w:val="0"/>
          <w:sz w:val="24"/>
          <w:szCs w:val="24"/>
          <w:lang w:val="en-GB"/>
        </w:rPr>
        <w:t xml:space="preserve"> (Accessed: 05 February 2026). </w:t>
      </w:r>
    </w:p>
    <w:p w:rsidR="6848D6EE" w:rsidP="50FF6E60" w:rsidRDefault="6848D6EE" w14:paraId="3D78C368" w14:textId="562CD502">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United Nations (1948) </w:t>
      </w:r>
      <w:r w:rsidRPr="50FF6E60" w:rsidR="6848D6EE">
        <w:rPr>
          <w:rFonts w:ascii="Aptos Display" w:hAnsi="Aptos Display" w:eastAsia="Aptos Display" w:cs="Aptos Display"/>
          <w:i w:val="1"/>
          <w:iCs w:val="1"/>
          <w:noProof w:val="0"/>
          <w:sz w:val="24"/>
          <w:szCs w:val="24"/>
          <w:lang w:val="en-GB"/>
        </w:rPr>
        <w:t>Universal Declaration of Human Rights</w:t>
      </w:r>
      <w:r w:rsidRPr="50FF6E60" w:rsidR="6848D6EE">
        <w:rPr>
          <w:rFonts w:ascii="Aptos Display" w:hAnsi="Aptos Display" w:eastAsia="Aptos Display" w:cs="Aptos Display"/>
          <w:noProof w:val="0"/>
          <w:sz w:val="24"/>
          <w:szCs w:val="24"/>
          <w:lang w:val="en-GB"/>
        </w:rPr>
        <w:t xml:space="preserve">. Available at: </w:t>
      </w:r>
      <w:hyperlink r:id="Rf1e75859dd72467e">
        <w:r w:rsidRPr="50FF6E60" w:rsidR="6848D6EE">
          <w:rPr>
            <w:rStyle w:val="Hyperlink"/>
            <w:rFonts w:ascii="Aptos Display" w:hAnsi="Aptos Display" w:eastAsia="Aptos Display" w:cs="Aptos Display"/>
            <w:noProof w:val="0"/>
            <w:sz w:val="24"/>
            <w:szCs w:val="24"/>
            <w:u w:val="single"/>
            <w:lang w:val="en-GB"/>
          </w:rPr>
          <w:t>https://www.un.org/en/about-us/universal-declaration-of-human-rights</w:t>
        </w:r>
      </w:hyperlink>
      <w:r w:rsidRPr="50FF6E60" w:rsidR="6848D6EE">
        <w:rPr>
          <w:rFonts w:ascii="Aptos Display" w:hAnsi="Aptos Display" w:eastAsia="Aptos Display" w:cs="Aptos Display"/>
          <w:noProof w:val="0"/>
          <w:sz w:val="24"/>
          <w:szCs w:val="24"/>
          <w:lang w:val="en-GB"/>
        </w:rPr>
        <w:t xml:space="preserve"> (Accessed </w:t>
      </w:r>
    </w:p>
    <w:p w:rsidR="6848D6EE" w:rsidP="50FF6E60" w:rsidRDefault="6848D6EE" w14:paraId="1D789A54" w14:textId="1C0E405B">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United Nations (n.d.). </w:t>
      </w:r>
      <w:r w:rsidRPr="50FF6E60" w:rsidR="6848D6EE">
        <w:rPr>
          <w:rFonts w:ascii="Aptos Display" w:hAnsi="Aptos Display" w:eastAsia="Aptos Display" w:cs="Aptos Display"/>
          <w:i w:val="1"/>
          <w:iCs w:val="1"/>
          <w:noProof w:val="0"/>
          <w:sz w:val="24"/>
          <w:szCs w:val="24"/>
          <w:lang w:val="en-GB"/>
        </w:rPr>
        <w:t>Education</w:t>
      </w:r>
      <w:r w:rsidRPr="50FF6E60" w:rsidR="6848D6EE">
        <w:rPr>
          <w:rFonts w:ascii="Aptos Display" w:hAnsi="Aptos Display" w:eastAsia="Aptos Display" w:cs="Aptos Display"/>
          <w:noProof w:val="0"/>
          <w:sz w:val="24"/>
          <w:szCs w:val="24"/>
          <w:lang w:val="en-GB"/>
        </w:rPr>
        <w:t xml:space="preserve">. Sustainable Development Goals. Available at: </w:t>
      </w:r>
      <w:hyperlink r:id="R53d20685db124437">
        <w:r w:rsidRPr="50FF6E60" w:rsidR="6848D6EE">
          <w:rPr>
            <w:rStyle w:val="Hyperlink"/>
            <w:rFonts w:ascii="Aptos Display" w:hAnsi="Aptos Display" w:eastAsia="Aptos Display" w:cs="Aptos Display"/>
            <w:noProof w:val="0"/>
            <w:sz w:val="24"/>
            <w:szCs w:val="24"/>
            <w:u w:val="single"/>
            <w:lang w:val="en-GB"/>
          </w:rPr>
          <w:t>https://www.un.org/sustainabledevelopment/education/</w:t>
        </w:r>
      </w:hyperlink>
      <w:r w:rsidRPr="50FF6E60" w:rsidR="6848D6EE">
        <w:rPr>
          <w:rFonts w:ascii="Aptos Display" w:hAnsi="Aptos Display" w:eastAsia="Aptos Display" w:cs="Aptos Display"/>
          <w:noProof w:val="0"/>
          <w:sz w:val="24"/>
          <w:szCs w:val="24"/>
          <w:lang w:val="en-GB"/>
        </w:rPr>
        <w:t xml:space="preserve"> (Accessed: 30 January 2026). </w:t>
      </w:r>
    </w:p>
    <w:p w:rsidR="6848D6EE" w:rsidP="50FF6E60" w:rsidRDefault="6848D6EE" w14:paraId="049CDC25" w14:textId="1ED190D8">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United Nations (n.d.). </w:t>
      </w:r>
      <w:r w:rsidRPr="50FF6E60" w:rsidR="6848D6EE">
        <w:rPr>
          <w:rFonts w:ascii="Aptos Display" w:hAnsi="Aptos Display" w:eastAsia="Aptos Display" w:cs="Aptos Display"/>
          <w:i w:val="1"/>
          <w:iCs w:val="1"/>
          <w:noProof w:val="0"/>
          <w:sz w:val="24"/>
          <w:szCs w:val="24"/>
          <w:lang w:val="en-GB"/>
        </w:rPr>
        <w:t>Sustainable development</w:t>
      </w:r>
      <w:r w:rsidRPr="50FF6E60" w:rsidR="6848D6EE">
        <w:rPr>
          <w:rFonts w:ascii="Aptos Display" w:hAnsi="Aptos Display" w:eastAsia="Aptos Display" w:cs="Aptos Display"/>
          <w:noProof w:val="0"/>
          <w:sz w:val="24"/>
          <w:szCs w:val="24"/>
          <w:lang w:val="en-GB"/>
        </w:rPr>
        <w:t xml:space="preserve">. Available at: </w:t>
      </w:r>
      <w:hyperlink r:id="Rf37089c573d84086">
        <w:r w:rsidRPr="50FF6E60" w:rsidR="6848D6EE">
          <w:rPr>
            <w:rStyle w:val="Hyperlink"/>
            <w:rFonts w:ascii="Aptos Display" w:hAnsi="Aptos Display" w:eastAsia="Aptos Display" w:cs="Aptos Display"/>
            <w:noProof w:val="0"/>
            <w:sz w:val="24"/>
            <w:szCs w:val="24"/>
            <w:u w:val="single"/>
            <w:lang w:val="en-GB"/>
          </w:rPr>
          <w:t>https://www.un.org/sustainabledevelopment/</w:t>
        </w:r>
      </w:hyperlink>
      <w:r w:rsidRPr="50FF6E60" w:rsidR="6848D6EE">
        <w:rPr>
          <w:rFonts w:ascii="Aptos Display" w:hAnsi="Aptos Display" w:eastAsia="Aptos Display" w:cs="Aptos Display"/>
          <w:noProof w:val="0"/>
          <w:sz w:val="24"/>
          <w:szCs w:val="24"/>
          <w:lang w:val="en-GB"/>
        </w:rPr>
        <w:t xml:space="preserve"> (Accessed: 25 January 2026). </w:t>
      </w:r>
    </w:p>
    <w:p w:rsidR="6848D6EE" w:rsidP="50FF6E60" w:rsidRDefault="6848D6EE" w14:paraId="0F25D0CC" w14:textId="2C5BD5BE">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University of Sussex (n.d.). </w:t>
      </w:r>
      <w:r w:rsidRPr="50FF6E60" w:rsidR="6848D6EE">
        <w:rPr>
          <w:rFonts w:ascii="Aptos Display" w:hAnsi="Aptos Display" w:eastAsia="Aptos Display" w:cs="Aptos Display"/>
          <w:i w:val="1"/>
          <w:iCs w:val="1"/>
          <w:noProof w:val="0"/>
          <w:sz w:val="24"/>
          <w:szCs w:val="24"/>
          <w:lang w:val="en-GB"/>
        </w:rPr>
        <w:t>Education for sustainable development</w:t>
      </w:r>
      <w:r w:rsidRPr="50FF6E60" w:rsidR="6848D6EE">
        <w:rPr>
          <w:rFonts w:ascii="Aptos Display" w:hAnsi="Aptos Display" w:eastAsia="Aptos Display" w:cs="Aptos Display"/>
          <w:noProof w:val="0"/>
          <w:sz w:val="24"/>
          <w:szCs w:val="24"/>
          <w:lang w:val="en-GB"/>
        </w:rPr>
        <w:t xml:space="preserve">. Available at: </w:t>
      </w:r>
      <w:hyperlink r:id="R9e03c0bedb274f8e">
        <w:r w:rsidRPr="50FF6E60" w:rsidR="6848D6EE">
          <w:rPr>
            <w:rStyle w:val="Hyperlink"/>
            <w:rFonts w:ascii="Aptos Display" w:hAnsi="Aptos Display" w:eastAsia="Aptos Display" w:cs="Aptos Display"/>
            <w:noProof w:val="0"/>
            <w:sz w:val="24"/>
            <w:szCs w:val="24"/>
            <w:u w:val="single"/>
            <w:lang w:val="en-GB"/>
          </w:rPr>
          <w:t>https://staff.sussex.ac.uk/teaching/enhancement/support/curriculum/sustainable-development</w:t>
        </w:r>
      </w:hyperlink>
      <w:r w:rsidRPr="50FF6E60" w:rsidR="6848D6EE">
        <w:rPr>
          <w:rFonts w:ascii="Aptos Display" w:hAnsi="Aptos Display" w:eastAsia="Aptos Display" w:cs="Aptos Display"/>
          <w:noProof w:val="0"/>
          <w:sz w:val="24"/>
          <w:szCs w:val="24"/>
          <w:lang w:val="en-GB"/>
        </w:rPr>
        <w:t xml:space="preserve"> (Accessed: 22 January 2026). </w:t>
      </w:r>
    </w:p>
    <w:p w:rsidR="6848D6EE" w:rsidP="50FF6E60" w:rsidRDefault="6848D6EE" w14:paraId="4D4DA115" w14:textId="0BE85C7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World Bank (2024). </w:t>
      </w:r>
      <w:r w:rsidRPr="50FF6E60" w:rsidR="6848D6EE">
        <w:rPr>
          <w:rFonts w:ascii="Aptos Display" w:hAnsi="Aptos Display" w:eastAsia="Aptos Display" w:cs="Aptos Display"/>
          <w:i w:val="1"/>
          <w:iCs w:val="1"/>
          <w:noProof w:val="0"/>
          <w:sz w:val="24"/>
          <w:szCs w:val="24"/>
          <w:lang w:val="en-GB"/>
        </w:rPr>
        <w:t>Iraq: Improving quality of education and access to enable all students to learn</w:t>
      </w:r>
      <w:r w:rsidRPr="50FF6E60" w:rsidR="6848D6EE">
        <w:rPr>
          <w:rFonts w:ascii="Aptos Display" w:hAnsi="Aptos Display" w:eastAsia="Aptos Display" w:cs="Aptos Display"/>
          <w:noProof w:val="0"/>
          <w:sz w:val="24"/>
          <w:szCs w:val="24"/>
          <w:lang w:val="en-GB"/>
        </w:rPr>
        <w:t xml:space="preserve">. Available at: </w:t>
      </w:r>
      <w:hyperlink r:id="R5a02aee428a94d55">
        <w:r w:rsidRPr="50FF6E60" w:rsidR="6848D6EE">
          <w:rPr>
            <w:rStyle w:val="Hyperlink"/>
            <w:rFonts w:ascii="Aptos Display" w:hAnsi="Aptos Display" w:eastAsia="Aptos Display" w:cs="Aptos Display"/>
            <w:noProof w:val="0"/>
            <w:sz w:val="24"/>
            <w:szCs w:val="24"/>
            <w:u w:val="single"/>
            <w:lang w:val="en-GB"/>
          </w:rPr>
          <w:t>https://www.worldbank.org/en/results/2024/10/29/iraq-improving-quality-of-education-and-access-to-enable-all-students-to-learn</w:t>
        </w:r>
      </w:hyperlink>
      <w:r w:rsidRPr="50FF6E60" w:rsidR="6848D6EE">
        <w:rPr>
          <w:rFonts w:ascii="Aptos Display" w:hAnsi="Aptos Display" w:eastAsia="Aptos Display" w:cs="Aptos Display"/>
          <w:noProof w:val="0"/>
          <w:sz w:val="24"/>
          <w:szCs w:val="24"/>
          <w:lang w:val="en-GB"/>
        </w:rPr>
        <w:t xml:space="preserve"> (Accessed: 21 January 2026). </w:t>
      </w:r>
    </w:p>
    <w:p w:rsidR="6848D6EE" w:rsidP="50FF6E60" w:rsidRDefault="6848D6EE" w14:paraId="039D03D6" w14:textId="7FB2B89C">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66C3A0B1" w14:textId="35711032">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4F86B0A" w14:textId="24222DCE">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1DCCD8E2" w14:textId="3D4A23DF">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1164D4D7" w14:textId="1BE7D2AD">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0A3AFCFF" w14:textId="4AA2E704">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6848D6EE" w:rsidP="50FF6E60" w:rsidRDefault="6848D6EE" w14:paraId="277F8632" w14:textId="43CC01E0">
      <w:pPr>
        <w:spacing w:before="240" w:beforeAutospacing="off" w:after="240" w:afterAutospacing="off"/>
        <w:jc w:val="both"/>
      </w:pPr>
      <w:r w:rsidRPr="50FF6E60" w:rsidR="6848D6EE">
        <w:rPr>
          <w:rFonts w:ascii="Aptos Display" w:hAnsi="Aptos Display" w:eastAsia="Aptos Display" w:cs="Aptos Display"/>
          <w:noProof w:val="0"/>
          <w:sz w:val="24"/>
          <w:szCs w:val="24"/>
          <w:lang w:val="en-GB"/>
        </w:rPr>
        <w:t xml:space="preserve"> </w:t>
      </w:r>
    </w:p>
    <w:p w:rsidR="50FF6E60" w:rsidP="50FF6E60" w:rsidRDefault="50FF6E60" w14:paraId="18CC769C" w14:textId="5A5EC5BE">
      <w:pPr>
        <w:spacing w:before="240" w:beforeAutospacing="off" w:after="240" w:afterAutospacing="off"/>
        <w:jc w:val="both"/>
        <w:rPr>
          <w:rFonts w:ascii="Aptos Display" w:hAnsi="Aptos Display" w:eastAsia="Aptos Display" w:cs="Aptos Display"/>
          <w:noProof w:val="0"/>
          <w:sz w:val="24"/>
          <w:szCs w:val="24"/>
          <w:lang w:val="en-GB"/>
        </w:rPr>
      </w:pPr>
    </w:p>
    <w:p w:rsidR="50FF6E60" w:rsidP="50FF6E60" w:rsidRDefault="50FF6E60" w14:paraId="6B1A8EE0" w14:textId="0492E4EF">
      <w:pPr>
        <w:pStyle w:val="Normal"/>
        <w:jc w:val="both"/>
        <w:rPr>
          <w:rFonts w:ascii="Aptos Display" w:hAnsi="Aptos Display" w:eastAsia="Aptos Display" w:cs="Aptos Display" w:asciiTheme="majorAscii" w:hAnsiTheme="majorAscii" w:eastAsiaTheme="majorAscii" w:cstheme="majorAscii"/>
          <w:b w:val="0"/>
          <w:bCs w:val="0"/>
          <w:noProof w:val="0"/>
          <w:sz w:val="24"/>
          <w:szCs w:val="24"/>
          <w:lang w:val="en-GB"/>
        </w:rPr>
      </w:pPr>
    </w:p>
    <w:sectPr>
      <w:pgSz w:w="11906" w:h="16838" w:orient="portrait"/>
      <w:pgMar w:top="1440" w:right="1440" w:bottom="1440" w:left="1440" w:header="720" w:footer="720" w:gutter="0"/>
      <w:cols w:space="720"/>
      <w:docGrid w:linePitch="360"/>
      <w:footerReference w:type="default" r:id="Raa07d90d8a444c05"/>
      <w:headerReference w:type="default" r:id="Rc6b6886f04f54d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A8C483" w:rsidTr="4209D382" w14:paraId="6BF11B3E">
      <w:trPr>
        <w:trHeight w:val="300"/>
      </w:trPr>
      <w:tc>
        <w:tcPr>
          <w:tcW w:w="3005" w:type="dxa"/>
          <w:tcMar/>
        </w:tcPr>
        <w:p w:rsidR="2FA8C483" w:rsidP="2FA8C483" w:rsidRDefault="2FA8C483" w14:paraId="2CF0D526" w14:textId="7D429374">
          <w:pPr>
            <w:pStyle w:val="Header"/>
            <w:bidi w:val="0"/>
            <w:ind w:left="-115"/>
            <w:jc w:val="left"/>
          </w:pPr>
        </w:p>
      </w:tc>
      <w:tc>
        <w:tcPr>
          <w:tcW w:w="3005" w:type="dxa"/>
          <w:tcMar/>
        </w:tcPr>
        <w:p w:rsidR="2FA8C483" w:rsidP="2FA8C483" w:rsidRDefault="2FA8C483" w14:paraId="6B0BE31C" w14:textId="6D337B3C">
          <w:pPr>
            <w:pStyle w:val="Header"/>
            <w:bidi w:val="0"/>
            <w:jc w:val="center"/>
          </w:pPr>
        </w:p>
      </w:tc>
      <w:tc>
        <w:tcPr>
          <w:tcW w:w="3005" w:type="dxa"/>
          <w:tcMar/>
        </w:tcPr>
        <w:p w:rsidR="2FA8C483" w:rsidP="2FA8C483" w:rsidRDefault="2FA8C483" w14:paraId="3253F67B" w14:textId="0FA919FC">
          <w:pPr>
            <w:pStyle w:val="Header"/>
            <w:bidi w:val="0"/>
            <w:ind w:right="-115"/>
            <w:jc w:val="right"/>
          </w:pPr>
          <w:r>
            <w:fldChar w:fldCharType="begin"/>
          </w:r>
          <w:r>
            <w:instrText xml:space="preserve">PAGE</w:instrText>
          </w:r>
          <w:r>
            <w:fldChar w:fldCharType="separate"/>
          </w:r>
          <w:r>
            <w:fldChar w:fldCharType="end"/>
          </w:r>
        </w:p>
      </w:tc>
    </w:tr>
  </w:tbl>
  <w:p w:rsidR="2FA8C483" w:rsidP="2FA8C483" w:rsidRDefault="2FA8C483" w14:paraId="7AD148E5" w14:textId="475169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F6E60" w:rsidTr="50FF6E60" w14:paraId="23D62814">
      <w:trPr>
        <w:trHeight w:val="300"/>
      </w:trPr>
      <w:tc>
        <w:tcPr>
          <w:tcW w:w="3005" w:type="dxa"/>
          <w:tcMar/>
        </w:tcPr>
        <w:p w:rsidR="50FF6E60" w:rsidP="50FF6E60" w:rsidRDefault="50FF6E60" w14:paraId="49C2A32B" w14:textId="440840BC">
          <w:pPr>
            <w:pStyle w:val="Header"/>
            <w:bidi w:val="0"/>
            <w:ind w:left="-115"/>
            <w:jc w:val="left"/>
          </w:pPr>
        </w:p>
      </w:tc>
      <w:tc>
        <w:tcPr>
          <w:tcW w:w="3005" w:type="dxa"/>
          <w:tcMar/>
        </w:tcPr>
        <w:p w:rsidR="50FF6E60" w:rsidP="50FF6E60" w:rsidRDefault="50FF6E60" w14:paraId="6921DEB7" w14:textId="06421439">
          <w:pPr>
            <w:pStyle w:val="Header"/>
            <w:bidi w:val="0"/>
            <w:jc w:val="center"/>
          </w:pPr>
        </w:p>
      </w:tc>
      <w:tc>
        <w:tcPr>
          <w:tcW w:w="3005" w:type="dxa"/>
          <w:tcMar/>
        </w:tcPr>
        <w:p w:rsidR="50FF6E60" w:rsidP="50FF6E60" w:rsidRDefault="50FF6E60" w14:paraId="2FBCC8F6" w14:textId="78B9F8C8">
          <w:pPr>
            <w:pStyle w:val="Header"/>
            <w:bidi w:val="0"/>
            <w:ind w:right="-115"/>
            <w:jc w:val="right"/>
          </w:pPr>
        </w:p>
      </w:tc>
    </w:tr>
  </w:tbl>
  <w:p w:rsidR="50FF6E60" w:rsidP="50FF6E60" w:rsidRDefault="50FF6E60" w14:paraId="322C566A" w14:textId="1EA5E016">
    <w:pPr>
      <w:pStyle w:val="Header"/>
      <w:bidi w:val="0"/>
    </w:pPr>
  </w:p>
</w:hdr>
</file>

<file path=word/intelligence2.xml><?xml version="1.0" encoding="utf-8"?>
<int2:intelligence xmlns:int2="http://schemas.microsoft.com/office/intelligence/2020/intelligence">
  <int2:observations>
    <int2:textHash int2:hashCode="knE9Rwk3cRHPMf" int2:id="bO54mtJ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461660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28c2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288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0ad2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e8995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a1ad2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09e2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10b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76bf0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673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6a25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1d8d69"/>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493E67"/>
    <w:rsid w:val="00182586"/>
    <w:rsid w:val="001A4A79"/>
    <w:rsid w:val="0073D456"/>
    <w:rsid w:val="007F2BB4"/>
    <w:rsid w:val="00A1C5B4"/>
    <w:rsid w:val="00AED93A"/>
    <w:rsid w:val="01142CC3"/>
    <w:rsid w:val="014AB9B2"/>
    <w:rsid w:val="017A4EA4"/>
    <w:rsid w:val="01C34203"/>
    <w:rsid w:val="01C7F67B"/>
    <w:rsid w:val="01ECB7F7"/>
    <w:rsid w:val="02AECB7F"/>
    <w:rsid w:val="02F30375"/>
    <w:rsid w:val="0319B3C7"/>
    <w:rsid w:val="03600A0F"/>
    <w:rsid w:val="03E857DD"/>
    <w:rsid w:val="0439C290"/>
    <w:rsid w:val="048F9D60"/>
    <w:rsid w:val="04B5B3A2"/>
    <w:rsid w:val="04CF4B3A"/>
    <w:rsid w:val="04D973E4"/>
    <w:rsid w:val="04E00440"/>
    <w:rsid w:val="0505035F"/>
    <w:rsid w:val="05151512"/>
    <w:rsid w:val="05579074"/>
    <w:rsid w:val="056CA05A"/>
    <w:rsid w:val="05929BA4"/>
    <w:rsid w:val="05D66DCE"/>
    <w:rsid w:val="05EA0B0F"/>
    <w:rsid w:val="063CCA65"/>
    <w:rsid w:val="065BABD8"/>
    <w:rsid w:val="0662FBC2"/>
    <w:rsid w:val="0687F134"/>
    <w:rsid w:val="06992658"/>
    <w:rsid w:val="069E14CE"/>
    <w:rsid w:val="06B574EE"/>
    <w:rsid w:val="06E8D2DC"/>
    <w:rsid w:val="071EA009"/>
    <w:rsid w:val="078EA553"/>
    <w:rsid w:val="07FA04DD"/>
    <w:rsid w:val="07FE11EA"/>
    <w:rsid w:val="084F6564"/>
    <w:rsid w:val="08654C15"/>
    <w:rsid w:val="08721681"/>
    <w:rsid w:val="091CFFA0"/>
    <w:rsid w:val="094D8B97"/>
    <w:rsid w:val="098BD16D"/>
    <w:rsid w:val="09F581BA"/>
    <w:rsid w:val="0A3EF5FE"/>
    <w:rsid w:val="0A8E7982"/>
    <w:rsid w:val="0CB0495B"/>
    <w:rsid w:val="0CB8423A"/>
    <w:rsid w:val="0CDEAE21"/>
    <w:rsid w:val="0D0F6033"/>
    <w:rsid w:val="0DB86D5E"/>
    <w:rsid w:val="0F2F1D50"/>
    <w:rsid w:val="0F654E92"/>
    <w:rsid w:val="0F7D2541"/>
    <w:rsid w:val="0F9DE9F8"/>
    <w:rsid w:val="0FE9E1B9"/>
    <w:rsid w:val="112B5771"/>
    <w:rsid w:val="1159384C"/>
    <w:rsid w:val="1196BC95"/>
    <w:rsid w:val="11F08466"/>
    <w:rsid w:val="1269B338"/>
    <w:rsid w:val="12927CF1"/>
    <w:rsid w:val="12AB1CDC"/>
    <w:rsid w:val="132D54C6"/>
    <w:rsid w:val="13326734"/>
    <w:rsid w:val="1364CF65"/>
    <w:rsid w:val="1380988E"/>
    <w:rsid w:val="13D1E7AA"/>
    <w:rsid w:val="13D279E9"/>
    <w:rsid w:val="13D7FA35"/>
    <w:rsid w:val="13FE132E"/>
    <w:rsid w:val="14245CD8"/>
    <w:rsid w:val="145130E3"/>
    <w:rsid w:val="14C74D40"/>
    <w:rsid w:val="14D54A2D"/>
    <w:rsid w:val="14FDDD64"/>
    <w:rsid w:val="1530D7C7"/>
    <w:rsid w:val="15EE6F33"/>
    <w:rsid w:val="15F6DC3C"/>
    <w:rsid w:val="16493E67"/>
    <w:rsid w:val="1659231B"/>
    <w:rsid w:val="16A7407D"/>
    <w:rsid w:val="172A939F"/>
    <w:rsid w:val="173C80F6"/>
    <w:rsid w:val="17DFD692"/>
    <w:rsid w:val="17F7FE3F"/>
    <w:rsid w:val="18617133"/>
    <w:rsid w:val="186CBC17"/>
    <w:rsid w:val="18A801E8"/>
    <w:rsid w:val="18DC1FC9"/>
    <w:rsid w:val="18F34858"/>
    <w:rsid w:val="1933A169"/>
    <w:rsid w:val="19862717"/>
    <w:rsid w:val="199EC239"/>
    <w:rsid w:val="19D7D1E2"/>
    <w:rsid w:val="1A1BC768"/>
    <w:rsid w:val="1A2F773B"/>
    <w:rsid w:val="1A327EEC"/>
    <w:rsid w:val="1A8994A7"/>
    <w:rsid w:val="1A8F8D79"/>
    <w:rsid w:val="1ABAAE20"/>
    <w:rsid w:val="1AE31767"/>
    <w:rsid w:val="1AE7396D"/>
    <w:rsid w:val="1B5591B0"/>
    <w:rsid w:val="1B96D678"/>
    <w:rsid w:val="1BD917CB"/>
    <w:rsid w:val="1C4275B9"/>
    <w:rsid w:val="1C4C8FCD"/>
    <w:rsid w:val="1CDF2174"/>
    <w:rsid w:val="1D2134CA"/>
    <w:rsid w:val="1D9F342C"/>
    <w:rsid w:val="1DB8C08B"/>
    <w:rsid w:val="1DCEC6E3"/>
    <w:rsid w:val="1DE25859"/>
    <w:rsid w:val="1E7D1FF5"/>
    <w:rsid w:val="1E8CB2D9"/>
    <w:rsid w:val="1EDC43AF"/>
    <w:rsid w:val="1F69531C"/>
    <w:rsid w:val="1F7EFAF6"/>
    <w:rsid w:val="1F863CBF"/>
    <w:rsid w:val="1FBE12ED"/>
    <w:rsid w:val="203F64B8"/>
    <w:rsid w:val="2041823E"/>
    <w:rsid w:val="206B0B87"/>
    <w:rsid w:val="214D9016"/>
    <w:rsid w:val="218D42F9"/>
    <w:rsid w:val="21B6D44D"/>
    <w:rsid w:val="21F227B0"/>
    <w:rsid w:val="22151BB3"/>
    <w:rsid w:val="22A3CD15"/>
    <w:rsid w:val="22C11E1F"/>
    <w:rsid w:val="2308B2A8"/>
    <w:rsid w:val="230EE810"/>
    <w:rsid w:val="231C55DE"/>
    <w:rsid w:val="24010475"/>
    <w:rsid w:val="24582D01"/>
    <w:rsid w:val="2467145F"/>
    <w:rsid w:val="249524B1"/>
    <w:rsid w:val="25420991"/>
    <w:rsid w:val="254F1B3F"/>
    <w:rsid w:val="25B60609"/>
    <w:rsid w:val="25E9913B"/>
    <w:rsid w:val="2607D9F1"/>
    <w:rsid w:val="2612D0F0"/>
    <w:rsid w:val="2620784A"/>
    <w:rsid w:val="262108B4"/>
    <w:rsid w:val="263E434D"/>
    <w:rsid w:val="2664D2DF"/>
    <w:rsid w:val="2689EF63"/>
    <w:rsid w:val="268E8AD7"/>
    <w:rsid w:val="28195F99"/>
    <w:rsid w:val="28435480"/>
    <w:rsid w:val="284F51EB"/>
    <w:rsid w:val="28C5E76A"/>
    <w:rsid w:val="29E81B11"/>
    <w:rsid w:val="29F05794"/>
    <w:rsid w:val="2A14BAFE"/>
    <w:rsid w:val="2A84C80A"/>
    <w:rsid w:val="2A9E9037"/>
    <w:rsid w:val="2AA7C977"/>
    <w:rsid w:val="2AA99886"/>
    <w:rsid w:val="2AD0A798"/>
    <w:rsid w:val="2B109D1C"/>
    <w:rsid w:val="2B4598D0"/>
    <w:rsid w:val="2B4BCD52"/>
    <w:rsid w:val="2B5A7CB7"/>
    <w:rsid w:val="2B85ABF8"/>
    <w:rsid w:val="2BB1FBBB"/>
    <w:rsid w:val="2BE4AC45"/>
    <w:rsid w:val="2C0130CF"/>
    <w:rsid w:val="2C4C9B46"/>
    <w:rsid w:val="2C55394F"/>
    <w:rsid w:val="2C58A584"/>
    <w:rsid w:val="2C7C48D9"/>
    <w:rsid w:val="2CAC8DF0"/>
    <w:rsid w:val="2D1B0918"/>
    <w:rsid w:val="2D275816"/>
    <w:rsid w:val="2D3FAEF9"/>
    <w:rsid w:val="2D8075E2"/>
    <w:rsid w:val="2D9DF9FA"/>
    <w:rsid w:val="2DE987F4"/>
    <w:rsid w:val="2DEA0BEB"/>
    <w:rsid w:val="2E06E392"/>
    <w:rsid w:val="2E3158B7"/>
    <w:rsid w:val="2E4B2C62"/>
    <w:rsid w:val="2E501108"/>
    <w:rsid w:val="2E72D0C6"/>
    <w:rsid w:val="2F13C2CA"/>
    <w:rsid w:val="2F8DD783"/>
    <w:rsid w:val="2FA0CBEF"/>
    <w:rsid w:val="2FA8C483"/>
    <w:rsid w:val="3031CA4E"/>
    <w:rsid w:val="30617824"/>
    <w:rsid w:val="30C4DFCF"/>
    <w:rsid w:val="30C6ACCF"/>
    <w:rsid w:val="313AB0BE"/>
    <w:rsid w:val="316ED38A"/>
    <w:rsid w:val="319AC8B3"/>
    <w:rsid w:val="32297CD0"/>
    <w:rsid w:val="329C95AE"/>
    <w:rsid w:val="32CA0354"/>
    <w:rsid w:val="332CDAB2"/>
    <w:rsid w:val="337D2ABA"/>
    <w:rsid w:val="33BBBEE3"/>
    <w:rsid w:val="33E3319B"/>
    <w:rsid w:val="33E4A9DB"/>
    <w:rsid w:val="3406FDC9"/>
    <w:rsid w:val="34101886"/>
    <w:rsid w:val="343C9E21"/>
    <w:rsid w:val="343E780F"/>
    <w:rsid w:val="346D726B"/>
    <w:rsid w:val="348148C2"/>
    <w:rsid w:val="34E95E40"/>
    <w:rsid w:val="34F8AE15"/>
    <w:rsid w:val="34F9FC53"/>
    <w:rsid w:val="34FB5B3F"/>
    <w:rsid w:val="3507309E"/>
    <w:rsid w:val="35216887"/>
    <w:rsid w:val="357B0903"/>
    <w:rsid w:val="3631276A"/>
    <w:rsid w:val="3633F230"/>
    <w:rsid w:val="36633CDA"/>
    <w:rsid w:val="3667109B"/>
    <w:rsid w:val="36F9E8EB"/>
    <w:rsid w:val="372620ED"/>
    <w:rsid w:val="3739AE59"/>
    <w:rsid w:val="3756D630"/>
    <w:rsid w:val="375CE09E"/>
    <w:rsid w:val="37B0246B"/>
    <w:rsid w:val="37DD53D1"/>
    <w:rsid w:val="3820B63A"/>
    <w:rsid w:val="39323D49"/>
    <w:rsid w:val="3A735D9A"/>
    <w:rsid w:val="3A88FD17"/>
    <w:rsid w:val="3AA525C8"/>
    <w:rsid w:val="3AE8E08D"/>
    <w:rsid w:val="3B0A3FCF"/>
    <w:rsid w:val="3B256FA2"/>
    <w:rsid w:val="3B3FE639"/>
    <w:rsid w:val="3BEC7870"/>
    <w:rsid w:val="3C0DBDF1"/>
    <w:rsid w:val="3C61C0DB"/>
    <w:rsid w:val="3C75664F"/>
    <w:rsid w:val="3CB14E05"/>
    <w:rsid w:val="3CB2E4CD"/>
    <w:rsid w:val="3CCADD28"/>
    <w:rsid w:val="3CFAE5A7"/>
    <w:rsid w:val="3CFC9675"/>
    <w:rsid w:val="3D32B821"/>
    <w:rsid w:val="3D51D502"/>
    <w:rsid w:val="3D701302"/>
    <w:rsid w:val="3D8BF8CF"/>
    <w:rsid w:val="3D96DDB2"/>
    <w:rsid w:val="3DAE2ED7"/>
    <w:rsid w:val="3DB554FE"/>
    <w:rsid w:val="3DC9B9EA"/>
    <w:rsid w:val="3DE45A61"/>
    <w:rsid w:val="3E24040B"/>
    <w:rsid w:val="3E37E56D"/>
    <w:rsid w:val="3E38371F"/>
    <w:rsid w:val="3E86BCFA"/>
    <w:rsid w:val="3ED209FA"/>
    <w:rsid w:val="3F0E8D0E"/>
    <w:rsid w:val="3F638729"/>
    <w:rsid w:val="3FC14509"/>
    <w:rsid w:val="3FED48E0"/>
    <w:rsid w:val="40C02BDC"/>
    <w:rsid w:val="40C5698C"/>
    <w:rsid w:val="40E011F2"/>
    <w:rsid w:val="40E65EBB"/>
    <w:rsid w:val="41001AB2"/>
    <w:rsid w:val="4106E273"/>
    <w:rsid w:val="41090B9B"/>
    <w:rsid w:val="412FEF86"/>
    <w:rsid w:val="41B08D7D"/>
    <w:rsid w:val="41CB64F7"/>
    <w:rsid w:val="4209D382"/>
    <w:rsid w:val="42874166"/>
    <w:rsid w:val="43DDBAA6"/>
    <w:rsid w:val="43E72260"/>
    <w:rsid w:val="43F282EB"/>
    <w:rsid w:val="44365C9D"/>
    <w:rsid w:val="4466C4F6"/>
    <w:rsid w:val="44FAC921"/>
    <w:rsid w:val="454EB82D"/>
    <w:rsid w:val="45C866A0"/>
    <w:rsid w:val="45C948EF"/>
    <w:rsid w:val="461011B4"/>
    <w:rsid w:val="462E39EF"/>
    <w:rsid w:val="4637F339"/>
    <w:rsid w:val="46633801"/>
    <w:rsid w:val="46828E88"/>
    <w:rsid w:val="469C0770"/>
    <w:rsid w:val="46B8C602"/>
    <w:rsid w:val="46C080A1"/>
    <w:rsid w:val="471F70B4"/>
    <w:rsid w:val="47EBF53E"/>
    <w:rsid w:val="4801AD79"/>
    <w:rsid w:val="4824782E"/>
    <w:rsid w:val="4841D3D1"/>
    <w:rsid w:val="48A45AE9"/>
    <w:rsid w:val="48B21338"/>
    <w:rsid w:val="48B289C5"/>
    <w:rsid w:val="490721D9"/>
    <w:rsid w:val="493665A3"/>
    <w:rsid w:val="495A3481"/>
    <w:rsid w:val="4A3AC65B"/>
    <w:rsid w:val="4A597131"/>
    <w:rsid w:val="4AAF8B21"/>
    <w:rsid w:val="4B0F0D4E"/>
    <w:rsid w:val="4B21EA02"/>
    <w:rsid w:val="4B240416"/>
    <w:rsid w:val="4B2DD91A"/>
    <w:rsid w:val="4B531857"/>
    <w:rsid w:val="4B731EC7"/>
    <w:rsid w:val="4BAEC2BC"/>
    <w:rsid w:val="4BBA683E"/>
    <w:rsid w:val="4C24C092"/>
    <w:rsid w:val="4C547BB5"/>
    <w:rsid w:val="4C7B147D"/>
    <w:rsid w:val="4CA7F87E"/>
    <w:rsid w:val="4CC08A50"/>
    <w:rsid w:val="4CE2CAB4"/>
    <w:rsid w:val="4D1069A0"/>
    <w:rsid w:val="4D6643F5"/>
    <w:rsid w:val="4D6AB5D3"/>
    <w:rsid w:val="4E20A2DD"/>
    <w:rsid w:val="4E3300D6"/>
    <w:rsid w:val="4E85DB36"/>
    <w:rsid w:val="4E896CD2"/>
    <w:rsid w:val="4E9D60F4"/>
    <w:rsid w:val="4EA947EA"/>
    <w:rsid w:val="4ED2064C"/>
    <w:rsid w:val="4F793A5D"/>
    <w:rsid w:val="4F9A90E6"/>
    <w:rsid w:val="4FE54135"/>
    <w:rsid w:val="50537F06"/>
    <w:rsid w:val="5074E856"/>
    <w:rsid w:val="50B51836"/>
    <w:rsid w:val="50D89DDF"/>
    <w:rsid w:val="50FF6E60"/>
    <w:rsid w:val="50FFE7ED"/>
    <w:rsid w:val="510CCC7F"/>
    <w:rsid w:val="51324285"/>
    <w:rsid w:val="513BD263"/>
    <w:rsid w:val="51750CBF"/>
    <w:rsid w:val="519155F2"/>
    <w:rsid w:val="51A2DB14"/>
    <w:rsid w:val="51F8AC13"/>
    <w:rsid w:val="521D0623"/>
    <w:rsid w:val="52458633"/>
    <w:rsid w:val="5264EF52"/>
    <w:rsid w:val="529930DC"/>
    <w:rsid w:val="529B7E23"/>
    <w:rsid w:val="52A40326"/>
    <w:rsid w:val="52C3344A"/>
    <w:rsid w:val="530EE7D3"/>
    <w:rsid w:val="53A87E6E"/>
    <w:rsid w:val="53E1AAA3"/>
    <w:rsid w:val="53EE0DFE"/>
    <w:rsid w:val="558B6A15"/>
    <w:rsid w:val="559A0B6B"/>
    <w:rsid w:val="55DA78A2"/>
    <w:rsid w:val="55E6F60E"/>
    <w:rsid w:val="55EFD4B0"/>
    <w:rsid w:val="563D43F9"/>
    <w:rsid w:val="566DB8B5"/>
    <w:rsid w:val="56A11BA2"/>
    <w:rsid w:val="56E19A1A"/>
    <w:rsid w:val="57A4D18A"/>
    <w:rsid w:val="57D2021F"/>
    <w:rsid w:val="58059B96"/>
    <w:rsid w:val="58083EAF"/>
    <w:rsid w:val="5811D02F"/>
    <w:rsid w:val="5825388E"/>
    <w:rsid w:val="5827770C"/>
    <w:rsid w:val="5837D303"/>
    <w:rsid w:val="585D5121"/>
    <w:rsid w:val="58902A45"/>
    <w:rsid w:val="58DA8D7B"/>
    <w:rsid w:val="58ED86E4"/>
    <w:rsid w:val="590945AA"/>
    <w:rsid w:val="5915C6A7"/>
    <w:rsid w:val="59B200B3"/>
    <w:rsid w:val="59BEA6C0"/>
    <w:rsid w:val="59F09EDE"/>
    <w:rsid w:val="5A11F02F"/>
    <w:rsid w:val="5A47503F"/>
    <w:rsid w:val="5AE76DA8"/>
    <w:rsid w:val="5AE8F95B"/>
    <w:rsid w:val="5AF53F9F"/>
    <w:rsid w:val="5B6D8AEB"/>
    <w:rsid w:val="5BCD1A5B"/>
    <w:rsid w:val="5CA589A9"/>
    <w:rsid w:val="5D0432DD"/>
    <w:rsid w:val="5D1F821B"/>
    <w:rsid w:val="5D257B85"/>
    <w:rsid w:val="5D48A899"/>
    <w:rsid w:val="5D89D8CC"/>
    <w:rsid w:val="5DCF576B"/>
    <w:rsid w:val="5DE70BCF"/>
    <w:rsid w:val="5DF5FEBF"/>
    <w:rsid w:val="5E13C9B6"/>
    <w:rsid w:val="5E5EFBD9"/>
    <w:rsid w:val="5E76407B"/>
    <w:rsid w:val="5EE92E41"/>
    <w:rsid w:val="5F962334"/>
    <w:rsid w:val="6061DEE0"/>
    <w:rsid w:val="60944171"/>
    <w:rsid w:val="60DF3964"/>
    <w:rsid w:val="614A2DB4"/>
    <w:rsid w:val="615ACA4E"/>
    <w:rsid w:val="616071E9"/>
    <w:rsid w:val="618C5059"/>
    <w:rsid w:val="61B1E5EE"/>
    <w:rsid w:val="61BD7EB9"/>
    <w:rsid w:val="61F43215"/>
    <w:rsid w:val="63021C79"/>
    <w:rsid w:val="632BFF78"/>
    <w:rsid w:val="63442148"/>
    <w:rsid w:val="634AF522"/>
    <w:rsid w:val="63CFC326"/>
    <w:rsid w:val="6472FAAC"/>
    <w:rsid w:val="64ACD198"/>
    <w:rsid w:val="64FDC2F4"/>
    <w:rsid w:val="650F6CAC"/>
    <w:rsid w:val="653193B3"/>
    <w:rsid w:val="65D897B0"/>
    <w:rsid w:val="65F57589"/>
    <w:rsid w:val="66BE931B"/>
    <w:rsid w:val="66C7F47A"/>
    <w:rsid w:val="66D08D74"/>
    <w:rsid w:val="66D17237"/>
    <w:rsid w:val="672189AB"/>
    <w:rsid w:val="6793A311"/>
    <w:rsid w:val="6848D6EE"/>
    <w:rsid w:val="687066E6"/>
    <w:rsid w:val="689F4628"/>
    <w:rsid w:val="697F2F87"/>
    <w:rsid w:val="69903F5B"/>
    <w:rsid w:val="699D44A2"/>
    <w:rsid w:val="69A653A2"/>
    <w:rsid w:val="69C7753C"/>
    <w:rsid w:val="6A070AFA"/>
    <w:rsid w:val="6A8D04E7"/>
    <w:rsid w:val="6AA2EF8D"/>
    <w:rsid w:val="6AA3FAF1"/>
    <w:rsid w:val="6AB88DEB"/>
    <w:rsid w:val="6ABBA594"/>
    <w:rsid w:val="6ACD621B"/>
    <w:rsid w:val="6B033A54"/>
    <w:rsid w:val="6B1F8BB5"/>
    <w:rsid w:val="6B5D99B6"/>
    <w:rsid w:val="6B68FEB2"/>
    <w:rsid w:val="6B6BCE79"/>
    <w:rsid w:val="6B6E102A"/>
    <w:rsid w:val="6B90AC46"/>
    <w:rsid w:val="6BBF6618"/>
    <w:rsid w:val="6C76BBF4"/>
    <w:rsid w:val="6D20A8A9"/>
    <w:rsid w:val="6D33662E"/>
    <w:rsid w:val="6DF29777"/>
    <w:rsid w:val="6DF5C72C"/>
    <w:rsid w:val="6E006E8A"/>
    <w:rsid w:val="6E34E5E9"/>
    <w:rsid w:val="6E3E7BBD"/>
    <w:rsid w:val="6E42A795"/>
    <w:rsid w:val="6E60D432"/>
    <w:rsid w:val="6E6E711E"/>
    <w:rsid w:val="6EBB86D7"/>
    <w:rsid w:val="6EBFAC85"/>
    <w:rsid w:val="6ECF3F83"/>
    <w:rsid w:val="6F1AA68E"/>
    <w:rsid w:val="6F435EA7"/>
    <w:rsid w:val="6F5EEDF3"/>
    <w:rsid w:val="6FA1B446"/>
    <w:rsid w:val="700A81B1"/>
    <w:rsid w:val="70733F10"/>
    <w:rsid w:val="71510EB7"/>
    <w:rsid w:val="71F4EAAB"/>
    <w:rsid w:val="71FF65CB"/>
    <w:rsid w:val="7205C4F7"/>
    <w:rsid w:val="72615CA1"/>
    <w:rsid w:val="726885B0"/>
    <w:rsid w:val="726C2CDF"/>
    <w:rsid w:val="72A429AA"/>
    <w:rsid w:val="72CFB727"/>
    <w:rsid w:val="730794F2"/>
    <w:rsid w:val="730BB67D"/>
    <w:rsid w:val="73199FC5"/>
    <w:rsid w:val="7329E73D"/>
    <w:rsid w:val="732C8921"/>
    <w:rsid w:val="732D1A56"/>
    <w:rsid w:val="73732303"/>
    <w:rsid w:val="73BD790A"/>
    <w:rsid w:val="73C2AF90"/>
    <w:rsid w:val="74BE87E7"/>
    <w:rsid w:val="74E75458"/>
    <w:rsid w:val="75045B2E"/>
    <w:rsid w:val="754AFD1B"/>
    <w:rsid w:val="757D1643"/>
    <w:rsid w:val="758AEA27"/>
    <w:rsid w:val="75959CBF"/>
    <w:rsid w:val="759833F1"/>
    <w:rsid w:val="75A122ED"/>
    <w:rsid w:val="75C5E799"/>
    <w:rsid w:val="75F7EE3D"/>
    <w:rsid w:val="7615690A"/>
    <w:rsid w:val="779DFE0D"/>
    <w:rsid w:val="77C5F6A4"/>
    <w:rsid w:val="77F6C275"/>
    <w:rsid w:val="78CF98B7"/>
    <w:rsid w:val="790FDBBF"/>
    <w:rsid w:val="79204F13"/>
    <w:rsid w:val="79618681"/>
    <w:rsid w:val="796885B0"/>
    <w:rsid w:val="79FF67A8"/>
    <w:rsid w:val="7A0B326F"/>
    <w:rsid w:val="7A1A21B5"/>
    <w:rsid w:val="7A6448B0"/>
    <w:rsid w:val="7A724049"/>
    <w:rsid w:val="7AC976D7"/>
    <w:rsid w:val="7B65E647"/>
    <w:rsid w:val="7B8F9D1C"/>
    <w:rsid w:val="7B9D0252"/>
    <w:rsid w:val="7BBA4595"/>
    <w:rsid w:val="7C02AE8C"/>
    <w:rsid w:val="7C0531DE"/>
    <w:rsid w:val="7CBC1FDD"/>
    <w:rsid w:val="7D1542DB"/>
    <w:rsid w:val="7D222D9A"/>
    <w:rsid w:val="7D39492A"/>
    <w:rsid w:val="7D699132"/>
    <w:rsid w:val="7DEBBDA0"/>
    <w:rsid w:val="7E065887"/>
    <w:rsid w:val="7E564387"/>
    <w:rsid w:val="7EFC7D15"/>
    <w:rsid w:val="7F13E59F"/>
    <w:rsid w:val="7F2C9EE5"/>
    <w:rsid w:val="7F8790B9"/>
    <w:rsid w:val="7FBCB4B9"/>
    <w:rsid w:val="7FFB8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3E67"/>
  <w15:chartTrackingRefBased/>
  <w15:docId w15:val="{D2E2FF71-567E-4CEC-9057-218ADD856C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FA8C483"/>
    <w:pPr>
      <w:tabs>
        <w:tab w:val="center" w:leader="none" w:pos="4680"/>
        <w:tab w:val="right" w:leader="none" w:pos="9360"/>
      </w:tabs>
      <w:spacing w:after="0" w:line="240" w:lineRule="auto"/>
    </w:pPr>
  </w:style>
  <w:style w:type="paragraph" w:styleId="Footer">
    <w:uiPriority w:val="99"/>
    <w:name w:val="footer"/>
    <w:basedOn w:val="Normal"/>
    <w:unhideWhenUsed/>
    <w:rsid w:val="2FA8C483"/>
    <w:pPr>
      <w:tabs>
        <w:tab w:val="center" w:leader="none" w:pos="4680"/>
        <w:tab w:val="right" w:leader="none" w:pos="9360"/>
      </w:tabs>
      <w:spacing w:after="0" w:line="240" w:lineRule="auto"/>
    </w:pPr>
  </w:style>
  <w:style w:type="paragraph" w:styleId="ListParagraph">
    <w:uiPriority w:val="34"/>
    <w:name w:val="List Paragraph"/>
    <w:basedOn w:val="Normal"/>
    <w:qFormat/>
    <w:rsid w:val="2FA8C483"/>
    <w:pPr>
      <w:spacing/>
      <w:ind w:left="720"/>
      <w:contextualSpacing/>
    </w:pPr>
  </w:style>
  <w:style w:type="character" w:styleId="Hyperlink">
    <w:uiPriority w:val="99"/>
    <w:name w:val="Hyperlink"/>
    <w:basedOn w:val="DefaultParagraphFont"/>
    <w:unhideWhenUsed/>
    <w:rsid w:val="2FA8C483"/>
    <w:rPr>
      <w:color w:val="467886"/>
      <w:u w:val="single"/>
    </w:rPr>
  </w:style>
  <w:style w:type="paragraph" w:styleId="Heading3">
    <w:uiPriority w:val="9"/>
    <w:name w:val="heading 3"/>
    <w:basedOn w:val="Normal"/>
    <w:next w:val="Normal"/>
    <w:unhideWhenUsed/>
    <w:qFormat/>
    <w:rsid w:val="2FA8C48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2FA8C48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4209D38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aa07d90d8a444c05" /><Relationship Type="http://schemas.openxmlformats.org/officeDocument/2006/relationships/numbering" Target="/word/numbering.xml" Id="R289edea47cef406a" /><Relationship Type="http://schemas.microsoft.com/office/2020/10/relationships/intelligence" Target="/word/intelligence2.xml" Id="R97de0cc07c404a13" /><Relationship Type="http://schemas.openxmlformats.org/officeDocument/2006/relationships/hyperlink" Target="https://www.acaps.org/fileadmin/Data_Product/Main_media/20201109_acaps_thematic_report_on_education_in_iraq.pdf" TargetMode="External" Id="R3beb4a95d27247c0" /><Relationship Type="http://schemas.openxmlformats.org/officeDocument/2006/relationships/hyperlink" Target="https://www.bmz.de/en/issues/education-a-human-right/education-in-developing-countries-197598" TargetMode="External" Id="Rfb0435222289400b" /><Relationship Type="http://schemas.openxmlformats.org/officeDocument/2006/relationships/hyperlink" Target="https://www.care.org/" TargetMode="External" Id="Rc893b891d71142dc" /><Relationship Type="http://schemas.openxmlformats.org/officeDocument/2006/relationships/hyperlink" Target="https://www.ei-ie.org/en/item/28658:go-public-strengthening-iraqs-public-education-system" TargetMode="External" Id="R9479843c91044b89" /><Relationship Type="http://schemas.openxmlformats.org/officeDocument/2006/relationships/hyperlink" Target="https://ijhss.thebrpi.org/journals/Vol_5_No_7_1_July_2015/17.pdf" TargetMode="External" Id="R2a8aa8166a614238" /><Relationship Type="http://schemas.openxmlformats.org/officeDocument/2006/relationships/hyperlink" Target="https://historyandpolicy.org/policy-papers/papers/iraq-past-present-and-future-a-thoroughly-modern-mandate/" TargetMode="External" Id="Rbf329dca83d34e40" /><Relationship Type="http://schemas.openxmlformats.org/officeDocument/2006/relationships/hyperlink" Target="https://www.imf.org/en/Publications/fandd/issues/Series/Back-to-Basics/Globalization" TargetMode="External" Id="R9a9c4dd5b60d4942" /><Relationship Type="http://schemas.openxmlformats.org/officeDocument/2006/relationships/hyperlink" Target="https://www.participatelearning.com/blog/benefits-global-education-students/" TargetMode="External" Id="R93fd945dd58d4d43" /><Relationship Type="http://schemas.openxmlformats.org/officeDocument/2006/relationships/hyperlink" Target="https://www.piie.com/microsites/globalization/what-is-globalization" TargetMode="External" Id="Rcf776a1153084178" /><Relationship Type="http://schemas.openxmlformats.org/officeDocument/2006/relationships/hyperlink" Target="https://www.care.org/" TargetMode="External" Id="Rf0cac1e8fea24845" /><Relationship Type="http://schemas.openxmlformats.org/officeDocument/2006/relationships/hyperlink" Target="https://se-ed.org.uk/about-us/our-history/" TargetMode="External" Id="R0f32dc8093324ef8" /><Relationship Type="http://schemas.openxmlformats.org/officeDocument/2006/relationships/hyperlink" Target="https://lifestyle.sustainability-directory.com/area/childhood-globalisation/" TargetMode="External" Id="Rf535d4619dc441d2" /><Relationship Type="http://schemas.openxmlformats.org/officeDocument/2006/relationships/hyperlink" Target="https://www.teachforlife.com/post/the-importance-of-a-global-perspective-in-education" TargetMode="External" Id="Re34223e6435b4c30" /><Relationship Type="http://schemas.openxmlformats.org/officeDocument/2006/relationships/hyperlink" Target="https://www.unesco.org/gem-report/en/publication/equity-and-access" TargetMode="External" Id="Rb05f4b47dabd4191" /><Relationship Type="http://schemas.openxmlformats.org/officeDocument/2006/relationships/hyperlink" Target="https://www.unesco.org/en/articles/251m-children-and-youth-still-out-school-despite-decades-progress-unesco-report" TargetMode="External" Id="R08afd519bf9241b6" /><Relationship Type="http://schemas.openxmlformats.org/officeDocument/2006/relationships/hyperlink" Target="https://www.unesco.org/en/sustainable-development/education" TargetMode="External" Id="R858a0b571bd44075" /><Relationship Type="http://schemas.openxmlformats.org/officeDocument/2006/relationships/hyperlink" Target="https://www.unicef.org/iraq/what-we-do/education" TargetMode="External" Id="R3c4f93c27a074d20" /><Relationship Type="http://schemas.openxmlformats.org/officeDocument/2006/relationships/hyperlink" Target="https://mics.unicef.org/surveys" TargetMode="External" Id="R6ed6ae2987d646b5" /><Relationship Type="http://schemas.openxmlformats.org/officeDocument/2006/relationships/hyperlink" Target="https://www.un.org/en/about-us/universal-declaration-of-human-rights" TargetMode="External" Id="Rf1e75859dd72467e" /><Relationship Type="http://schemas.openxmlformats.org/officeDocument/2006/relationships/hyperlink" Target="https://www.un.org/sustainabledevelopment/education/" TargetMode="External" Id="R53d20685db124437" /><Relationship Type="http://schemas.openxmlformats.org/officeDocument/2006/relationships/hyperlink" Target="https://www.un.org/sustainabledevelopment/" TargetMode="External" Id="Rf37089c573d84086" /><Relationship Type="http://schemas.openxmlformats.org/officeDocument/2006/relationships/hyperlink" Target="https://staff.sussex.ac.uk/teaching/enhancement/support/curriculum/sustainable-development" TargetMode="External" Id="R9e03c0bedb274f8e" /><Relationship Type="http://schemas.openxmlformats.org/officeDocument/2006/relationships/hyperlink" Target="https://www.worldbank.org/en/results/2024/10/29/iraq-improving-quality-of-education-and-access-to-enable-all-students-to-learn" TargetMode="External" Id="R5a02aee428a94d55" /><Relationship Type="http://schemas.openxmlformats.org/officeDocument/2006/relationships/header" Target="/word/header.xml" Id="Rc6b6886f04f54d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Nour Al-Geboory (1709546)</dc:creator>
  <keywords/>
  <dc:description/>
  <lastModifiedBy>Nour Al-Geboory (1709546)</lastModifiedBy>
  <revision>6</revision>
  <dcterms:created xsi:type="dcterms:W3CDTF">2026-01-12T09:50:02.0496031Z</dcterms:created>
  <dcterms:modified xsi:type="dcterms:W3CDTF">2026-02-05T13:03:38.5507100Z</dcterms:modified>
</coreProperties>
</file>