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4471E675" w:rsidR="009B47AE" w:rsidRPr="006B6B8E" w:rsidRDefault="006B6B8E" w:rsidP="006B6B8E">
      <w:pPr>
        <w:pStyle w:val="AssignBody"/>
        <w:jc w:val="center"/>
        <w:rPr>
          <w:b/>
          <w:bCs/>
          <w:sz w:val="36"/>
          <w:szCs w:val="36"/>
          <w:u w:val="single"/>
        </w:rPr>
      </w:pPr>
      <w:r w:rsidRPr="006B6B8E">
        <w:rPr>
          <w:b/>
          <w:bCs/>
          <w:sz w:val="36"/>
          <w:szCs w:val="36"/>
          <w:u w:val="single"/>
          <w:lang w:val="cy-GB"/>
        </w:rPr>
        <w:t>Understanding how the learner, the school and the local community work together to deliver one of the four purposes of the new curriculum</w:t>
      </w:r>
    </w:p>
    <w:p w14:paraId="04B332E0" w14:textId="77777777" w:rsidR="009B47AE" w:rsidRDefault="009B47AE" w:rsidP="00CD1240">
      <w:pPr>
        <w:pStyle w:val="AssignBody"/>
      </w:pPr>
    </w:p>
    <w:p w14:paraId="203C943F" w14:textId="77777777" w:rsidR="004D42A8" w:rsidRDefault="009B47AE" w:rsidP="00E611D9">
      <w:pPr>
        <w:pStyle w:val="AssignBody"/>
      </w:pPr>
      <w:r>
        <w:rPr>
          <w:b/>
        </w:rPr>
        <w:t xml:space="preserve">Dolen fideo / </w:t>
      </w:r>
      <w:r w:rsidRPr="009B47AE">
        <w:rPr>
          <w:b/>
        </w:rPr>
        <w:t>Video link:</w:t>
      </w:r>
      <w:r>
        <w:t xml:space="preserve"> </w:t>
      </w:r>
    </w:p>
    <w:p w14:paraId="20C4B590" w14:textId="3288268E" w:rsidR="009B47AE" w:rsidRDefault="004D42A8" w:rsidP="00E611D9">
      <w:pPr>
        <w:pStyle w:val="AssignBody"/>
      </w:pPr>
      <w:hyperlink r:id="rId9" w:history="1">
        <w:r w:rsidRPr="00D86EEC">
          <w:rPr>
            <w:rStyle w:val="Hyperlink"/>
            <w:i/>
          </w:rPr>
          <w:t>https://uowtsd</w:t>
        </w:r>
        <w:r w:rsidRPr="00D86EEC">
          <w:rPr>
            <w:rStyle w:val="Hyperlink"/>
            <w:i/>
          </w:rPr>
          <w:t>-</w:t>
        </w:r>
        <w:r w:rsidRPr="00D86EEC">
          <w:rPr>
            <w:rStyle w:val="Hyperlink"/>
            <w:i/>
          </w:rPr>
          <w:t>my.sharepoint.com/:v:/</w:t>
        </w:r>
        <w:r w:rsidRPr="00D86EEC">
          <w:rPr>
            <w:rStyle w:val="Hyperlink"/>
            <w:i/>
          </w:rPr>
          <w:t>g</w:t>
        </w:r>
        <w:r w:rsidRPr="00D86EEC">
          <w:rPr>
            <w:rStyle w:val="Hyperlink"/>
            <w:i/>
          </w:rPr>
          <w:t>/personal/1900208_student_uwtsd_ac_uk/EaL7vZ6WHDBMl94UI1s40qwBOsof4HSyZrdJDpo_oPLAdw?e=Ik0t5G</w:t>
        </w:r>
      </w:hyperlink>
    </w:p>
    <w:p w14:paraId="3D4AE13F" w14:textId="77777777" w:rsidR="006B6B8E" w:rsidRDefault="006B6B8E" w:rsidP="00E611D9">
      <w:pPr>
        <w:pStyle w:val="AssignBody"/>
      </w:pPr>
    </w:p>
    <w:p w14:paraId="07422676" w14:textId="77777777" w:rsidR="006B6B8E" w:rsidRDefault="006B6B8E" w:rsidP="00E611D9">
      <w:pPr>
        <w:pStyle w:val="AssignBody"/>
      </w:pPr>
    </w:p>
    <w:p w14:paraId="0D2F6EA6" w14:textId="7CB001CE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2BC9CEC7" w14:textId="77777777" w:rsidR="007526ED" w:rsidRDefault="007526ED" w:rsidP="007526ED">
      <w:pPr>
        <w:pStyle w:val="AssignBody"/>
        <w:rPr>
          <w:rFonts w:cs="Arial"/>
        </w:rPr>
      </w:pPr>
    </w:p>
    <w:p w14:paraId="015A6381" w14:textId="045AD5D4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Aemmi, S., and Moonaghi, H, K. (2017) ‘Intergenerational Learning Program: A Bridge between Generations’, </w:t>
      </w:r>
      <w:r w:rsidRPr="006B6B8E">
        <w:rPr>
          <w:rFonts w:cs="Arial"/>
          <w:i/>
          <w:iCs/>
        </w:rPr>
        <w:t>International Journal of Pediatrics,</w:t>
      </w:r>
      <w:r w:rsidRPr="006B6B8E">
        <w:rPr>
          <w:rFonts w:cs="Arial"/>
        </w:rPr>
        <w:t xml:space="preserve"> 5(12), pp. 6713-6721.</w:t>
      </w:r>
    </w:p>
    <w:p w14:paraId="03A80962" w14:textId="780E7AF0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Allport, G, W. (1958) </w:t>
      </w:r>
      <w:r w:rsidRPr="006B6B8E">
        <w:rPr>
          <w:rFonts w:cs="Arial"/>
          <w:i/>
          <w:iCs/>
        </w:rPr>
        <w:t>The Nature of Prejudice</w:t>
      </w:r>
      <w:r w:rsidRPr="006B6B8E">
        <w:rPr>
          <w:rFonts w:cs="Arial"/>
        </w:rPr>
        <w:t>. Addison-Wesley.</w:t>
      </w:r>
    </w:p>
    <w:p w14:paraId="5E8F3070" w14:textId="77777777" w:rsidR="007526ED" w:rsidRPr="006B6B8E" w:rsidRDefault="007526ED" w:rsidP="007526ED">
      <w:pPr>
        <w:pStyle w:val="AssignBody"/>
        <w:rPr>
          <w:rFonts w:cs="Arial"/>
        </w:rPr>
      </w:pPr>
    </w:p>
    <w:p w14:paraId="607CB872" w14:textId="36421E37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Baker, L. et al. (2017) ‘Intergenerational Programs May Be Especially Engaging for Aged Care Residents With Cognitive Impairment: Findings From the Avondale Intergenerational Design Challenge’, </w:t>
      </w:r>
      <w:r w:rsidRPr="006B6B8E">
        <w:rPr>
          <w:rFonts w:cs="Arial"/>
          <w:i/>
          <w:iCs/>
        </w:rPr>
        <w:t>American Journal of Alzheimer's Disease &amp; Other Dementias</w:t>
      </w:r>
      <w:r w:rsidRPr="006B6B8E">
        <w:rPr>
          <w:rFonts w:cs="Arial"/>
        </w:rPr>
        <w:t xml:space="preserve">, 32(4), pp. 213-21. </w:t>
      </w:r>
    </w:p>
    <w:p w14:paraId="218E028B" w14:textId="77777777" w:rsidR="007526ED" w:rsidRPr="006B6B8E" w:rsidRDefault="007526ED" w:rsidP="007526ED">
      <w:pPr>
        <w:pStyle w:val="AssignBody"/>
        <w:rPr>
          <w:rFonts w:cs="Arial"/>
        </w:rPr>
      </w:pPr>
    </w:p>
    <w:p w14:paraId="2BBCD5B0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Bera.ac.uk. (2018) </w:t>
      </w:r>
      <w:r w:rsidRPr="006B6B8E">
        <w:rPr>
          <w:rFonts w:cs="Arial"/>
          <w:i/>
          <w:iCs/>
        </w:rPr>
        <w:t>Ethical Guidelines for Educational Research, fourth edition</w:t>
      </w:r>
      <w:r w:rsidRPr="006B6B8E">
        <w:rPr>
          <w:rFonts w:cs="Arial"/>
        </w:rPr>
        <w:t xml:space="preserve">. </w:t>
      </w:r>
    </w:p>
    <w:p w14:paraId="065E8D5E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Available at: https://www.bera.ac.uk/publication/ethical-guidelines-for-educational-research-2018 </w:t>
      </w:r>
    </w:p>
    <w:p w14:paraId="74620D1C" w14:textId="60044AD0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1FB6EFDF" w14:textId="77777777" w:rsidR="007526ED" w:rsidRPr="006B6B8E" w:rsidRDefault="007526ED" w:rsidP="007526ED">
      <w:pPr>
        <w:pStyle w:val="AssignBody"/>
        <w:rPr>
          <w:rFonts w:cs="Arial"/>
        </w:rPr>
      </w:pPr>
    </w:p>
    <w:p w14:paraId="709DF3B0" w14:textId="481CFD7A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Biggs, M, J, G., and Knox, K, S. (2014) ‘Lessons Learned from an Intergenerational Volunteer Program: A Case Study of a Shared-Site Model’</w:t>
      </w:r>
      <w:r w:rsidRPr="006B6B8E">
        <w:rPr>
          <w:rFonts w:cs="Arial"/>
          <w:i/>
          <w:iCs/>
        </w:rPr>
        <w:t>, Journal of Intergenerational Relationships,</w:t>
      </w:r>
      <w:r w:rsidRPr="006B6B8E">
        <w:rPr>
          <w:rFonts w:cs="Arial"/>
        </w:rPr>
        <w:t> 12(1), pp. 54-68.</w:t>
      </w:r>
    </w:p>
    <w:p w14:paraId="1B350564" w14:textId="77777777" w:rsidR="007526ED" w:rsidRPr="006B6B8E" w:rsidRDefault="007526ED" w:rsidP="007526ED">
      <w:pPr>
        <w:pStyle w:val="AssignBody"/>
        <w:rPr>
          <w:rFonts w:cs="Arial"/>
        </w:rPr>
      </w:pPr>
    </w:p>
    <w:p w14:paraId="769AA557" w14:textId="5C1C9F86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Brabazon, K. (2008) ‘Student Improvement in the Intergenerational Work/Study Program’, </w:t>
      </w:r>
      <w:r w:rsidRPr="006B6B8E">
        <w:rPr>
          <w:rFonts w:cs="Arial"/>
          <w:i/>
          <w:iCs/>
        </w:rPr>
        <w:t>Child &amp; Youth Services,</w:t>
      </w:r>
      <w:r w:rsidRPr="006B6B8E">
        <w:rPr>
          <w:rFonts w:cs="Arial"/>
        </w:rPr>
        <w:t xml:space="preserve"> 20(1), pp. 50-61. </w:t>
      </w:r>
    </w:p>
    <w:p w14:paraId="5120BB7C" w14:textId="77777777" w:rsidR="007526ED" w:rsidRPr="006B6B8E" w:rsidRDefault="007526ED" w:rsidP="007526ED">
      <w:pPr>
        <w:pStyle w:val="AssignBody"/>
        <w:rPr>
          <w:rFonts w:cs="Arial"/>
        </w:rPr>
      </w:pPr>
    </w:p>
    <w:p w14:paraId="25C5E4EE" w14:textId="6FC55BC9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Bronfenbrenner, U. (1979) </w:t>
      </w:r>
      <w:r w:rsidRPr="006B6B8E">
        <w:rPr>
          <w:rFonts w:cs="Arial"/>
          <w:i/>
          <w:iCs/>
        </w:rPr>
        <w:t>The ecology of human development: Experiments by nature and design.</w:t>
      </w:r>
      <w:r w:rsidRPr="006B6B8E">
        <w:rPr>
          <w:rFonts w:cs="Arial"/>
        </w:rPr>
        <w:t xml:space="preserve"> Cambridge MA: Harvard University Press. </w:t>
      </w:r>
    </w:p>
    <w:p w14:paraId="015F22C3" w14:textId="77777777" w:rsidR="007526ED" w:rsidRPr="006B6B8E" w:rsidRDefault="007526ED" w:rsidP="007526ED">
      <w:pPr>
        <w:pStyle w:val="AssignBody"/>
        <w:rPr>
          <w:rFonts w:cs="Arial"/>
        </w:rPr>
      </w:pPr>
    </w:p>
    <w:p w14:paraId="33EC4EB6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Davis, R. H., and Westbrook, G, J. (2006) ‘Intergenerational dialogues: A tested educational program for children’, </w:t>
      </w:r>
      <w:r w:rsidRPr="006B6B8E">
        <w:rPr>
          <w:rFonts w:cs="Arial"/>
          <w:i/>
          <w:iCs/>
        </w:rPr>
        <w:t>Educational Gerontology,</w:t>
      </w:r>
      <w:r w:rsidRPr="006B6B8E">
        <w:rPr>
          <w:rFonts w:cs="Arial"/>
        </w:rPr>
        <w:t> 7(4), pp. 383-396.</w:t>
      </w:r>
    </w:p>
    <w:p w14:paraId="5DC0C5BF" w14:textId="2EB71BCB" w:rsidR="009B47AE" w:rsidRPr="007526ED" w:rsidRDefault="009B47AE" w:rsidP="007526ED">
      <w:pPr>
        <w:pStyle w:val="AssignBody"/>
        <w:rPr>
          <w:rFonts w:cs="Arial"/>
        </w:rPr>
      </w:pPr>
    </w:p>
    <w:p w14:paraId="2397FADC" w14:textId="39C54651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Di Bona, L., Kennedy, S. M., and Mountain, G. (2019) ‘Adopt a Care Home: An Intergenerational Initiative Bringing Children into Care Homes’, </w:t>
      </w:r>
      <w:r w:rsidRPr="006B6B8E">
        <w:rPr>
          <w:rFonts w:cs="Arial"/>
          <w:i/>
          <w:iCs/>
        </w:rPr>
        <w:t>Dementia</w:t>
      </w:r>
      <w:r w:rsidRPr="006B6B8E">
        <w:rPr>
          <w:rFonts w:cs="Arial"/>
        </w:rPr>
        <w:t>, 18(5), pp. 1679-1694.</w:t>
      </w:r>
    </w:p>
    <w:p w14:paraId="60276319" w14:textId="77777777" w:rsidR="007526ED" w:rsidRPr="006B6B8E" w:rsidRDefault="007526ED" w:rsidP="007526ED">
      <w:pPr>
        <w:pStyle w:val="AssignBody"/>
        <w:rPr>
          <w:rFonts w:cs="Arial"/>
        </w:rPr>
      </w:pPr>
    </w:p>
    <w:p w14:paraId="187F8E56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Drury, L., Cameron, L., and Abrams, D (2018) ‘The Positive and Negative Impact of an Intergenerational Digital Technology Education Programme on Younger People's Perceptions of Older Adults’.</w:t>
      </w:r>
    </w:p>
    <w:p w14:paraId="7084267F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Available at: https://www.researchgate.net/publication/325033639_The_positive_and_negative_impact_of_an_intergenerational_digital_technology_education_programme_on_younger_people's_perceptions_of_older_adults</w:t>
      </w:r>
    </w:p>
    <w:p w14:paraId="18C5CB41" w14:textId="62119AEF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5871AF65" w14:textId="77777777" w:rsidR="007526ED" w:rsidRPr="006B6B8E" w:rsidRDefault="007526ED" w:rsidP="007526ED">
      <w:pPr>
        <w:pStyle w:val="AssignBody"/>
        <w:rPr>
          <w:rFonts w:cs="Arial"/>
        </w:rPr>
      </w:pPr>
    </w:p>
    <w:p w14:paraId="77132C7D" w14:textId="1C62971A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Epstein, J. L. et al. (2019) </w:t>
      </w:r>
      <w:r w:rsidRPr="006B6B8E">
        <w:rPr>
          <w:rFonts w:cs="Arial"/>
          <w:i/>
          <w:iCs/>
        </w:rPr>
        <w:t>School, Family, and Community Partnerships: Your Handbook for Action</w:t>
      </w:r>
      <w:r w:rsidRPr="006B6B8E">
        <w:rPr>
          <w:rFonts w:cs="Arial"/>
        </w:rPr>
        <w:t>. 4</w:t>
      </w:r>
      <w:r w:rsidRPr="006B6B8E">
        <w:rPr>
          <w:rFonts w:cs="Arial"/>
          <w:vertAlign w:val="superscript"/>
        </w:rPr>
        <w:t>th</w:t>
      </w:r>
      <w:r w:rsidRPr="006B6B8E">
        <w:rPr>
          <w:rFonts w:cs="Arial"/>
        </w:rPr>
        <w:t xml:space="preserve"> Revised Edition. Sage Publications Inc.</w:t>
      </w:r>
    </w:p>
    <w:p w14:paraId="0D4B7905" w14:textId="77777777" w:rsidR="007526ED" w:rsidRPr="006B6B8E" w:rsidRDefault="007526ED" w:rsidP="007526ED">
      <w:pPr>
        <w:pStyle w:val="AssignBody"/>
        <w:rPr>
          <w:rFonts w:cs="Arial"/>
        </w:rPr>
      </w:pPr>
    </w:p>
    <w:p w14:paraId="359EBA3C" w14:textId="236E6D9D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Epstein, J. L., and Sheldon, S. B. (2002) ‘Present and accounted for: Improving student attendance through family and community involvement’, </w:t>
      </w:r>
      <w:r w:rsidRPr="006B6B8E">
        <w:rPr>
          <w:rFonts w:cs="Arial"/>
          <w:i/>
          <w:iCs/>
        </w:rPr>
        <w:t>The Journal of Educational Research, 95</w:t>
      </w:r>
      <w:r w:rsidRPr="006B6B8E">
        <w:rPr>
          <w:rFonts w:cs="Arial"/>
        </w:rPr>
        <w:t>(5)</w:t>
      </w:r>
      <w:r w:rsidRPr="006B6B8E">
        <w:rPr>
          <w:rFonts w:cs="Arial"/>
          <w:i/>
          <w:iCs/>
        </w:rPr>
        <w:t>,</w:t>
      </w:r>
      <w:r w:rsidRPr="006B6B8E">
        <w:rPr>
          <w:rFonts w:cs="Arial"/>
        </w:rPr>
        <w:t xml:space="preserve"> pp. 308–318. </w:t>
      </w:r>
    </w:p>
    <w:p w14:paraId="5E6FEDBC" w14:textId="77777777" w:rsidR="007526ED" w:rsidRPr="006B6B8E" w:rsidRDefault="007526ED" w:rsidP="007526ED">
      <w:pPr>
        <w:pStyle w:val="AssignBody"/>
        <w:rPr>
          <w:rFonts w:cs="Arial"/>
        </w:rPr>
      </w:pPr>
    </w:p>
    <w:p w14:paraId="4E06D619" w14:textId="77777777" w:rsidR="007526ED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Estyn.gov.wales. (2020) </w:t>
      </w:r>
      <w:r w:rsidRPr="006B6B8E">
        <w:rPr>
          <w:rFonts w:cs="Arial"/>
          <w:i/>
          <w:iCs/>
        </w:rPr>
        <w:t>Estyn</w:t>
      </w:r>
      <w:r w:rsidRPr="006B6B8E">
        <w:rPr>
          <w:rFonts w:cs="Arial"/>
        </w:rPr>
        <w:t xml:space="preserve">. </w:t>
      </w:r>
    </w:p>
    <w:p w14:paraId="255B6F55" w14:textId="6C107289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Available at: https://www.estyn.gov.wales.</w:t>
      </w:r>
    </w:p>
    <w:p w14:paraId="3FCADA0F" w14:textId="07002D00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2CCB1B77" w14:textId="77777777" w:rsidR="007526ED" w:rsidRPr="006B6B8E" w:rsidRDefault="007526ED" w:rsidP="007526ED">
      <w:pPr>
        <w:pStyle w:val="AssignBody"/>
        <w:rPr>
          <w:rFonts w:cs="Arial"/>
        </w:rPr>
      </w:pPr>
    </w:p>
    <w:p w14:paraId="01205D39" w14:textId="06E95C21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Fair, C., and Delaplane, D. (2015) ‘It Is Good to Spend Time with Older Adults. You Can Teach Them, They Can Teach You’: Second Grade Students Reflect on Intergenerational Service Learning’, </w:t>
      </w:r>
      <w:r w:rsidRPr="006B6B8E">
        <w:rPr>
          <w:rFonts w:cs="Arial"/>
          <w:i/>
          <w:iCs/>
        </w:rPr>
        <w:t xml:space="preserve">Early Childhood Education Journal, </w:t>
      </w:r>
      <w:r w:rsidRPr="006B6B8E">
        <w:rPr>
          <w:rFonts w:cs="Arial"/>
        </w:rPr>
        <w:t>43(1), pp. 19-26. </w:t>
      </w:r>
    </w:p>
    <w:p w14:paraId="418024CC" w14:textId="77777777" w:rsidR="007526ED" w:rsidRPr="006B6B8E" w:rsidRDefault="007526ED" w:rsidP="007526ED">
      <w:pPr>
        <w:pStyle w:val="AssignBody"/>
        <w:rPr>
          <w:rFonts w:cs="Arial"/>
        </w:rPr>
      </w:pPr>
    </w:p>
    <w:p w14:paraId="51A4F25A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Femia, E. et al. (2008) ‘Intergenerational preschool experiences and the young child: Potential benefits to development’, </w:t>
      </w:r>
      <w:r w:rsidRPr="006B6B8E">
        <w:rPr>
          <w:rFonts w:cs="Arial"/>
          <w:i/>
          <w:iCs/>
        </w:rPr>
        <w:t>Early Childhood Research Quarterly,</w:t>
      </w:r>
      <w:r w:rsidRPr="006B6B8E">
        <w:rPr>
          <w:rFonts w:cs="Arial"/>
        </w:rPr>
        <w:t xml:space="preserve"> 23(2), pp. 272-287.</w:t>
      </w:r>
    </w:p>
    <w:p w14:paraId="3FF24BB3" w14:textId="77505F4F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Gilbert, C, N., and Ricketts, K, G. (2008) ‘Children's Attitudes toward Older Adults and Aging: A Synthesis of Research’, </w:t>
      </w:r>
      <w:r w:rsidRPr="006B6B8E">
        <w:rPr>
          <w:rFonts w:cs="Arial"/>
          <w:i/>
          <w:iCs/>
        </w:rPr>
        <w:t>Educational Gerontology,</w:t>
      </w:r>
      <w:r w:rsidRPr="006B6B8E">
        <w:rPr>
          <w:rFonts w:cs="Arial"/>
        </w:rPr>
        <w:t> 34(7), pp.  570-586.</w:t>
      </w:r>
    </w:p>
    <w:p w14:paraId="61655EEC" w14:textId="77777777" w:rsidR="007526ED" w:rsidRPr="006B6B8E" w:rsidRDefault="007526ED" w:rsidP="007526ED">
      <w:pPr>
        <w:pStyle w:val="AssignBody"/>
        <w:rPr>
          <w:rFonts w:cs="Arial"/>
        </w:rPr>
      </w:pPr>
    </w:p>
    <w:p w14:paraId="4D4EF1A3" w14:textId="08F75C14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lastRenderedPageBreak/>
        <w:t xml:space="preserve">Harter, S. (1982) ‘The Perceived Competence Scale for Children’, </w:t>
      </w:r>
      <w:r w:rsidRPr="006B6B8E">
        <w:rPr>
          <w:rFonts w:cs="Arial"/>
          <w:i/>
          <w:iCs/>
        </w:rPr>
        <w:t>Child Development</w:t>
      </w:r>
      <w:r w:rsidRPr="006B6B8E">
        <w:rPr>
          <w:rFonts w:cs="Arial"/>
        </w:rPr>
        <w:t>, 53(1), pp. 87-97.</w:t>
      </w:r>
    </w:p>
    <w:p w14:paraId="149424AA" w14:textId="77777777" w:rsidR="007526ED" w:rsidRPr="006B6B8E" w:rsidRDefault="007526ED" w:rsidP="007526ED">
      <w:pPr>
        <w:pStyle w:val="AssignBody"/>
        <w:rPr>
          <w:rFonts w:cs="Arial"/>
        </w:rPr>
      </w:pPr>
    </w:p>
    <w:p w14:paraId="6898CB5C" w14:textId="124F467B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Heyman, J., Gutheil, I., and White-Ryan, L. (2011) ‘Preschool Children's Attitudes Toward Older Adults: Comparison of Intergenerational and Traditional Day Care’, </w:t>
      </w:r>
      <w:r w:rsidRPr="006B6B8E">
        <w:rPr>
          <w:rFonts w:cs="Arial"/>
          <w:i/>
          <w:iCs/>
        </w:rPr>
        <w:t>Journal of Intergenerational Relationships</w:t>
      </w:r>
      <w:r w:rsidRPr="006B6B8E">
        <w:rPr>
          <w:rFonts w:cs="Arial"/>
        </w:rPr>
        <w:t>, 9(4), pp. 435-444.</w:t>
      </w:r>
    </w:p>
    <w:p w14:paraId="064FA36B" w14:textId="77777777" w:rsidR="007526ED" w:rsidRPr="006B6B8E" w:rsidRDefault="007526ED" w:rsidP="007526ED">
      <w:pPr>
        <w:pStyle w:val="AssignBody"/>
        <w:rPr>
          <w:rFonts w:cs="Arial"/>
        </w:rPr>
      </w:pPr>
    </w:p>
    <w:p w14:paraId="48BE7DC2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Kagan, C. (2016) ‘Positive Ageing Through Place Based Intergenerational Activity’, Proceedings of the </w:t>
      </w:r>
      <w:r w:rsidRPr="006B6B8E">
        <w:rPr>
          <w:rFonts w:cs="Arial"/>
          <w:i/>
          <w:iCs/>
        </w:rPr>
        <w:t xml:space="preserve">British Psychological Society Annual Conference, </w:t>
      </w:r>
      <w:r w:rsidRPr="006B6B8E">
        <w:rPr>
          <w:rFonts w:cs="Arial"/>
        </w:rPr>
        <w:t xml:space="preserve">Nottingham, April 2016. Available at:  BPS Annual Conference, Nottingham, April 2016 </w:t>
      </w:r>
    </w:p>
    <w:p w14:paraId="4EEB668C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Available at: https://www.researchgate.net/publication/303485255_Positive_Ageing_Through_Place_Based_Intergenerational_Activity </w:t>
      </w:r>
    </w:p>
    <w:p w14:paraId="37C9F85A" w14:textId="383D0555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18024FF8" w14:textId="77777777" w:rsidR="007526ED" w:rsidRPr="006B6B8E" w:rsidRDefault="007526ED" w:rsidP="007526ED">
      <w:pPr>
        <w:pStyle w:val="AssignBody"/>
        <w:rPr>
          <w:rFonts w:cs="Arial"/>
        </w:rPr>
      </w:pPr>
    </w:p>
    <w:p w14:paraId="5E626FA2" w14:textId="2BC29883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Kaplan, M. (2002) ‘International Programs in Schools: Considerations of Form and Function’, </w:t>
      </w:r>
      <w:r w:rsidRPr="006B6B8E">
        <w:rPr>
          <w:rFonts w:cs="Arial"/>
          <w:i/>
          <w:iCs/>
        </w:rPr>
        <w:t>International Review of Education,</w:t>
      </w:r>
      <w:r w:rsidRPr="006B6B8E">
        <w:rPr>
          <w:rFonts w:cs="Arial"/>
        </w:rPr>
        <w:t> 48(5), pp. 305-343.</w:t>
      </w:r>
    </w:p>
    <w:p w14:paraId="6361B500" w14:textId="77777777" w:rsidR="007526ED" w:rsidRPr="006B6B8E" w:rsidRDefault="007526ED" w:rsidP="007526ED">
      <w:pPr>
        <w:pStyle w:val="AssignBody"/>
        <w:rPr>
          <w:rFonts w:cs="Arial"/>
        </w:rPr>
      </w:pPr>
    </w:p>
    <w:p w14:paraId="0161872D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Kapur, R. (2018) ‘Enhancing Community Well-Being Through Intergenerational Learning’.</w:t>
      </w:r>
    </w:p>
    <w:p w14:paraId="158B7D5A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Available at:</w:t>
      </w:r>
    </w:p>
    <w:p w14:paraId="23549B6C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https://www.researchgate.net/publication/323834036_Enhancing_Community_Well-Being_Through_Intergenerational_Learning</w:t>
      </w:r>
    </w:p>
    <w:p w14:paraId="7FDB4646" w14:textId="3669B1EB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0FDB53F3" w14:textId="77777777" w:rsidR="007526ED" w:rsidRPr="006B6B8E" w:rsidRDefault="007526ED" w:rsidP="007526ED">
      <w:pPr>
        <w:pStyle w:val="AssignBody"/>
        <w:rPr>
          <w:rFonts w:cs="Arial"/>
        </w:rPr>
      </w:pPr>
    </w:p>
    <w:p w14:paraId="1A23F14B" w14:textId="6C304101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Knight-Mckenna, M., Felten, P., and Darby, A. (2018) ‘Student Engagement with Community’, </w:t>
      </w:r>
      <w:r w:rsidRPr="006B6B8E">
        <w:rPr>
          <w:rFonts w:cs="Arial"/>
          <w:i/>
          <w:iCs/>
        </w:rPr>
        <w:t>New Directions for Teaching and Learning</w:t>
      </w:r>
      <w:r w:rsidRPr="006B6B8E">
        <w:rPr>
          <w:rFonts w:cs="Arial"/>
        </w:rPr>
        <w:t xml:space="preserve">, 154, pp. 65-74. </w:t>
      </w:r>
    </w:p>
    <w:p w14:paraId="123AB841" w14:textId="77777777" w:rsidR="007526ED" w:rsidRPr="006B6B8E" w:rsidRDefault="007526ED" w:rsidP="007526ED">
      <w:pPr>
        <w:pStyle w:val="AssignBody"/>
        <w:rPr>
          <w:rFonts w:cs="Arial"/>
        </w:rPr>
      </w:pPr>
    </w:p>
    <w:p w14:paraId="6FEC7DDE" w14:textId="71BB56E0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Kocarnik, R., and Ponzetti, J. (1991) ‘The Advantages and Challenges of Intergenerational Programs in Long Term Care Facilities’, </w:t>
      </w:r>
      <w:r w:rsidRPr="006B6B8E">
        <w:rPr>
          <w:rFonts w:cs="Arial"/>
          <w:i/>
          <w:iCs/>
        </w:rPr>
        <w:t>Journal of Gerontological Social Work,</w:t>
      </w:r>
      <w:r w:rsidRPr="006B6B8E">
        <w:rPr>
          <w:rFonts w:cs="Arial"/>
        </w:rPr>
        <w:t xml:space="preserve"> 16(1-2), pp. 97-107.</w:t>
      </w:r>
    </w:p>
    <w:p w14:paraId="3B00B13B" w14:textId="77777777" w:rsidR="007526ED" w:rsidRPr="006B6B8E" w:rsidRDefault="007526ED" w:rsidP="007526ED">
      <w:pPr>
        <w:pStyle w:val="AssignBody"/>
        <w:rPr>
          <w:rFonts w:cs="Arial"/>
        </w:rPr>
      </w:pPr>
    </w:p>
    <w:p w14:paraId="5EA5B39E" w14:textId="249C06F7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Martins, T. et al. (2019) ‘Intergenerational Programs Review: Study Design and Characteristics of Intervention, Outcomes, and Effectiveness’, </w:t>
      </w:r>
      <w:r w:rsidRPr="006B6B8E">
        <w:rPr>
          <w:rFonts w:cs="Arial"/>
          <w:i/>
          <w:iCs/>
        </w:rPr>
        <w:t>Journal of Intergenerational Relationships,</w:t>
      </w:r>
      <w:r w:rsidRPr="006B6B8E">
        <w:rPr>
          <w:rFonts w:cs="Arial"/>
        </w:rPr>
        <w:t xml:space="preserve"> 17(1), pp. 93-109.</w:t>
      </w:r>
    </w:p>
    <w:p w14:paraId="10C4061A" w14:textId="77777777" w:rsidR="007526ED" w:rsidRPr="006B6B8E" w:rsidRDefault="007526ED" w:rsidP="007526ED">
      <w:pPr>
        <w:pStyle w:val="AssignBody"/>
        <w:rPr>
          <w:rFonts w:cs="Arial"/>
        </w:rPr>
      </w:pPr>
    </w:p>
    <w:p w14:paraId="6A76849A" w14:textId="4B2ADB27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lastRenderedPageBreak/>
        <w:t>Mouchtari, E. et al. (2015) ‘Learning and Intergenerational Communication through Digital Storytelling in the First Grades of Primary School: Yesteryear Jobs’, </w:t>
      </w:r>
      <w:r w:rsidRPr="006B6B8E">
        <w:rPr>
          <w:rFonts w:cs="Arial"/>
          <w:i/>
          <w:iCs/>
        </w:rPr>
        <w:t>Cultural Science,</w:t>
      </w:r>
      <w:r w:rsidRPr="006B6B8E">
        <w:rPr>
          <w:rFonts w:cs="Arial"/>
        </w:rPr>
        <w:t> 8(2), pp. 63-77.</w:t>
      </w:r>
    </w:p>
    <w:p w14:paraId="46263A7D" w14:textId="77777777" w:rsidR="007526ED" w:rsidRPr="006B6B8E" w:rsidRDefault="007526ED" w:rsidP="007526ED">
      <w:pPr>
        <w:pStyle w:val="AssignBody"/>
        <w:rPr>
          <w:rFonts w:cs="Arial"/>
        </w:rPr>
      </w:pPr>
    </w:p>
    <w:p w14:paraId="5FC9EC7F" w14:textId="439EA6A6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Patrício, M., and Osório, A. (2016) ‘INTERGENERATIONAL LEARNING WITH ICT: A CASE STUDY’, </w:t>
      </w:r>
      <w:r w:rsidRPr="006B6B8E">
        <w:rPr>
          <w:rFonts w:cs="Arial"/>
          <w:i/>
          <w:iCs/>
        </w:rPr>
        <w:t>Studia Paedagogica,</w:t>
      </w:r>
      <w:r w:rsidRPr="006B6B8E">
        <w:rPr>
          <w:rFonts w:cs="Arial"/>
        </w:rPr>
        <w:t xml:space="preserve"> 21(2), pp. 83-99. </w:t>
      </w:r>
    </w:p>
    <w:p w14:paraId="386C14F5" w14:textId="77777777" w:rsidR="007526ED" w:rsidRPr="006B6B8E" w:rsidRDefault="007526ED" w:rsidP="007526ED">
      <w:pPr>
        <w:pStyle w:val="AssignBody"/>
        <w:rPr>
          <w:rFonts w:cs="Arial"/>
        </w:rPr>
      </w:pPr>
    </w:p>
    <w:p w14:paraId="6082BB32" w14:textId="256CCF00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Rogoff, B. (2014) ‘Learning by Observing and Pitching In to Family and Community Endeavors: An Orientation’, Human Development, 57(2-3), pp. 69-81.</w:t>
      </w:r>
    </w:p>
    <w:p w14:paraId="5A4DFE3A" w14:textId="77777777" w:rsidR="007526ED" w:rsidRPr="006B6B8E" w:rsidRDefault="007526ED" w:rsidP="007526ED">
      <w:pPr>
        <w:pStyle w:val="AssignBody"/>
        <w:rPr>
          <w:rFonts w:cs="Arial"/>
        </w:rPr>
      </w:pPr>
    </w:p>
    <w:p w14:paraId="12545F0F" w14:textId="7D1EDEFE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Vygotsky, L. (1978) </w:t>
      </w:r>
      <w:r w:rsidRPr="006B6B8E">
        <w:rPr>
          <w:rFonts w:cs="Arial"/>
          <w:i/>
          <w:iCs/>
        </w:rPr>
        <w:t>Mind in society.</w:t>
      </w:r>
      <w:r w:rsidRPr="006B6B8E">
        <w:rPr>
          <w:rFonts w:cs="Arial"/>
        </w:rPr>
        <w:t xml:space="preserve"> Cambridge, MA: Harvard University Press.</w:t>
      </w:r>
    </w:p>
    <w:p w14:paraId="245DB401" w14:textId="77777777" w:rsidR="007526ED" w:rsidRPr="006B6B8E" w:rsidRDefault="007526ED" w:rsidP="007526ED">
      <w:pPr>
        <w:pStyle w:val="AssignBody"/>
        <w:rPr>
          <w:rFonts w:cs="Arial"/>
        </w:rPr>
      </w:pPr>
    </w:p>
    <w:p w14:paraId="49CF7985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Welsh Government (2018a) </w:t>
      </w:r>
      <w:r w:rsidRPr="006B6B8E">
        <w:rPr>
          <w:rFonts w:cs="Arial"/>
          <w:i/>
          <w:iCs/>
        </w:rPr>
        <w:t>Leadership for a self-improving system.</w:t>
      </w:r>
    </w:p>
    <w:p w14:paraId="3775D090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Available at:</w:t>
      </w:r>
    </w:p>
    <w:p w14:paraId="3DCEF7B5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https://gov.wales/sites/default/files/publications/2018-12/theme-1-leadership-for-a-self-improving-system-resources-1-7.pdf</w:t>
      </w:r>
    </w:p>
    <w:p w14:paraId="4801BAF6" w14:textId="39CF5C69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6318FE03" w14:textId="77777777" w:rsidR="007526ED" w:rsidRPr="006B6B8E" w:rsidRDefault="007526ED" w:rsidP="007526ED">
      <w:pPr>
        <w:pStyle w:val="AssignBody"/>
        <w:rPr>
          <w:rFonts w:cs="Arial"/>
        </w:rPr>
      </w:pPr>
    </w:p>
    <w:p w14:paraId="7390F368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Welsh Government (2018b) </w:t>
      </w:r>
      <w:r w:rsidRPr="006B6B8E">
        <w:rPr>
          <w:rFonts w:cs="Arial"/>
          <w:i/>
          <w:iCs/>
        </w:rPr>
        <w:t>Theme 5 Developing community partnerships and multi-agency working.</w:t>
      </w:r>
    </w:p>
    <w:p w14:paraId="1AD6C2E9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Available at:</w:t>
      </w:r>
    </w:p>
    <w:p w14:paraId="3C002E4D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https://gov.wales/sites/default/files/publications/2018-12/theme-5-developing-community-partnerships-and-multi-agency-working-resources-1-2.pdf</w:t>
      </w:r>
    </w:p>
    <w:p w14:paraId="6DFD08A7" w14:textId="50D59913" w:rsid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2D5E3B88" w14:textId="77777777" w:rsidR="007526ED" w:rsidRPr="006B6B8E" w:rsidRDefault="007526ED" w:rsidP="007526ED">
      <w:pPr>
        <w:pStyle w:val="AssignBody"/>
        <w:rPr>
          <w:rFonts w:cs="Arial"/>
        </w:rPr>
      </w:pPr>
    </w:p>
    <w:p w14:paraId="1F41CFDA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 xml:space="preserve">Welsh Government (2020) </w:t>
      </w:r>
      <w:r w:rsidRPr="006B6B8E">
        <w:rPr>
          <w:rFonts w:cs="Arial"/>
          <w:i/>
          <w:iCs/>
        </w:rPr>
        <w:t>Curriculum for Wales.</w:t>
      </w:r>
    </w:p>
    <w:p w14:paraId="3ACFA84D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Available at:</w:t>
      </w:r>
    </w:p>
    <w:p w14:paraId="4B785E19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https://hwb.gov.wales/curriculum-for-wales</w:t>
      </w:r>
    </w:p>
    <w:p w14:paraId="63BED3E6" w14:textId="77777777" w:rsidR="006B6B8E" w:rsidRPr="006B6B8E" w:rsidRDefault="006B6B8E" w:rsidP="007526ED">
      <w:pPr>
        <w:pStyle w:val="AssignBody"/>
        <w:rPr>
          <w:rFonts w:cs="Arial"/>
        </w:rPr>
      </w:pPr>
      <w:r w:rsidRPr="006B6B8E">
        <w:rPr>
          <w:rFonts w:cs="Arial"/>
        </w:rPr>
        <w:t>(Accessed: 4 April 2020).</w:t>
      </w:r>
    </w:p>
    <w:p w14:paraId="41B2079F" w14:textId="77777777" w:rsidR="006B6B8E" w:rsidRPr="00E611D9" w:rsidRDefault="006B6B8E" w:rsidP="00E611D9">
      <w:pPr>
        <w:pStyle w:val="AssignBody"/>
      </w:pPr>
    </w:p>
    <w:sectPr w:rsidR="006B6B8E" w:rsidRPr="00E611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0D2C6" w14:textId="77777777" w:rsidR="00F63489" w:rsidRDefault="00F63489" w:rsidP="00E611D9">
      <w:pPr>
        <w:spacing w:after="0" w:line="240" w:lineRule="auto"/>
      </w:pPr>
      <w:r>
        <w:separator/>
      </w:r>
    </w:p>
  </w:endnote>
  <w:endnote w:type="continuationSeparator" w:id="0">
    <w:p w14:paraId="27C6F6FD" w14:textId="77777777" w:rsidR="00F63489" w:rsidRDefault="00F6348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0826B" w14:textId="77777777" w:rsidR="007526ED" w:rsidRDefault="007526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37189" w14:textId="77777777" w:rsidR="007526ED" w:rsidRDefault="00752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6BF9B" w14:textId="77777777" w:rsidR="00F63489" w:rsidRDefault="00F63489" w:rsidP="00E611D9">
      <w:pPr>
        <w:spacing w:after="0" w:line="240" w:lineRule="auto"/>
      </w:pPr>
      <w:r>
        <w:separator/>
      </w:r>
    </w:p>
  </w:footnote>
  <w:footnote w:type="continuationSeparator" w:id="0">
    <w:p w14:paraId="4712867F" w14:textId="77777777" w:rsidR="00F63489" w:rsidRDefault="00F6348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E9B41" w14:textId="77777777" w:rsidR="007526ED" w:rsidRDefault="00752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E8854B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B6B8E">
            <w:rPr>
              <w:rFonts w:ascii="Arial" w:hAnsi="Arial" w:cs="Arial"/>
            </w:rPr>
            <w:t>7003-C</w:t>
          </w:r>
        </w:p>
      </w:tc>
      <w:tc>
        <w:tcPr>
          <w:tcW w:w="4508" w:type="dxa"/>
        </w:tcPr>
        <w:p w14:paraId="51D506A0" w14:textId="30CBADD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</w:t>
          </w:r>
          <w:r w:rsidR="006B6B8E">
            <w:rPr>
              <w:rFonts w:ascii="Arial" w:hAnsi="Arial" w:cs="Arial"/>
            </w:rPr>
            <w:t>1900208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ACCB3" w14:textId="77777777" w:rsidR="007526ED" w:rsidRDefault="007526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D42A8"/>
    <w:rsid w:val="005956FB"/>
    <w:rsid w:val="006419C3"/>
    <w:rsid w:val="00691A46"/>
    <w:rsid w:val="006B5861"/>
    <w:rsid w:val="006B6B8E"/>
    <w:rsid w:val="007526ED"/>
    <w:rsid w:val="00817F7A"/>
    <w:rsid w:val="00980031"/>
    <w:rsid w:val="009B47AE"/>
    <w:rsid w:val="00AD4EBD"/>
    <w:rsid w:val="00B67895"/>
    <w:rsid w:val="00BC651E"/>
    <w:rsid w:val="00CD1240"/>
    <w:rsid w:val="00E611D9"/>
    <w:rsid w:val="00F6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D42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42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D42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0208_student_uwtsd_ac_uk/EaL7vZ6WHDBMl94UI1s40qwBOsof4HSyZrdJDpo_oPLAdw?e=Ik0t5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Davina Dumelow (1900208)</cp:lastModifiedBy>
  <cp:revision>3</cp:revision>
  <dcterms:created xsi:type="dcterms:W3CDTF">2020-04-13T15:28:00Z</dcterms:created>
  <dcterms:modified xsi:type="dcterms:W3CDTF">2020-04-16T11:07:00Z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