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C803BBE" w14:textId="77777777" w:rsidR="004C73AA" w:rsidRPr="004C73AA" w:rsidRDefault="004C73AA" w:rsidP="004C73AA">
      <w:pPr>
        <w:shd w:val="clear" w:color="auto" w:fill="FFFFFF"/>
        <w:spacing w:before="480" w:after="240" w:line="510" w:lineRule="atLeast"/>
        <w:outlineLvl w:val="0"/>
        <w:rPr>
          <w:rFonts w:ascii="Segoe UI" w:eastAsia="Times New Roman" w:hAnsi="Segoe UI" w:cs="Segoe UI"/>
          <w:b/>
          <w:bCs/>
          <w:color w:val="0F1115"/>
          <w:kern w:val="36"/>
          <w:sz w:val="36"/>
          <w:szCs w:val="36"/>
          <w:lang w:eastAsia="en-GB"/>
          <w14:ligatures w14:val="none"/>
        </w:rPr>
      </w:pPr>
      <w:r w:rsidRPr="004C73AA">
        <w:rPr>
          <w:rFonts w:ascii="Segoe UI" w:eastAsia="Times New Roman" w:hAnsi="Segoe UI" w:cs="Segoe UI"/>
          <w:b/>
          <w:bCs/>
          <w:color w:val="0F1115"/>
          <w:kern w:val="36"/>
          <w:sz w:val="36"/>
          <w:szCs w:val="36"/>
          <w:lang w:eastAsia="en-GB"/>
          <w14:ligatures w14:val="none"/>
        </w:rPr>
        <w:t>THE INDIAN HOTELS COMPANY LIMITED (IHCL)</w:t>
      </w:r>
    </w:p>
    <w:p w14:paraId="2E808D6A" w14:textId="77777777" w:rsidR="004C73AA" w:rsidRPr="004C73AA" w:rsidRDefault="004C73AA" w:rsidP="004C73AA">
      <w:pPr>
        <w:shd w:val="clear" w:color="auto" w:fill="FFFFFF"/>
        <w:spacing w:before="480" w:after="240" w:line="480" w:lineRule="atLeast"/>
        <w:outlineLvl w:val="1"/>
        <w:rPr>
          <w:rFonts w:ascii="Segoe UI" w:eastAsia="Times New Roman" w:hAnsi="Segoe UI" w:cs="Segoe UI"/>
          <w:b/>
          <w:bCs/>
          <w:color w:val="0F1115"/>
          <w:kern w:val="0"/>
          <w:sz w:val="33"/>
          <w:szCs w:val="33"/>
          <w:lang w:eastAsia="en-GB"/>
          <w14:ligatures w14:val="none"/>
        </w:rPr>
      </w:pPr>
      <w:r w:rsidRPr="004C73AA">
        <w:rPr>
          <w:rFonts w:ascii="Segoe UI" w:eastAsia="Times New Roman" w:hAnsi="Segoe UI" w:cs="Segoe UI"/>
          <w:b/>
          <w:bCs/>
          <w:color w:val="0F1115"/>
          <w:kern w:val="0"/>
          <w:sz w:val="33"/>
          <w:szCs w:val="33"/>
          <w:lang w:eastAsia="en-GB"/>
          <w14:ligatures w14:val="none"/>
        </w:rPr>
        <w:t>Cash Conversion Cycle (CCC) Analysis – FY 2020-21 to FY 2024-25</w:t>
      </w:r>
    </w:p>
    <w:p w14:paraId="14BDE77D" w14:textId="77777777" w:rsidR="004C73AA" w:rsidRPr="004C73AA" w:rsidRDefault="00357E88" w:rsidP="004C73AA">
      <w:pPr>
        <w:spacing w:before="480" w:after="480" w:line="240" w:lineRule="auto"/>
        <w:rPr>
          <w:rFonts w:ascii="Segoe UI" w:eastAsia="Times New Roman" w:hAnsi="Segoe UI" w:cs="Segoe UI"/>
          <w:kern w:val="0"/>
          <w:lang w:eastAsia="en-GB"/>
          <w14:ligatures w14:val="none"/>
        </w:rPr>
      </w:pPr>
      <w:r w:rsidRPr="00357E88">
        <w:rPr>
          <w:rFonts w:ascii="Times New Roman" w:eastAsia="Times New Roman" w:hAnsi="Times New Roman" w:cs="Times New Roman"/>
          <w:noProof/>
          <w:kern w:val="0"/>
          <w:lang w:eastAsia="en-GB"/>
        </w:rPr>
        <w:pict w14:anchorId="6FCD4F76">
          <v:rect id="_x0000_i1031" alt="" style="width:451.3pt;height:.05pt;mso-width-percent:0;mso-height-percent:0;mso-width-percent:0;mso-height-percent:0" o:hralign="center" o:hrstd="t" o:hr="t" fillcolor="#a0a0a0" stroked="f"/>
        </w:pict>
      </w:r>
    </w:p>
    <w:p w14:paraId="546660EE" w14:textId="77777777" w:rsidR="004C73AA" w:rsidRPr="004C73AA" w:rsidRDefault="004C73AA" w:rsidP="004C73AA">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r w:rsidRPr="004C73AA">
        <w:rPr>
          <w:rFonts w:ascii="Segoe UI" w:eastAsia="Times New Roman" w:hAnsi="Segoe UI" w:cs="Segoe UI"/>
          <w:b/>
          <w:bCs/>
          <w:color w:val="0F1115"/>
          <w:kern w:val="0"/>
          <w:sz w:val="30"/>
          <w:szCs w:val="30"/>
          <w:lang w:eastAsia="en-GB"/>
          <w14:ligatures w14:val="none"/>
        </w:rPr>
        <w:t>1. Introduction</w:t>
      </w:r>
    </w:p>
    <w:p w14:paraId="76A15EFA"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color w:val="0F1115"/>
          <w:kern w:val="0"/>
          <w:lang w:eastAsia="en-GB"/>
          <w14:ligatures w14:val="none"/>
        </w:rPr>
        <w:t>The Cash Conversion Cycle (CCC) is a key financial metric that measures the time a company takes to convert its investments in inventory and other resources into cash flows from sales. It is calculated using the following formula:</w:t>
      </w:r>
    </w:p>
    <w:p w14:paraId="27C598D4"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CCC = Inventory Days + Receivable Days – Payable Days</w:t>
      </w:r>
    </w:p>
    <w:p w14:paraId="6284C82B"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color w:val="0F1115"/>
          <w:kern w:val="0"/>
          <w:lang w:eastAsia="en-GB"/>
          <w14:ligatures w14:val="none"/>
        </w:rPr>
        <w:t>A lower or negative CCC indicates better working capital management, as the company is able to collect cash from customers faster and delay payments to suppliers. This report analyses IHCL's CCC over a 5-year period from FY 2020-21 to FY 2024-25, using consolidated financial data extracted from the company's annual reports. All amounts are presented in USD Million (converted at ₹83/USD).</w:t>
      </w:r>
    </w:p>
    <w:p w14:paraId="1AFFFA95" w14:textId="77777777" w:rsidR="004C73AA" w:rsidRPr="004C73AA" w:rsidRDefault="00357E88" w:rsidP="004C73AA">
      <w:pPr>
        <w:spacing w:before="480" w:after="480" w:line="240" w:lineRule="auto"/>
        <w:rPr>
          <w:rFonts w:ascii="Segoe UI" w:eastAsia="Times New Roman" w:hAnsi="Segoe UI" w:cs="Segoe UI"/>
          <w:kern w:val="0"/>
          <w:lang w:eastAsia="en-GB"/>
          <w14:ligatures w14:val="none"/>
        </w:rPr>
      </w:pPr>
      <w:r w:rsidRPr="00357E88">
        <w:rPr>
          <w:rFonts w:ascii="Times New Roman" w:eastAsia="Times New Roman" w:hAnsi="Times New Roman" w:cs="Times New Roman"/>
          <w:noProof/>
          <w:kern w:val="0"/>
          <w:lang w:eastAsia="en-GB"/>
        </w:rPr>
        <w:pict w14:anchorId="5482B4DE">
          <v:rect id="_x0000_i1030" alt="" style="width:451.3pt;height:.05pt;mso-width-percent:0;mso-height-percent:0;mso-width-percent:0;mso-height-percent:0" o:hralign="center" o:hrstd="t" o:hr="t" fillcolor="#a0a0a0" stroked="f"/>
        </w:pict>
      </w:r>
    </w:p>
    <w:p w14:paraId="693CDB40" w14:textId="77777777" w:rsidR="004C73AA" w:rsidRPr="004C73AA" w:rsidRDefault="004C73AA" w:rsidP="004C73AA">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r w:rsidRPr="004C73AA">
        <w:rPr>
          <w:rFonts w:ascii="Segoe UI" w:eastAsia="Times New Roman" w:hAnsi="Segoe UI" w:cs="Segoe UI"/>
          <w:b/>
          <w:bCs/>
          <w:color w:val="0F1115"/>
          <w:kern w:val="0"/>
          <w:sz w:val="30"/>
          <w:szCs w:val="30"/>
          <w:lang w:eastAsia="en-GB"/>
          <w14:ligatures w14:val="none"/>
        </w:rPr>
        <w:t>2. Key Financial Data (USD Million)</w:t>
      </w:r>
    </w:p>
    <w:p w14:paraId="5EB41E22"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FY 2020-21:</w:t>
      </w:r>
      <w:r w:rsidRPr="004C73AA">
        <w:rPr>
          <w:rFonts w:ascii="Segoe UI" w:eastAsia="Times New Roman" w:hAnsi="Segoe UI" w:cs="Segoe UI"/>
          <w:color w:val="0F1115"/>
          <w:kern w:val="0"/>
          <w:lang w:eastAsia="en-GB"/>
          <w14:ligatures w14:val="none"/>
        </w:rPr>
        <w:t> Revenue was 18.98 million, Operating Expenditure was 23.34 million, Average Inventory was 0.67 million, Average Receivables were 2.69 million, and Average Payables were 15.45 million.</w:t>
      </w:r>
    </w:p>
    <w:p w14:paraId="3EF4F02B"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FY 2021-22:</w:t>
      </w:r>
      <w:r w:rsidRPr="004C73AA">
        <w:rPr>
          <w:rFonts w:ascii="Segoe UI" w:eastAsia="Times New Roman" w:hAnsi="Segoe UI" w:cs="Segoe UI"/>
          <w:color w:val="0F1115"/>
          <w:kern w:val="0"/>
          <w:lang w:eastAsia="en-GB"/>
          <w14:ligatures w14:val="none"/>
        </w:rPr>
        <w:t> Revenue increased to 36.82 million, Operating Expenditure was 31.95 million, Average Inventory was 0.65 million, Average Receivables were 2.50 million, and Average Payables were 2.55 million.</w:t>
      </w:r>
    </w:p>
    <w:p w14:paraId="55AE7816"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FY 2022-23:</w:t>
      </w:r>
      <w:r w:rsidRPr="004C73AA">
        <w:rPr>
          <w:rFonts w:ascii="Segoe UI" w:eastAsia="Times New Roman" w:hAnsi="Segoe UI" w:cs="Segoe UI"/>
          <w:color w:val="0F1115"/>
          <w:kern w:val="0"/>
          <w:lang w:eastAsia="en-GB"/>
          <w14:ligatures w14:val="none"/>
        </w:rPr>
        <w:t> Revenue grew to 69.99 million, Operating Expenditure was 48.26 million, Average Inventory was 0.74 million, Average Receivables were 3.60 million, and Average Payables were 3.12 million.</w:t>
      </w:r>
    </w:p>
    <w:p w14:paraId="2141D55C"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lastRenderedPageBreak/>
        <w:t>FY 2023-24:</w:t>
      </w:r>
      <w:r w:rsidRPr="004C73AA">
        <w:rPr>
          <w:rFonts w:ascii="Segoe UI" w:eastAsia="Times New Roman" w:hAnsi="Segoe UI" w:cs="Segoe UI"/>
          <w:color w:val="0F1115"/>
          <w:kern w:val="0"/>
          <w:lang w:eastAsia="en-GB"/>
          <w14:ligatures w14:val="none"/>
        </w:rPr>
        <w:t> Revenue reached 81.55 million, Operating Expenditure was 55.56 million, Average Inventory was 1.10 million, Average Receivables were 5.16 million, and Average Payables were 4.88 million.</w:t>
      </w:r>
    </w:p>
    <w:p w14:paraId="75A2FD71"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FY 2024-25:</w:t>
      </w:r>
      <w:r w:rsidRPr="004C73AA">
        <w:rPr>
          <w:rFonts w:ascii="Segoe UI" w:eastAsia="Times New Roman" w:hAnsi="Segoe UI" w:cs="Segoe UI"/>
          <w:color w:val="0F1115"/>
          <w:kern w:val="0"/>
          <w:lang w:eastAsia="en-GB"/>
          <w14:ligatures w14:val="none"/>
        </w:rPr>
        <w:t> Revenue stood at 100.42 million, Operating Expenditure was 67.05 million, Average Inventory was 1.52 million, Average Receivables were 6.79 million, and Average Payables were 6.61 million.</w:t>
      </w:r>
    </w:p>
    <w:p w14:paraId="08E1BBC9" w14:textId="77777777" w:rsidR="004C73AA" w:rsidRPr="004C73AA" w:rsidRDefault="00357E88" w:rsidP="004C73AA">
      <w:pPr>
        <w:spacing w:before="480" w:after="480" w:line="240" w:lineRule="auto"/>
        <w:rPr>
          <w:rFonts w:ascii="Segoe UI" w:eastAsia="Times New Roman" w:hAnsi="Segoe UI" w:cs="Segoe UI"/>
          <w:kern w:val="0"/>
          <w:lang w:eastAsia="en-GB"/>
          <w14:ligatures w14:val="none"/>
        </w:rPr>
      </w:pPr>
      <w:r w:rsidRPr="00357E88">
        <w:rPr>
          <w:rFonts w:ascii="Times New Roman" w:eastAsia="Times New Roman" w:hAnsi="Times New Roman" w:cs="Times New Roman"/>
          <w:noProof/>
          <w:kern w:val="0"/>
          <w:lang w:eastAsia="en-GB"/>
        </w:rPr>
        <w:pict w14:anchorId="66BB94CB">
          <v:rect id="_x0000_i1029" style="width:0;height:.75pt" o:hralign="center" o:hrstd="t" o:hr="t" fillcolor="#a0a0a0" stroked="f"/>
        </w:pict>
      </w:r>
    </w:p>
    <w:p w14:paraId="56EDB881" w14:textId="77777777" w:rsidR="004C73AA" w:rsidRPr="004C73AA" w:rsidRDefault="004C73AA" w:rsidP="004C73AA">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r w:rsidRPr="004C73AA">
        <w:rPr>
          <w:rFonts w:ascii="Segoe UI" w:eastAsia="Times New Roman" w:hAnsi="Segoe UI" w:cs="Segoe UI"/>
          <w:b/>
          <w:bCs/>
          <w:color w:val="0F1115"/>
          <w:kern w:val="0"/>
          <w:sz w:val="30"/>
          <w:szCs w:val="30"/>
          <w:lang w:eastAsia="en-GB"/>
          <w14:ligatures w14:val="none"/>
        </w:rPr>
        <w:t>3. CCC Components (Days)</w:t>
      </w:r>
    </w:p>
    <w:p w14:paraId="78CC0653"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FY 2020-21:</w:t>
      </w:r>
      <w:r w:rsidRPr="004C73AA">
        <w:rPr>
          <w:rFonts w:ascii="Segoe UI" w:eastAsia="Times New Roman" w:hAnsi="Segoe UI" w:cs="Segoe UI"/>
          <w:color w:val="0F1115"/>
          <w:kern w:val="0"/>
          <w:lang w:eastAsia="en-GB"/>
          <w14:ligatures w14:val="none"/>
        </w:rPr>
        <w:t> Inventory Days were 10.5 days, Receivable Days were 51.8 days, Payable Days were 241.6 days, resulting in a CCC of -179.3 days.</w:t>
      </w:r>
    </w:p>
    <w:p w14:paraId="461B99B6"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FY 2021-22:</w:t>
      </w:r>
      <w:r w:rsidRPr="004C73AA">
        <w:rPr>
          <w:rFonts w:ascii="Segoe UI" w:eastAsia="Times New Roman" w:hAnsi="Segoe UI" w:cs="Segoe UI"/>
          <w:color w:val="0F1115"/>
          <w:kern w:val="0"/>
          <w:lang w:eastAsia="en-GB"/>
          <w14:ligatures w14:val="none"/>
        </w:rPr>
        <w:t> Inventory Days were 7.5 days, Receivable Days were 24.8 days, Payable Days were 29.1 days, resulting in a CCC of 3.2 days.</w:t>
      </w:r>
    </w:p>
    <w:p w14:paraId="2BE4A2D3"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FY 2022-23:</w:t>
      </w:r>
      <w:r w:rsidRPr="004C73AA">
        <w:rPr>
          <w:rFonts w:ascii="Segoe UI" w:eastAsia="Times New Roman" w:hAnsi="Segoe UI" w:cs="Segoe UI"/>
          <w:color w:val="0F1115"/>
          <w:kern w:val="0"/>
          <w:lang w:eastAsia="en-GB"/>
          <w14:ligatures w14:val="none"/>
        </w:rPr>
        <w:t> Inventory Days were 5.6 days, Receivable Days were 18.8 days, Payable Days were 23.6 days, resulting in a CCC of 0.8 days.</w:t>
      </w:r>
    </w:p>
    <w:p w14:paraId="7D474BF8"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FY 2023-24:</w:t>
      </w:r>
      <w:r w:rsidRPr="004C73AA">
        <w:rPr>
          <w:rFonts w:ascii="Segoe UI" w:eastAsia="Times New Roman" w:hAnsi="Segoe UI" w:cs="Segoe UI"/>
          <w:color w:val="0F1115"/>
          <w:kern w:val="0"/>
          <w:lang w:eastAsia="en-GB"/>
          <w14:ligatures w14:val="none"/>
        </w:rPr>
        <w:t> Inventory Days were 7.2 days, Receivable Days were 23.1 days, Payable Days were 32.0 days, resulting in a CCC of -1.7 days.</w:t>
      </w:r>
    </w:p>
    <w:p w14:paraId="333A68B3"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FY 2024-25:</w:t>
      </w:r>
      <w:r w:rsidRPr="004C73AA">
        <w:rPr>
          <w:rFonts w:ascii="Segoe UI" w:eastAsia="Times New Roman" w:hAnsi="Segoe UI" w:cs="Segoe UI"/>
          <w:color w:val="0F1115"/>
          <w:kern w:val="0"/>
          <w:lang w:eastAsia="en-GB"/>
          <w14:ligatures w14:val="none"/>
        </w:rPr>
        <w:t> Inventory Days were 8.3 days, Receivable Days were 24.7 days, Payable Days were 36.0 days, resulting in a CCC of -3.0 days.</w:t>
      </w:r>
    </w:p>
    <w:p w14:paraId="62CF5B64" w14:textId="77777777" w:rsidR="004C73AA" w:rsidRPr="004C73AA" w:rsidRDefault="00357E88" w:rsidP="004C73AA">
      <w:pPr>
        <w:spacing w:before="480" w:after="480" w:line="240" w:lineRule="auto"/>
        <w:rPr>
          <w:rFonts w:ascii="Segoe UI" w:eastAsia="Times New Roman" w:hAnsi="Segoe UI" w:cs="Segoe UI"/>
          <w:kern w:val="0"/>
          <w:lang w:eastAsia="en-GB"/>
          <w14:ligatures w14:val="none"/>
        </w:rPr>
      </w:pPr>
      <w:r w:rsidRPr="00357E88">
        <w:rPr>
          <w:rFonts w:ascii="Times New Roman" w:eastAsia="Times New Roman" w:hAnsi="Times New Roman" w:cs="Times New Roman"/>
          <w:noProof/>
          <w:kern w:val="0"/>
          <w:lang w:eastAsia="en-GB"/>
        </w:rPr>
        <w:pict w14:anchorId="720AE788">
          <v:rect id="_x0000_i1028" style="width:0;height:.75pt" o:hralign="center" o:hrstd="t" o:hr="t" fillcolor="#a0a0a0" stroked="f"/>
        </w:pict>
      </w:r>
    </w:p>
    <w:p w14:paraId="47F1E64A" w14:textId="77777777" w:rsidR="004C73AA" w:rsidRPr="004C73AA" w:rsidRDefault="004C73AA" w:rsidP="004C73AA">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r w:rsidRPr="004C73AA">
        <w:rPr>
          <w:rFonts w:ascii="Segoe UI" w:eastAsia="Times New Roman" w:hAnsi="Segoe UI" w:cs="Segoe UI"/>
          <w:b/>
          <w:bCs/>
          <w:color w:val="0F1115"/>
          <w:kern w:val="0"/>
          <w:sz w:val="30"/>
          <w:szCs w:val="30"/>
          <w:lang w:eastAsia="en-GB"/>
          <w14:ligatures w14:val="none"/>
        </w:rPr>
        <w:t>4. Sample Working (FY 2024-25)</w:t>
      </w:r>
    </w:p>
    <w:p w14:paraId="261C925B"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color w:val="0F1115"/>
          <w:kern w:val="0"/>
          <w:lang w:eastAsia="en-GB"/>
          <w14:ligatures w14:val="none"/>
        </w:rPr>
        <w:t>The calculation for FY 2024-25 is shown below step by step:</w:t>
      </w:r>
    </w:p>
    <w:p w14:paraId="31276EFF"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Inventory Days = (Average Inventory / Operating Expenditure) × 365</w:t>
      </w:r>
      <w:r w:rsidRPr="004C73AA">
        <w:rPr>
          <w:rFonts w:ascii="Segoe UI" w:eastAsia="Times New Roman" w:hAnsi="Segoe UI" w:cs="Segoe UI"/>
          <w:color w:val="0F1115"/>
          <w:kern w:val="0"/>
          <w:lang w:eastAsia="en-GB"/>
          <w14:ligatures w14:val="none"/>
        </w:rPr>
        <w:br/>
        <w:t>Inventory Days = (1.52 / 67.05) × 365 = 8.3 days</w:t>
      </w:r>
    </w:p>
    <w:p w14:paraId="50DA007B"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Receivable Days = (Average Receivables / Revenue) × 365</w:t>
      </w:r>
      <w:r w:rsidRPr="004C73AA">
        <w:rPr>
          <w:rFonts w:ascii="Segoe UI" w:eastAsia="Times New Roman" w:hAnsi="Segoe UI" w:cs="Segoe UI"/>
          <w:color w:val="0F1115"/>
          <w:kern w:val="0"/>
          <w:lang w:eastAsia="en-GB"/>
          <w14:ligatures w14:val="none"/>
        </w:rPr>
        <w:br/>
        <w:t>Receivable Days = (6.79 / 100.42) × 365 = 24.7 days</w:t>
      </w:r>
    </w:p>
    <w:p w14:paraId="41041E16" w14:textId="77777777" w:rsid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Payable Days = (Average Payables / Operating Expenditure) × 365</w:t>
      </w:r>
      <w:r w:rsidRPr="004C73AA">
        <w:rPr>
          <w:rFonts w:ascii="Segoe UI" w:eastAsia="Times New Roman" w:hAnsi="Segoe UI" w:cs="Segoe UI"/>
          <w:color w:val="0F1115"/>
          <w:kern w:val="0"/>
          <w:lang w:eastAsia="en-GB"/>
          <w14:ligatures w14:val="none"/>
        </w:rPr>
        <w:br/>
        <w:t>Payable Days = (6.61 / 67.05) × 365 = 36.0 days</w:t>
      </w:r>
    </w:p>
    <w:p w14:paraId="08D09D6A" w14:textId="3D9966A8"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lastRenderedPageBreak/>
        <w:t>CCC = Inventory Days + Receivable Days – Payable Days</w:t>
      </w:r>
      <w:r w:rsidRPr="004C73AA">
        <w:rPr>
          <w:rFonts w:ascii="Segoe UI" w:eastAsia="Times New Roman" w:hAnsi="Segoe UI" w:cs="Segoe UI"/>
          <w:color w:val="0F1115"/>
          <w:kern w:val="0"/>
          <w:lang w:eastAsia="en-GB"/>
          <w14:ligatures w14:val="none"/>
        </w:rPr>
        <w:br/>
        <w:t>CCC = 8.3 + 24.7 – 36.0 = -3.0 days</w:t>
      </w:r>
    </w:p>
    <w:p w14:paraId="46339BC3" w14:textId="77777777" w:rsidR="004C73AA" w:rsidRPr="004C73AA" w:rsidRDefault="00357E88" w:rsidP="004C73AA">
      <w:pPr>
        <w:spacing w:before="480" w:after="480" w:line="240" w:lineRule="auto"/>
        <w:rPr>
          <w:rFonts w:ascii="Segoe UI" w:eastAsia="Times New Roman" w:hAnsi="Segoe UI" w:cs="Segoe UI"/>
          <w:kern w:val="0"/>
          <w:lang w:eastAsia="en-GB"/>
          <w14:ligatures w14:val="none"/>
        </w:rPr>
      </w:pPr>
      <w:r w:rsidRPr="00357E88">
        <w:rPr>
          <w:rFonts w:ascii="Times New Roman" w:eastAsia="Times New Roman" w:hAnsi="Times New Roman" w:cs="Times New Roman"/>
          <w:noProof/>
          <w:kern w:val="0"/>
          <w:lang w:eastAsia="en-GB"/>
        </w:rPr>
        <w:pict w14:anchorId="4A85A4D4">
          <v:rect id="_x0000_i1027" alt="" style="width:451.3pt;height:.05pt;mso-width-percent:0;mso-height-percent:0;mso-width-percent:0;mso-height-percent:0" o:hralign="center" o:hrstd="t" o:hr="t" fillcolor="#a0a0a0" stroked="f"/>
        </w:pict>
      </w:r>
    </w:p>
    <w:p w14:paraId="44EB60C8" w14:textId="77777777" w:rsidR="004C73AA" w:rsidRPr="004C73AA" w:rsidRDefault="004C73AA" w:rsidP="004C73AA">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r w:rsidRPr="004C73AA">
        <w:rPr>
          <w:rFonts w:ascii="Segoe UI" w:eastAsia="Times New Roman" w:hAnsi="Segoe UI" w:cs="Segoe UI"/>
          <w:b/>
          <w:bCs/>
          <w:color w:val="0F1115"/>
          <w:kern w:val="0"/>
          <w:sz w:val="30"/>
          <w:szCs w:val="30"/>
          <w:lang w:eastAsia="en-GB"/>
          <w14:ligatures w14:val="none"/>
        </w:rPr>
        <w:t>5. Year-on-Year Change Analysis</w:t>
      </w:r>
    </w:p>
    <w:p w14:paraId="14ECA370"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FY 2020-21 to FY 2021-22:</w:t>
      </w:r>
    </w:p>
    <w:p w14:paraId="5546BDCD"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color w:val="0F1115"/>
          <w:kern w:val="0"/>
          <w:lang w:eastAsia="en-GB"/>
          <w14:ligatures w14:val="none"/>
        </w:rPr>
        <w:t>The CCC changed from -179.3 days to 3.2 days, an increase of 182.5 days. This significant change was due to the COVID-19 pandemic. In FY 2020-21, revenue crashed to just 18.98 million, and the company delayed payments to suppliers to conserve cash, resulting in a highly negative CCC. As the economy recovered in FY 2021-22, revenue more than doubled, and payables normalized as operations resumed. The CCC turned positive, which was expected during the recovery phase.</w:t>
      </w:r>
    </w:p>
    <w:p w14:paraId="15EC5191"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FY 2021-22 to FY 2022-23:</w:t>
      </w:r>
    </w:p>
    <w:p w14:paraId="2601F754"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color w:val="0F1115"/>
          <w:kern w:val="0"/>
          <w:lang w:eastAsia="en-GB"/>
          <w14:ligatures w14:val="none"/>
        </w:rPr>
        <w:t>The CCC decreased from 3.2 days to 0.8 days, a reduction of 2.4 days. This improvement was driven by better efficiency in working capital management. Inventory days dropped from 7.5 to 5.6 days, and receivable days improved significantly from 24.8 to 18.8 days.</w:t>
      </w:r>
    </w:p>
    <w:p w14:paraId="347A0837"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FY 2022-23 to FY 2023-24:</w:t>
      </w:r>
    </w:p>
    <w:p w14:paraId="4899F062"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color w:val="0F1115"/>
          <w:kern w:val="0"/>
          <w:lang w:eastAsia="en-GB"/>
          <w14:ligatures w14:val="none"/>
        </w:rPr>
        <w:t>The CCC further decreased from 0.8 days to -1.7 days, a reduction of 2.5 days. The company successfully negotiated extended payment terms with suppliers, increasing payable days from 23.6 to 32.0 days. This reflects IHCL's strong bargaining power and market reputation.</w:t>
      </w:r>
    </w:p>
    <w:p w14:paraId="54A7C79A"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FY 2023-24 to FY 2024-25:</w:t>
      </w:r>
    </w:p>
    <w:p w14:paraId="43A13D48"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color w:val="0F1115"/>
          <w:kern w:val="0"/>
          <w:lang w:eastAsia="en-GB"/>
          <w14:ligatures w14:val="none"/>
        </w:rPr>
        <w:t>The CCC continued to improve, moving from -1.7 days to -3.0 days, a reduction of 1.3 days. Payable days increased to 36.0 days, while receivable days remained stable at around 24-25 days. The company is now effectively using supplier credit to fund its growth.</w:t>
      </w:r>
    </w:p>
    <w:p w14:paraId="1BB8C0EF" w14:textId="77777777" w:rsidR="004C73AA" w:rsidRPr="004C73AA" w:rsidRDefault="00357E88" w:rsidP="004C73AA">
      <w:pPr>
        <w:spacing w:before="480" w:after="480" w:line="240" w:lineRule="auto"/>
        <w:rPr>
          <w:rFonts w:ascii="Segoe UI" w:eastAsia="Times New Roman" w:hAnsi="Segoe UI" w:cs="Segoe UI"/>
          <w:kern w:val="0"/>
          <w:lang w:eastAsia="en-GB"/>
          <w14:ligatures w14:val="none"/>
        </w:rPr>
      </w:pPr>
      <w:r w:rsidRPr="00357E88">
        <w:rPr>
          <w:rFonts w:ascii="Times New Roman" w:eastAsia="Times New Roman" w:hAnsi="Times New Roman" w:cs="Times New Roman"/>
          <w:noProof/>
          <w:kern w:val="0"/>
          <w:lang w:eastAsia="en-GB"/>
        </w:rPr>
        <w:pict w14:anchorId="6B68DF2C">
          <v:rect id="_x0000_i1026" style="width:0;height:.75pt" o:hralign="center" o:hrstd="t" o:hr="t" fillcolor="#a0a0a0" stroked="f"/>
        </w:pict>
      </w:r>
    </w:p>
    <w:p w14:paraId="19CE5922" w14:textId="77777777" w:rsidR="004C73AA" w:rsidRPr="004C73AA" w:rsidRDefault="004C73AA" w:rsidP="004C73AA">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r w:rsidRPr="004C73AA">
        <w:rPr>
          <w:rFonts w:ascii="Segoe UI" w:eastAsia="Times New Roman" w:hAnsi="Segoe UI" w:cs="Segoe UI"/>
          <w:b/>
          <w:bCs/>
          <w:color w:val="0F1115"/>
          <w:kern w:val="0"/>
          <w:sz w:val="30"/>
          <w:szCs w:val="30"/>
          <w:lang w:eastAsia="en-GB"/>
          <w14:ligatures w14:val="none"/>
        </w:rPr>
        <w:t>6. Key Insights and Observations</w:t>
      </w:r>
    </w:p>
    <w:p w14:paraId="1C3E2BB2"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Negative CCC is a Sign of Strength:</w:t>
      </w:r>
    </w:p>
    <w:p w14:paraId="181F03F0"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color w:val="0F1115"/>
          <w:kern w:val="0"/>
          <w:lang w:eastAsia="en-GB"/>
          <w14:ligatures w14:val="none"/>
        </w:rPr>
        <w:lastRenderedPageBreak/>
        <w:t>IHCL has maintained a negative or near-zero CCC for most of the period, except FY 2021-22. This means the company collects cash from customers before it needs to pay its suppliers, effectively using interest-free supplier credit to fund daily operations. This reduces the need for expensive working capital loans.</w:t>
      </w:r>
    </w:p>
    <w:p w14:paraId="78E6D178"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Payables Management is the Key Driver:</w:t>
      </w:r>
    </w:p>
    <w:p w14:paraId="49FEED24"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color w:val="0F1115"/>
          <w:kern w:val="0"/>
          <w:lang w:eastAsia="en-GB"/>
          <w14:ligatures w14:val="none"/>
        </w:rPr>
        <w:t>The company has strategically increased its payable days from 29.1 days in FY 2021-22 to 36.0 days in FY 2024-25. This shows strong negotiation power with suppliers, driven by IHCL's market leadership and scale in the hospitality industry.</w:t>
      </w:r>
    </w:p>
    <w:p w14:paraId="53DC645B"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Receivable Days Have Improved Dramatically:</w:t>
      </w:r>
    </w:p>
    <w:p w14:paraId="4902CE93"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color w:val="0F1115"/>
          <w:kern w:val="0"/>
          <w:lang w:eastAsia="en-GB"/>
          <w14:ligatures w14:val="none"/>
        </w:rPr>
        <w:t>From 51.8 days in FY 2020-21 during the COVID period, receivable days have come down to approximately 24-25 days in FY 2023-24 and FY 2024-25. This reflects faster collection from customers and improved credit control systems.</w:t>
      </w:r>
    </w:p>
    <w:p w14:paraId="0BBBBD3D"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Inventory Days Remain Stable and Low:</w:t>
      </w:r>
    </w:p>
    <w:p w14:paraId="3C578CDA"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color w:val="0F1115"/>
          <w:kern w:val="0"/>
          <w:lang w:eastAsia="en-GB"/>
          <w14:ligatures w14:val="none"/>
        </w:rPr>
        <w:t>Inventory days have stayed in the range of 5 to 10 days throughout the period. This is typical for a hospitality company where inventory primarily consists of food and beverages, which have a short shelf life and are managed efficiently.</w:t>
      </w:r>
    </w:p>
    <w:p w14:paraId="05C349CF"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b/>
          <w:bCs/>
          <w:color w:val="0F1115"/>
          <w:kern w:val="0"/>
          <w:lang w:eastAsia="en-GB"/>
          <w14:ligatures w14:val="none"/>
        </w:rPr>
        <w:t>Overall Trend is Positive:</w:t>
      </w:r>
    </w:p>
    <w:p w14:paraId="2FF35009"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color w:val="0F1115"/>
          <w:kern w:val="0"/>
          <w:lang w:eastAsia="en-GB"/>
          <w14:ligatures w14:val="none"/>
        </w:rPr>
        <w:t>The CCC trend shows significant improvement post-COVID. FY 2020-21 had -179.3 days due to the pandemic, FY 2021-22 normalized to 3.2 days, FY 2022-23 improved to 0.8 days, FY 2023-24 reached -1.7 days, and FY 2024-25 achieved -3.0 days. This consistent improvement demonstrates IHCL's strong operational and financial management.</w:t>
      </w:r>
    </w:p>
    <w:p w14:paraId="245227D6" w14:textId="77777777" w:rsidR="004C73AA" w:rsidRPr="004C73AA" w:rsidRDefault="00357E88" w:rsidP="004C73AA">
      <w:pPr>
        <w:spacing w:before="480" w:after="480" w:line="240" w:lineRule="auto"/>
        <w:rPr>
          <w:rFonts w:ascii="Segoe UI" w:eastAsia="Times New Roman" w:hAnsi="Segoe UI" w:cs="Segoe UI"/>
          <w:kern w:val="0"/>
          <w:lang w:eastAsia="en-GB"/>
          <w14:ligatures w14:val="none"/>
        </w:rPr>
      </w:pPr>
      <w:r w:rsidRPr="00357E88">
        <w:rPr>
          <w:rFonts w:ascii="Times New Roman" w:eastAsia="Times New Roman" w:hAnsi="Times New Roman" w:cs="Times New Roman"/>
          <w:noProof/>
          <w:kern w:val="0"/>
          <w:lang w:eastAsia="en-GB"/>
        </w:rPr>
        <w:pict w14:anchorId="018EC503">
          <v:rect id="_x0000_i1025" style="width:0;height:.75pt" o:hralign="center" o:hrstd="t" o:hr="t" fillcolor="#a0a0a0" stroked="f"/>
        </w:pict>
      </w:r>
    </w:p>
    <w:p w14:paraId="7ECF09EA" w14:textId="77777777" w:rsidR="004C73AA" w:rsidRPr="004C73AA" w:rsidRDefault="004C73AA" w:rsidP="004C73AA">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r w:rsidRPr="004C73AA">
        <w:rPr>
          <w:rFonts w:ascii="Segoe UI" w:eastAsia="Times New Roman" w:hAnsi="Segoe UI" w:cs="Segoe UI"/>
          <w:b/>
          <w:bCs/>
          <w:color w:val="0F1115"/>
          <w:kern w:val="0"/>
          <w:sz w:val="30"/>
          <w:szCs w:val="30"/>
          <w:lang w:eastAsia="en-GB"/>
          <w14:ligatures w14:val="none"/>
        </w:rPr>
        <w:t>7. Conclusion</w:t>
      </w:r>
    </w:p>
    <w:p w14:paraId="67BC59A8"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color w:val="0F1115"/>
          <w:kern w:val="0"/>
          <w:lang w:eastAsia="en-GB"/>
          <w14:ligatures w14:val="none"/>
        </w:rPr>
        <w:t>IHCL has demonstrated excellent working capital management over the past five years. The company's ability to maintain a negative CCC in recent years indicates that it is efficiently using supplier credit to fund its operations and growth. The improvement in receivable days and stable inventory days further reinforce the strength of IHCL's operational and financial management.</w:t>
      </w:r>
    </w:p>
    <w:p w14:paraId="3FC8616A" w14:textId="77777777" w:rsidR="004C73AA" w:rsidRPr="004C73AA" w:rsidRDefault="004C73AA" w:rsidP="004C73AA">
      <w:pPr>
        <w:shd w:val="clear" w:color="auto" w:fill="FFFFFF"/>
        <w:spacing w:before="240" w:after="240" w:line="240" w:lineRule="auto"/>
        <w:rPr>
          <w:rFonts w:ascii="Segoe UI" w:eastAsia="Times New Roman" w:hAnsi="Segoe UI" w:cs="Segoe UI"/>
          <w:color w:val="0F1115"/>
          <w:kern w:val="0"/>
          <w:lang w:eastAsia="en-GB"/>
          <w14:ligatures w14:val="none"/>
        </w:rPr>
      </w:pPr>
      <w:r w:rsidRPr="004C73AA">
        <w:rPr>
          <w:rFonts w:ascii="Segoe UI" w:eastAsia="Times New Roman" w:hAnsi="Segoe UI" w:cs="Segoe UI"/>
          <w:color w:val="0F1115"/>
          <w:kern w:val="0"/>
          <w:lang w:eastAsia="en-GB"/>
          <w14:ligatures w14:val="none"/>
        </w:rPr>
        <w:t xml:space="preserve">The negative CCC is particularly impressive for a hospitality company, as the industry typically requires significant upfront investment in inventory, staffing, and operations. IHCL's performance in this area is a testament to its strong brand, efficient </w:t>
      </w:r>
      <w:r w:rsidRPr="004C73AA">
        <w:rPr>
          <w:rFonts w:ascii="Segoe UI" w:eastAsia="Times New Roman" w:hAnsi="Segoe UI" w:cs="Segoe UI"/>
          <w:color w:val="0F1115"/>
          <w:kern w:val="0"/>
          <w:lang w:eastAsia="en-GB"/>
          <w14:ligatures w14:val="none"/>
        </w:rPr>
        <w:lastRenderedPageBreak/>
        <w:t>operations, and effective financial strategy. The company is well-positioned to continue this trend as it expands its footprint both domestically and internationally.</w:t>
      </w:r>
    </w:p>
    <w:p w14:paraId="054E021E" w14:textId="77777777" w:rsidR="004C73AA" w:rsidRPr="004C73AA" w:rsidRDefault="004C73AA" w:rsidP="004C73AA">
      <w:pPr>
        <w:spacing w:after="0" w:line="240" w:lineRule="auto"/>
        <w:rPr>
          <w:rFonts w:ascii="Times New Roman" w:eastAsia="Times New Roman" w:hAnsi="Times New Roman" w:cs="Times New Roman"/>
          <w:kern w:val="0"/>
          <w:lang w:eastAsia="en-GB"/>
          <w14:ligatures w14:val="none"/>
        </w:rPr>
      </w:pPr>
    </w:p>
    <w:p w14:paraId="30CD1951" w14:textId="77777777" w:rsidR="004C73AA" w:rsidRDefault="004C73AA"/>
    <w:sectPr w:rsidR="004C73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3AA"/>
    <w:rsid w:val="00324802"/>
    <w:rsid w:val="00357E88"/>
    <w:rsid w:val="004C7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3CD91"/>
  <w15:chartTrackingRefBased/>
  <w15:docId w15:val="{8476F6E6-EDF9-D043-9002-32E626A1F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73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C73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C73A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C73A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C73A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C73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73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73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73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3A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C73A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C73A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C73A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C73A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C73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73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73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73AA"/>
    <w:rPr>
      <w:rFonts w:eastAsiaTheme="majorEastAsia" w:cstheme="majorBidi"/>
      <w:color w:val="272727" w:themeColor="text1" w:themeTint="D8"/>
    </w:rPr>
  </w:style>
  <w:style w:type="paragraph" w:styleId="Title">
    <w:name w:val="Title"/>
    <w:basedOn w:val="Normal"/>
    <w:next w:val="Normal"/>
    <w:link w:val="TitleChar"/>
    <w:uiPriority w:val="10"/>
    <w:qFormat/>
    <w:rsid w:val="004C73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73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73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73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73AA"/>
    <w:pPr>
      <w:spacing w:before="160"/>
      <w:jc w:val="center"/>
    </w:pPr>
    <w:rPr>
      <w:i/>
      <w:iCs/>
      <w:color w:val="404040" w:themeColor="text1" w:themeTint="BF"/>
    </w:rPr>
  </w:style>
  <w:style w:type="character" w:customStyle="1" w:styleId="QuoteChar">
    <w:name w:val="Quote Char"/>
    <w:basedOn w:val="DefaultParagraphFont"/>
    <w:link w:val="Quote"/>
    <w:uiPriority w:val="29"/>
    <w:rsid w:val="004C73AA"/>
    <w:rPr>
      <w:i/>
      <w:iCs/>
      <w:color w:val="404040" w:themeColor="text1" w:themeTint="BF"/>
    </w:rPr>
  </w:style>
  <w:style w:type="paragraph" w:styleId="ListParagraph">
    <w:name w:val="List Paragraph"/>
    <w:basedOn w:val="Normal"/>
    <w:uiPriority w:val="34"/>
    <w:qFormat/>
    <w:rsid w:val="004C73AA"/>
    <w:pPr>
      <w:ind w:left="720"/>
      <w:contextualSpacing/>
    </w:pPr>
  </w:style>
  <w:style w:type="character" w:styleId="IntenseEmphasis">
    <w:name w:val="Intense Emphasis"/>
    <w:basedOn w:val="DefaultParagraphFont"/>
    <w:uiPriority w:val="21"/>
    <w:qFormat/>
    <w:rsid w:val="004C73AA"/>
    <w:rPr>
      <w:i/>
      <w:iCs/>
      <w:color w:val="2F5496" w:themeColor="accent1" w:themeShade="BF"/>
    </w:rPr>
  </w:style>
  <w:style w:type="paragraph" w:styleId="IntenseQuote">
    <w:name w:val="Intense Quote"/>
    <w:basedOn w:val="Normal"/>
    <w:next w:val="Normal"/>
    <w:link w:val="IntenseQuoteChar"/>
    <w:uiPriority w:val="30"/>
    <w:qFormat/>
    <w:rsid w:val="004C73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C73AA"/>
    <w:rPr>
      <w:i/>
      <w:iCs/>
      <w:color w:val="2F5496" w:themeColor="accent1" w:themeShade="BF"/>
    </w:rPr>
  </w:style>
  <w:style w:type="character" w:styleId="IntenseReference">
    <w:name w:val="Intense Reference"/>
    <w:basedOn w:val="DefaultParagraphFont"/>
    <w:uiPriority w:val="32"/>
    <w:qFormat/>
    <w:rsid w:val="004C73AA"/>
    <w:rPr>
      <w:b/>
      <w:bCs/>
      <w:smallCaps/>
      <w:color w:val="2F5496" w:themeColor="accent1" w:themeShade="BF"/>
      <w:spacing w:val="5"/>
    </w:rPr>
  </w:style>
  <w:style w:type="paragraph" w:customStyle="1" w:styleId="ds-markdown-paragraph">
    <w:name w:val="ds-markdown-paragraph"/>
    <w:basedOn w:val="Normal"/>
    <w:rsid w:val="004C73A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C7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1022</Words>
  <Characters>5831</Characters>
  <Application>Microsoft Office Word</Application>
  <DocSecurity>0</DocSecurity>
  <Lines>48</Lines>
  <Paragraphs>13</Paragraphs>
  <ScaleCrop>false</ScaleCrop>
  <Company/>
  <LinksUpToDate>false</LinksUpToDate>
  <CharactersWithSpaces>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001 Woolwich</dc:creator>
  <cp:keywords/>
  <dc:description/>
  <cp:lastModifiedBy>001 Woolwich</cp:lastModifiedBy>
  <cp:revision>1</cp:revision>
  <dcterms:created xsi:type="dcterms:W3CDTF">2026-07-31T16:31:00Z</dcterms:created>
  <dcterms:modified xsi:type="dcterms:W3CDTF">2026-07-31T16:32:00Z</dcterms:modified>
</cp:coreProperties>
</file>