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033276" w14:textId="77777777" w:rsidR="00384E36" w:rsidRDefault="00384E36" w:rsidP="00EB147B">
      <w:pPr>
        <w:bidi w:val="0"/>
        <w:jc w:val="both"/>
        <w:rPr>
          <w:lang w:bidi="fa-IR"/>
        </w:rPr>
      </w:pPr>
      <w:r>
        <w:rPr>
          <w:rtl/>
          <w:lang w:bidi="fa-IR"/>
        </w:rPr>
        <w:t xml:space="preserve"> </w:t>
      </w:r>
      <w:r>
        <w:rPr>
          <w:lang w:bidi="fa-IR"/>
        </w:rPr>
        <w:t>Assessment Component 3 – Policy Analysis Report</w:t>
      </w:r>
      <w:r>
        <w:rPr>
          <w:rtl/>
          <w:lang w:bidi="fa-IR"/>
        </w:rPr>
        <w:t xml:space="preserve">  </w:t>
      </w:r>
    </w:p>
    <w:p w14:paraId="28B39AA8" w14:textId="7389D981" w:rsidR="00384E36" w:rsidRDefault="00010FF9" w:rsidP="00EB147B">
      <w:pPr>
        <w:bidi w:val="0"/>
        <w:jc w:val="both"/>
        <w:rPr>
          <w:lang w:bidi="fa-IR"/>
        </w:rPr>
      </w:pPr>
      <w:r>
        <w:rPr>
          <w:lang w:bidi="fa-IR"/>
        </w:rPr>
        <w:t xml:space="preserve">Akram barati </w:t>
      </w:r>
      <w:proofErr w:type="spellStart"/>
      <w:r>
        <w:rPr>
          <w:lang w:bidi="fa-IR"/>
        </w:rPr>
        <w:t>anhadabadi</w:t>
      </w:r>
      <w:proofErr w:type="spellEnd"/>
    </w:p>
    <w:p w14:paraId="34EAE564" w14:textId="4A537339" w:rsidR="00723B4A" w:rsidRDefault="00723B4A" w:rsidP="00723B4A">
      <w:pPr>
        <w:bidi w:val="0"/>
        <w:jc w:val="both"/>
        <w:rPr>
          <w:rtl/>
          <w:lang w:bidi="fa-IR"/>
        </w:rPr>
      </w:pPr>
      <w:r>
        <w:rPr>
          <w:lang w:bidi="fa-IR"/>
        </w:rPr>
        <w:t>2403780</w:t>
      </w:r>
    </w:p>
    <w:p w14:paraId="0D40E4F1" w14:textId="77777777" w:rsidR="00670FEC" w:rsidRPr="00670FEC" w:rsidRDefault="00670FEC" w:rsidP="00670FEC">
      <w:pPr>
        <w:bidi w:val="0"/>
        <w:jc w:val="both"/>
        <w:rPr>
          <w:lang w:val="en" w:bidi="fa-IR"/>
        </w:rPr>
      </w:pPr>
      <w:r w:rsidRPr="00670FEC">
        <w:rPr>
          <w:lang w:val="en" w:bidi="fa-IR"/>
        </w:rPr>
        <w:t>Policy Fragmentation in AI</w:t>
      </w:r>
      <w:r w:rsidRPr="00670FEC">
        <w:rPr>
          <w:lang w:val="en" w:bidi="fa-IR"/>
        </w:rPr>
        <w:noBreakHyphen/>
        <w:t>Based English Admission Testing:</w:t>
      </w:r>
    </w:p>
    <w:p w14:paraId="0D9BB716" w14:textId="77777777" w:rsidR="00670FEC" w:rsidRPr="00670FEC" w:rsidRDefault="00670FEC" w:rsidP="00670FEC">
      <w:pPr>
        <w:bidi w:val="0"/>
        <w:jc w:val="both"/>
        <w:rPr>
          <w:lang w:val="en" w:bidi="fa-IR"/>
        </w:rPr>
      </w:pPr>
      <w:r w:rsidRPr="00670FEC">
        <w:rPr>
          <w:lang w:val="en" w:bidi="fa-IR"/>
        </w:rPr>
        <w:t>A Welsh Policy Analysis of the Duolingo English Test and UK Visas and Immigration Compliance</w:t>
      </w:r>
    </w:p>
    <w:p w14:paraId="29CB900D" w14:textId="77777777" w:rsidR="00670FEC" w:rsidRPr="00670FEC" w:rsidRDefault="00670FEC" w:rsidP="00670FEC">
      <w:pPr>
        <w:bidi w:val="0"/>
        <w:jc w:val="both"/>
        <w:rPr>
          <w:lang w:val="en" w:bidi="fa-IR"/>
        </w:rPr>
      </w:pPr>
      <w:r w:rsidRPr="00670FEC">
        <w:rPr>
          <w:lang w:val="en" w:bidi="fa-IR"/>
        </w:rPr>
        <w:t>1. Defining the Policy Problem</w:t>
      </w:r>
    </w:p>
    <w:p w14:paraId="0161FA06" w14:textId="77777777" w:rsidR="00670FEC" w:rsidRDefault="00670FEC" w:rsidP="00670FEC">
      <w:pPr>
        <w:bidi w:val="0"/>
        <w:jc w:val="both"/>
        <w:rPr>
          <w:lang w:val="en" w:bidi="fa-IR"/>
        </w:rPr>
      </w:pPr>
      <w:r>
        <w:rPr>
          <w:lang w:val="en" w:bidi="fa-IR"/>
        </w:rPr>
        <w:t>(</w:t>
      </w:r>
      <w:r w:rsidRPr="00670FEC">
        <w:rPr>
          <w:lang w:val="en" w:bidi="fa-IR"/>
        </w:rPr>
        <w:t>Bardach Step 1: Define the Problem</w:t>
      </w:r>
      <w:r>
        <w:rPr>
          <w:lang w:val="en" w:bidi="fa-IR"/>
        </w:rPr>
        <w:t>)</w:t>
      </w:r>
      <w:r w:rsidRPr="00670FEC">
        <w:rPr>
          <w:lang w:val="en" w:bidi="fa-IR"/>
        </w:rPr>
        <w:t xml:space="preserve"> </w:t>
      </w:r>
    </w:p>
    <w:p w14:paraId="26C16D9B" w14:textId="77777777" w:rsidR="00670FEC" w:rsidRPr="00670FEC" w:rsidRDefault="00670FEC" w:rsidP="00670FEC">
      <w:pPr>
        <w:bidi w:val="0"/>
        <w:jc w:val="both"/>
        <w:rPr>
          <w:lang w:val="en" w:bidi="fa-IR"/>
        </w:rPr>
      </w:pPr>
      <w:r w:rsidRPr="00670FEC">
        <w:rPr>
          <w:lang w:val="en" w:bidi="fa-IR"/>
        </w:rPr>
        <w:t xml:space="preserve">Policy analysis begins with a clear definition of the problem and the institutional context in which it arises (Bardach and </w:t>
      </w:r>
      <w:proofErr w:type="spellStart"/>
      <w:r w:rsidRPr="00670FEC">
        <w:rPr>
          <w:lang w:val="en" w:bidi="fa-IR"/>
        </w:rPr>
        <w:t>Patashnik</w:t>
      </w:r>
      <w:proofErr w:type="spellEnd"/>
      <w:r w:rsidRPr="00670FEC">
        <w:rPr>
          <w:lang w:val="en" w:bidi="fa-IR"/>
        </w:rPr>
        <w:t>, 2020). This study applies Bardach’s Eightfold Path to examine a policy coordination issue in Welsh higher education concerning the use of the Duolingo English Test (DET) in international student admissions. Specifically, the analysis investigates how university admissions policies interact with immigration regulations administered by UK Visas and Immigration (UKVI), and how misalignment between these policy domains may generate practical challenges for applicants and institutions.</w:t>
      </w:r>
    </w:p>
    <w:p w14:paraId="65969A57" w14:textId="0E503B4B" w:rsidR="00670FEC" w:rsidRPr="00670FEC" w:rsidRDefault="00670FEC" w:rsidP="00670FEC">
      <w:pPr>
        <w:bidi w:val="0"/>
        <w:jc w:val="both"/>
        <w:rPr>
          <w:lang w:val="en" w:bidi="fa-IR"/>
        </w:rPr>
      </w:pPr>
      <w:r w:rsidRPr="00670FEC">
        <w:rPr>
          <w:lang w:val="en" w:bidi="fa-IR"/>
        </w:rPr>
        <w:t xml:space="preserve">Over the past decade, the Duolingo English Test (DET) has emerged internationally as a fully online English language proficiency assessment used in higher education admissions (Isaacs </w:t>
      </w:r>
      <w:r w:rsidRPr="00670FEC">
        <w:rPr>
          <w:i/>
          <w:iCs/>
          <w:lang w:val="en" w:bidi="fa-IR"/>
        </w:rPr>
        <w:t>et al</w:t>
      </w:r>
      <w:r w:rsidRPr="00670FEC">
        <w:rPr>
          <w:lang w:val="en" w:bidi="fa-IR"/>
        </w:rPr>
        <w:t xml:space="preserve">., 2023; Park </w:t>
      </w:r>
      <w:r w:rsidRPr="00670FEC">
        <w:rPr>
          <w:i/>
          <w:iCs/>
          <w:lang w:val="en" w:bidi="fa-IR"/>
        </w:rPr>
        <w:t>et al</w:t>
      </w:r>
      <w:r w:rsidRPr="00670FEC">
        <w:rPr>
          <w:lang w:val="en" w:bidi="fa-IR"/>
        </w:rPr>
        <w:t xml:space="preserve">., 2024). Unlike traditional </w:t>
      </w:r>
      <w:r w:rsidR="001474A7" w:rsidRPr="00670FEC">
        <w:rPr>
          <w:lang w:val="en" w:bidi="fa-IR"/>
        </w:rPr>
        <w:t>center</w:t>
      </w:r>
      <w:r w:rsidRPr="00670FEC">
        <w:rPr>
          <w:lang w:val="en" w:bidi="fa-IR"/>
        </w:rPr>
        <w:noBreakHyphen/>
        <w:t>based examinations such as the International English Language Testing System (IELTS) and the Test of English as a Foreign Language (TOEFL), DET is delivered remotely through an adaptive computer</w:t>
      </w:r>
      <w:r w:rsidRPr="00670FEC">
        <w:rPr>
          <w:lang w:val="en" w:bidi="fa-IR"/>
        </w:rPr>
        <w:noBreakHyphen/>
        <w:t>based system that integrates automated scoring with online proctoring. These technological features allow candidates to complete the assessment from home and obtain results within a short timeframe. The expansion of remote testing options became particularly visible during and after the COVID</w:t>
      </w:r>
      <w:r w:rsidRPr="00670FEC">
        <w:rPr>
          <w:lang w:val="en" w:bidi="fa-IR"/>
        </w:rPr>
        <w:noBreakHyphen/>
        <w:t>19 pandemic, when universities sought more flexible admissions mechanisms for international applicants (BBC News, 2023).</w:t>
      </w:r>
    </w:p>
    <w:p w14:paraId="5DABE870" w14:textId="77777777" w:rsidR="00670FEC" w:rsidRPr="00670FEC" w:rsidRDefault="00670FEC" w:rsidP="00670FEC">
      <w:pPr>
        <w:bidi w:val="0"/>
        <w:jc w:val="both"/>
        <w:rPr>
          <w:lang w:val="en" w:bidi="fa-IR"/>
        </w:rPr>
      </w:pPr>
      <w:r w:rsidRPr="00670FEC">
        <w:rPr>
          <w:lang w:val="en" w:bidi="fa-IR"/>
        </w:rPr>
        <w:t>Within higher education, English language testing functions as a high</w:t>
      </w:r>
      <w:r w:rsidRPr="00670FEC">
        <w:rPr>
          <w:lang w:val="en" w:bidi="fa-IR"/>
        </w:rPr>
        <w:noBreakHyphen/>
        <w:t>stakes gatekeeping mechanism determining whether applicants are considered linguistically prepared for academic study (McNamara and Roever, 2006; Bachman and Palmer, 2010). Universities typically establish minimum language requirements to ensure that students possess sufficient academic language proficiency to engage with lectures, disciplinary texts, and assessed coursework. In this context, language test scores operate as institutional proxies for academic readiness. When such proxies do not accurately reflect the linguistic demands of higher education, concerns may arise regarding fairness, access, and the validity of admission decisions (McNamara and Knoch, 2019).</w:t>
      </w:r>
    </w:p>
    <w:p w14:paraId="2700F757" w14:textId="36A217B1" w:rsidR="00670FEC" w:rsidRPr="00670FEC" w:rsidRDefault="00670FEC" w:rsidP="00670FEC">
      <w:pPr>
        <w:bidi w:val="0"/>
        <w:jc w:val="both"/>
        <w:rPr>
          <w:lang w:val="en" w:bidi="fa-IR"/>
        </w:rPr>
      </w:pPr>
      <w:r w:rsidRPr="00670FEC">
        <w:rPr>
          <w:lang w:val="en" w:bidi="fa-IR"/>
        </w:rPr>
        <w:t xml:space="preserve">In the United Kingdom, many universities now accept DET scores as evidence of English language proficiency for academic admission (Isaacs </w:t>
      </w:r>
      <w:r w:rsidRPr="00670FEC">
        <w:rPr>
          <w:i/>
          <w:iCs/>
          <w:lang w:val="en" w:bidi="fa-IR"/>
        </w:rPr>
        <w:t>et al</w:t>
      </w:r>
      <w:r w:rsidRPr="00670FEC">
        <w:rPr>
          <w:lang w:val="en" w:bidi="fa-IR"/>
        </w:rPr>
        <w:t xml:space="preserve">., 2023; Park </w:t>
      </w:r>
      <w:r w:rsidRPr="00670FEC">
        <w:rPr>
          <w:i/>
          <w:iCs/>
          <w:lang w:val="en" w:bidi="fa-IR"/>
        </w:rPr>
        <w:t>et al</w:t>
      </w:r>
      <w:r w:rsidRPr="00670FEC">
        <w:rPr>
          <w:lang w:val="en" w:bidi="fa-IR"/>
        </w:rPr>
        <w:t xml:space="preserve">., 2024). However, immigration compliance for international students is regulated nationally by UK Visas and Immigration (UKVI). For the Student Route visa, UKVI </w:t>
      </w:r>
      <w:r w:rsidR="00B54EF8" w:rsidRPr="00670FEC">
        <w:rPr>
          <w:lang w:val="en" w:bidi="fa-IR"/>
        </w:rPr>
        <w:t>recognizes</w:t>
      </w:r>
      <w:r w:rsidRPr="00670FEC">
        <w:rPr>
          <w:lang w:val="en" w:bidi="fa-IR"/>
        </w:rPr>
        <w:t xml:space="preserve"> only Secure English Language Tests (SELTs). SELTs are government</w:t>
      </w:r>
      <w:r w:rsidRPr="00670FEC">
        <w:rPr>
          <w:lang w:val="en" w:bidi="fa-IR"/>
        </w:rPr>
        <w:noBreakHyphen/>
        <w:t xml:space="preserve">approved English language assessments delivered through </w:t>
      </w:r>
      <w:r w:rsidR="0032111F" w:rsidRPr="00670FEC">
        <w:rPr>
          <w:lang w:val="en" w:bidi="fa-IR"/>
        </w:rPr>
        <w:t>authorized</w:t>
      </w:r>
      <w:r w:rsidRPr="00670FEC">
        <w:rPr>
          <w:lang w:val="en" w:bidi="fa-IR"/>
        </w:rPr>
        <w:t xml:space="preserve"> test providers under strict security conditions and are used specifically to verify language proficiency for visa purposes (UK Visas and Immigration, 2024). Consequently, an English test accepted by a university for academic admission may not satisfy the English language requirement for a UK student visa.</w:t>
      </w:r>
    </w:p>
    <w:p w14:paraId="6B1D9899" w14:textId="77777777" w:rsidR="00670FEC" w:rsidRPr="00670FEC" w:rsidRDefault="00670FEC" w:rsidP="00670FEC">
      <w:pPr>
        <w:bidi w:val="0"/>
        <w:jc w:val="both"/>
        <w:rPr>
          <w:lang w:val="en" w:bidi="fa-IR"/>
        </w:rPr>
      </w:pPr>
      <w:r w:rsidRPr="00670FEC">
        <w:rPr>
          <w:lang w:val="en" w:bidi="fa-IR"/>
        </w:rPr>
        <w:t>This distinction creates a potential policy tension between institutional admissions autonomy and immigration regulation. Universities are responsible for determining academic entry requirements, including acceptable forms of English language evidence, whereas visa eligibility requirements are set centrally by the UK government. Such arrangements reflect a broader system of multi</w:t>
      </w:r>
      <w:r w:rsidRPr="00670FEC">
        <w:rPr>
          <w:lang w:val="en" w:bidi="fa-IR"/>
        </w:rPr>
        <w:noBreakHyphen/>
        <w:t xml:space="preserve">level governance in which authority is distributed across institutional levels and policy domains (Marks and </w:t>
      </w:r>
      <w:proofErr w:type="spellStart"/>
      <w:r w:rsidRPr="00670FEC">
        <w:rPr>
          <w:lang w:val="en" w:bidi="fa-IR"/>
        </w:rPr>
        <w:t>Hooghe</w:t>
      </w:r>
      <w:proofErr w:type="spellEnd"/>
      <w:r w:rsidRPr="00670FEC">
        <w:rPr>
          <w:lang w:val="en" w:bidi="fa-IR"/>
        </w:rPr>
        <w:t>, 2003). In practice, frontline actors—such as admissions officers and international applicants—must interpret and apply these intersecting rules when navigating the admissions and visa processes (Lipsky, 1980).</w:t>
      </w:r>
    </w:p>
    <w:p w14:paraId="6974172C" w14:textId="77777777" w:rsidR="00670FEC" w:rsidRPr="00670FEC" w:rsidRDefault="00670FEC" w:rsidP="00670FEC">
      <w:pPr>
        <w:bidi w:val="0"/>
        <w:jc w:val="both"/>
        <w:rPr>
          <w:lang w:val="en" w:bidi="fa-IR"/>
        </w:rPr>
      </w:pPr>
      <w:r w:rsidRPr="00670FEC">
        <w:rPr>
          <w:lang w:val="en" w:bidi="fa-IR"/>
        </w:rPr>
        <w:t xml:space="preserve">As a result, applicants may receive university offers based on DET scores yet subsequently discover that these results do not meet visa requirements under UKVI regulations. This misalignment may lead to practical consequences including additional testing costs, delayed visa applications, disrupted study plans, or postponed enrolment. Universities may also face administrative and reputational risks when applicants misunderstand the </w:t>
      </w:r>
      <w:r w:rsidRPr="00670FEC">
        <w:rPr>
          <w:lang w:val="en" w:bidi="fa-IR"/>
        </w:rPr>
        <w:lastRenderedPageBreak/>
        <w:t xml:space="preserve">distinction between tests accepted for academic admission and those required for immigration compliance (Bruce </w:t>
      </w:r>
      <w:r w:rsidRPr="00670FEC">
        <w:rPr>
          <w:i/>
          <w:iCs/>
          <w:lang w:val="en" w:bidi="fa-IR"/>
        </w:rPr>
        <w:t>et al</w:t>
      </w:r>
      <w:r w:rsidRPr="00670FEC">
        <w:rPr>
          <w:lang w:val="en" w:bidi="fa-IR"/>
        </w:rPr>
        <w:t>., 2025).</w:t>
      </w:r>
    </w:p>
    <w:p w14:paraId="25A9DAE9" w14:textId="77777777" w:rsidR="00670FEC" w:rsidRPr="00670FEC" w:rsidRDefault="00670FEC" w:rsidP="00670FEC">
      <w:pPr>
        <w:bidi w:val="0"/>
        <w:jc w:val="both"/>
        <w:rPr>
          <w:lang w:val="en" w:bidi="fa-IR"/>
        </w:rPr>
      </w:pPr>
      <w:r w:rsidRPr="00670FEC">
        <w:rPr>
          <w:lang w:val="en" w:bidi="fa-IR"/>
        </w:rPr>
        <w:t>Importantly, the issue examined here does not concern the psychometric validity of the Duolingo English Test itself. Rather, the policy problem arises from the institutional separation between higher education admissions policies and immigration regulation in the United Kingdom. Research on multi</w:t>
      </w:r>
      <w:r w:rsidRPr="00670FEC">
        <w:rPr>
          <w:lang w:val="en" w:bidi="fa-IR"/>
        </w:rPr>
        <w:noBreakHyphen/>
        <w:t xml:space="preserve">level governance suggests that when policy authority is distributed across different institutional levels without strong coordination mechanisms, implementation can become fragmented and difficult for policy users to interpret (Marks and </w:t>
      </w:r>
      <w:proofErr w:type="spellStart"/>
      <w:r w:rsidRPr="00670FEC">
        <w:rPr>
          <w:lang w:val="en" w:bidi="fa-IR"/>
        </w:rPr>
        <w:t>Hooghe</w:t>
      </w:r>
      <w:proofErr w:type="spellEnd"/>
      <w:r w:rsidRPr="00670FEC">
        <w:rPr>
          <w:lang w:val="en" w:bidi="fa-IR"/>
        </w:rPr>
        <w:t>, 2003).</w:t>
      </w:r>
    </w:p>
    <w:p w14:paraId="003FF404" w14:textId="2A9BECFD" w:rsidR="00670FEC" w:rsidRPr="00670FEC" w:rsidRDefault="00670FEC" w:rsidP="00670FEC">
      <w:pPr>
        <w:bidi w:val="0"/>
        <w:jc w:val="both"/>
        <w:rPr>
          <w:lang w:val="en" w:bidi="fa-IR"/>
        </w:rPr>
      </w:pPr>
      <w:r w:rsidRPr="00670FEC">
        <w:rPr>
          <w:lang w:val="en" w:bidi="fa-IR"/>
        </w:rPr>
        <w:t xml:space="preserve">Within this governance context, universities across the United Kingdom have adopted different approaches to </w:t>
      </w:r>
      <w:r w:rsidR="001B4FC9" w:rsidRPr="00670FEC">
        <w:rPr>
          <w:lang w:val="en" w:bidi="fa-IR"/>
        </w:rPr>
        <w:t>recognizing</w:t>
      </w:r>
      <w:r w:rsidRPr="00670FEC">
        <w:rPr>
          <w:lang w:val="en" w:bidi="fa-IR"/>
        </w:rPr>
        <w:t xml:space="preserve"> newer digital assessments such as DET for academic admissions (Isaacs </w:t>
      </w:r>
      <w:r w:rsidRPr="00670FEC">
        <w:rPr>
          <w:i/>
          <w:iCs/>
          <w:lang w:val="en" w:bidi="fa-IR"/>
        </w:rPr>
        <w:t>et al</w:t>
      </w:r>
      <w:r w:rsidRPr="00670FEC">
        <w:rPr>
          <w:lang w:val="en" w:bidi="fa-IR"/>
        </w:rPr>
        <w:t xml:space="preserve">., 2023; Park </w:t>
      </w:r>
      <w:r w:rsidRPr="00670FEC">
        <w:rPr>
          <w:i/>
          <w:iCs/>
          <w:lang w:val="en" w:bidi="fa-IR"/>
        </w:rPr>
        <w:t>et al</w:t>
      </w:r>
      <w:r w:rsidRPr="00670FEC">
        <w:rPr>
          <w:lang w:val="en" w:bidi="fa-IR"/>
        </w:rPr>
        <w:t>., 2024). However, there is limited national guidance clarifying how non</w:t>
      </w:r>
      <w:r w:rsidRPr="00670FEC">
        <w:rPr>
          <w:lang w:val="en" w:bidi="fa-IR"/>
        </w:rPr>
        <w:noBreakHyphen/>
        <w:t>SELT digital assessments should be communicated to applicants in relation to visa requirements. As a result, publicly available admissions information varies between institutions in how clearly it distinguishes academic language requirements from visa language requirements.</w:t>
      </w:r>
    </w:p>
    <w:p w14:paraId="3080E8FD" w14:textId="3164FAEB" w:rsidR="00670FEC" w:rsidRPr="00670FEC" w:rsidRDefault="00670FEC" w:rsidP="00670FEC">
      <w:pPr>
        <w:bidi w:val="0"/>
        <w:jc w:val="both"/>
        <w:rPr>
          <w:lang w:val="en" w:bidi="fa-IR"/>
        </w:rPr>
      </w:pPr>
      <w:r w:rsidRPr="00670FEC">
        <w:rPr>
          <w:lang w:val="en" w:bidi="fa-IR"/>
        </w:rPr>
        <w:t xml:space="preserve">Such variation can produce information asymmetry for prospective international students, particularly when applicants must interpret complex regulatory frameworks across multiple institutions. Policy implementation research suggests that when policy rules are communicated unevenly across </w:t>
      </w:r>
      <w:r w:rsidR="00CF4944" w:rsidRPr="00670FEC">
        <w:rPr>
          <w:lang w:val="en" w:bidi="fa-IR"/>
        </w:rPr>
        <w:t>organizations</w:t>
      </w:r>
      <w:r w:rsidRPr="00670FEC">
        <w:rPr>
          <w:lang w:val="en" w:bidi="fa-IR"/>
        </w:rPr>
        <w:t xml:space="preserve">, policy users may struggle to interpret or apply them consistently (Lipsky, 1980). In the context of international admissions, unclear guidance may therefore create practical and financial risks for applicants while also generating administrative challenges for universities (Bruce </w:t>
      </w:r>
      <w:r w:rsidRPr="00670FEC">
        <w:rPr>
          <w:i/>
          <w:iCs/>
          <w:lang w:val="en" w:bidi="fa-IR"/>
        </w:rPr>
        <w:t>et al</w:t>
      </w:r>
      <w:r w:rsidRPr="00670FEC">
        <w:rPr>
          <w:lang w:val="en" w:bidi="fa-IR"/>
        </w:rPr>
        <w:t>., 2025).</w:t>
      </w:r>
    </w:p>
    <w:p w14:paraId="5C76F9D7" w14:textId="77777777" w:rsidR="00670FEC" w:rsidRPr="00670FEC" w:rsidRDefault="00670FEC" w:rsidP="00670FEC">
      <w:pPr>
        <w:bidi w:val="0"/>
        <w:jc w:val="both"/>
        <w:rPr>
          <w:lang w:val="en" w:bidi="fa-IR"/>
        </w:rPr>
      </w:pPr>
      <w:r w:rsidRPr="00670FEC">
        <w:rPr>
          <w:lang w:val="en" w:bidi="fa-IR"/>
        </w:rPr>
        <w:t>The core policy problem addressed in this analysis is therefore one of policy coordination rather than test validity. In the Welsh higher education context, universities must simultaneously manage institutional recruitment strategies, educational assessment practices, and United Kingdom immigration regulations. The case of the Duolingo English Test illustrates how innovations in digital language assessment can interact with existing regulatory frameworks in ways that produce policy fragmentation.</w:t>
      </w:r>
    </w:p>
    <w:p w14:paraId="5B5BA3B7" w14:textId="4D5F3CD9" w:rsidR="00670FEC" w:rsidRPr="00670FEC" w:rsidRDefault="00670FEC" w:rsidP="00670FEC">
      <w:pPr>
        <w:bidi w:val="0"/>
        <w:jc w:val="both"/>
        <w:rPr>
          <w:lang w:val="en" w:bidi="fa-IR"/>
        </w:rPr>
      </w:pPr>
      <w:r w:rsidRPr="00670FEC">
        <w:rPr>
          <w:lang w:val="en" w:bidi="fa-IR"/>
        </w:rPr>
        <w:t xml:space="preserve">Examining this case provides insight into how policy coherence can be affected when educational assessment practices evolve more rapidly than the regulatory structures governing international student mobility. </w:t>
      </w:r>
      <w:r w:rsidR="00C43256" w:rsidRPr="00670FEC">
        <w:rPr>
          <w:lang w:val="en" w:bidi="fa-IR"/>
        </w:rPr>
        <w:t>Analyzing</w:t>
      </w:r>
      <w:r w:rsidRPr="00670FEC">
        <w:rPr>
          <w:lang w:val="en" w:bidi="fa-IR"/>
        </w:rPr>
        <w:t xml:space="preserve"> the interaction between admissions policies and immigration regulation in Wales therefore offers a useful lens for understanding broader coordination challenges within international higher education governance.</w:t>
      </w:r>
    </w:p>
    <w:p w14:paraId="65A491EC" w14:textId="77777777" w:rsidR="004D45F0" w:rsidRPr="004D45F0" w:rsidRDefault="004D45F0" w:rsidP="004D45F0">
      <w:pPr>
        <w:bidi w:val="0"/>
        <w:jc w:val="both"/>
        <w:rPr>
          <w:lang w:val="en" w:bidi="fa-IR"/>
        </w:rPr>
      </w:pPr>
      <w:r w:rsidRPr="004D45F0">
        <w:rPr>
          <w:lang w:val="en" w:bidi="fa-IR"/>
        </w:rPr>
        <w:t>2. Evidence Base and Context</w:t>
      </w:r>
    </w:p>
    <w:p w14:paraId="757F00E5" w14:textId="7ADBCC13" w:rsidR="004D45F0" w:rsidRPr="00670FEC" w:rsidRDefault="004D45F0" w:rsidP="00670FEC">
      <w:pPr>
        <w:bidi w:val="0"/>
        <w:jc w:val="both"/>
        <w:rPr>
          <w:lang w:val="en" w:bidi="fa-IR"/>
        </w:rPr>
      </w:pPr>
      <w:r w:rsidRPr="00670FEC">
        <w:rPr>
          <w:lang w:val="en" w:bidi="fa-IR"/>
        </w:rPr>
        <w:t>(Bardach Step 2</w:t>
      </w:r>
      <w:r w:rsidR="00670FEC">
        <w:rPr>
          <w:lang w:val="en" w:bidi="fa-IR"/>
        </w:rPr>
        <w:t>:</w:t>
      </w:r>
      <w:r w:rsidRPr="00670FEC">
        <w:rPr>
          <w:lang w:val="en" w:bidi="fa-IR"/>
        </w:rPr>
        <w:t xml:space="preserve"> Assemble the Evidence)</w:t>
      </w:r>
    </w:p>
    <w:p w14:paraId="24523C31" w14:textId="77777777" w:rsidR="004D45F0" w:rsidRPr="004D45F0" w:rsidRDefault="004D45F0" w:rsidP="004D45F0">
      <w:pPr>
        <w:bidi w:val="0"/>
        <w:jc w:val="both"/>
        <w:rPr>
          <w:lang w:val="en" w:bidi="fa-IR"/>
        </w:rPr>
      </w:pPr>
      <w:r w:rsidRPr="004D45F0">
        <w:rPr>
          <w:lang w:val="en" w:bidi="fa-IR"/>
        </w:rPr>
        <w:t>This section outlines the evidence informing the policy analysis and explains how different sources contribute to understanding the interaction between university admissions practices and UK</w:t>
      </w:r>
      <w:r w:rsidRPr="004D45F0">
        <w:rPr>
          <w:lang w:val="en" w:bidi="fa-IR"/>
        </w:rPr>
        <w:noBreakHyphen/>
        <w:t>level immigration regulation. Together, institutional, regulatory, scholarly, and media sources illuminate the governance challenges associated with the use of the Duolingo English Test (DET) in higher</w:t>
      </w:r>
      <w:r w:rsidRPr="004D45F0">
        <w:rPr>
          <w:lang w:val="en" w:bidi="fa-IR"/>
        </w:rPr>
        <w:noBreakHyphen/>
        <w:t>education admissions.</w:t>
      </w:r>
    </w:p>
    <w:p w14:paraId="01DBE5F7" w14:textId="02C01955" w:rsidR="004D45F0" w:rsidRPr="004D45F0" w:rsidRDefault="004D45F0" w:rsidP="004D45F0">
      <w:pPr>
        <w:bidi w:val="0"/>
        <w:jc w:val="both"/>
        <w:rPr>
          <w:lang w:val="en" w:bidi="fa-IR"/>
        </w:rPr>
      </w:pPr>
      <w:r w:rsidRPr="004D45F0">
        <w:rPr>
          <w:lang w:val="en" w:bidi="fa-IR"/>
        </w:rPr>
        <w:t>The analysis draws on a critical review of educational, regulatory, and media materials. Rather than treating policy texts as neutral descriptions, the review examines how English</w:t>
      </w:r>
      <w:r w:rsidRPr="004D45F0">
        <w:rPr>
          <w:lang w:val="en" w:bidi="fa-IR"/>
        </w:rPr>
        <w:noBreakHyphen/>
        <w:t xml:space="preserve">language requirements are constructed, communicated, and interpreted within institutional and regulatory contexts, and how these interpretations influence both applicant </w:t>
      </w:r>
      <w:r w:rsidR="0069165D" w:rsidRPr="004D45F0">
        <w:rPr>
          <w:lang w:val="en" w:bidi="fa-IR"/>
        </w:rPr>
        <w:t>behavior</w:t>
      </w:r>
      <w:r w:rsidRPr="004D45F0">
        <w:rPr>
          <w:lang w:val="en" w:bidi="fa-IR"/>
        </w:rPr>
        <w:t xml:space="preserve"> and institutional decision</w:t>
      </w:r>
      <w:r w:rsidRPr="004D45F0">
        <w:rPr>
          <w:lang w:val="en" w:bidi="fa-IR"/>
        </w:rPr>
        <w:noBreakHyphen/>
        <w:t>making.</w:t>
      </w:r>
    </w:p>
    <w:p w14:paraId="6C11F71D" w14:textId="632F7BAC" w:rsidR="004D45F0" w:rsidRPr="004D45F0" w:rsidRDefault="004D45F0" w:rsidP="004D45F0">
      <w:pPr>
        <w:bidi w:val="0"/>
        <w:jc w:val="both"/>
        <w:rPr>
          <w:lang w:val="en" w:bidi="fa-IR"/>
        </w:rPr>
      </w:pPr>
      <w:r w:rsidRPr="004D45F0">
        <w:rPr>
          <w:lang w:val="en" w:bidi="fa-IR"/>
        </w:rPr>
        <w:t>First, the study examines publicly available institutional and regulatory documentation, including university English</w:t>
      </w:r>
      <w:r w:rsidRPr="004D45F0">
        <w:rPr>
          <w:lang w:val="en" w:bidi="fa-IR"/>
        </w:rPr>
        <w:noBreakHyphen/>
        <w:t xml:space="preserve">language entry requirement webpages, </w:t>
      </w:r>
      <w:r w:rsidR="0069165D" w:rsidRPr="004D45F0">
        <w:rPr>
          <w:lang w:val="en" w:bidi="fa-IR"/>
        </w:rPr>
        <w:t>program</w:t>
      </w:r>
      <w:r w:rsidRPr="004D45F0">
        <w:rPr>
          <w:lang w:val="en" w:bidi="fa-IR"/>
        </w:rPr>
        <w:noBreakHyphen/>
        <w:t>specific admissions guidance, pre</w:t>
      </w:r>
      <w:r w:rsidRPr="004D45F0">
        <w:rPr>
          <w:lang w:val="en" w:bidi="fa-IR"/>
        </w:rPr>
        <w:noBreakHyphen/>
        <w:t xml:space="preserve">sessional course information, </w:t>
      </w:r>
      <w:r w:rsidRPr="004D45F0">
        <w:rPr>
          <w:i/>
          <w:iCs/>
          <w:lang w:val="en" w:bidi="fa-IR"/>
        </w:rPr>
        <w:t>UK Visas and Immigration (UKVI)</w:t>
      </w:r>
      <w:r w:rsidRPr="004D45F0">
        <w:rPr>
          <w:lang w:val="en" w:bidi="fa-IR"/>
        </w:rPr>
        <w:t xml:space="preserve"> guidance on </w:t>
      </w:r>
      <w:r w:rsidRPr="004D45F0">
        <w:rPr>
          <w:i/>
          <w:iCs/>
          <w:lang w:val="en" w:bidi="fa-IR"/>
        </w:rPr>
        <w:t>Secure English Language Tests (SELTs)</w:t>
      </w:r>
      <w:r w:rsidRPr="004D45F0">
        <w:rPr>
          <w:lang w:val="en" w:bidi="fa-IR"/>
        </w:rPr>
        <w:t xml:space="preserve">, and </w:t>
      </w:r>
      <w:r w:rsidRPr="004D45F0">
        <w:rPr>
          <w:i/>
          <w:iCs/>
          <w:lang w:val="en" w:bidi="fa-IR"/>
        </w:rPr>
        <w:t>UCAS</w:t>
      </w:r>
      <w:r w:rsidRPr="004D45F0">
        <w:rPr>
          <w:lang w:val="en" w:bidi="fa-IR"/>
        </w:rPr>
        <w:t xml:space="preserve"> </w:t>
      </w:r>
      <w:r w:rsidRPr="004D45F0">
        <w:rPr>
          <w:i/>
          <w:iCs/>
          <w:lang w:val="en" w:bidi="fa-IR"/>
        </w:rPr>
        <w:t>Fair Admissions</w:t>
      </w:r>
      <w:r w:rsidRPr="004D45F0">
        <w:rPr>
          <w:lang w:val="en" w:bidi="fa-IR"/>
        </w:rPr>
        <w:t xml:space="preserve"> principles. These materials function as policy artefacts that shape applicant understanding by framing—explicitly or implicitly—the relationship between academic judgement and immigration compliance. Research on policy communication suggests that institutional texts influence interpretation not only through what they state but also through what they omit (Lipsky, 1980; Bruce </w:t>
      </w:r>
      <w:r w:rsidRPr="00E943A8">
        <w:rPr>
          <w:i/>
          <w:iCs/>
          <w:lang w:val="en" w:bidi="fa-IR"/>
        </w:rPr>
        <w:t>et al</w:t>
      </w:r>
      <w:r w:rsidRPr="004D45F0">
        <w:rPr>
          <w:lang w:val="en" w:bidi="fa-IR"/>
        </w:rPr>
        <w:t xml:space="preserve">., 2025). In this context, ambiguous or incomplete information becomes analytically significant. For example, </w:t>
      </w:r>
      <w:r w:rsidRPr="004D45F0">
        <w:rPr>
          <w:i/>
          <w:iCs/>
          <w:lang w:val="en" w:bidi="fa-IR"/>
        </w:rPr>
        <w:t>UKVI</w:t>
      </w:r>
      <w:r w:rsidRPr="004D45F0">
        <w:rPr>
          <w:lang w:val="en" w:bidi="fa-IR"/>
        </w:rPr>
        <w:t xml:space="preserve"> guidance states that student sponsors may assess English language ability and record the basis of assessment on the </w:t>
      </w:r>
      <w:r w:rsidRPr="004D45F0">
        <w:rPr>
          <w:i/>
          <w:iCs/>
          <w:lang w:val="en" w:bidi="fa-IR"/>
        </w:rPr>
        <w:t>Confirmation of Acceptance for Studies (CAS)</w:t>
      </w:r>
      <w:r w:rsidRPr="004D45F0">
        <w:rPr>
          <w:lang w:val="en" w:bidi="fa-IR"/>
        </w:rPr>
        <w:t xml:space="preserve">, meaning that the requirement for a </w:t>
      </w:r>
      <w:r w:rsidRPr="004D45F0">
        <w:rPr>
          <w:i/>
          <w:iCs/>
          <w:lang w:val="en" w:bidi="fa-IR"/>
        </w:rPr>
        <w:t>SELT</w:t>
      </w:r>
      <w:r w:rsidRPr="004D45F0">
        <w:rPr>
          <w:lang w:val="en" w:bidi="fa-IR"/>
        </w:rPr>
        <w:t xml:space="preserve"> depends partly on sponsor discretion and CAS coding (UK Visas and Immigration, 2024). Such regulatory flexibility can create interpretive uncertainty for applicants, </w:t>
      </w:r>
      <w:r w:rsidRPr="004D45F0">
        <w:rPr>
          <w:lang w:val="en" w:bidi="fa-IR"/>
        </w:rPr>
        <w:lastRenderedPageBreak/>
        <w:t>particularly where institutional webpages do not clearly explain the relationship between academic assessments and visa requirements.</w:t>
      </w:r>
    </w:p>
    <w:p w14:paraId="08421132" w14:textId="2B1BC4C2" w:rsidR="004D45F0" w:rsidRPr="004D45F0" w:rsidRDefault="004D45F0" w:rsidP="004D45F0">
      <w:pPr>
        <w:bidi w:val="0"/>
        <w:jc w:val="both"/>
        <w:rPr>
          <w:lang w:val="en" w:bidi="fa-IR"/>
        </w:rPr>
      </w:pPr>
      <w:r w:rsidRPr="004D45F0">
        <w:rPr>
          <w:lang w:val="en" w:bidi="fa-IR"/>
        </w:rPr>
        <w:t>Second, peer</w:t>
      </w:r>
      <w:r w:rsidRPr="004D45F0">
        <w:rPr>
          <w:lang w:val="en" w:bidi="fa-IR"/>
        </w:rPr>
        <w:noBreakHyphen/>
        <w:t>reviewed educational research on AI</w:t>
      </w:r>
      <w:r w:rsidRPr="004D45F0">
        <w:rPr>
          <w:lang w:val="en" w:bidi="fa-IR"/>
        </w:rPr>
        <w:noBreakHyphen/>
        <w:t>mediated language assessment situates DET within wider debates on validity, fairness, and high</w:t>
      </w:r>
      <w:r w:rsidRPr="004D45F0">
        <w:rPr>
          <w:lang w:val="en" w:bidi="fa-IR"/>
        </w:rPr>
        <w:noBreakHyphen/>
        <w:t>stakes decision</w:t>
      </w:r>
      <w:r w:rsidRPr="004D45F0">
        <w:rPr>
          <w:lang w:val="en" w:bidi="fa-IR"/>
        </w:rPr>
        <w:noBreakHyphen/>
        <w:t xml:space="preserve">making. Isaacs </w:t>
      </w:r>
      <w:r w:rsidRPr="00E943A8">
        <w:rPr>
          <w:i/>
          <w:iCs/>
          <w:lang w:val="en" w:bidi="fa-IR"/>
        </w:rPr>
        <w:t>et al</w:t>
      </w:r>
      <w:r w:rsidRPr="004D45F0">
        <w:rPr>
          <w:lang w:val="en" w:bidi="fa-IR"/>
        </w:rPr>
        <w:t>. (2023) report moderate predictive validity between DET scores and subsequent academic performance, suggesting potential educational utility while identifying limitations such as restricted coverage of academic language constructs, reduced control over remote testing conditions, and questions regarding the comparability of AI</w:t>
      </w:r>
      <w:r w:rsidRPr="004D45F0">
        <w:rPr>
          <w:lang w:val="en" w:bidi="fa-IR"/>
        </w:rPr>
        <w:noBreakHyphen/>
        <w:t xml:space="preserve">generated proficiency estimates with traditional frameworks. Park </w:t>
      </w:r>
      <w:r w:rsidRPr="00E943A8">
        <w:rPr>
          <w:i/>
          <w:iCs/>
          <w:lang w:val="en" w:bidi="fa-IR"/>
        </w:rPr>
        <w:t>et al</w:t>
      </w:r>
      <w:r w:rsidRPr="004D45F0">
        <w:rPr>
          <w:lang w:val="en" w:bidi="fa-IR"/>
        </w:rPr>
        <w:t>. (2024) further highlight methodological challenges in remote AI</w:t>
      </w:r>
      <w:r w:rsidRPr="004D45F0">
        <w:rPr>
          <w:lang w:val="en" w:bidi="fa-IR"/>
        </w:rPr>
        <w:noBreakHyphen/>
        <w:t xml:space="preserve">based testing, including issues related to construct representation, test security, and score interpretation. Collectively, this literature indicates that DET’s role in admissions depends not only on its technical design but also on how institutions interpret and </w:t>
      </w:r>
      <w:r w:rsidR="00F63FA0" w:rsidRPr="004D45F0">
        <w:rPr>
          <w:lang w:val="en" w:bidi="fa-IR"/>
        </w:rPr>
        <w:t>operationalize</w:t>
      </w:r>
      <w:r w:rsidRPr="004D45F0">
        <w:rPr>
          <w:lang w:val="en" w:bidi="fa-IR"/>
        </w:rPr>
        <w:t xml:space="preserve"> its scores within existing regulatory and educational systems.</w:t>
      </w:r>
    </w:p>
    <w:p w14:paraId="699A66BB" w14:textId="77777777" w:rsidR="004D45F0" w:rsidRPr="004D45F0" w:rsidRDefault="004D45F0" w:rsidP="004D45F0">
      <w:pPr>
        <w:bidi w:val="0"/>
        <w:jc w:val="both"/>
        <w:rPr>
          <w:lang w:val="en" w:bidi="fa-IR"/>
        </w:rPr>
      </w:pPr>
      <w:r w:rsidRPr="004D45F0">
        <w:rPr>
          <w:lang w:val="en" w:bidi="fa-IR"/>
        </w:rPr>
        <w:t>Third, research on fairness and equity in digital language assessment highlights the differentiated effects of technology</w:t>
      </w:r>
      <w:r w:rsidRPr="004D45F0">
        <w:rPr>
          <w:lang w:val="en" w:bidi="fa-IR"/>
        </w:rPr>
        <w:noBreakHyphen/>
        <w:t>mediated testing environments. Studies suggest that online assessments may advantage candidates with higher digital literacy, familiarity with online testing interfaces, and reliable technological infrastructure, while disadvantaging applicants with limited internet access, constrained testing environments, or little experience with remote assessment formats (Yao, 2023; Knoch, McNamara and Fan, 2019). In admissions systems where language testing functions as a gatekeeping mechanism, such disparities raise broader concerns about fairness and educational opportunity (McNamara and Roever, 2006). Differences in technological access may therefore translate into unequal opportunities for prospective international students.</w:t>
      </w:r>
    </w:p>
    <w:p w14:paraId="6363FD48" w14:textId="2672BAD6" w:rsidR="004D45F0" w:rsidRPr="004D45F0" w:rsidRDefault="004D45F0" w:rsidP="004D45F0">
      <w:pPr>
        <w:bidi w:val="0"/>
        <w:jc w:val="both"/>
        <w:rPr>
          <w:lang w:val="en" w:bidi="fa-IR"/>
        </w:rPr>
      </w:pPr>
      <w:r w:rsidRPr="004D45F0">
        <w:rPr>
          <w:lang w:val="en" w:bidi="fa-IR"/>
        </w:rPr>
        <w:t>Media reporting forms a fourth strand of evidence, providing insight into wider public and sectoral narratives surrounding DET. Coverage in higher</w:t>
      </w:r>
      <w:r w:rsidRPr="004D45F0">
        <w:rPr>
          <w:lang w:val="en" w:bidi="fa-IR"/>
        </w:rPr>
        <w:noBreakHyphen/>
        <w:t xml:space="preserve">education publications such as </w:t>
      </w:r>
      <w:r w:rsidRPr="004D45F0">
        <w:rPr>
          <w:i/>
          <w:iCs/>
          <w:lang w:val="en" w:bidi="fa-IR"/>
        </w:rPr>
        <w:t>Times Higher Education</w:t>
      </w:r>
      <w:r w:rsidRPr="004D45F0">
        <w:rPr>
          <w:lang w:val="en" w:bidi="fa-IR"/>
        </w:rPr>
        <w:t xml:space="preserve"> often presents DET as an innovative response to access barriers highlighted during the COVID</w:t>
      </w:r>
      <w:r w:rsidRPr="004D45F0">
        <w:rPr>
          <w:lang w:val="en" w:bidi="fa-IR"/>
        </w:rPr>
        <w:noBreakHyphen/>
        <w:t xml:space="preserve">19 pandemic, </w:t>
      </w:r>
      <w:r w:rsidR="00F63FA0" w:rsidRPr="004D45F0">
        <w:rPr>
          <w:lang w:val="en" w:bidi="fa-IR"/>
        </w:rPr>
        <w:t>emphasizing</w:t>
      </w:r>
      <w:r w:rsidRPr="004D45F0">
        <w:rPr>
          <w:lang w:val="en" w:bidi="fa-IR"/>
        </w:rPr>
        <w:t xml:space="preserve"> its lower cost, rapid score reporting, and accessibility for students unable to attend physical testing </w:t>
      </w:r>
      <w:r w:rsidR="00F30E82" w:rsidRPr="004D45F0">
        <w:rPr>
          <w:lang w:val="en" w:bidi="fa-IR"/>
        </w:rPr>
        <w:t>centers</w:t>
      </w:r>
      <w:r w:rsidRPr="004D45F0">
        <w:rPr>
          <w:lang w:val="en" w:bidi="fa-IR"/>
        </w:rPr>
        <w:t xml:space="preserve"> (Flaherty, 2020; </w:t>
      </w:r>
      <w:r w:rsidRPr="004D45F0">
        <w:rPr>
          <w:i/>
          <w:iCs/>
          <w:lang w:val="en" w:bidi="fa-IR"/>
        </w:rPr>
        <w:t>Times Higher Education</w:t>
      </w:r>
      <w:r w:rsidRPr="004D45F0">
        <w:rPr>
          <w:lang w:val="en" w:bidi="fa-IR"/>
        </w:rPr>
        <w:t>, 2020). In contrast, mainstream media coverage has frequently focused on concerns related to remote proctoring, test security, and the lack of recognition for UK student visa purposes at certain stages of policy development (BBC News, 2020; BBC News, 2023). These contrasting narratives position DET simultaneously as an access</w:t>
      </w:r>
      <w:r w:rsidRPr="004D45F0">
        <w:rPr>
          <w:lang w:val="en" w:bidi="fa-IR"/>
        </w:rPr>
        <w:noBreakHyphen/>
        <w:t>enhancing innovation and a potential regulatory risk within immigration</w:t>
      </w:r>
      <w:r w:rsidRPr="004D45F0">
        <w:rPr>
          <w:lang w:val="en" w:bidi="fa-IR"/>
        </w:rPr>
        <w:noBreakHyphen/>
        <w:t>linked admissions systems. Media framing is significant because it can shape both applicant expectations and institutional reputational considerations in policy areas where educational practice intersects with immigration regulation.</w:t>
      </w:r>
    </w:p>
    <w:p w14:paraId="0DF89BD6" w14:textId="0E02F1E0" w:rsidR="004D45F0" w:rsidRPr="004D45F0" w:rsidRDefault="004D45F0" w:rsidP="004D45F0">
      <w:pPr>
        <w:bidi w:val="0"/>
        <w:jc w:val="both"/>
        <w:rPr>
          <w:lang w:val="en" w:bidi="fa-IR"/>
        </w:rPr>
      </w:pPr>
      <w:r w:rsidRPr="004D45F0">
        <w:rPr>
          <w:lang w:val="en" w:bidi="fa-IR"/>
        </w:rPr>
        <w:t xml:space="preserve">Consistent with the scope of a policy analysis report, no primary data were collected. Instead, the study relies on secondary sources to examine how policies and practices are articulated and interpreted. This approach has </w:t>
      </w:r>
      <w:r w:rsidR="007C79FC" w:rsidRPr="004D45F0">
        <w:rPr>
          <w:lang w:val="en" w:bidi="fa-IR"/>
        </w:rPr>
        <w:t>recognized</w:t>
      </w:r>
      <w:r w:rsidRPr="004D45F0">
        <w:rPr>
          <w:lang w:val="en" w:bidi="fa-IR"/>
        </w:rPr>
        <w:t xml:space="preserve"> limitations: publicly available institutional documentation may be incomplete, inconsistently updated, or strategically ambiguous. However, this limitation is analytically relevant, as inconsistent or opaque information is itself a feature of the policy problem, contributing to information asymmetry and fragmented applicant experiences.</w:t>
      </w:r>
    </w:p>
    <w:p w14:paraId="157F0AB4" w14:textId="77777777" w:rsidR="004D45F0" w:rsidRPr="004D45F0" w:rsidRDefault="004D45F0" w:rsidP="004D45F0">
      <w:pPr>
        <w:bidi w:val="0"/>
        <w:jc w:val="both"/>
        <w:rPr>
          <w:lang w:val="en" w:bidi="fa-IR"/>
        </w:rPr>
      </w:pPr>
      <w:r w:rsidRPr="004D45F0">
        <w:rPr>
          <w:lang w:val="en" w:bidi="fa-IR"/>
        </w:rPr>
        <w:t>2.1 Conceptual Clarifications: Language Assessment in Higher Education Admissions</w:t>
      </w:r>
    </w:p>
    <w:p w14:paraId="45CA6A71" w14:textId="5A25B8F0" w:rsidR="004D45F0" w:rsidRPr="004D45F0" w:rsidRDefault="004D45F0" w:rsidP="004D45F0">
      <w:pPr>
        <w:bidi w:val="0"/>
        <w:jc w:val="both"/>
        <w:rPr>
          <w:lang w:val="en" w:bidi="fa-IR"/>
        </w:rPr>
      </w:pPr>
      <w:r w:rsidRPr="004D45F0">
        <w:rPr>
          <w:lang w:val="en" w:bidi="fa-IR"/>
        </w:rPr>
        <w:t xml:space="preserve">A clear conceptual foundation is necessary before </w:t>
      </w:r>
      <w:r w:rsidR="002A68A2" w:rsidRPr="004D45F0">
        <w:rPr>
          <w:lang w:val="en" w:bidi="fa-IR"/>
        </w:rPr>
        <w:t>analyzing</w:t>
      </w:r>
      <w:r w:rsidRPr="004D45F0">
        <w:rPr>
          <w:lang w:val="en" w:bidi="fa-IR"/>
        </w:rPr>
        <w:t xml:space="preserve"> the role of the Duolingo English Test (DET) in higher</w:t>
      </w:r>
      <w:r w:rsidRPr="004D45F0">
        <w:rPr>
          <w:lang w:val="en" w:bidi="fa-IR"/>
        </w:rPr>
        <w:noBreakHyphen/>
        <w:t>education admissions. Consistent with the paper’s comparative focus, this section clarifies key concepts shaping the interpretation of language</w:t>
      </w:r>
      <w:r w:rsidRPr="004D45F0">
        <w:rPr>
          <w:lang w:val="en" w:bidi="fa-IR"/>
        </w:rPr>
        <w:noBreakHyphen/>
        <w:t>assessment practices in university entry processes. Academic language proficiency refers not only to general communicative ability but to the capacity to meet the linguistic and epistemic demands of academic study. This includes engaging with discipline</w:t>
      </w:r>
      <w:r w:rsidRPr="004D45F0">
        <w:rPr>
          <w:lang w:val="en" w:bidi="fa-IR"/>
        </w:rPr>
        <w:noBreakHyphen/>
        <w:t>specific texts, producing sustained academic writing, participating in scholarly discourse, and responding effectively to assessment tasks (McNamara and Roever, 2006). Consequently, language</w:t>
      </w:r>
      <w:r w:rsidRPr="004D45F0">
        <w:rPr>
          <w:lang w:val="en" w:bidi="fa-IR"/>
        </w:rPr>
        <w:noBreakHyphen/>
        <w:t>proficiency requirements function as proxies for academic preparedness rather than neutral measures of linguistic ability.</w:t>
      </w:r>
    </w:p>
    <w:p w14:paraId="01623CBC" w14:textId="6F1A039E" w:rsidR="004D45F0" w:rsidRPr="004D45F0" w:rsidRDefault="004D45F0" w:rsidP="004D45F0">
      <w:pPr>
        <w:bidi w:val="0"/>
        <w:jc w:val="both"/>
        <w:rPr>
          <w:lang w:val="en" w:bidi="fa-IR"/>
        </w:rPr>
      </w:pPr>
      <w:r w:rsidRPr="004D45F0">
        <w:rPr>
          <w:lang w:val="en" w:bidi="fa-IR"/>
        </w:rPr>
        <w:t xml:space="preserve">A further distinction concerns testing and assessment. Testing refers to the administration of </w:t>
      </w:r>
      <w:r w:rsidR="004A6E80" w:rsidRPr="004D45F0">
        <w:rPr>
          <w:lang w:val="en" w:bidi="fa-IR"/>
        </w:rPr>
        <w:t>standardized</w:t>
      </w:r>
      <w:r w:rsidRPr="004D45F0">
        <w:rPr>
          <w:lang w:val="en" w:bidi="fa-IR"/>
        </w:rPr>
        <w:t xml:space="preserve"> instruments designed to generate quantifiable and comparable scores. Assessment, in contrast, involves the broader interpretive process through which evidence is evaluated, </w:t>
      </w:r>
      <w:r w:rsidR="004A6E80" w:rsidRPr="004D45F0">
        <w:rPr>
          <w:lang w:val="en" w:bidi="fa-IR"/>
        </w:rPr>
        <w:t>contextualized</w:t>
      </w:r>
      <w:r w:rsidRPr="004D45F0">
        <w:rPr>
          <w:lang w:val="en" w:bidi="fa-IR"/>
        </w:rPr>
        <w:t>, and used to inform educational judgement (Bachman and Palmer, 2010). Within admissions processes, language</w:t>
      </w:r>
      <w:r w:rsidRPr="004D45F0">
        <w:rPr>
          <w:lang w:val="en" w:bidi="fa-IR"/>
        </w:rPr>
        <w:noBreakHyphen/>
        <w:t xml:space="preserve">test scores therefore acquire meaning only through institutional interpretation shaped by </w:t>
      </w:r>
      <w:r w:rsidR="004A6E80" w:rsidRPr="004D45F0">
        <w:rPr>
          <w:lang w:val="en" w:bidi="fa-IR"/>
        </w:rPr>
        <w:t>program</w:t>
      </w:r>
      <w:r w:rsidRPr="004D45F0">
        <w:rPr>
          <w:lang w:val="en" w:bidi="fa-IR"/>
        </w:rPr>
        <w:t xml:space="preserve"> expectations, regulatory obligations, and contextual understandings of student readiness.</w:t>
      </w:r>
    </w:p>
    <w:p w14:paraId="30C096F2" w14:textId="77777777" w:rsidR="004D45F0" w:rsidRPr="004D45F0" w:rsidRDefault="004D45F0" w:rsidP="004D45F0">
      <w:pPr>
        <w:bidi w:val="0"/>
        <w:jc w:val="both"/>
        <w:rPr>
          <w:lang w:val="en" w:bidi="fa-IR"/>
        </w:rPr>
      </w:pPr>
      <w:r w:rsidRPr="004D45F0">
        <w:rPr>
          <w:lang w:val="en" w:bidi="fa-IR"/>
        </w:rPr>
        <w:lastRenderedPageBreak/>
        <w:t>AI</w:t>
      </w:r>
      <w:r w:rsidRPr="004D45F0">
        <w:rPr>
          <w:lang w:val="en" w:bidi="fa-IR"/>
        </w:rPr>
        <w:noBreakHyphen/>
        <w:t>mediated language assessments such as DET occupy a contested position in the assessment literature. Although they offer advantages in cost, speed, and accessibility, they also raise concerns regarding construct representation, algorithmic scoring, test security, and fairness—particularly in high</w:t>
      </w:r>
      <w:r w:rsidRPr="004D45F0">
        <w:rPr>
          <w:lang w:val="en" w:bidi="fa-IR"/>
        </w:rPr>
        <w:noBreakHyphen/>
        <w:t>stakes admissions contexts (Knoch, McNamara and Fan, 2019; Isaacs et al., 2023). Establishing these conceptual foundations ensures that the policy analysis is grounded in an educational understanding of language assessment rather than reducing DET to a purely administrative or regulatory instrument.</w:t>
      </w:r>
    </w:p>
    <w:p w14:paraId="676B808E" w14:textId="77777777" w:rsidR="004D45F0" w:rsidRPr="004D45F0" w:rsidRDefault="004D45F0" w:rsidP="004D45F0">
      <w:pPr>
        <w:bidi w:val="0"/>
        <w:jc w:val="both"/>
        <w:rPr>
          <w:lang w:val="en" w:bidi="fa-IR"/>
        </w:rPr>
      </w:pPr>
      <w:r w:rsidRPr="004D45F0">
        <w:rPr>
          <w:lang w:val="en" w:bidi="fa-IR"/>
        </w:rPr>
        <w:t>3. Analytical Framework</w:t>
      </w:r>
    </w:p>
    <w:p w14:paraId="222FA73C" w14:textId="4B547658" w:rsidR="004D45F0" w:rsidRPr="004D45F0" w:rsidRDefault="004D45F0" w:rsidP="004D45F0">
      <w:pPr>
        <w:bidi w:val="0"/>
        <w:jc w:val="both"/>
        <w:rPr>
          <w:lang w:val="en" w:bidi="fa-IR"/>
        </w:rPr>
      </w:pPr>
      <w:r w:rsidRPr="004D45F0">
        <w:rPr>
          <w:lang w:val="en" w:bidi="fa-IR"/>
        </w:rPr>
        <w:t xml:space="preserve">This report follows the ECDE7017 assessment structure while using </w:t>
      </w:r>
      <w:r w:rsidRPr="004D45F0">
        <w:rPr>
          <w:i/>
          <w:iCs/>
          <w:lang w:val="en" w:bidi="fa-IR"/>
        </w:rPr>
        <w:t>Bardach’s Eightfold Path</w:t>
      </w:r>
      <w:r w:rsidRPr="004D45F0">
        <w:rPr>
          <w:lang w:val="en" w:bidi="fa-IR"/>
        </w:rPr>
        <w:t xml:space="preserve"> as an </w:t>
      </w:r>
      <w:r w:rsidR="003D3850" w:rsidRPr="004D45F0">
        <w:rPr>
          <w:lang w:val="en" w:bidi="fa-IR"/>
        </w:rPr>
        <w:t>organizing</w:t>
      </w:r>
      <w:r w:rsidRPr="004D45F0">
        <w:rPr>
          <w:lang w:val="en" w:bidi="fa-IR"/>
        </w:rPr>
        <w:t xml:space="preserve"> framework rather than the sole analytical driver. Stating this explicitly clarifies how the approach aligns with the report’s comparative and policy</w:t>
      </w:r>
      <w:r w:rsidRPr="004D45F0">
        <w:rPr>
          <w:lang w:val="en" w:bidi="fa-IR"/>
        </w:rPr>
        <w:noBreakHyphen/>
        <w:t>focused objectives. The policy problem—the fragmented use of the Duolingo English Test (DET) in Welsh higher</w:t>
      </w:r>
      <w:r w:rsidRPr="004D45F0">
        <w:rPr>
          <w:lang w:val="en" w:bidi="fa-IR"/>
        </w:rPr>
        <w:noBreakHyphen/>
        <w:t xml:space="preserve">education admissions under </w:t>
      </w:r>
      <w:r w:rsidRPr="004D45F0">
        <w:rPr>
          <w:i/>
          <w:iCs/>
          <w:lang w:val="en" w:bidi="fa-IR"/>
        </w:rPr>
        <w:t>UK Visas and Immigration (UKVI)</w:t>
      </w:r>
      <w:r w:rsidRPr="004D45F0">
        <w:rPr>
          <w:lang w:val="en" w:bidi="fa-IR"/>
        </w:rPr>
        <w:t xml:space="preserve"> regulatory constraints—extends beyond a technical decision</w:t>
      </w:r>
      <w:r w:rsidRPr="004D45F0">
        <w:rPr>
          <w:lang w:val="en" w:bidi="fa-IR"/>
        </w:rPr>
        <w:noBreakHyphen/>
        <w:t>making issue. It raises broader questions concerning educational judgement, institutional responsibility, equality of opportunity, and multi</w:t>
      </w:r>
      <w:r w:rsidRPr="004D45F0">
        <w:rPr>
          <w:lang w:val="en" w:bidi="fa-IR"/>
        </w:rPr>
        <w:noBreakHyphen/>
        <w:t>level policy implementation.</w:t>
      </w:r>
    </w:p>
    <w:p w14:paraId="192F6A49" w14:textId="649DBCBC" w:rsidR="004D45F0" w:rsidRPr="004D45F0" w:rsidRDefault="004D45F0" w:rsidP="004D45F0">
      <w:pPr>
        <w:bidi w:val="0"/>
        <w:jc w:val="both"/>
        <w:rPr>
          <w:lang w:val="en" w:bidi="fa-IR"/>
        </w:rPr>
      </w:pPr>
      <w:r w:rsidRPr="004D45F0">
        <w:rPr>
          <w:i/>
          <w:iCs/>
          <w:lang w:val="en" w:bidi="fa-IR"/>
        </w:rPr>
        <w:t>Bardach’s Eightfold Path</w:t>
      </w:r>
      <w:r w:rsidRPr="004D45F0">
        <w:rPr>
          <w:lang w:val="en" w:bidi="fa-IR"/>
        </w:rPr>
        <w:t xml:space="preserve"> supports systematic comparison of policy options, the use of explicit evaluative criteria, and evidence</w:t>
      </w:r>
      <w:r w:rsidRPr="004D45F0">
        <w:rPr>
          <w:lang w:val="en" w:bidi="fa-IR"/>
        </w:rPr>
        <w:noBreakHyphen/>
        <w:t xml:space="preserve">based justification of recommendations (Bardach and </w:t>
      </w:r>
      <w:proofErr w:type="spellStart"/>
      <w:r w:rsidRPr="004D45F0">
        <w:rPr>
          <w:lang w:val="en" w:bidi="fa-IR"/>
        </w:rPr>
        <w:t>Patashnik</w:t>
      </w:r>
      <w:proofErr w:type="spellEnd"/>
      <w:r w:rsidRPr="004D45F0">
        <w:rPr>
          <w:lang w:val="en" w:bidi="fa-IR"/>
        </w:rPr>
        <w:t>, 2020). However, relying solely on rational</w:t>
      </w:r>
      <w:r w:rsidRPr="004D45F0">
        <w:rPr>
          <w:lang w:val="en" w:bidi="fa-IR"/>
        </w:rPr>
        <w:noBreakHyphen/>
        <w:t>choice reasoning risks overlooking the discursive and institutional dynamics through which admissions policies are interpreted and enacted. To address this limitation, the analysis incorporates insights from education</w:t>
      </w:r>
      <w:r w:rsidRPr="004D45F0">
        <w:rPr>
          <w:lang w:val="en" w:bidi="fa-IR"/>
        </w:rPr>
        <w:noBreakHyphen/>
        <w:t xml:space="preserve">policy scholarship, </w:t>
      </w:r>
      <w:r w:rsidR="007B4852" w:rsidRPr="004D45F0">
        <w:rPr>
          <w:lang w:val="en" w:bidi="fa-IR"/>
        </w:rPr>
        <w:t>recognizing</w:t>
      </w:r>
      <w:r w:rsidRPr="004D45F0">
        <w:rPr>
          <w:lang w:val="en" w:bidi="fa-IR"/>
        </w:rPr>
        <w:t xml:space="preserve"> that admissions practices operate within contexts </w:t>
      </w:r>
      <w:r w:rsidR="007B4852" w:rsidRPr="004D45F0">
        <w:rPr>
          <w:lang w:val="en" w:bidi="fa-IR"/>
        </w:rPr>
        <w:t>characterized</w:t>
      </w:r>
      <w:r w:rsidRPr="004D45F0">
        <w:rPr>
          <w:lang w:val="en" w:bidi="fa-IR"/>
        </w:rPr>
        <w:t xml:space="preserve"> by ambiguity, competing pressures, and </w:t>
      </w:r>
      <w:r w:rsidR="007B4852" w:rsidRPr="004D45F0">
        <w:rPr>
          <w:lang w:val="en" w:bidi="fa-IR"/>
        </w:rPr>
        <w:t>decentralized</w:t>
      </w:r>
      <w:r w:rsidRPr="004D45F0">
        <w:rPr>
          <w:lang w:val="en" w:bidi="fa-IR"/>
        </w:rPr>
        <w:t xml:space="preserve"> interpretation (Ball, 1993; Ozga, 2000).</w:t>
      </w:r>
    </w:p>
    <w:p w14:paraId="4B0D42EB" w14:textId="4AB51587" w:rsidR="004D45F0" w:rsidRPr="004D45F0" w:rsidRDefault="004D45F0" w:rsidP="004D45F0">
      <w:pPr>
        <w:bidi w:val="0"/>
        <w:jc w:val="both"/>
        <w:rPr>
          <w:lang w:val="en" w:bidi="fa-IR"/>
        </w:rPr>
      </w:pPr>
      <w:r w:rsidRPr="004D45F0">
        <w:rPr>
          <w:lang w:val="en" w:bidi="fa-IR"/>
        </w:rPr>
        <w:t xml:space="preserve">Accordingly, institutional admissions webpages, </w:t>
      </w:r>
      <w:r w:rsidRPr="004D45F0">
        <w:rPr>
          <w:i/>
          <w:iCs/>
          <w:lang w:val="en" w:bidi="fa-IR"/>
        </w:rPr>
        <w:t>UKVI</w:t>
      </w:r>
      <w:r w:rsidRPr="004D45F0">
        <w:rPr>
          <w:lang w:val="en" w:bidi="fa-IR"/>
        </w:rPr>
        <w:t xml:space="preserve"> regulatory guidance, and sector</w:t>
      </w:r>
      <w:r w:rsidRPr="004D45F0">
        <w:rPr>
          <w:lang w:val="en" w:bidi="fa-IR"/>
        </w:rPr>
        <w:noBreakHyphen/>
        <w:t>media reporting are treated as policy texts that both reflect and shape decision</w:t>
      </w:r>
      <w:r w:rsidRPr="004D45F0">
        <w:rPr>
          <w:lang w:val="en" w:bidi="fa-IR"/>
        </w:rPr>
        <w:noBreakHyphen/>
        <w:t xml:space="preserve">making practices. </w:t>
      </w:r>
      <w:r w:rsidR="007B4852" w:rsidRPr="004D45F0">
        <w:rPr>
          <w:lang w:val="en" w:bidi="fa-IR"/>
        </w:rPr>
        <w:t>Analyzing</w:t>
      </w:r>
      <w:r w:rsidRPr="004D45F0">
        <w:rPr>
          <w:lang w:val="en" w:bidi="fa-IR"/>
        </w:rPr>
        <w:t xml:space="preserve"> these materials in this way enables the study to trace how meanings are constructed, how institutional discretion operates, and how regulatory uncertainty interacts with educational judgement in practice.</w:t>
      </w:r>
    </w:p>
    <w:p w14:paraId="56CD0763" w14:textId="1944EFC6" w:rsidR="004D45F0" w:rsidRPr="004D45F0" w:rsidRDefault="004D45F0" w:rsidP="004D45F0">
      <w:pPr>
        <w:bidi w:val="0"/>
        <w:jc w:val="both"/>
        <w:rPr>
          <w:lang w:val="en" w:bidi="fa-IR"/>
        </w:rPr>
      </w:pPr>
      <w:r w:rsidRPr="004D45F0">
        <w:rPr>
          <w:lang w:val="en" w:bidi="fa-IR"/>
        </w:rPr>
        <w:t>Policy options for the use of the Duolingo English Test (DET) in Welsh higher</w:t>
      </w:r>
      <w:r w:rsidRPr="004D45F0">
        <w:rPr>
          <w:lang w:val="en" w:bidi="fa-IR"/>
        </w:rPr>
        <w:noBreakHyphen/>
        <w:t>education admissions—(a) full acceptance, (b) conditional or program</w:t>
      </w:r>
      <w:r w:rsidRPr="004D45F0">
        <w:rPr>
          <w:lang w:val="en" w:bidi="fa-IR"/>
        </w:rPr>
        <w:noBreakHyphen/>
        <w:t>specific acceptance, © non</w:t>
      </w:r>
      <w:r w:rsidRPr="004D45F0">
        <w:rPr>
          <w:lang w:val="en" w:bidi="fa-IR"/>
        </w:rPr>
        <w:noBreakHyphen/>
        <w:t xml:space="preserve">acceptance with alternative pathways, and (d) strategic acceptance aligned with </w:t>
      </w:r>
      <w:r w:rsidRPr="004D45F0">
        <w:rPr>
          <w:i/>
          <w:iCs/>
          <w:lang w:val="en" w:bidi="fa-IR"/>
        </w:rPr>
        <w:t>UKVI</w:t>
      </w:r>
      <w:r w:rsidRPr="004D45F0">
        <w:rPr>
          <w:lang w:val="en" w:bidi="fa-IR"/>
        </w:rPr>
        <w:noBreakHyphen/>
        <w:t xml:space="preserve">compliant </w:t>
      </w:r>
      <w:r w:rsidRPr="004D45F0">
        <w:rPr>
          <w:i/>
          <w:iCs/>
          <w:lang w:val="en" w:bidi="fa-IR"/>
        </w:rPr>
        <w:t>Secure English Language Tests (SELTs)</w:t>
      </w:r>
      <w:r w:rsidRPr="004D45F0">
        <w:rPr>
          <w:lang w:val="en" w:bidi="fa-IR"/>
        </w:rPr>
        <w:t>—are evaluated against four criteria:</w:t>
      </w:r>
    </w:p>
    <w:p w14:paraId="12A14EE3" w14:textId="77777777" w:rsidR="004D45F0" w:rsidRPr="004D45F0" w:rsidRDefault="004D45F0" w:rsidP="004D45F0">
      <w:pPr>
        <w:numPr>
          <w:ilvl w:val="0"/>
          <w:numId w:val="6"/>
        </w:numPr>
        <w:bidi w:val="0"/>
        <w:jc w:val="both"/>
        <w:rPr>
          <w:lang w:val="en" w:bidi="fa-IR"/>
        </w:rPr>
      </w:pPr>
      <w:r w:rsidRPr="004D45F0">
        <w:rPr>
          <w:lang w:val="en" w:bidi="fa-IR"/>
        </w:rPr>
        <w:t>Regulatory compliance (</w:t>
      </w:r>
      <w:r w:rsidRPr="004D45F0">
        <w:rPr>
          <w:i/>
          <w:iCs/>
          <w:lang w:val="en" w:bidi="fa-IR"/>
        </w:rPr>
        <w:t>UKVI/SELT</w:t>
      </w:r>
      <w:r w:rsidRPr="004D45F0">
        <w:rPr>
          <w:lang w:val="en" w:bidi="fa-IR"/>
        </w:rPr>
        <w:t xml:space="preserve"> alignment): assessed as a spectrum of institutional risk, including the clarity of alignment with </w:t>
      </w:r>
      <w:r w:rsidRPr="004D45F0">
        <w:rPr>
          <w:i/>
          <w:iCs/>
          <w:lang w:val="en" w:bidi="fa-IR"/>
        </w:rPr>
        <w:t>UKVI</w:t>
      </w:r>
      <w:r w:rsidRPr="004D45F0">
        <w:rPr>
          <w:lang w:val="en" w:bidi="fa-IR"/>
        </w:rPr>
        <w:t xml:space="preserve"> regulations, the likelihood of adverse visa outcomes arising from regulatory misinterpretation, and the extent to which institutional practices protect applicants from avoidable harm, such as submitting non</w:t>
      </w:r>
      <w:r w:rsidRPr="004D45F0">
        <w:rPr>
          <w:lang w:val="en" w:bidi="fa-IR"/>
        </w:rPr>
        <w:noBreakHyphen/>
        <w:t>compliant test results.</w:t>
      </w:r>
    </w:p>
    <w:p w14:paraId="515C1FD9" w14:textId="77777777" w:rsidR="004D45F0" w:rsidRPr="004D45F0" w:rsidRDefault="004D45F0" w:rsidP="004D45F0">
      <w:pPr>
        <w:numPr>
          <w:ilvl w:val="0"/>
          <w:numId w:val="6"/>
        </w:numPr>
        <w:bidi w:val="0"/>
        <w:jc w:val="both"/>
        <w:rPr>
          <w:lang w:val="en" w:bidi="fa-IR"/>
        </w:rPr>
      </w:pPr>
      <w:r w:rsidRPr="004D45F0">
        <w:rPr>
          <w:lang w:val="en" w:bidi="fa-IR"/>
        </w:rPr>
        <w:t>Transparency and public communication: assessed through the clarity, accessibility, and consistency of admissions information. Particular attention is given to whether academic requirements are clearly distinguished from immigration regulations and how information asymmetry arises when ambiguous or incomplete webpages require applicants to infer DET acceptance. Mitigation measures include explicit guidance, consistent cross</w:t>
      </w:r>
      <w:r w:rsidRPr="004D45F0">
        <w:rPr>
          <w:lang w:val="en" w:bidi="fa-IR"/>
        </w:rPr>
        <w:noBreakHyphen/>
        <w:t>page messaging, and timely updates to institutional information.</w:t>
      </w:r>
    </w:p>
    <w:p w14:paraId="563EA950" w14:textId="77777777" w:rsidR="004D45F0" w:rsidRPr="004D45F0" w:rsidRDefault="004D45F0" w:rsidP="004D45F0">
      <w:pPr>
        <w:numPr>
          <w:ilvl w:val="0"/>
          <w:numId w:val="6"/>
        </w:numPr>
        <w:bidi w:val="0"/>
        <w:jc w:val="both"/>
        <w:rPr>
          <w:lang w:val="en" w:bidi="fa-IR"/>
        </w:rPr>
      </w:pPr>
      <w:r w:rsidRPr="004D45F0">
        <w:rPr>
          <w:lang w:val="en" w:bidi="fa-IR"/>
        </w:rPr>
        <w:t xml:space="preserve">Institutional feasibility and risk management: assessed in relation to operational feasibility within existing admissions capacity, staff expertise, and digital infrastructure, as well as exposure to reputational or regulatory risk. Research on </w:t>
      </w:r>
      <w:proofErr w:type="spellStart"/>
      <w:r w:rsidRPr="004D45F0">
        <w:rPr>
          <w:lang w:val="en" w:bidi="fa-IR"/>
        </w:rPr>
        <w:t>organisational</w:t>
      </w:r>
      <w:proofErr w:type="spellEnd"/>
      <w:r w:rsidRPr="004D45F0">
        <w:rPr>
          <w:lang w:val="en" w:bidi="fa-IR"/>
        </w:rPr>
        <w:t xml:space="preserve"> realism </w:t>
      </w:r>
      <w:proofErr w:type="spellStart"/>
      <w:r w:rsidRPr="004D45F0">
        <w:rPr>
          <w:lang w:val="en" w:bidi="fa-IR"/>
        </w:rPr>
        <w:t>emphasises</w:t>
      </w:r>
      <w:proofErr w:type="spellEnd"/>
      <w:r w:rsidRPr="004D45F0">
        <w:rPr>
          <w:lang w:val="en" w:bidi="fa-IR"/>
        </w:rPr>
        <w:t xml:space="preserve"> that policy enactment depends not only on formal rules but also on local institutional capacity and professional judgement (Ball, 1993; Ozga, 2000).</w:t>
      </w:r>
    </w:p>
    <w:p w14:paraId="3CF247F7" w14:textId="77777777" w:rsidR="004D45F0" w:rsidRPr="004D45F0" w:rsidRDefault="004D45F0" w:rsidP="004D45F0">
      <w:pPr>
        <w:numPr>
          <w:ilvl w:val="0"/>
          <w:numId w:val="6"/>
        </w:numPr>
        <w:bidi w:val="0"/>
        <w:jc w:val="both"/>
        <w:rPr>
          <w:lang w:val="en" w:bidi="fa-IR"/>
        </w:rPr>
      </w:pPr>
      <w:r w:rsidRPr="004D45F0">
        <w:rPr>
          <w:lang w:val="en" w:bidi="fa-IR"/>
        </w:rPr>
        <w:t>Equity and student protection: assessed by examining how risks and benefits are distributed across applicant groups, particularly those with financial constraints, limited digital access, or limited familiarity with AI</w:t>
      </w:r>
      <w:r w:rsidRPr="004D45F0">
        <w:rPr>
          <w:lang w:val="en" w:bidi="fa-IR"/>
        </w:rPr>
        <w:noBreakHyphen/>
        <w:t xml:space="preserve">mediated language testing (Isaacs </w:t>
      </w:r>
      <w:r w:rsidRPr="00E943A8">
        <w:rPr>
          <w:i/>
          <w:iCs/>
          <w:lang w:val="en" w:bidi="fa-IR"/>
        </w:rPr>
        <w:t>et al</w:t>
      </w:r>
      <w:r w:rsidRPr="004D45F0">
        <w:rPr>
          <w:lang w:val="en" w:bidi="fa-IR"/>
        </w:rPr>
        <w:t>., 2023). This criterion reflects Level 7 expectations that policy evaluation should consider broader issues of fairness and social justice.</w:t>
      </w:r>
    </w:p>
    <w:p w14:paraId="35BFA9C5" w14:textId="448C6EAD" w:rsidR="004D45F0" w:rsidRPr="004D45F0" w:rsidRDefault="004D45F0" w:rsidP="004D45F0">
      <w:pPr>
        <w:bidi w:val="0"/>
        <w:jc w:val="both"/>
        <w:rPr>
          <w:lang w:val="en" w:bidi="fa-IR"/>
        </w:rPr>
      </w:pPr>
      <w:r w:rsidRPr="004D45F0">
        <w:rPr>
          <w:lang w:val="en" w:bidi="fa-IR"/>
        </w:rPr>
        <w:t xml:space="preserve">These criteria are treated as explicit normative choices rather than neutral technical tools. They </w:t>
      </w:r>
      <w:r w:rsidR="006771EB" w:rsidRPr="004D45F0">
        <w:rPr>
          <w:lang w:val="en" w:bidi="fa-IR"/>
        </w:rPr>
        <w:t>prioritize</w:t>
      </w:r>
      <w:r w:rsidRPr="004D45F0">
        <w:rPr>
          <w:lang w:val="en" w:bidi="fa-IR"/>
        </w:rPr>
        <w:t xml:space="preserve"> legal compliance, communicative clarity, </w:t>
      </w:r>
      <w:r w:rsidR="006771EB" w:rsidRPr="004D45F0">
        <w:rPr>
          <w:lang w:val="en" w:bidi="fa-IR"/>
        </w:rPr>
        <w:t>organizational</w:t>
      </w:r>
      <w:r w:rsidRPr="004D45F0">
        <w:rPr>
          <w:lang w:val="en" w:bidi="fa-IR"/>
        </w:rPr>
        <w:t xml:space="preserve"> realism, and distributive justice. Making these value judgements explicit strengthens analytical transparency and provides a defensible foundation for the policy recommendations that follow.</w:t>
      </w:r>
    </w:p>
    <w:p w14:paraId="14E0B8A5" w14:textId="77777777" w:rsidR="00FC6192" w:rsidRDefault="00FC6192" w:rsidP="00EB147B">
      <w:pPr>
        <w:bidi w:val="0"/>
        <w:jc w:val="both"/>
        <w:rPr>
          <w:rtl/>
          <w:lang w:bidi="fa-IR"/>
        </w:rPr>
      </w:pPr>
    </w:p>
    <w:p w14:paraId="53B6E033" w14:textId="77777777" w:rsidR="00917EB7" w:rsidRPr="00FC6192" w:rsidRDefault="00917EB7" w:rsidP="00917EB7">
      <w:pPr>
        <w:bidi w:val="0"/>
        <w:jc w:val="both"/>
        <w:rPr>
          <w:lang w:bidi="fa-IR"/>
        </w:rPr>
      </w:pPr>
    </w:p>
    <w:p w14:paraId="0C184FC3" w14:textId="77777777" w:rsidR="00FC6192" w:rsidRPr="00FC6192" w:rsidRDefault="00FC6192" w:rsidP="00EB147B">
      <w:pPr>
        <w:bidi w:val="0"/>
        <w:jc w:val="both"/>
        <w:rPr>
          <w:b/>
          <w:bCs/>
          <w:lang w:val="en" w:bidi="fa-IR"/>
        </w:rPr>
      </w:pPr>
      <w:r w:rsidRPr="00FC6192">
        <w:rPr>
          <w:b/>
          <w:bCs/>
          <w:lang w:val="en" w:bidi="fa-IR"/>
        </w:rPr>
        <w:t>4. Institutional Policy Mapping: Welsh Universities</w:t>
      </w:r>
    </w:p>
    <w:p w14:paraId="1BB899B3" w14:textId="77777777" w:rsidR="00FC6192" w:rsidRPr="00FC6192" w:rsidRDefault="00FC6192" w:rsidP="00EB147B">
      <w:pPr>
        <w:bidi w:val="0"/>
        <w:jc w:val="both"/>
        <w:rPr>
          <w:lang w:val="en" w:bidi="fa-IR"/>
        </w:rPr>
      </w:pPr>
      <w:r w:rsidRPr="00FC6192">
        <w:rPr>
          <w:lang w:val="en" w:bidi="fa-IR"/>
        </w:rPr>
        <w:t>The decision to focus on Welsh universities is grounded in a clear policy rationale. Welsh higher</w:t>
      </w:r>
      <w:r w:rsidRPr="00FC6192">
        <w:rPr>
          <w:lang w:val="en" w:bidi="fa-IR"/>
        </w:rPr>
        <w:noBreakHyphen/>
        <w:t>education institutions operate within a distinctive multi</w:t>
      </w:r>
      <w:r w:rsidRPr="00FC6192">
        <w:rPr>
          <w:lang w:val="en" w:bidi="fa-IR"/>
        </w:rPr>
        <w:noBreakHyphen/>
        <w:t>level governance environment: they follow UK</w:t>
      </w:r>
      <w:r w:rsidRPr="00FC6192">
        <w:rPr>
          <w:lang w:val="en" w:bidi="fa-IR"/>
        </w:rPr>
        <w:noBreakHyphen/>
        <w:t>wide immigration regulations while responding to devolved higher</w:t>
      </w:r>
      <w:r w:rsidRPr="00FC6192">
        <w:rPr>
          <w:lang w:val="en" w:bidi="fa-IR"/>
        </w:rPr>
        <w:noBreakHyphen/>
        <w:t>education priorities, funding structures, and widening</w:t>
      </w:r>
      <w:r w:rsidRPr="00FC6192">
        <w:rPr>
          <w:lang w:val="en" w:bidi="fa-IR"/>
        </w:rPr>
        <w:noBreakHyphen/>
        <w:t>access commitments specific to Wales. This dual positioning makes Wales an analytically significant context for examining how institutions interpret DET acceptance under UKVI constraints.</w:t>
      </w:r>
    </w:p>
    <w:p w14:paraId="13ED21CD" w14:textId="4553A299" w:rsidR="00FC6192" w:rsidRPr="00FC6192" w:rsidRDefault="00FC6192" w:rsidP="00EB147B">
      <w:pPr>
        <w:bidi w:val="0"/>
        <w:jc w:val="both"/>
        <w:rPr>
          <w:lang w:val="en" w:bidi="fa-IR"/>
        </w:rPr>
      </w:pPr>
      <w:r w:rsidRPr="00FC6192">
        <w:rPr>
          <w:lang w:val="en" w:bidi="fa-IR"/>
        </w:rPr>
        <w:t xml:space="preserve">This section therefore examines how Welsh universities articulate—or fail to articulate—their stance on the Duolingo English Test (DET) through publicly accessible admissions documentation. The aim is not simply to catalogue webpages but </w:t>
      </w:r>
      <w:r w:rsidRPr="00295FD2">
        <w:rPr>
          <w:lang w:val="en" w:bidi="fa-IR"/>
        </w:rPr>
        <w:t xml:space="preserve">to </w:t>
      </w:r>
      <w:r w:rsidR="00295FD2" w:rsidRPr="00295FD2">
        <w:rPr>
          <w:b/>
          <w:bCs/>
          <w:lang w:val="en" w:bidi="fa-IR"/>
        </w:rPr>
        <w:t>analyses</w:t>
      </w:r>
      <w:r w:rsidRPr="00295FD2">
        <w:rPr>
          <w:lang w:val="en" w:bidi="fa-IR"/>
        </w:rPr>
        <w:t xml:space="preserve"> how</w:t>
      </w:r>
      <w:r w:rsidRPr="00FC6192">
        <w:rPr>
          <w:lang w:val="en" w:bidi="fa-IR"/>
        </w:rPr>
        <w:t xml:space="preserve"> policy ambiguity, </w:t>
      </w:r>
      <w:r w:rsidR="008228E1" w:rsidRPr="00FC6192">
        <w:rPr>
          <w:lang w:val="en" w:bidi="fa-IR"/>
        </w:rPr>
        <w:t>decentralized</w:t>
      </w:r>
      <w:r w:rsidRPr="00FC6192">
        <w:rPr>
          <w:lang w:val="en" w:bidi="fa-IR"/>
        </w:rPr>
        <w:t xml:space="preserve"> interpretation, and communicative silence shape admissions practices and applicants’ decision</w:t>
      </w:r>
      <w:r w:rsidRPr="00FC6192">
        <w:rPr>
          <w:lang w:val="en" w:bidi="fa-IR"/>
        </w:rPr>
        <w:noBreakHyphen/>
        <w:t>making experiences.</w:t>
      </w:r>
    </w:p>
    <w:p w14:paraId="0B366AAD" w14:textId="77777777" w:rsidR="00FC6192" w:rsidRPr="00FC6192" w:rsidRDefault="00FC6192" w:rsidP="00EB147B">
      <w:pPr>
        <w:bidi w:val="0"/>
        <w:jc w:val="both"/>
        <w:rPr>
          <w:lang w:val="en" w:bidi="fa-IR"/>
        </w:rPr>
      </w:pPr>
      <w:r w:rsidRPr="00FC6192">
        <w:rPr>
          <w:lang w:val="en" w:bidi="fa-IR"/>
        </w:rPr>
        <w:t>To establish the evidential basis, the mapping draws on English</w:t>
      </w:r>
      <w:r w:rsidRPr="00FC6192">
        <w:rPr>
          <w:lang w:val="en" w:bidi="fa-IR"/>
        </w:rPr>
        <w:noBreakHyphen/>
        <w:t>language entry</w:t>
      </w:r>
      <w:r w:rsidRPr="00FC6192">
        <w:rPr>
          <w:lang w:val="en" w:bidi="fa-IR"/>
        </w:rPr>
        <w:noBreakHyphen/>
        <w:t xml:space="preserve">requirement webpages, international admissions guidance, and institutional statements regarding test acceptance. These policy texts are understood as </w:t>
      </w:r>
      <w:r w:rsidRPr="00FC6192">
        <w:rPr>
          <w:b/>
          <w:bCs/>
          <w:lang w:val="en" w:bidi="fa-IR"/>
        </w:rPr>
        <w:t>active governance artefacts</w:t>
      </w:r>
      <w:r w:rsidRPr="00FC6192">
        <w:rPr>
          <w:lang w:val="en" w:bidi="fa-IR"/>
        </w:rPr>
        <w:t>, produced through interactions among multiple stakeholders—including admissions teams, compliance officers, international recruitment units, legal advisors, and senior management. Their interpretation by external stakeholders—applicants, agents, and pathway providers—further shapes how academic judgement and regulatory compliance are enacted in practice.</w:t>
      </w:r>
    </w:p>
    <w:p w14:paraId="41A720FA" w14:textId="77777777" w:rsidR="003D7174" w:rsidRPr="003D7174" w:rsidRDefault="003D7174" w:rsidP="00EB147B">
      <w:pPr>
        <w:bidi w:val="0"/>
        <w:jc w:val="both"/>
        <w:rPr>
          <w:b/>
          <w:bCs/>
          <w:lang w:val="en" w:bidi="fa-IR"/>
        </w:rPr>
      </w:pPr>
      <w:r w:rsidRPr="003D7174">
        <w:rPr>
          <w:b/>
          <w:bCs/>
          <w:lang w:val="en" w:bidi="fa-IR"/>
        </w:rPr>
        <w:t>4.1 Bangor University</w:t>
      </w:r>
    </w:p>
    <w:p w14:paraId="43A8DE27" w14:textId="632B2CFD" w:rsidR="003D7174" w:rsidRPr="0007256C" w:rsidRDefault="003D7174" w:rsidP="00EB147B">
      <w:pPr>
        <w:bidi w:val="0"/>
        <w:jc w:val="both"/>
        <w:rPr>
          <w:lang w:val="en" w:bidi="fa-IR"/>
        </w:rPr>
      </w:pPr>
      <w:r w:rsidRPr="0007256C">
        <w:rPr>
          <w:lang w:val="en" w:bidi="fa-IR"/>
        </w:rPr>
        <w:t xml:space="preserve">Bangor University’s official international </w:t>
      </w:r>
      <w:r w:rsidRPr="00B24F6E">
        <w:rPr>
          <w:lang w:val="en" w:bidi="fa-IR"/>
        </w:rPr>
        <w:t>admissions and English</w:t>
      </w:r>
      <w:r w:rsidRPr="00B24F6E">
        <w:rPr>
          <w:lang w:val="en" w:bidi="fa-IR"/>
        </w:rPr>
        <w:noBreakHyphen/>
        <w:t>language requirement webpages list a range of accepted English proficiency tests, including the International English Language Testing System (IELTS), the Test of English as a Foreign Language Internet</w:t>
      </w:r>
      <w:r w:rsidRPr="00B24F6E">
        <w:rPr>
          <w:lang w:val="en" w:bidi="fa-IR"/>
        </w:rPr>
        <w:noBreakHyphen/>
        <w:t>Based Test (TOEFL iBT), the Pearson Test of English Academic (PTE Academic), and the Duolingo English Test (DET). The university provides score equivalences indicating that DET results (for example, scores in the range of approximately</w:t>
      </w:r>
      <w:r w:rsidRPr="0007256C">
        <w:rPr>
          <w:lang w:val="en" w:bidi="fa-IR"/>
        </w:rPr>
        <w:t xml:space="preserve"> 105–125) correspond to particular IELTS score bands required for degree </w:t>
      </w:r>
      <w:r w:rsidR="00B24F6E" w:rsidRPr="0007256C">
        <w:rPr>
          <w:lang w:val="en" w:bidi="fa-IR"/>
        </w:rPr>
        <w:t>programs</w:t>
      </w:r>
      <w:r w:rsidRPr="0007256C">
        <w:rPr>
          <w:lang w:val="en" w:bidi="fa-IR"/>
        </w:rPr>
        <w:t>.</w:t>
      </w:r>
    </w:p>
    <w:p w14:paraId="405F5503" w14:textId="7C87274F" w:rsidR="003D7174" w:rsidRPr="0007256C" w:rsidRDefault="003D7174" w:rsidP="00EB147B">
      <w:pPr>
        <w:bidi w:val="0"/>
        <w:jc w:val="both"/>
        <w:rPr>
          <w:lang w:val="en" w:bidi="fa-IR"/>
        </w:rPr>
      </w:pPr>
      <w:r w:rsidRPr="0007256C">
        <w:rPr>
          <w:lang w:val="en" w:bidi="fa-IR"/>
        </w:rPr>
        <w:t xml:space="preserve">This documentation indicates that DET is </w:t>
      </w:r>
      <w:r w:rsidR="0099380C" w:rsidRPr="0007256C">
        <w:rPr>
          <w:lang w:val="en" w:bidi="fa-IR"/>
        </w:rPr>
        <w:t>recognized</w:t>
      </w:r>
      <w:r w:rsidRPr="0007256C">
        <w:rPr>
          <w:lang w:val="en" w:bidi="fa-IR"/>
        </w:rPr>
        <w:t xml:space="preserve"> by the institution as evidence of academic English language proficiency for admission purposes. However, the published guidance on Bangor’s English</w:t>
      </w:r>
      <w:r w:rsidRPr="0007256C">
        <w:rPr>
          <w:lang w:val="en" w:bidi="fa-IR"/>
        </w:rPr>
        <w:noBreakHyphen/>
        <w:t>language requirement pages does not clarify whether DET can satisfy the UK Visas and Immigration (UKVI) Secure English Language Test (SELT) requirements associated with UK student visa applications. Because the DET is not currently a UKVI</w:t>
      </w:r>
      <w:r w:rsidRPr="0007256C">
        <w:rPr>
          <w:lang w:val="en" w:bidi="fa-IR"/>
        </w:rPr>
        <w:noBreakHyphen/>
        <w:t>approved SELT, the absence of clarification may create uncertainty for international applicants regarding whether a DET score alone would be sufficient for both academic admission and visa eligibility.</w:t>
      </w:r>
    </w:p>
    <w:p w14:paraId="244D1B93" w14:textId="77777777" w:rsidR="003D7174" w:rsidRPr="0007256C" w:rsidRDefault="003D7174" w:rsidP="00EB147B">
      <w:pPr>
        <w:bidi w:val="0"/>
        <w:jc w:val="both"/>
        <w:rPr>
          <w:lang w:bidi="fa-IR"/>
        </w:rPr>
      </w:pPr>
    </w:p>
    <w:p w14:paraId="3D2794D1" w14:textId="77777777" w:rsidR="003D7174" w:rsidRPr="0007256C" w:rsidRDefault="003D7174" w:rsidP="00EB147B">
      <w:pPr>
        <w:bidi w:val="0"/>
        <w:jc w:val="both"/>
        <w:rPr>
          <w:lang w:val="en" w:bidi="fa-IR"/>
        </w:rPr>
      </w:pPr>
      <w:r w:rsidRPr="0007256C">
        <w:rPr>
          <w:lang w:val="en" w:bidi="fa-IR"/>
        </w:rPr>
        <w:t>4.2 Aberystwyth University</w:t>
      </w:r>
    </w:p>
    <w:p w14:paraId="3284FB88" w14:textId="77777777" w:rsidR="003D7174" w:rsidRPr="0007256C" w:rsidRDefault="003D7174" w:rsidP="00EB147B">
      <w:pPr>
        <w:bidi w:val="0"/>
        <w:jc w:val="both"/>
        <w:rPr>
          <w:lang w:val="en" w:bidi="fa-IR"/>
        </w:rPr>
      </w:pPr>
      <w:r w:rsidRPr="0007256C">
        <w:rPr>
          <w:lang w:val="en" w:bidi="fa-IR"/>
        </w:rPr>
        <w:t>Aberystwyth University’s central English</w:t>
      </w:r>
      <w:r w:rsidRPr="0007256C">
        <w:rPr>
          <w:lang w:val="en" w:bidi="fa-IR"/>
        </w:rPr>
        <w:noBreakHyphen/>
        <w:t xml:space="preserve">language requirements page lists several </w:t>
      </w:r>
      <w:proofErr w:type="spellStart"/>
      <w:r w:rsidRPr="0007256C">
        <w:rPr>
          <w:lang w:val="en" w:bidi="fa-IR"/>
        </w:rPr>
        <w:t>recognised</w:t>
      </w:r>
      <w:proofErr w:type="spellEnd"/>
      <w:r w:rsidRPr="0007256C">
        <w:rPr>
          <w:lang w:val="en" w:bidi="fa-IR"/>
        </w:rPr>
        <w:t xml:space="preserve"> qualifications, including IELTS, Cambridge English qualifications, and TOEFL, and also provides information about pre</w:t>
      </w:r>
      <w:r w:rsidRPr="0007256C">
        <w:rPr>
          <w:lang w:val="en" w:bidi="fa-IR"/>
        </w:rPr>
        <w:noBreakHyphen/>
        <w:t>sessional English courses for applicants who do not yet meet the required level. However, the Duolingo English Test (DET) is not explicitly included among the listed tests on this central admissions guidance page.</w:t>
      </w:r>
    </w:p>
    <w:p w14:paraId="32B24F92" w14:textId="77777777" w:rsidR="003D7174" w:rsidRPr="0007256C" w:rsidRDefault="003D7174" w:rsidP="00EB147B">
      <w:pPr>
        <w:bidi w:val="0"/>
        <w:jc w:val="both"/>
        <w:rPr>
          <w:lang w:val="en" w:bidi="fa-IR"/>
        </w:rPr>
      </w:pPr>
      <w:r w:rsidRPr="0007256C">
        <w:rPr>
          <w:lang w:val="en" w:bidi="fa-IR"/>
        </w:rPr>
        <w:t xml:space="preserve">This omission may indicate that the university does not currently make formal use of DET within its centrally published admissions policy. At the same time, the absence of explicit reference in the central policy text—rather than a clearly stated prohibition—can create uncertainty for applicants attempting to determine whether DET evidence might be </w:t>
      </w:r>
      <w:r w:rsidRPr="0099380C">
        <w:rPr>
          <w:lang w:val="en" w:bidi="fa-IR"/>
        </w:rPr>
        <w:t>considered through alternative routes or discretionary institutional practices.</w:t>
      </w:r>
    </w:p>
    <w:p w14:paraId="7DA37298" w14:textId="77777777" w:rsidR="003D7174" w:rsidRPr="0007256C" w:rsidRDefault="003D7174" w:rsidP="00EB147B">
      <w:pPr>
        <w:bidi w:val="0"/>
        <w:jc w:val="both"/>
        <w:rPr>
          <w:lang w:val="en" w:bidi="fa-IR"/>
        </w:rPr>
      </w:pPr>
      <w:r w:rsidRPr="0007256C">
        <w:rPr>
          <w:lang w:val="en" w:bidi="fa-IR"/>
        </w:rPr>
        <w:t>4.3 Swansea University</w:t>
      </w:r>
    </w:p>
    <w:p w14:paraId="02703A44" w14:textId="1BB7B99D" w:rsidR="003D7174" w:rsidRPr="0007256C" w:rsidRDefault="003D7174" w:rsidP="00EB147B">
      <w:pPr>
        <w:bidi w:val="0"/>
        <w:jc w:val="both"/>
        <w:rPr>
          <w:lang w:val="en" w:bidi="fa-IR"/>
        </w:rPr>
      </w:pPr>
      <w:r w:rsidRPr="0007256C">
        <w:rPr>
          <w:lang w:val="en" w:bidi="fa-IR"/>
        </w:rPr>
        <w:t>Swansea University’s official English</w:t>
      </w:r>
      <w:r w:rsidRPr="0007256C">
        <w:rPr>
          <w:lang w:val="en" w:bidi="fa-IR"/>
        </w:rPr>
        <w:noBreakHyphen/>
        <w:t xml:space="preserve">language requirements pages state that applicants must provide evidence from a </w:t>
      </w:r>
      <w:r w:rsidR="00996D29" w:rsidRPr="0007256C">
        <w:rPr>
          <w:lang w:val="en" w:bidi="fa-IR"/>
        </w:rPr>
        <w:t>recognized</w:t>
      </w:r>
      <w:r w:rsidRPr="0007256C">
        <w:rPr>
          <w:lang w:val="en" w:bidi="fa-IR"/>
        </w:rPr>
        <w:t xml:space="preserve"> English</w:t>
      </w:r>
      <w:r w:rsidRPr="0007256C">
        <w:rPr>
          <w:lang w:val="en" w:bidi="fa-IR"/>
        </w:rPr>
        <w:noBreakHyphen/>
        <w:t xml:space="preserve">language test before admission can be confirmed. The central admissions guidance lists several accepted qualifications, including IELTS, TOEFL iBT, and PTE Academic, but does not include the Duolingo English Test (DET) in the primary list of </w:t>
      </w:r>
      <w:r w:rsidR="00996D29" w:rsidRPr="0007256C">
        <w:rPr>
          <w:lang w:val="en" w:bidi="fa-IR"/>
        </w:rPr>
        <w:t>recognized</w:t>
      </w:r>
      <w:r w:rsidRPr="0007256C">
        <w:rPr>
          <w:lang w:val="en" w:bidi="fa-IR"/>
        </w:rPr>
        <w:t xml:space="preserve"> tests.</w:t>
      </w:r>
    </w:p>
    <w:p w14:paraId="2677FEB9" w14:textId="77777777" w:rsidR="003D7174" w:rsidRPr="0007256C" w:rsidRDefault="003D7174" w:rsidP="00EB147B">
      <w:pPr>
        <w:bidi w:val="0"/>
        <w:jc w:val="both"/>
        <w:rPr>
          <w:lang w:val="en" w:bidi="fa-IR"/>
        </w:rPr>
      </w:pPr>
      <w:r w:rsidRPr="0007256C">
        <w:rPr>
          <w:lang w:val="en" w:bidi="fa-IR"/>
        </w:rPr>
        <w:lastRenderedPageBreak/>
        <w:t>Where a test is not mentioned within the university’s central admissions documentation, applicants may interpret this either as evidence that the test is not accepted or as an indication that further clarification from admissions advisers is required. In policy analysis literature, such situations are sometimes described as policy silence or policy ambiguity, where the absence of explicit guidance in formal documentation can shift interpretive responsibility onto applicants or administrative staff (Ball, 1993; Ozga, 2000).</w:t>
      </w:r>
    </w:p>
    <w:p w14:paraId="6473C5A4" w14:textId="77777777" w:rsidR="003D7174" w:rsidRPr="0007256C" w:rsidRDefault="003D7174" w:rsidP="00EB147B">
      <w:pPr>
        <w:bidi w:val="0"/>
        <w:jc w:val="both"/>
        <w:rPr>
          <w:lang w:bidi="fa-IR"/>
        </w:rPr>
      </w:pPr>
    </w:p>
    <w:p w14:paraId="48720B88" w14:textId="77777777" w:rsidR="003D7174" w:rsidRPr="003D7174" w:rsidRDefault="003D7174" w:rsidP="00EB147B">
      <w:pPr>
        <w:bidi w:val="0"/>
        <w:jc w:val="both"/>
        <w:rPr>
          <w:b/>
          <w:bCs/>
          <w:lang w:val="en" w:bidi="fa-IR"/>
        </w:rPr>
      </w:pPr>
      <w:r w:rsidRPr="003D7174">
        <w:rPr>
          <w:b/>
          <w:bCs/>
          <w:lang w:val="en" w:bidi="fa-IR"/>
        </w:rPr>
        <w:t>4.4 University of South Wales</w:t>
      </w:r>
    </w:p>
    <w:p w14:paraId="5A3129E9" w14:textId="77777777" w:rsidR="003D7174" w:rsidRPr="003D7174" w:rsidRDefault="003D7174" w:rsidP="00EB147B">
      <w:pPr>
        <w:bidi w:val="0"/>
        <w:jc w:val="both"/>
        <w:rPr>
          <w:lang w:val="en" w:bidi="fa-IR"/>
        </w:rPr>
      </w:pPr>
      <w:r w:rsidRPr="003D7174">
        <w:rPr>
          <w:lang w:val="en" w:bidi="fa-IR"/>
        </w:rPr>
        <w:t xml:space="preserve">The </w:t>
      </w:r>
      <w:r w:rsidRPr="003D7174">
        <w:rPr>
          <w:b/>
          <w:bCs/>
          <w:lang w:val="en" w:bidi="fa-IR"/>
        </w:rPr>
        <w:t>University of South Wales</w:t>
      </w:r>
      <w:r w:rsidRPr="003D7174">
        <w:rPr>
          <w:lang w:val="en" w:bidi="fa-IR"/>
        </w:rPr>
        <w:t xml:space="preserve"> publishes English</w:t>
      </w:r>
      <w:r w:rsidRPr="003D7174">
        <w:rPr>
          <w:lang w:val="en" w:bidi="fa-IR"/>
        </w:rPr>
        <w:noBreakHyphen/>
        <w:t xml:space="preserve">language requirements that identify several </w:t>
      </w:r>
      <w:proofErr w:type="spellStart"/>
      <w:r w:rsidRPr="003D7174">
        <w:rPr>
          <w:lang w:val="en" w:bidi="fa-IR"/>
        </w:rPr>
        <w:t>recognised</w:t>
      </w:r>
      <w:proofErr w:type="spellEnd"/>
      <w:r w:rsidRPr="003D7174">
        <w:rPr>
          <w:lang w:val="en" w:bidi="fa-IR"/>
        </w:rPr>
        <w:t xml:space="preserve"> qualifications, including </w:t>
      </w:r>
      <w:r w:rsidRPr="003D7174">
        <w:rPr>
          <w:b/>
          <w:bCs/>
          <w:lang w:val="en" w:bidi="fa-IR"/>
        </w:rPr>
        <w:t>IELTS</w:t>
      </w:r>
      <w:r w:rsidRPr="003D7174">
        <w:rPr>
          <w:lang w:val="en" w:bidi="fa-IR"/>
        </w:rPr>
        <w:t xml:space="preserve">, </w:t>
      </w:r>
      <w:r w:rsidRPr="003D7174">
        <w:rPr>
          <w:b/>
          <w:bCs/>
          <w:lang w:val="en" w:bidi="fa-IR"/>
        </w:rPr>
        <w:t>TOEFL iBT</w:t>
      </w:r>
      <w:r w:rsidRPr="003D7174">
        <w:rPr>
          <w:lang w:val="en" w:bidi="fa-IR"/>
        </w:rPr>
        <w:t xml:space="preserve">, and </w:t>
      </w:r>
      <w:r w:rsidRPr="003D7174">
        <w:rPr>
          <w:b/>
          <w:bCs/>
          <w:lang w:val="en" w:bidi="fa-IR"/>
        </w:rPr>
        <w:t>PTE Academic</w:t>
      </w:r>
      <w:r w:rsidRPr="003D7174">
        <w:rPr>
          <w:lang w:val="en" w:bidi="fa-IR"/>
        </w:rPr>
        <w:t>, and also refers to online assessment routes such as non</w:t>
      </w:r>
      <w:r w:rsidRPr="003D7174">
        <w:rPr>
          <w:lang w:val="en" w:bidi="fa-IR"/>
        </w:rPr>
        <w:noBreakHyphen/>
        <w:t xml:space="preserve">UKVI versions of IELTS. However, the </w:t>
      </w:r>
      <w:r w:rsidRPr="003D7174">
        <w:rPr>
          <w:b/>
          <w:bCs/>
          <w:lang w:val="en" w:bidi="fa-IR"/>
        </w:rPr>
        <w:t>Duolingo English Test (DET)</w:t>
      </w:r>
      <w:r w:rsidRPr="003D7174">
        <w:rPr>
          <w:lang w:val="en" w:bidi="fa-IR"/>
        </w:rPr>
        <w:t xml:space="preserve"> is not explicitly referenced within the university’s central English</w:t>
      </w:r>
      <w:r w:rsidRPr="003D7174">
        <w:rPr>
          <w:lang w:val="en" w:bidi="fa-IR"/>
        </w:rPr>
        <w:noBreakHyphen/>
        <w:t>language requirements documentation.</w:t>
      </w:r>
    </w:p>
    <w:p w14:paraId="2B21B0C1" w14:textId="77777777" w:rsidR="003D7174" w:rsidRDefault="003D7174" w:rsidP="00EB147B">
      <w:pPr>
        <w:bidi w:val="0"/>
        <w:jc w:val="both"/>
        <w:rPr>
          <w:lang w:val="en" w:bidi="fa-IR"/>
        </w:rPr>
      </w:pPr>
      <w:r w:rsidRPr="003D7174">
        <w:rPr>
          <w:lang w:val="en" w:bidi="fa-IR"/>
        </w:rPr>
        <w:t>The absence of DET within these central policy texts—namely the university’s publicly available English</w:t>
      </w:r>
      <w:r w:rsidRPr="003D7174">
        <w:rPr>
          <w:lang w:val="en" w:bidi="fa-IR"/>
        </w:rPr>
        <w:noBreakHyphen/>
        <w:t>language requirements pages for international applicants—illustrates a pattern in which institutions provide detailed guidance on established tests while offering limited or no information about newer AI</w:t>
      </w:r>
      <w:r w:rsidRPr="003D7174">
        <w:rPr>
          <w:lang w:val="en" w:bidi="fa-IR"/>
        </w:rPr>
        <w:noBreakHyphen/>
        <w:t xml:space="preserve">mediated assessments. For applicants, this can create uncertainty about whether DET results are considered acceptable evidence of language proficiency, particularly when universities in other parts of the UK have begun to </w:t>
      </w:r>
      <w:proofErr w:type="spellStart"/>
      <w:r w:rsidRPr="003D7174">
        <w:rPr>
          <w:lang w:val="en" w:bidi="fa-IR"/>
        </w:rPr>
        <w:t>recognise</w:t>
      </w:r>
      <w:proofErr w:type="spellEnd"/>
      <w:r w:rsidRPr="003D7174">
        <w:rPr>
          <w:lang w:val="en" w:bidi="fa-IR"/>
        </w:rPr>
        <w:t xml:space="preserve"> the test for academic admission purposes.</w:t>
      </w:r>
    </w:p>
    <w:p w14:paraId="46869F2D" w14:textId="77777777" w:rsidR="00891218" w:rsidRPr="00891218" w:rsidRDefault="00891218" w:rsidP="00EB147B">
      <w:pPr>
        <w:bidi w:val="0"/>
        <w:jc w:val="both"/>
        <w:rPr>
          <w:lang w:val="en" w:bidi="fa-IR"/>
        </w:rPr>
      </w:pPr>
      <w:r w:rsidRPr="00891218">
        <w:rPr>
          <w:b/>
          <w:bCs/>
          <w:lang w:val="en" w:bidi="fa-IR"/>
        </w:rPr>
        <w:t>4.5 Wrexham University</w:t>
      </w:r>
    </w:p>
    <w:p w14:paraId="35954AA1" w14:textId="0AF462D0" w:rsidR="00891218" w:rsidRPr="00891218" w:rsidRDefault="00891218" w:rsidP="00EB147B">
      <w:pPr>
        <w:bidi w:val="0"/>
        <w:jc w:val="both"/>
        <w:rPr>
          <w:lang w:val="en" w:bidi="fa-IR"/>
        </w:rPr>
      </w:pPr>
      <w:r w:rsidRPr="00891218">
        <w:rPr>
          <w:lang w:val="en" w:bidi="fa-IR"/>
        </w:rPr>
        <w:t>Wrexham University’s English language requirements page lists accepted certificates based on equivalence to UKVI standards (e.g. IELTS and Language</w:t>
      </w:r>
      <w:r w:rsidR="00996D29">
        <w:rPr>
          <w:rFonts w:hint="cs"/>
          <w:rtl/>
          <w:lang w:val="en" w:bidi="fa-IR"/>
        </w:rPr>
        <w:t xml:space="preserve"> </w:t>
      </w:r>
      <w:r w:rsidRPr="00891218">
        <w:rPr>
          <w:lang w:val="en" w:bidi="fa-IR"/>
        </w:rPr>
        <w:t>Cert) and, at the time of writing, does not explicitly list the Duolingo English Test as an accepted qualification. By restricting its published criteria to UKVI</w:t>
      </w:r>
      <w:r w:rsidRPr="00891218">
        <w:rPr>
          <w:lang w:val="en" w:bidi="fa-IR"/>
        </w:rPr>
        <w:noBreakHyphen/>
        <w:t xml:space="preserve">aligned tests, Wrexham demonstrates a conservative institutional approach that aligns explicitly with central immigration requirements and does not present DET as a </w:t>
      </w:r>
      <w:r w:rsidR="005C3CFB" w:rsidRPr="00891218">
        <w:rPr>
          <w:lang w:val="en" w:bidi="fa-IR"/>
        </w:rPr>
        <w:t>recognized</w:t>
      </w:r>
      <w:r w:rsidRPr="00891218">
        <w:rPr>
          <w:lang w:val="en" w:bidi="fa-IR"/>
        </w:rPr>
        <w:t xml:space="preserve"> route for meeting its published English</w:t>
      </w:r>
      <w:r w:rsidRPr="00891218">
        <w:rPr>
          <w:lang w:val="en" w:bidi="fa-IR"/>
        </w:rPr>
        <w:noBreakHyphen/>
        <w:t>language entry requirements.</w:t>
      </w:r>
    </w:p>
    <w:p w14:paraId="3B5CCEB1" w14:textId="77777777" w:rsidR="00891218" w:rsidRPr="00891218" w:rsidRDefault="00891218" w:rsidP="00EB147B">
      <w:pPr>
        <w:bidi w:val="0"/>
        <w:jc w:val="both"/>
        <w:rPr>
          <w:lang w:val="en" w:bidi="fa-IR"/>
        </w:rPr>
      </w:pPr>
      <w:r w:rsidRPr="00891218">
        <w:rPr>
          <w:b/>
          <w:bCs/>
          <w:lang w:val="en" w:bidi="fa-IR"/>
        </w:rPr>
        <w:t>4.6 University of Wales Trinity Saint David (UWTSD)</w:t>
      </w:r>
    </w:p>
    <w:p w14:paraId="72722BB9" w14:textId="0FEF2274" w:rsidR="00891218" w:rsidRPr="00891218" w:rsidRDefault="00891218" w:rsidP="00EB147B">
      <w:pPr>
        <w:bidi w:val="0"/>
        <w:jc w:val="both"/>
        <w:rPr>
          <w:lang w:val="en" w:bidi="fa-IR"/>
        </w:rPr>
      </w:pPr>
      <w:r w:rsidRPr="00891218">
        <w:rPr>
          <w:lang w:val="en" w:bidi="fa-IR"/>
        </w:rPr>
        <w:t>The University of Wales Trinity Saint David’s international admissions guidance identifies English language proficiency as a required entry criterion and refers applicants to “a UKVI</w:t>
      </w:r>
      <w:r w:rsidRPr="00891218">
        <w:rPr>
          <w:lang w:val="en" w:bidi="fa-IR"/>
        </w:rPr>
        <w:noBreakHyphen/>
      </w:r>
      <w:r w:rsidR="00996D29" w:rsidRPr="00891218">
        <w:rPr>
          <w:lang w:val="en" w:bidi="fa-IR"/>
        </w:rPr>
        <w:t>recognized</w:t>
      </w:r>
      <w:r w:rsidRPr="00891218">
        <w:rPr>
          <w:lang w:val="en" w:bidi="fa-IR"/>
        </w:rPr>
        <w:t xml:space="preserve"> Secure English Language Test (SELT)” for visa</w:t>
      </w:r>
      <w:r w:rsidRPr="00891218">
        <w:rPr>
          <w:lang w:val="en" w:bidi="fa-IR"/>
        </w:rPr>
        <w:noBreakHyphen/>
        <w:t>related purposes (UWTSD, 2024, English Language Requirements page). However, the publicly available guidance does not explicitly list the Duolingo English Test (DET) or provide equivalence scores for it. This suggests that institutional guidance is primarily aligned with UKVI</w:t>
      </w:r>
      <w:r w:rsidRPr="00891218">
        <w:rPr>
          <w:lang w:val="en" w:bidi="fa-IR"/>
        </w:rPr>
        <w:noBreakHyphen/>
      </w:r>
      <w:r w:rsidR="00996D29" w:rsidRPr="00891218">
        <w:rPr>
          <w:lang w:val="en" w:bidi="fa-IR"/>
        </w:rPr>
        <w:t>recognized</w:t>
      </w:r>
      <w:r w:rsidRPr="00891218">
        <w:rPr>
          <w:lang w:val="en" w:bidi="fa-IR"/>
        </w:rPr>
        <w:t xml:space="preserve"> SELT frameworks, with no clearly published institutional policy regarding the use of non</w:t>
      </w:r>
      <w:r w:rsidRPr="00891218">
        <w:rPr>
          <w:lang w:val="en" w:bidi="fa-IR"/>
        </w:rPr>
        <w:noBreakHyphen/>
        <w:t>SELT, digitally delivered tests such as DET.</w:t>
      </w:r>
    </w:p>
    <w:p w14:paraId="210446BA" w14:textId="77777777" w:rsidR="003D7174" w:rsidRPr="003D7174" w:rsidRDefault="003D7174" w:rsidP="00EB147B">
      <w:pPr>
        <w:bidi w:val="0"/>
        <w:jc w:val="both"/>
        <w:rPr>
          <w:b/>
          <w:bCs/>
          <w:lang w:val="en" w:bidi="fa-IR"/>
        </w:rPr>
      </w:pPr>
      <w:r w:rsidRPr="003D7174">
        <w:rPr>
          <w:b/>
          <w:bCs/>
          <w:lang w:val="en" w:bidi="fa-IR"/>
        </w:rPr>
        <w:t>4.7 Cardiff University (Implicit Evidence)</w:t>
      </w:r>
    </w:p>
    <w:p w14:paraId="3C1A246A" w14:textId="53853A31" w:rsidR="003D7174" w:rsidRPr="003D7174" w:rsidRDefault="003D7174" w:rsidP="00EB147B">
      <w:pPr>
        <w:bidi w:val="0"/>
        <w:jc w:val="both"/>
        <w:rPr>
          <w:lang w:val="en" w:bidi="fa-IR"/>
        </w:rPr>
      </w:pPr>
      <w:r w:rsidRPr="003D7174">
        <w:rPr>
          <w:lang w:val="en" w:bidi="fa-IR"/>
        </w:rPr>
        <w:t>Cardiff University’s publicly available English</w:t>
      </w:r>
      <w:r w:rsidRPr="003D7174">
        <w:rPr>
          <w:lang w:val="en" w:bidi="fa-IR"/>
        </w:rPr>
        <w:noBreakHyphen/>
        <w:t xml:space="preserve">language requirements pages—particularly those specifying </w:t>
      </w:r>
      <w:r w:rsidRPr="003D7174">
        <w:rPr>
          <w:b/>
          <w:bCs/>
          <w:lang w:val="en" w:bidi="fa-IR"/>
        </w:rPr>
        <w:t>UKVI Secure English Language Tests (SELTs)</w:t>
      </w:r>
      <w:r w:rsidRPr="003D7174">
        <w:rPr>
          <w:lang w:val="en" w:bidi="fa-IR"/>
        </w:rPr>
        <w:t xml:space="preserve"> for pre</w:t>
      </w:r>
      <w:r w:rsidRPr="003D7174">
        <w:rPr>
          <w:lang w:val="en" w:bidi="fa-IR"/>
        </w:rPr>
        <w:noBreakHyphen/>
        <w:t xml:space="preserve">sessional and postgraduate admissions—do not include the </w:t>
      </w:r>
      <w:r w:rsidRPr="003D7174">
        <w:rPr>
          <w:b/>
          <w:bCs/>
          <w:lang w:val="en" w:bidi="fa-IR"/>
        </w:rPr>
        <w:t>Duolingo English Test (DET)</w:t>
      </w:r>
      <w:r w:rsidRPr="003D7174">
        <w:rPr>
          <w:lang w:val="en" w:bidi="fa-IR"/>
        </w:rPr>
        <w:t xml:space="preserve"> among the centrally </w:t>
      </w:r>
      <w:r w:rsidR="00996D29" w:rsidRPr="003D7174">
        <w:rPr>
          <w:lang w:val="en" w:bidi="fa-IR"/>
        </w:rPr>
        <w:t>recognized</w:t>
      </w:r>
      <w:r w:rsidRPr="003D7174">
        <w:rPr>
          <w:lang w:val="en" w:bidi="fa-IR"/>
        </w:rPr>
        <w:t xml:space="preserve"> qualifications. The university’s </w:t>
      </w:r>
      <w:r w:rsidRPr="003D7174">
        <w:rPr>
          <w:i/>
          <w:iCs/>
          <w:lang w:val="en" w:bidi="fa-IR"/>
        </w:rPr>
        <w:t>central policy text</w:t>
      </w:r>
      <w:r w:rsidRPr="003D7174">
        <w:rPr>
          <w:lang w:val="en" w:bidi="fa-IR"/>
        </w:rPr>
        <w:t xml:space="preserve"> in this context refers specifically to the </w:t>
      </w:r>
      <w:r w:rsidRPr="003D7174">
        <w:rPr>
          <w:b/>
          <w:bCs/>
          <w:lang w:val="en" w:bidi="fa-IR"/>
        </w:rPr>
        <w:t>English Language Requirements</w:t>
      </w:r>
      <w:r w:rsidRPr="003D7174">
        <w:rPr>
          <w:lang w:val="en" w:bidi="fa-IR"/>
        </w:rPr>
        <w:t xml:space="preserve"> section of the main admissions website, which outlines </w:t>
      </w:r>
      <w:r w:rsidR="00996D29" w:rsidRPr="003D7174">
        <w:rPr>
          <w:lang w:val="en" w:bidi="fa-IR"/>
        </w:rPr>
        <w:t>recognized</w:t>
      </w:r>
      <w:r w:rsidRPr="003D7174">
        <w:rPr>
          <w:lang w:val="en" w:bidi="fa-IR"/>
        </w:rPr>
        <w:t xml:space="preserve"> SELTs and equivalency pathways for international applicants (Cardiff University, 2024).</w:t>
      </w:r>
    </w:p>
    <w:p w14:paraId="51F3BDFD" w14:textId="0E08609D" w:rsidR="003D7174" w:rsidRPr="003D7174" w:rsidRDefault="003D7174" w:rsidP="00EB147B">
      <w:pPr>
        <w:bidi w:val="0"/>
        <w:jc w:val="both"/>
        <w:rPr>
          <w:lang w:val="en" w:bidi="fa-IR"/>
        </w:rPr>
      </w:pPr>
      <w:r w:rsidRPr="003D7174">
        <w:rPr>
          <w:lang w:val="en" w:bidi="fa-IR"/>
        </w:rPr>
        <w:t>Although program</w:t>
      </w:r>
      <w:r w:rsidRPr="003D7174">
        <w:rPr>
          <w:lang w:val="en" w:bidi="fa-IR"/>
        </w:rPr>
        <w:noBreakHyphen/>
        <w:t xml:space="preserve">level information hosted on individual school pages occasionally references a broader range of evidence for English proficiency, such references are not </w:t>
      </w:r>
      <w:r w:rsidR="005C3CFB" w:rsidRPr="003D7174">
        <w:rPr>
          <w:lang w:val="en" w:bidi="fa-IR"/>
        </w:rPr>
        <w:t>standardized</w:t>
      </w:r>
      <w:r w:rsidRPr="003D7174">
        <w:rPr>
          <w:lang w:val="en" w:bidi="fa-IR"/>
        </w:rPr>
        <w:t xml:space="preserve"> and do not explicitly endorse DET. This misalignment between </w:t>
      </w:r>
      <w:r w:rsidRPr="003D7174">
        <w:rPr>
          <w:b/>
          <w:bCs/>
          <w:lang w:val="en" w:bidi="fa-IR"/>
        </w:rPr>
        <w:t>central policy text</w:t>
      </w:r>
      <w:r w:rsidRPr="003D7174">
        <w:rPr>
          <w:lang w:val="en" w:bidi="fa-IR"/>
        </w:rPr>
        <w:t xml:space="preserve"> and </w:t>
      </w:r>
      <w:r w:rsidR="005C3CFB" w:rsidRPr="003D7174">
        <w:rPr>
          <w:b/>
          <w:bCs/>
          <w:lang w:val="en" w:bidi="fa-IR"/>
        </w:rPr>
        <w:t>localized</w:t>
      </w:r>
      <w:r w:rsidRPr="003D7174">
        <w:rPr>
          <w:b/>
          <w:bCs/>
          <w:lang w:val="en" w:bidi="fa-IR"/>
        </w:rPr>
        <w:t xml:space="preserve"> program</w:t>
      </w:r>
      <w:r w:rsidRPr="003D7174">
        <w:rPr>
          <w:b/>
          <w:bCs/>
          <w:lang w:val="en" w:bidi="fa-IR"/>
        </w:rPr>
        <w:noBreakHyphen/>
        <w:t>level practice</w:t>
      </w:r>
      <w:r w:rsidRPr="003D7174">
        <w:rPr>
          <w:lang w:val="en" w:bidi="fa-IR"/>
        </w:rPr>
        <w:t xml:space="preserve"> indicates a form of policy fragmentation. Cardiff therefore exemplifies a wider pattern in Wales whereby institutions may apply implicit or discretionary acceptance of non</w:t>
      </w:r>
      <w:r w:rsidRPr="003D7174">
        <w:rPr>
          <w:lang w:val="en" w:bidi="fa-IR"/>
        </w:rPr>
        <w:noBreakHyphen/>
        <w:t>SELT tests, yet refrain from articulating this publicly in formal admissions guidance. The absence of explicit DET recognition in Cardiff’s core documentation thus reinforces the uncertainty faced by applicants attempting to interpret institutional expectations.</w:t>
      </w:r>
    </w:p>
    <w:p w14:paraId="0ECC77B1" w14:textId="77777777" w:rsidR="00FE2448" w:rsidRDefault="00FE2448" w:rsidP="00EB147B">
      <w:pPr>
        <w:bidi w:val="0"/>
        <w:jc w:val="both"/>
        <w:rPr>
          <w:lang w:bidi="fa-IR"/>
        </w:rPr>
      </w:pPr>
    </w:p>
    <w:p w14:paraId="5518808A" w14:textId="77777777" w:rsidR="003D7174" w:rsidRPr="003D7174" w:rsidRDefault="003D7174" w:rsidP="00EB147B">
      <w:pPr>
        <w:bidi w:val="0"/>
        <w:jc w:val="both"/>
        <w:rPr>
          <w:lang w:bidi="fa-IR"/>
        </w:rPr>
      </w:pPr>
      <w:r w:rsidRPr="003D7174">
        <w:rPr>
          <w:lang w:bidi="fa-IR"/>
        </w:rPr>
        <w:t xml:space="preserve">4.8 Cross-Institutional Synthesis </w:t>
      </w:r>
    </w:p>
    <w:p w14:paraId="280813AA" w14:textId="77777777" w:rsidR="003D7174" w:rsidRPr="003D7174" w:rsidRDefault="003D7174" w:rsidP="00EB147B">
      <w:pPr>
        <w:bidi w:val="0"/>
        <w:jc w:val="both"/>
        <w:rPr>
          <w:lang w:bidi="fa-IR"/>
        </w:rPr>
      </w:pPr>
      <w:r w:rsidRPr="003D7174">
        <w:rPr>
          <w:lang w:bidi="fa-IR"/>
        </w:rPr>
        <w:lastRenderedPageBreak/>
        <w:t>Across Welsh higher education institutions, a pattern of institutional silence or opacity regarding the Duolingo English Test is evident in central admissions documentation. Only Bangor University explicitly publishes DET equivalence information on its official language requirement pages, while others either omit DET entirely or focus on Secure English Language Tests without reference to AI-based alternatives. This produces a fragmented admissions information environment where applicants must rely on informal guidance or assumptions about test recognition.</w:t>
      </w:r>
    </w:p>
    <w:p w14:paraId="58E718F4" w14:textId="77777777" w:rsidR="003D7174" w:rsidRPr="003D7174" w:rsidRDefault="003D7174" w:rsidP="00EB147B">
      <w:pPr>
        <w:bidi w:val="0"/>
        <w:jc w:val="both"/>
        <w:rPr>
          <w:lang w:bidi="fa-IR"/>
        </w:rPr>
      </w:pPr>
      <w:r w:rsidRPr="003D7174">
        <w:rPr>
          <w:lang w:bidi="fa-IR"/>
        </w:rPr>
        <w:t>Fragmentation is reflected not only in presence versus absence of DET references but in variability of communication clarity about how language evidence maps to visa eligibility. Such institutional variation supports the understanding of admissions policy as a discretionary practice under conditions of ambiguity rather than a standardized sector approach.</w:t>
      </w:r>
    </w:p>
    <w:p w14:paraId="34B52B52" w14:textId="77777777" w:rsidR="003D7174" w:rsidRPr="003D7174" w:rsidRDefault="003D7174" w:rsidP="00EB147B">
      <w:pPr>
        <w:bidi w:val="0"/>
        <w:jc w:val="both"/>
        <w:rPr>
          <w:b/>
          <w:bCs/>
          <w:lang w:val="en" w:bidi="fa-IR"/>
        </w:rPr>
      </w:pPr>
      <w:r w:rsidRPr="003D7174">
        <w:rPr>
          <w:b/>
          <w:bCs/>
          <w:lang w:val="en" w:bidi="fa-IR"/>
        </w:rPr>
        <w:t>4.9 Sector</w:t>
      </w:r>
      <w:r w:rsidRPr="003D7174">
        <w:rPr>
          <w:b/>
          <w:bCs/>
          <w:lang w:val="en" w:bidi="fa-IR"/>
        </w:rPr>
        <w:noBreakHyphen/>
        <w:t>Level Implications Emerging from Institutional Mapping</w:t>
      </w:r>
    </w:p>
    <w:p w14:paraId="254BCB19" w14:textId="77777777" w:rsidR="003D7174" w:rsidRPr="003D7174" w:rsidRDefault="003D7174" w:rsidP="00EB147B">
      <w:pPr>
        <w:bidi w:val="0"/>
        <w:jc w:val="both"/>
        <w:rPr>
          <w:lang w:val="en" w:bidi="fa-IR"/>
        </w:rPr>
      </w:pPr>
      <w:r w:rsidRPr="003D7174">
        <w:rPr>
          <w:lang w:val="en" w:bidi="fa-IR"/>
        </w:rPr>
        <w:t xml:space="preserve">The institutional mapping across Welsh higher education—limited intentionally to </w:t>
      </w:r>
      <w:r w:rsidRPr="003D7174">
        <w:rPr>
          <w:b/>
          <w:bCs/>
          <w:lang w:val="en" w:bidi="fa-IR"/>
        </w:rPr>
        <w:t>Wales only</w:t>
      </w:r>
      <w:r w:rsidRPr="003D7174">
        <w:rPr>
          <w:lang w:val="en" w:bidi="fa-IR"/>
        </w:rPr>
        <w:t xml:space="preserve"> for the purposes of this policy analysis—reveals a lack of coherent and publicly articulated positions on the use of the Duolingo English Test (DET). This is more than communicative inconsistency; it represents a </w:t>
      </w:r>
      <w:r w:rsidRPr="003D7174">
        <w:rPr>
          <w:b/>
          <w:bCs/>
          <w:lang w:val="en" w:bidi="fa-IR"/>
        </w:rPr>
        <w:t>structural policy gap</w:t>
      </w:r>
      <w:r w:rsidRPr="003D7174">
        <w:rPr>
          <w:lang w:val="en" w:bidi="fa-IR"/>
        </w:rPr>
        <w:t xml:space="preserve"> arising from heterogeneous institutional reliance on UKVI SELT frameworks, variable interpretations of acceptable evidence, and uneven incorporation of AI</w:t>
      </w:r>
      <w:r w:rsidRPr="003D7174">
        <w:rPr>
          <w:lang w:val="en" w:bidi="fa-IR"/>
        </w:rPr>
        <w:noBreakHyphen/>
        <w:t>mediated assessments into formal admissions policies.</w:t>
      </w:r>
    </w:p>
    <w:p w14:paraId="67BB3D8B" w14:textId="77777777" w:rsidR="003D7174" w:rsidRPr="003D7174" w:rsidRDefault="003D7174" w:rsidP="00EB147B">
      <w:pPr>
        <w:bidi w:val="0"/>
        <w:jc w:val="both"/>
        <w:rPr>
          <w:lang w:val="en" w:bidi="fa-IR"/>
        </w:rPr>
      </w:pPr>
      <w:r w:rsidRPr="003D7174">
        <w:rPr>
          <w:lang w:val="en" w:bidi="fa-IR"/>
        </w:rPr>
        <w:t>This fragmentation manifests in several interconnected ways.</w:t>
      </w:r>
    </w:p>
    <w:p w14:paraId="1534F7EF" w14:textId="77777777" w:rsidR="003D7174" w:rsidRPr="003D7174" w:rsidRDefault="003D7174" w:rsidP="00EB147B">
      <w:pPr>
        <w:numPr>
          <w:ilvl w:val="0"/>
          <w:numId w:val="3"/>
        </w:numPr>
        <w:bidi w:val="0"/>
        <w:jc w:val="both"/>
        <w:rPr>
          <w:lang w:val="en" w:bidi="fa-IR"/>
        </w:rPr>
      </w:pPr>
      <w:r w:rsidRPr="003D7174">
        <w:rPr>
          <w:b/>
          <w:bCs/>
          <w:lang w:val="en" w:bidi="fa-IR"/>
        </w:rPr>
        <w:t>Transparency</w:t>
      </w:r>
      <w:r w:rsidRPr="003D7174">
        <w:rPr>
          <w:lang w:val="en" w:bidi="fa-IR"/>
        </w:rPr>
        <w:t xml:space="preserve"> is reduced because applicants cannot reliably identify which tests are acceptable across the sector.</w:t>
      </w:r>
    </w:p>
    <w:p w14:paraId="2C1837A9" w14:textId="6709042F" w:rsidR="003D7174" w:rsidRPr="003D7174" w:rsidRDefault="003D7174" w:rsidP="00EB147B">
      <w:pPr>
        <w:numPr>
          <w:ilvl w:val="0"/>
          <w:numId w:val="3"/>
        </w:numPr>
        <w:bidi w:val="0"/>
        <w:jc w:val="both"/>
        <w:rPr>
          <w:lang w:val="en" w:bidi="fa-IR"/>
        </w:rPr>
      </w:pPr>
      <w:r w:rsidRPr="003D7174">
        <w:rPr>
          <w:b/>
          <w:bCs/>
          <w:lang w:val="en" w:bidi="fa-IR"/>
        </w:rPr>
        <w:t>Predictability</w:t>
      </w:r>
      <w:r w:rsidRPr="003D7174">
        <w:rPr>
          <w:lang w:val="en" w:bidi="fa-IR"/>
        </w:rPr>
        <w:t xml:space="preserve"> diminishes as decision</w:t>
      </w:r>
      <w:r w:rsidRPr="003D7174">
        <w:rPr>
          <w:lang w:val="en" w:bidi="fa-IR"/>
        </w:rPr>
        <w:noBreakHyphen/>
        <w:t xml:space="preserve">making criteria differ not only between institutions but sometimes across </w:t>
      </w:r>
      <w:r w:rsidR="004A19CA" w:rsidRPr="003D7174">
        <w:rPr>
          <w:lang w:val="en" w:bidi="fa-IR"/>
        </w:rPr>
        <w:t>programs</w:t>
      </w:r>
      <w:r w:rsidRPr="003D7174">
        <w:rPr>
          <w:lang w:val="en" w:bidi="fa-IR"/>
        </w:rPr>
        <w:t xml:space="preserve"> within the same university.</w:t>
      </w:r>
    </w:p>
    <w:p w14:paraId="381C0BD6" w14:textId="77777777" w:rsidR="003D7174" w:rsidRPr="003D7174" w:rsidRDefault="003D7174" w:rsidP="00EB147B">
      <w:pPr>
        <w:numPr>
          <w:ilvl w:val="0"/>
          <w:numId w:val="3"/>
        </w:numPr>
        <w:bidi w:val="0"/>
        <w:jc w:val="both"/>
        <w:rPr>
          <w:lang w:val="en" w:bidi="fa-IR"/>
        </w:rPr>
      </w:pPr>
      <w:r w:rsidRPr="003D7174">
        <w:rPr>
          <w:b/>
          <w:bCs/>
          <w:lang w:val="en" w:bidi="fa-IR"/>
        </w:rPr>
        <w:t>Equity</w:t>
      </w:r>
      <w:r w:rsidRPr="003D7174">
        <w:rPr>
          <w:lang w:val="en" w:bidi="fa-IR"/>
        </w:rPr>
        <w:t xml:space="preserve"> is undermined because the interpretive burden is shifted onto applicants, who must infer institutional expectations from incomplete or ambiguous guidance. Those without specialist advice are disproportionately disadvantaged—particularly applicants from lower</w:t>
      </w:r>
      <w:r w:rsidRPr="003D7174">
        <w:rPr>
          <w:lang w:val="en" w:bidi="fa-IR"/>
        </w:rPr>
        <w:noBreakHyphen/>
        <w:t>resource contexts or first</w:t>
      </w:r>
      <w:r w:rsidRPr="003D7174">
        <w:rPr>
          <w:lang w:val="en" w:bidi="fa-IR"/>
        </w:rPr>
        <w:noBreakHyphen/>
        <w:t>generation international students, where information asymmetry is most acute.</w:t>
      </w:r>
    </w:p>
    <w:p w14:paraId="26FEE87C" w14:textId="7CB1BAA3" w:rsidR="003D7174" w:rsidRPr="003D7174" w:rsidRDefault="003D7174" w:rsidP="00EB147B">
      <w:pPr>
        <w:bidi w:val="0"/>
        <w:jc w:val="both"/>
        <w:rPr>
          <w:lang w:val="en" w:bidi="fa-IR"/>
        </w:rPr>
      </w:pPr>
      <w:r w:rsidRPr="003D7174">
        <w:rPr>
          <w:lang w:val="en" w:bidi="fa-IR"/>
        </w:rPr>
        <w:t xml:space="preserve">The analysis also clarifies the </w:t>
      </w:r>
      <w:r w:rsidRPr="003D7174">
        <w:rPr>
          <w:b/>
          <w:bCs/>
          <w:lang w:val="en" w:bidi="fa-IR"/>
        </w:rPr>
        <w:t>core policy</w:t>
      </w:r>
      <w:r w:rsidRPr="003D7174">
        <w:rPr>
          <w:lang w:val="en" w:bidi="fa-IR"/>
        </w:rPr>
        <w:t xml:space="preserve"> at stake: UKVI’s SELT framework determines which tests are visa</w:t>
      </w:r>
      <w:r w:rsidRPr="003D7174">
        <w:rPr>
          <w:lang w:val="en" w:bidi="fa-IR"/>
        </w:rPr>
        <w:noBreakHyphen/>
        <w:t xml:space="preserve">compliant, but it does not prohibit universities from </w:t>
      </w:r>
      <w:r w:rsidR="00DE79C0" w:rsidRPr="003D7174">
        <w:rPr>
          <w:lang w:val="en" w:bidi="fa-IR"/>
        </w:rPr>
        <w:t>recognizing</w:t>
      </w:r>
      <w:r w:rsidRPr="003D7174">
        <w:rPr>
          <w:lang w:val="en" w:bidi="fa-IR"/>
        </w:rPr>
        <w:t xml:space="preserve"> additional tests for academic admissions. The misinterpretation of SELT requirements by some institutions (or the cautious alignment with SELTs for the sake of administrative simplicity) produces unintended consequences. These include:</w:t>
      </w:r>
    </w:p>
    <w:p w14:paraId="1C29AB6D" w14:textId="77777777" w:rsidR="003D7174" w:rsidRPr="003D7174" w:rsidRDefault="003D7174" w:rsidP="00EB147B">
      <w:pPr>
        <w:numPr>
          <w:ilvl w:val="0"/>
          <w:numId w:val="4"/>
        </w:numPr>
        <w:bidi w:val="0"/>
        <w:jc w:val="both"/>
        <w:rPr>
          <w:lang w:val="en" w:bidi="fa-IR"/>
        </w:rPr>
      </w:pPr>
      <w:r w:rsidRPr="003D7174">
        <w:rPr>
          <w:lang w:val="en" w:bidi="fa-IR"/>
        </w:rPr>
        <w:t xml:space="preserve">the risk of </w:t>
      </w:r>
      <w:r w:rsidRPr="003D7174">
        <w:rPr>
          <w:b/>
          <w:bCs/>
          <w:lang w:val="en" w:bidi="fa-IR"/>
        </w:rPr>
        <w:t>defensible educational judgement</w:t>
      </w:r>
      <w:r w:rsidRPr="003D7174">
        <w:rPr>
          <w:lang w:val="en" w:bidi="fa-IR"/>
        </w:rPr>
        <w:t xml:space="preserve"> being compromised when admissions teams rely narrowly on SELT</w:t>
      </w:r>
      <w:r w:rsidRPr="003D7174">
        <w:rPr>
          <w:lang w:val="en" w:bidi="fa-IR"/>
        </w:rPr>
        <w:noBreakHyphen/>
        <w:t>aligned tests regardless of their suitability for academic proficiency evaluation;</w:t>
      </w:r>
    </w:p>
    <w:p w14:paraId="05A227ED" w14:textId="77777777" w:rsidR="003D7174" w:rsidRPr="003D7174" w:rsidRDefault="003D7174" w:rsidP="00EB147B">
      <w:pPr>
        <w:numPr>
          <w:ilvl w:val="0"/>
          <w:numId w:val="4"/>
        </w:numPr>
        <w:bidi w:val="0"/>
        <w:jc w:val="both"/>
        <w:rPr>
          <w:lang w:val="en" w:bidi="fa-IR"/>
        </w:rPr>
      </w:pPr>
      <w:r w:rsidRPr="003D7174">
        <w:rPr>
          <w:b/>
          <w:bCs/>
          <w:lang w:val="en" w:bidi="fa-IR"/>
        </w:rPr>
        <w:t>unintended harm</w:t>
      </w:r>
      <w:r w:rsidRPr="003D7174">
        <w:rPr>
          <w:lang w:val="en" w:bidi="fa-IR"/>
        </w:rPr>
        <w:t xml:space="preserve"> to applicants who may invest financially in a test later deemed insufficient for either academic admission or visa compliance;</w:t>
      </w:r>
    </w:p>
    <w:p w14:paraId="38E272D5" w14:textId="77777777" w:rsidR="003D7174" w:rsidRPr="003D7174" w:rsidRDefault="003D7174" w:rsidP="00EB147B">
      <w:pPr>
        <w:numPr>
          <w:ilvl w:val="0"/>
          <w:numId w:val="4"/>
        </w:numPr>
        <w:bidi w:val="0"/>
        <w:jc w:val="both"/>
        <w:rPr>
          <w:lang w:val="en" w:bidi="fa-IR"/>
        </w:rPr>
      </w:pPr>
      <w:r w:rsidRPr="003D7174">
        <w:rPr>
          <w:b/>
          <w:bCs/>
          <w:lang w:val="en" w:bidi="fa-IR"/>
        </w:rPr>
        <w:t>misalignment between academic admissions and immigration regulation</w:t>
      </w:r>
      <w:r w:rsidRPr="003D7174">
        <w:rPr>
          <w:lang w:val="en" w:bidi="fa-IR"/>
        </w:rPr>
        <w:t>, creating operational inefficiencies and heightened applicant uncertainty.</w:t>
      </w:r>
    </w:p>
    <w:p w14:paraId="625C3702" w14:textId="77777777" w:rsidR="003D7174" w:rsidRPr="003D7174" w:rsidRDefault="003D7174" w:rsidP="00EB147B">
      <w:pPr>
        <w:bidi w:val="0"/>
        <w:jc w:val="both"/>
        <w:rPr>
          <w:lang w:val="en" w:bidi="fa-IR"/>
        </w:rPr>
      </w:pPr>
      <w:r w:rsidRPr="003D7174">
        <w:rPr>
          <w:lang w:val="en" w:bidi="fa-IR"/>
        </w:rPr>
        <w:t>Collectively, these dynamics indicate a sector</w:t>
      </w:r>
      <w:r w:rsidRPr="003D7174">
        <w:rPr>
          <w:lang w:val="en" w:bidi="fa-IR"/>
        </w:rPr>
        <w:noBreakHyphen/>
        <w:t xml:space="preserve">level need for </w:t>
      </w:r>
      <w:r w:rsidRPr="003D7174">
        <w:rPr>
          <w:b/>
          <w:bCs/>
          <w:lang w:val="en" w:bidi="fa-IR"/>
        </w:rPr>
        <w:t>coordinated guidance</w:t>
      </w:r>
      <w:r w:rsidRPr="003D7174">
        <w:rPr>
          <w:lang w:val="en" w:bidi="fa-IR"/>
        </w:rPr>
        <w:t>, either at Welsh or UK level, to ensure consistent, transparent, and defensible policies regarding emerging AI</w:t>
      </w:r>
      <w:r w:rsidRPr="003D7174">
        <w:rPr>
          <w:lang w:val="en" w:bidi="fa-IR"/>
        </w:rPr>
        <w:noBreakHyphen/>
        <w:t>mediated assessments such as DET.</w:t>
      </w:r>
    </w:p>
    <w:p w14:paraId="06B73B92" w14:textId="77777777" w:rsidR="00DC5023" w:rsidRPr="00DC5023" w:rsidRDefault="00DC5023" w:rsidP="00DC5023">
      <w:pPr>
        <w:bidi w:val="0"/>
        <w:jc w:val="both"/>
        <w:rPr>
          <w:b/>
          <w:bCs/>
          <w:lang w:val="en" w:bidi="fa-IR"/>
        </w:rPr>
      </w:pPr>
      <w:r w:rsidRPr="00DC5023">
        <w:rPr>
          <w:b/>
          <w:bCs/>
          <w:lang w:val="en" w:bidi="fa-IR"/>
        </w:rPr>
        <w:t>5. Policy Analysis: Strengths, Risks, and Structural Gaps</w:t>
      </w:r>
    </w:p>
    <w:p w14:paraId="3E74FC79" w14:textId="4951EF75" w:rsidR="00DC5023" w:rsidRPr="00670FEC" w:rsidRDefault="00DC5023" w:rsidP="00670FEC">
      <w:pPr>
        <w:bidi w:val="0"/>
        <w:jc w:val="both"/>
        <w:rPr>
          <w:lang w:val="en" w:bidi="fa-IR"/>
        </w:rPr>
      </w:pPr>
      <w:r w:rsidRPr="00670FEC">
        <w:rPr>
          <w:lang w:val="en" w:bidi="fa-IR"/>
        </w:rPr>
        <w:t>(Bardach Steps 5–6</w:t>
      </w:r>
      <w:r w:rsidR="00670FEC" w:rsidRPr="00670FEC">
        <w:rPr>
          <w:lang w:val="en" w:bidi="fa-IR"/>
        </w:rPr>
        <w:t>:</w:t>
      </w:r>
      <w:r w:rsidRPr="00670FEC">
        <w:rPr>
          <w:lang w:val="en" w:bidi="fa-IR"/>
        </w:rPr>
        <w:t xml:space="preserve"> British spelling applied)</w:t>
      </w:r>
    </w:p>
    <w:p w14:paraId="29067CC9" w14:textId="77777777" w:rsidR="00DC5023" w:rsidRPr="00DC5023" w:rsidRDefault="00DC5023" w:rsidP="00DC5023">
      <w:pPr>
        <w:bidi w:val="0"/>
        <w:jc w:val="both"/>
        <w:rPr>
          <w:lang w:val="en" w:bidi="fa-IR"/>
        </w:rPr>
      </w:pPr>
      <w:r w:rsidRPr="00DC5023">
        <w:rPr>
          <w:lang w:val="en" w:bidi="fa-IR"/>
        </w:rPr>
        <w:t xml:space="preserve">In line with </w:t>
      </w:r>
      <w:r w:rsidRPr="00DC5023">
        <w:rPr>
          <w:i/>
          <w:iCs/>
          <w:lang w:val="en" w:bidi="fa-IR"/>
        </w:rPr>
        <w:t>Bardach’s</w:t>
      </w:r>
      <w:r w:rsidRPr="00DC5023">
        <w:rPr>
          <w:lang w:val="en" w:bidi="fa-IR"/>
        </w:rPr>
        <w:t xml:space="preserve"> emphasis on evaluating consequences and trade</w:t>
      </w:r>
      <w:r w:rsidRPr="00DC5023">
        <w:rPr>
          <w:lang w:val="en" w:bidi="fa-IR"/>
        </w:rPr>
        <w:noBreakHyphen/>
        <w:t>offs, this section analyses the strengths, risks, and structural gaps associated with the use of the Duolingo English Test (DET) in Welsh higher</w:t>
      </w:r>
      <w:r w:rsidRPr="00DC5023">
        <w:rPr>
          <w:lang w:val="en" w:bidi="fa-IR"/>
        </w:rPr>
        <w:noBreakHyphen/>
        <w:t>education admissions. Drawing on the institutional mapping in Section 4, it shows that DET’s perceived benefits are closely tied to governance risks arising from fragmented policy articulation and possible misalignment with immigration regulation.</w:t>
      </w:r>
    </w:p>
    <w:p w14:paraId="78EDE1CA" w14:textId="77777777" w:rsidR="00DC5023" w:rsidRDefault="00DC5023" w:rsidP="00DC5023">
      <w:pPr>
        <w:bidi w:val="0"/>
        <w:jc w:val="both"/>
        <w:rPr>
          <w:rtl/>
          <w:lang w:bidi="fa-IR"/>
        </w:rPr>
      </w:pPr>
    </w:p>
    <w:p w14:paraId="29BEC3D2" w14:textId="77777777" w:rsidR="007208E1" w:rsidRPr="00DC5023" w:rsidRDefault="007208E1" w:rsidP="007208E1">
      <w:pPr>
        <w:bidi w:val="0"/>
        <w:jc w:val="both"/>
        <w:rPr>
          <w:lang w:bidi="fa-IR"/>
        </w:rPr>
      </w:pPr>
    </w:p>
    <w:p w14:paraId="58FBFA1E" w14:textId="77777777" w:rsidR="00DC5023" w:rsidRPr="00DC5023" w:rsidRDefault="00DC5023" w:rsidP="00DC5023">
      <w:pPr>
        <w:bidi w:val="0"/>
        <w:jc w:val="both"/>
        <w:rPr>
          <w:b/>
          <w:bCs/>
          <w:lang w:val="en" w:bidi="fa-IR"/>
        </w:rPr>
      </w:pPr>
      <w:r w:rsidRPr="00DC5023">
        <w:rPr>
          <w:b/>
          <w:bCs/>
          <w:lang w:val="en" w:bidi="fa-IR"/>
        </w:rPr>
        <w:t>5.1 Strengths of DET within Admissions Systems</w:t>
      </w:r>
    </w:p>
    <w:p w14:paraId="55B734ED" w14:textId="77777777" w:rsidR="00DC5023" w:rsidRPr="00DC5023" w:rsidRDefault="00DC5023" w:rsidP="00DC5023">
      <w:pPr>
        <w:bidi w:val="0"/>
        <w:jc w:val="both"/>
        <w:rPr>
          <w:lang w:val="en" w:bidi="fa-IR"/>
        </w:rPr>
      </w:pPr>
      <w:r w:rsidRPr="00DC5023">
        <w:rPr>
          <w:lang w:val="en" w:bidi="fa-IR"/>
        </w:rPr>
        <w:t xml:space="preserve">The </w:t>
      </w:r>
      <w:r w:rsidRPr="00DC5023">
        <w:rPr>
          <w:i/>
          <w:iCs/>
          <w:lang w:val="en" w:bidi="fa-IR"/>
        </w:rPr>
        <w:t>Duolingo English Test (DET)</w:t>
      </w:r>
      <w:r w:rsidRPr="00DC5023">
        <w:rPr>
          <w:lang w:val="en" w:bidi="fa-IR"/>
        </w:rPr>
        <w:t xml:space="preserve"> offers several operational advantages for higher</w:t>
      </w:r>
      <w:r w:rsidRPr="00DC5023">
        <w:rPr>
          <w:lang w:val="en" w:bidi="fa-IR"/>
        </w:rPr>
        <w:noBreakHyphen/>
        <w:t>education admissions. Its relatively low cost and fully remote delivery expand access for applicants facing financial, geographical, or mobility</w:t>
      </w:r>
      <w:r w:rsidRPr="00DC5023">
        <w:rPr>
          <w:lang w:val="en" w:bidi="fa-IR"/>
        </w:rPr>
        <w:noBreakHyphen/>
        <w:t xml:space="preserve">related barriers, aligning with sector priorities around widening participation and the </w:t>
      </w:r>
      <w:proofErr w:type="spellStart"/>
      <w:r w:rsidRPr="00DC5023">
        <w:rPr>
          <w:lang w:val="en" w:bidi="fa-IR"/>
        </w:rPr>
        <w:t>digitalisation</w:t>
      </w:r>
      <w:proofErr w:type="spellEnd"/>
      <w:r w:rsidRPr="00DC5023">
        <w:rPr>
          <w:lang w:val="en" w:bidi="fa-IR"/>
        </w:rPr>
        <w:t xml:space="preserve"> of admissions processes accelerated during the COVID</w:t>
      </w:r>
      <w:r w:rsidRPr="00DC5023">
        <w:rPr>
          <w:lang w:val="en" w:bidi="fa-IR"/>
        </w:rPr>
        <w:noBreakHyphen/>
        <w:t>19 pandemic.</w:t>
      </w:r>
    </w:p>
    <w:p w14:paraId="707654BE" w14:textId="77777777" w:rsidR="00DC5023" w:rsidRPr="00DC5023" w:rsidRDefault="00DC5023" w:rsidP="00DC5023">
      <w:pPr>
        <w:bidi w:val="0"/>
        <w:jc w:val="both"/>
        <w:rPr>
          <w:lang w:val="en" w:bidi="fa-IR"/>
        </w:rPr>
      </w:pPr>
      <w:r w:rsidRPr="00DC5023">
        <w:rPr>
          <w:lang w:val="en" w:bidi="fa-IR"/>
        </w:rPr>
        <w:t>Rapid score reporting can also support administrative efficiency by reducing delays within international recruitment cycles. Moreover, DET’s AI</w:t>
      </w:r>
      <w:r w:rsidRPr="00DC5023">
        <w:rPr>
          <w:lang w:val="en" w:bidi="fa-IR"/>
        </w:rPr>
        <w:noBreakHyphen/>
        <w:t>mediated adaptive design reflects wider trends in digital assessment innovation.</w:t>
      </w:r>
    </w:p>
    <w:p w14:paraId="069DE567" w14:textId="77777777" w:rsidR="00DC5023" w:rsidRPr="00DC5023" w:rsidRDefault="00DC5023" w:rsidP="00DC5023">
      <w:pPr>
        <w:bidi w:val="0"/>
        <w:jc w:val="both"/>
        <w:rPr>
          <w:lang w:val="en" w:bidi="fa-IR"/>
        </w:rPr>
      </w:pPr>
      <w:r w:rsidRPr="00DC5023">
        <w:rPr>
          <w:lang w:val="en" w:bidi="fa-IR"/>
        </w:rPr>
        <w:t>However, these advantages only translate into meaningful benefits when supported by clear institutional admissions policies. Where universities fail to articulate whether and how DET can be used as evidence of English</w:t>
      </w:r>
      <w:r w:rsidRPr="00DC5023">
        <w:rPr>
          <w:lang w:val="en" w:bidi="fa-IR"/>
        </w:rPr>
        <w:noBreakHyphen/>
        <w:t>language proficiency, the test’s accessibility benefits may be undermined by uncertainty. Applicants may struggle to determine the academic acceptability of DET or to understand how institutional recognition relates to separate immigration requirements, generating downstream risks in the admissions process.</w:t>
      </w:r>
    </w:p>
    <w:p w14:paraId="727654F1" w14:textId="77777777" w:rsidR="00DC5023" w:rsidRPr="00DC5023" w:rsidRDefault="00DC5023" w:rsidP="00DC5023">
      <w:pPr>
        <w:bidi w:val="0"/>
        <w:jc w:val="both"/>
        <w:rPr>
          <w:lang w:bidi="fa-IR"/>
        </w:rPr>
      </w:pPr>
    </w:p>
    <w:p w14:paraId="40A5880E" w14:textId="77777777" w:rsidR="00DC5023" w:rsidRPr="00DC5023" w:rsidRDefault="00DC5023" w:rsidP="00DC5023">
      <w:pPr>
        <w:bidi w:val="0"/>
        <w:jc w:val="both"/>
        <w:rPr>
          <w:b/>
          <w:bCs/>
          <w:lang w:val="en" w:bidi="fa-IR"/>
        </w:rPr>
      </w:pPr>
      <w:r w:rsidRPr="00DC5023">
        <w:rPr>
          <w:b/>
          <w:bCs/>
          <w:lang w:val="en" w:bidi="fa-IR"/>
        </w:rPr>
        <w:t>5.2 Governance and Regulatory Risks</w:t>
      </w:r>
    </w:p>
    <w:p w14:paraId="29614725" w14:textId="77777777" w:rsidR="00DC5023" w:rsidRPr="00DC5023" w:rsidRDefault="00DC5023" w:rsidP="00DC5023">
      <w:pPr>
        <w:bidi w:val="0"/>
        <w:jc w:val="both"/>
        <w:rPr>
          <w:lang w:val="en" w:bidi="fa-IR"/>
        </w:rPr>
      </w:pPr>
      <w:r w:rsidRPr="00DC5023">
        <w:rPr>
          <w:lang w:val="en" w:bidi="fa-IR"/>
        </w:rPr>
        <w:t>A central governance risk arises from DET’s non</w:t>
      </w:r>
      <w:r w:rsidRPr="00DC5023">
        <w:rPr>
          <w:lang w:val="en" w:bidi="fa-IR"/>
        </w:rPr>
        <w:noBreakHyphen/>
      </w:r>
      <w:r w:rsidRPr="00DC5023">
        <w:rPr>
          <w:i/>
          <w:iCs/>
          <w:lang w:val="en" w:bidi="fa-IR"/>
        </w:rPr>
        <w:t>SELT</w:t>
      </w:r>
      <w:r w:rsidRPr="00DC5023">
        <w:rPr>
          <w:lang w:val="en" w:bidi="fa-IR"/>
        </w:rPr>
        <w:t xml:space="preserve"> status under </w:t>
      </w:r>
      <w:r w:rsidRPr="00DC5023">
        <w:rPr>
          <w:i/>
          <w:iCs/>
          <w:lang w:val="en" w:bidi="fa-IR"/>
        </w:rPr>
        <w:t>UK Visas and Immigration (UKVI)</w:t>
      </w:r>
      <w:r w:rsidRPr="00DC5023">
        <w:rPr>
          <w:lang w:val="en" w:bidi="fa-IR"/>
        </w:rPr>
        <w:t xml:space="preserve"> rules. The </w:t>
      </w:r>
      <w:r w:rsidRPr="00DC5023">
        <w:rPr>
          <w:i/>
          <w:iCs/>
          <w:lang w:val="en" w:bidi="fa-IR"/>
        </w:rPr>
        <w:t>Secure English Language Test (SELT)</w:t>
      </w:r>
      <w:r w:rsidRPr="00DC5023">
        <w:rPr>
          <w:lang w:val="en" w:bidi="fa-IR"/>
        </w:rPr>
        <w:t xml:space="preserve"> framework provides verified evidence of English</w:t>
      </w:r>
      <w:r w:rsidRPr="00DC5023">
        <w:rPr>
          <w:lang w:val="en" w:bidi="fa-IR"/>
        </w:rPr>
        <w:noBreakHyphen/>
        <w:t>language ability for immigration purposes. While universities retain autonomy to accept alternative tests for academic admission, these tests may not meet the evidential requirements for a UK Student Route visa.</w:t>
      </w:r>
    </w:p>
    <w:p w14:paraId="13F329EA" w14:textId="77777777" w:rsidR="00DC5023" w:rsidRPr="00DC5023" w:rsidRDefault="00DC5023" w:rsidP="00DC5023">
      <w:pPr>
        <w:bidi w:val="0"/>
        <w:jc w:val="both"/>
        <w:rPr>
          <w:lang w:val="en" w:bidi="fa-IR"/>
        </w:rPr>
      </w:pPr>
      <w:r w:rsidRPr="00DC5023">
        <w:rPr>
          <w:lang w:val="en" w:bidi="fa-IR"/>
        </w:rPr>
        <w:t>As illustrated in Section 4, this separation between admissions policy and immigration regulation creates practical complications. Applicants may receive academic offers based on DET results yet remain unable to use those results for visa applications, increasing the likelihood of financial loss, delayed enrolment, or the need to take an additional language test at short notice.</w:t>
      </w:r>
    </w:p>
    <w:p w14:paraId="729BB6D1" w14:textId="77777777" w:rsidR="00DC5023" w:rsidRPr="00DC5023" w:rsidRDefault="00DC5023" w:rsidP="00DC5023">
      <w:pPr>
        <w:bidi w:val="0"/>
        <w:jc w:val="both"/>
        <w:rPr>
          <w:lang w:val="en" w:bidi="fa-IR"/>
        </w:rPr>
      </w:pPr>
      <w:r w:rsidRPr="00DC5023">
        <w:rPr>
          <w:lang w:val="en" w:bidi="fa-IR"/>
        </w:rPr>
        <w:t xml:space="preserve">Inconsistent treatment of DET across Welsh universities further reflects a wider governance challenge. Some institutions explicitly reference DET in central admissions documentation, while others rely mainly on tests aligned with the </w:t>
      </w:r>
      <w:r w:rsidRPr="00DC5023">
        <w:rPr>
          <w:i/>
          <w:iCs/>
          <w:lang w:val="en" w:bidi="fa-IR"/>
        </w:rPr>
        <w:t>SELT</w:t>
      </w:r>
      <w:r w:rsidRPr="00DC5023">
        <w:rPr>
          <w:lang w:val="en" w:bidi="fa-IR"/>
        </w:rPr>
        <w:t xml:space="preserve"> framework or omit DET entirely. This variation often reflects institutional caution in balancing admissions autonomy with immigration</w:t>
      </w:r>
      <w:r w:rsidRPr="00DC5023">
        <w:rPr>
          <w:lang w:val="en" w:bidi="fa-IR"/>
        </w:rPr>
        <w:noBreakHyphen/>
        <w:t xml:space="preserve">compliance obligations rather than disagreement about DET’s linguistic validity. </w:t>
      </w:r>
      <w:proofErr w:type="gramStart"/>
      <w:r w:rsidRPr="00DC5023">
        <w:rPr>
          <w:lang w:val="en" w:bidi="fa-IR"/>
        </w:rPr>
        <w:t>Where</w:t>
      </w:r>
      <w:proofErr w:type="gramEnd"/>
      <w:r w:rsidRPr="00DC5023">
        <w:rPr>
          <w:lang w:val="en" w:bidi="fa-IR"/>
        </w:rPr>
        <w:t xml:space="preserve"> institutional guidance lacks clarity, </w:t>
      </w:r>
      <w:proofErr w:type="spellStart"/>
      <w:r w:rsidRPr="00DC5023">
        <w:rPr>
          <w:lang w:val="en" w:bidi="fa-IR"/>
        </w:rPr>
        <w:t>programme</w:t>
      </w:r>
      <w:proofErr w:type="spellEnd"/>
      <w:r w:rsidRPr="00DC5023">
        <w:rPr>
          <w:lang w:val="en" w:bidi="fa-IR"/>
        </w:rPr>
        <w:noBreakHyphen/>
        <w:t>level discretion or informal interpretation may shape decisions, reducing transparency.</w:t>
      </w:r>
    </w:p>
    <w:p w14:paraId="5AC174B3" w14:textId="24C88EAF" w:rsidR="00DC5023" w:rsidRPr="00DC5023" w:rsidRDefault="00DC5023" w:rsidP="00DC5023">
      <w:pPr>
        <w:bidi w:val="0"/>
        <w:jc w:val="both"/>
        <w:rPr>
          <w:lang w:val="en" w:bidi="fa-IR"/>
        </w:rPr>
      </w:pPr>
      <w:r w:rsidRPr="00DC5023">
        <w:rPr>
          <w:lang w:val="en" w:bidi="fa-IR"/>
        </w:rPr>
        <w:t>These conditions contribute to information asymmetry. Applicants may be required to interpret fragmented institutional webpages, program guidance, or recruitment communications to determine whether DET will be accepted. This interpretive burden may disproportionately affect applicants without access to specialist educational advisers or stronger institutional networks.</w:t>
      </w:r>
    </w:p>
    <w:p w14:paraId="4AA6CBC5" w14:textId="77777777" w:rsidR="00EB147B" w:rsidRPr="007208E1" w:rsidRDefault="00EB147B" w:rsidP="00EB147B">
      <w:pPr>
        <w:bidi w:val="0"/>
        <w:jc w:val="both"/>
        <w:rPr>
          <w:lang w:bidi="fa-IR"/>
        </w:rPr>
      </w:pPr>
      <w:r w:rsidRPr="007208E1">
        <w:rPr>
          <w:lang w:val="en" w:bidi="fa-IR"/>
        </w:rPr>
        <w:t>5.3 Equity Implications and Student Protection</w:t>
      </w:r>
    </w:p>
    <w:p w14:paraId="7BE42F1C" w14:textId="77777777" w:rsidR="00EB147B" w:rsidRPr="00EB147B" w:rsidRDefault="00EB147B" w:rsidP="00EB147B">
      <w:pPr>
        <w:bidi w:val="0"/>
        <w:jc w:val="both"/>
        <w:rPr>
          <w:lang w:val="en" w:bidi="fa-IR"/>
        </w:rPr>
      </w:pPr>
      <w:r w:rsidRPr="00EB147B">
        <w:rPr>
          <w:lang w:val="en" w:bidi="fa-IR"/>
        </w:rPr>
        <w:t xml:space="preserve">Research on the Duolingo English Test has largely focused on issues such as predictive validity and fairness. For instance, Isaacs </w:t>
      </w:r>
      <w:r w:rsidRPr="00E943A8">
        <w:rPr>
          <w:i/>
          <w:iCs/>
          <w:lang w:val="en" w:bidi="fa-IR"/>
        </w:rPr>
        <w:t>et al</w:t>
      </w:r>
      <w:r w:rsidRPr="00EB147B">
        <w:rPr>
          <w:lang w:val="en" w:bidi="fa-IR"/>
        </w:rPr>
        <w:t>. (2023) examine links between DET scores and academic performance indicators, while Yao (2023) explores perceptions of fairness and user experience in digital English language testing. Together, this literature indicates that debates around DET extend beyond linguistic measurement to the ways digital testing systems operate within institutional decision</w:t>
      </w:r>
      <w:r w:rsidRPr="00EB147B">
        <w:rPr>
          <w:lang w:val="en" w:bidi="fa-IR"/>
        </w:rPr>
        <w:noBreakHyphen/>
        <w:t>making contexts.</w:t>
      </w:r>
    </w:p>
    <w:p w14:paraId="7BF0509C" w14:textId="3C3AA834" w:rsidR="00EB147B" w:rsidRPr="00EB147B" w:rsidRDefault="00EB147B" w:rsidP="00EB147B">
      <w:pPr>
        <w:bidi w:val="0"/>
        <w:jc w:val="both"/>
        <w:rPr>
          <w:lang w:val="en" w:bidi="fa-IR"/>
        </w:rPr>
      </w:pPr>
      <w:r w:rsidRPr="00EB147B">
        <w:rPr>
          <w:lang w:val="en" w:bidi="fa-IR"/>
        </w:rPr>
        <w:t>Within international admissions, the accessibility of DET may particularly appeal to applicants who face financial or geographical barriers to attending traditional in</w:t>
      </w:r>
      <w:r w:rsidRPr="00EB147B">
        <w:rPr>
          <w:lang w:val="en" w:bidi="fa-IR"/>
        </w:rPr>
        <w:noBreakHyphen/>
        <w:t xml:space="preserve">person test </w:t>
      </w:r>
      <w:r w:rsidR="007208E1" w:rsidRPr="00EB147B">
        <w:rPr>
          <w:lang w:val="en" w:bidi="fa-IR"/>
        </w:rPr>
        <w:t>centers</w:t>
      </w:r>
      <w:r w:rsidRPr="00EB147B">
        <w:rPr>
          <w:lang w:val="en" w:bidi="fa-IR"/>
        </w:rPr>
        <w:t>. Its lower fees and remote format can therefore widen participation for students in regions where conventional English language tests are less accessible.</w:t>
      </w:r>
    </w:p>
    <w:p w14:paraId="4D517239" w14:textId="71783AB7" w:rsidR="00EB147B" w:rsidRPr="00EB147B" w:rsidRDefault="00EB147B" w:rsidP="00EB147B">
      <w:pPr>
        <w:bidi w:val="0"/>
        <w:jc w:val="both"/>
        <w:rPr>
          <w:lang w:val="en" w:bidi="fa-IR"/>
        </w:rPr>
      </w:pPr>
      <w:r w:rsidRPr="00EB147B">
        <w:rPr>
          <w:lang w:val="en" w:bidi="fa-IR"/>
        </w:rPr>
        <w:t xml:space="preserve">However, when admissions guidance does not clearly explain how DET is </w:t>
      </w:r>
      <w:r w:rsidR="007208E1" w:rsidRPr="00EB147B">
        <w:rPr>
          <w:lang w:val="en" w:bidi="fa-IR"/>
        </w:rPr>
        <w:t>recognized</w:t>
      </w:r>
      <w:r w:rsidRPr="00EB147B">
        <w:rPr>
          <w:lang w:val="en" w:bidi="fa-IR"/>
        </w:rPr>
        <w:t xml:space="preserve"> or how it relates to visa requirements, those most reliant on the test may also be most exposed to uncertainty. Responsibility for </w:t>
      </w:r>
      <w:r w:rsidRPr="00EB147B">
        <w:rPr>
          <w:lang w:val="en" w:bidi="fa-IR"/>
        </w:rPr>
        <w:lastRenderedPageBreak/>
        <w:t>interpreting complex regulatory and institutional requirements can then shift to applicants themselves. Rather than reducing inequality, unclear or inconsistent policy communication may reproduce structural disadvantage within international admissions processes.</w:t>
      </w:r>
    </w:p>
    <w:p w14:paraId="4897D0CB" w14:textId="187D7841" w:rsidR="00EB147B" w:rsidRPr="00EB147B" w:rsidRDefault="00EB147B" w:rsidP="00EB147B">
      <w:pPr>
        <w:bidi w:val="0"/>
        <w:jc w:val="both"/>
        <w:rPr>
          <w:lang w:val="en" w:bidi="fa-IR"/>
        </w:rPr>
      </w:pPr>
      <w:r w:rsidRPr="00EB147B">
        <w:rPr>
          <w:lang w:val="en" w:bidi="fa-IR"/>
        </w:rPr>
        <w:t>Scholarship on digital assessment also highlights broader concerns regarding fairness, digital access, and algorithmically mediated decision</w:t>
      </w:r>
      <w:r w:rsidRPr="00EB147B">
        <w:rPr>
          <w:lang w:val="en" w:bidi="fa-IR"/>
        </w:rPr>
        <w:noBreakHyphen/>
        <w:t>making in high</w:t>
      </w:r>
      <w:r w:rsidRPr="00EB147B">
        <w:rPr>
          <w:lang w:val="en" w:bidi="fa-IR"/>
        </w:rPr>
        <w:noBreakHyphen/>
        <w:t>stakes educational contexts (e.g., Williamson, 2020; Knoch &amp; Chapelle, 2018). These concerns do not invalidate AI</w:t>
      </w:r>
      <w:r w:rsidRPr="00EB147B">
        <w:rPr>
          <w:lang w:val="en" w:bidi="fa-IR"/>
        </w:rPr>
        <w:noBreakHyphen/>
        <w:t xml:space="preserve">supported language testing, but they </w:t>
      </w:r>
      <w:r w:rsidR="007208E1" w:rsidRPr="00EB147B">
        <w:rPr>
          <w:lang w:val="en" w:bidi="fa-IR"/>
        </w:rPr>
        <w:t>emphasize</w:t>
      </w:r>
      <w:r w:rsidRPr="00EB147B">
        <w:rPr>
          <w:lang w:val="en" w:bidi="fa-IR"/>
        </w:rPr>
        <w:t xml:space="preserve"> the need for transparent governance and explicit institutional guidance when such assessments inform consequential admissions decisions.</w:t>
      </w:r>
    </w:p>
    <w:p w14:paraId="0331DEA8" w14:textId="77777777" w:rsidR="00EB147B" w:rsidRPr="00EB147B" w:rsidRDefault="00EB147B" w:rsidP="00EB147B">
      <w:pPr>
        <w:bidi w:val="0"/>
        <w:jc w:val="both"/>
        <w:rPr>
          <w:lang w:val="en" w:bidi="fa-IR"/>
        </w:rPr>
      </w:pPr>
      <w:r w:rsidRPr="00EB147B">
        <w:rPr>
          <w:lang w:val="en" w:bidi="fa-IR"/>
        </w:rPr>
        <w:t>5.4 Structural Policy Gaps</w:t>
      </w:r>
    </w:p>
    <w:p w14:paraId="2B377D84" w14:textId="77777777" w:rsidR="00EB147B" w:rsidRPr="00EB147B" w:rsidRDefault="00EB147B" w:rsidP="00EB147B">
      <w:pPr>
        <w:bidi w:val="0"/>
        <w:jc w:val="both"/>
        <w:rPr>
          <w:lang w:val="en" w:bidi="fa-IR"/>
        </w:rPr>
      </w:pPr>
      <w:r w:rsidRPr="00EB147B">
        <w:rPr>
          <w:lang w:val="en" w:bidi="fa-IR"/>
        </w:rPr>
        <w:t>Taken together, these findings point not to isolated institutional shortcomings but to broader structural policy gaps. At the institutional level, English language requirements are often treated as technical entry conditions rather than mechanisms shaping access and educational trajectories. At the sector level, the absence of coordinated Welsh or UK</w:t>
      </w:r>
      <w:r w:rsidRPr="00EB147B">
        <w:rPr>
          <w:lang w:val="en" w:bidi="fa-IR"/>
        </w:rPr>
        <w:noBreakHyphen/>
        <w:t>wide guidance on AI</w:t>
      </w:r>
      <w:r w:rsidRPr="00EB147B">
        <w:rPr>
          <w:lang w:val="en" w:bidi="fa-IR"/>
        </w:rPr>
        <w:noBreakHyphen/>
        <w:t>mediated, non</w:t>
      </w:r>
      <w:r w:rsidRPr="00EB147B">
        <w:rPr>
          <w:lang w:val="en" w:bidi="fa-IR"/>
        </w:rPr>
        <w:noBreakHyphen/>
        <w:t>SELT assessments leaves universities to manage risks individually, producing policy drift rather than deliberate strategy.</w:t>
      </w:r>
    </w:p>
    <w:p w14:paraId="0AD70A6C" w14:textId="77777777" w:rsidR="00EB147B" w:rsidRPr="00EB147B" w:rsidRDefault="00EB147B" w:rsidP="00EB147B">
      <w:pPr>
        <w:bidi w:val="0"/>
        <w:jc w:val="both"/>
        <w:rPr>
          <w:lang w:val="en" w:bidi="fa-IR"/>
        </w:rPr>
      </w:pPr>
      <w:r w:rsidRPr="00EB147B">
        <w:rPr>
          <w:lang w:val="en" w:bidi="fa-IR"/>
        </w:rPr>
        <w:t>In this sense, DET functions less as a policy solution than as an indicator of governance weakness. The core issue lies not in the test itself, but in the lack of policy coherence linking educational judgement, institutional communication, and immigration compliance.</w:t>
      </w:r>
    </w:p>
    <w:p w14:paraId="76B79711" w14:textId="77777777" w:rsidR="00EB147B" w:rsidRPr="00EB147B" w:rsidRDefault="00EB147B" w:rsidP="00EB147B">
      <w:pPr>
        <w:bidi w:val="0"/>
        <w:jc w:val="both"/>
        <w:rPr>
          <w:b/>
          <w:bCs/>
          <w:lang w:val="en" w:bidi="fa-IR"/>
        </w:rPr>
      </w:pPr>
      <w:r w:rsidRPr="00EB147B">
        <w:rPr>
          <w:b/>
          <w:bCs/>
          <w:lang w:val="en" w:bidi="fa-IR"/>
        </w:rPr>
        <w:t>6. Policy Options and Evaluation</w:t>
      </w:r>
    </w:p>
    <w:p w14:paraId="7C2B4C1A" w14:textId="77777777" w:rsidR="00EB147B" w:rsidRPr="00EB147B" w:rsidRDefault="00EB147B" w:rsidP="00EB147B">
      <w:pPr>
        <w:bidi w:val="0"/>
        <w:jc w:val="both"/>
        <w:rPr>
          <w:lang w:val="en" w:bidi="fa-IR"/>
        </w:rPr>
      </w:pPr>
      <w:r w:rsidRPr="00EB147B">
        <w:rPr>
          <w:lang w:val="en" w:bidi="fa-IR"/>
        </w:rPr>
        <w:t xml:space="preserve">Following </w:t>
      </w:r>
      <w:r w:rsidRPr="00DC5023">
        <w:rPr>
          <w:i/>
          <w:iCs/>
          <w:lang w:val="en" w:bidi="fa-IR"/>
        </w:rPr>
        <w:t>Bardach’s</w:t>
      </w:r>
      <w:r w:rsidRPr="00EB147B">
        <w:rPr>
          <w:lang w:val="en" w:bidi="fa-IR"/>
        </w:rPr>
        <w:t xml:space="preserve"> step of constructing and comparing policy alternatives, three options are identified to address the fragmented use of the Duolingo English Test (DET) in Welsh higher education admissions. These options are assessed as governance responses rather than purely technical choices, with implications for regulatory compliance, transparency, institutional feasibility, and equity.</w:t>
      </w:r>
    </w:p>
    <w:p w14:paraId="24137510" w14:textId="77777777" w:rsidR="00EB147B" w:rsidRPr="00EB147B" w:rsidRDefault="00EB147B" w:rsidP="00EB147B">
      <w:pPr>
        <w:bidi w:val="0"/>
        <w:jc w:val="both"/>
        <w:rPr>
          <w:lang w:val="en" w:bidi="fa-IR"/>
        </w:rPr>
      </w:pPr>
      <w:r w:rsidRPr="00EB147B">
        <w:rPr>
          <w:b/>
          <w:bCs/>
          <w:lang w:val="en" w:bidi="fa-IR"/>
        </w:rPr>
        <w:t>Option 1: Full Acceptance of DET for Academic Admission</w:t>
      </w:r>
    </w:p>
    <w:p w14:paraId="197EA4C8" w14:textId="77777777" w:rsidR="00EB147B" w:rsidRPr="00EB147B" w:rsidRDefault="00EB147B" w:rsidP="00EB147B">
      <w:pPr>
        <w:bidi w:val="0"/>
        <w:jc w:val="both"/>
        <w:rPr>
          <w:lang w:val="en" w:bidi="fa-IR"/>
        </w:rPr>
      </w:pPr>
      <w:r w:rsidRPr="00EB147B">
        <w:rPr>
          <w:lang w:val="en" w:bidi="fa-IR"/>
        </w:rPr>
        <w:t>This option allows DET for all academic admissions while excluding it from visa purposes. Although it reduces financial and geographical barriers and aligns with trends toward digitalized admissions, it performs poorly in terms of regulatory compliance and equity. Distinctions between academic admission and immigration requirements are frequently misunderstood by applicants, particularly those with limited informational resources. Consequently, this approach shifts regulatory risk to students and may create reputational and ethical concerns for institutions, undermining its apparent inclusivity.</w:t>
      </w:r>
    </w:p>
    <w:p w14:paraId="2A844873" w14:textId="77777777" w:rsidR="00EB147B" w:rsidRPr="00EB147B" w:rsidRDefault="00EB147B" w:rsidP="00EB147B">
      <w:pPr>
        <w:bidi w:val="0"/>
        <w:jc w:val="both"/>
        <w:rPr>
          <w:lang w:val="en" w:bidi="fa-IR"/>
        </w:rPr>
      </w:pPr>
      <w:r w:rsidRPr="00EB147B">
        <w:rPr>
          <w:b/>
          <w:bCs/>
          <w:lang w:val="en" w:bidi="fa-IR"/>
        </w:rPr>
        <w:t>Option 2: Conditional Acceptance of DET (Preferred Option)</w:t>
      </w:r>
    </w:p>
    <w:p w14:paraId="2FDC3BAB" w14:textId="55B8A625" w:rsidR="00EB147B" w:rsidRPr="00EB147B" w:rsidRDefault="00EB147B" w:rsidP="00EB147B">
      <w:pPr>
        <w:bidi w:val="0"/>
        <w:jc w:val="both"/>
        <w:rPr>
          <w:lang w:val="en" w:bidi="fa-IR"/>
        </w:rPr>
      </w:pPr>
      <w:r w:rsidRPr="00EB147B">
        <w:rPr>
          <w:lang w:val="en" w:bidi="fa-IR"/>
        </w:rPr>
        <w:t xml:space="preserve">Under this model, DET is accepted only for pathways that do not require Student Route visa sponsorship, such as online or preparatory </w:t>
      </w:r>
      <w:r w:rsidR="000D1954" w:rsidRPr="00EB147B">
        <w:rPr>
          <w:lang w:val="en" w:bidi="fa-IR"/>
        </w:rPr>
        <w:t>programs</w:t>
      </w:r>
      <w:r w:rsidRPr="00EB147B">
        <w:rPr>
          <w:lang w:val="en" w:bidi="fa-IR"/>
        </w:rPr>
        <w:t>, while SELT</w:t>
      </w:r>
      <w:r w:rsidRPr="00EB147B">
        <w:rPr>
          <w:lang w:val="en" w:bidi="fa-IR"/>
        </w:rPr>
        <w:noBreakHyphen/>
        <w:t>approved tests remain mandatory for visa</w:t>
      </w:r>
      <w:r w:rsidRPr="00EB147B">
        <w:rPr>
          <w:lang w:val="en" w:bidi="fa-IR"/>
        </w:rPr>
        <w:noBreakHyphen/>
        <w:t>bearing courses. This option performs consistently across the four criteria. It preserves the accessibility and efficiency advantages of DET where regulatory risk is minimal, while protecting applicants and institutions from visa</w:t>
      </w:r>
      <w:r w:rsidRPr="00EB147B">
        <w:rPr>
          <w:lang w:val="en" w:bidi="fa-IR"/>
        </w:rPr>
        <w:noBreakHyphen/>
        <w:t>related harm—for example, situations in which students admitted using a non</w:t>
      </w:r>
      <w:r w:rsidRPr="00EB147B">
        <w:rPr>
          <w:lang w:val="en" w:bidi="fa-IR"/>
        </w:rPr>
        <w:noBreakHyphen/>
        <w:t>SELT test later discover that their English evidence does not meet UK Visas and Immigration (UKVI) requirements, potentially resulting in visa refusal, financial loss, or delayed enrolment (UKVI, 2024; Isaacs </w:t>
      </w:r>
      <w:r w:rsidRPr="00DC5023">
        <w:rPr>
          <w:i/>
          <w:iCs/>
          <w:lang w:val="en" w:bidi="fa-IR"/>
        </w:rPr>
        <w:t>et al</w:t>
      </w:r>
      <w:r w:rsidRPr="00EB147B">
        <w:rPr>
          <w:lang w:val="en" w:bidi="fa-IR"/>
        </w:rPr>
        <w:t>., 2023). Although it requires clear institutional communication, conditional acceptance offers the most feasible and equitable response to the governance gaps identified in Welsh admissions practice.</w:t>
      </w:r>
    </w:p>
    <w:p w14:paraId="2EE9EB6F" w14:textId="77777777" w:rsidR="00EB147B" w:rsidRPr="00EB147B" w:rsidRDefault="00EB147B" w:rsidP="00EB147B">
      <w:pPr>
        <w:bidi w:val="0"/>
        <w:jc w:val="both"/>
        <w:rPr>
          <w:lang w:val="en" w:bidi="fa-IR"/>
        </w:rPr>
      </w:pPr>
      <w:r w:rsidRPr="00EB147B">
        <w:rPr>
          <w:b/>
          <w:bCs/>
          <w:lang w:val="en" w:bidi="fa-IR"/>
        </w:rPr>
        <w:t>Option 3: Non</w:t>
      </w:r>
      <w:r w:rsidRPr="00EB147B">
        <w:rPr>
          <w:b/>
          <w:bCs/>
          <w:lang w:val="en" w:bidi="fa-IR"/>
        </w:rPr>
        <w:noBreakHyphen/>
        <w:t>Acceptance of DET</w:t>
      </w:r>
    </w:p>
    <w:p w14:paraId="5EF9D2C5" w14:textId="27BC9247" w:rsidR="00EB147B" w:rsidRPr="00EB147B" w:rsidRDefault="00EB147B" w:rsidP="00EB147B">
      <w:pPr>
        <w:bidi w:val="0"/>
        <w:jc w:val="both"/>
        <w:rPr>
          <w:lang w:val="en" w:bidi="fa-IR"/>
        </w:rPr>
      </w:pPr>
      <w:r w:rsidRPr="00EB147B">
        <w:rPr>
          <w:lang w:val="en" w:bidi="fa-IR"/>
        </w:rPr>
        <w:t xml:space="preserve">This option excludes DET from all admissions decisions regardless of visa status. While it ensures regulatory certainty and administrative simplicity, it performs poorly in terms of equity and competitiveness. Restricting acceptable evidence to traditional tests may disadvantage applicants with limited financial resources or access to test </w:t>
      </w:r>
      <w:r w:rsidR="000D1954" w:rsidRPr="00EB147B">
        <w:rPr>
          <w:lang w:val="en" w:bidi="fa-IR"/>
        </w:rPr>
        <w:t>centers</w:t>
      </w:r>
      <w:r w:rsidRPr="00EB147B">
        <w:rPr>
          <w:lang w:val="en" w:bidi="fa-IR"/>
        </w:rPr>
        <w:t xml:space="preserve"> and runs counter to broader trends in digital assessment and international recruitment.</w:t>
      </w:r>
    </w:p>
    <w:p w14:paraId="3117BA6A" w14:textId="77777777" w:rsidR="00EB147B" w:rsidRPr="00EB147B" w:rsidRDefault="00EB147B" w:rsidP="00EB147B">
      <w:pPr>
        <w:bidi w:val="0"/>
        <w:jc w:val="both"/>
        <w:rPr>
          <w:b/>
          <w:bCs/>
          <w:lang w:val="en" w:bidi="fa-IR"/>
        </w:rPr>
      </w:pPr>
      <w:r w:rsidRPr="00EB147B">
        <w:rPr>
          <w:b/>
          <w:bCs/>
          <w:lang w:val="en" w:bidi="fa-IR"/>
        </w:rPr>
        <w:t>6.1 Comparative Evaluation</w:t>
      </w:r>
    </w:p>
    <w:p w14:paraId="76574F18" w14:textId="77777777" w:rsidR="00EB147B" w:rsidRPr="00EB147B" w:rsidRDefault="00EB147B" w:rsidP="00EB147B">
      <w:pPr>
        <w:bidi w:val="0"/>
        <w:jc w:val="both"/>
        <w:rPr>
          <w:lang w:val="en" w:bidi="fa-IR"/>
        </w:rPr>
      </w:pPr>
      <w:r w:rsidRPr="00EB147B">
        <w:rPr>
          <w:lang w:val="en" w:bidi="fa-IR"/>
        </w:rPr>
        <w:t xml:space="preserve">Across the four criteria—regulatory compliance, transparency, institutional feasibility, and equity—conditional acceptance emerges as the most defensible option. Full acceptance improves accessibility but fails to mitigate </w:t>
      </w:r>
      <w:r w:rsidRPr="00EB147B">
        <w:rPr>
          <w:lang w:val="en" w:bidi="fa-IR"/>
        </w:rPr>
        <w:lastRenderedPageBreak/>
        <w:t>regulatory risk, whereas non</w:t>
      </w:r>
      <w:r w:rsidRPr="00EB147B">
        <w:rPr>
          <w:lang w:val="en" w:bidi="fa-IR"/>
        </w:rPr>
        <w:noBreakHyphen/>
        <w:t>acceptance prioritizes compliance at the expense of fairness and flexibility. Drawing on the institutional mapping and sector evidence (UKVI, 2024; Bruce </w:t>
      </w:r>
      <w:r w:rsidRPr="00E943A8">
        <w:rPr>
          <w:i/>
          <w:iCs/>
          <w:lang w:val="en" w:bidi="fa-IR"/>
        </w:rPr>
        <w:t>et al</w:t>
      </w:r>
      <w:r w:rsidRPr="00EB147B">
        <w:rPr>
          <w:lang w:val="en" w:bidi="fa-IR"/>
        </w:rPr>
        <w:t>., 2025), conditional acceptance provides the most balanced response to the fragmentation observed across Welsh universities by combining innovation with clear regulatory safeguards.</w:t>
      </w:r>
    </w:p>
    <w:p w14:paraId="0E823CB7" w14:textId="77777777" w:rsidR="00EB147B" w:rsidRPr="00EB147B" w:rsidRDefault="00EB147B" w:rsidP="00EB147B">
      <w:pPr>
        <w:bidi w:val="0"/>
        <w:jc w:val="both"/>
        <w:rPr>
          <w:lang w:bidi="fa-IR"/>
        </w:rPr>
      </w:pPr>
    </w:p>
    <w:p w14:paraId="355FE8A9" w14:textId="77777777" w:rsidR="00EB147B" w:rsidRPr="00EB147B" w:rsidRDefault="00EB147B" w:rsidP="00EB147B">
      <w:pPr>
        <w:bidi w:val="0"/>
        <w:jc w:val="both"/>
        <w:rPr>
          <w:b/>
          <w:bCs/>
          <w:lang w:val="en" w:bidi="fa-IR"/>
        </w:rPr>
      </w:pPr>
      <w:r w:rsidRPr="00EB147B">
        <w:rPr>
          <w:b/>
          <w:bCs/>
          <w:lang w:val="en" w:bidi="fa-IR"/>
        </w:rPr>
        <w:t>7. Implementation Considerations</w:t>
      </w:r>
    </w:p>
    <w:p w14:paraId="3B6D6D5E" w14:textId="77777777" w:rsidR="00EB147B" w:rsidRPr="00EB147B" w:rsidRDefault="00EB147B" w:rsidP="00EB147B">
      <w:pPr>
        <w:bidi w:val="0"/>
        <w:jc w:val="both"/>
        <w:rPr>
          <w:lang w:val="en" w:bidi="fa-IR"/>
        </w:rPr>
      </w:pPr>
      <w:r w:rsidRPr="00EB147B">
        <w:rPr>
          <w:lang w:val="en" w:bidi="fa-IR"/>
        </w:rPr>
        <w:t xml:space="preserve">Consistent with </w:t>
      </w:r>
      <w:r w:rsidRPr="00DC5023">
        <w:rPr>
          <w:i/>
          <w:iCs/>
          <w:lang w:val="en" w:bidi="fa-IR"/>
        </w:rPr>
        <w:t>Bardach’s</w:t>
      </w:r>
      <w:r w:rsidRPr="00EB147B">
        <w:rPr>
          <w:lang w:val="en" w:bidi="fa-IR"/>
        </w:rPr>
        <w:t xml:space="preserve"> emphasis on practical implementation, the effectiveness of conditional acceptance depends largely on coherent institutional communication rather than major procedural change. Admissions guidance should clearly distinguish between academic language requirements and immigration rules in order to reduce information asymmetry. Internal alignment among admissions teams and periodic policy review are also necessary to prevent inconsistent interpretation as regulations evolve. At the sector level, shared guidance could further enhance coherence and reduce institutional exposure to reputational or regulatory risk.</w:t>
      </w:r>
    </w:p>
    <w:p w14:paraId="70097E0C" w14:textId="77777777" w:rsidR="00EB147B" w:rsidRPr="00EB147B" w:rsidRDefault="00EB147B" w:rsidP="00EB147B">
      <w:pPr>
        <w:bidi w:val="0"/>
        <w:jc w:val="both"/>
        <w:rPr>
          <w:lang w:bidi="fa-IR"/>
        </w:rPr>
      </w:pPr>
    </w:p>
    <w:p w14:paraId="37357677" w14:textId="77777777" w:rsidR="00EB147B" w:rsidRPr="00EB147B" w:rsidRDefault="00EB147B" w:rsidP="00EB147B">
      <w:pPr>
        <w:bidi w:val="0"/>
        <w:jc w:val="both"/>
        <w:rPr>
          <w:b/>
          <w:bCs/>
          <w:lang w:val="en" w:bidi="fa-IR"/>
        </w:rPr>
      </w:pPr>
      <w:r w:rsidRPr="00EB147B">
        <w:rPr>
          <w:b/>
          <w:bCs/>
          <w:lang w:val="en" w:bidi="fa-IR"/>
        </w:rPr>
        <w:t>8. Conclusion and Policy Takeaway</w:t>
      </w:r>
    </w:p>
    <w:p w14:paraId="190E807C" w14:textId="77777777" w:rsidR="00EB147B" w:rsidRPr="00EB147B" w:rsidRDefault="00EB147B" w:rsidP="00EB147B">
      <w:pPr>
        <w:bidi w:val="0"/>
        <w:jc w:val="both"/>
        <w:rPr>
          <w:lang w:val="en" w:bidi="fa-IR"/>
        </w:rPr>
      </w:pPr>
      <w:r w:rsidRPr="00EB147B">
        <w:rPr>
          <w:lang w:val="en" w:bidi="fa-IR"/>
        </w:rPr>
        <w:t>The analysis suggests that the role of the Duolingo English Test in Welsh higher education admissions is less a question of test validity than a governance issue arising from the misalignment between institutional autonomy and immigration regulation. In the absence of coordinated guidance, DET becomes a point of policy ambiguity that can shift risk onto applicants, particularly those with limited financial or informational resources.</w:t>
      </w:r>
    </w:p>
    <w:p w14:paraId="5C63D2F0" w14:textId="77777777" w:rsidR="00EB147B" w:rsidRPr="00EB147B" w:rsidRDefault="00EB147B" w:rsidP="00EB147B">
      <w:pPr>
        <w:bidi w:val="0"/>
        <w:jc w:val="both"/>
        <w:rPr>
          <w:lang w:val="en" w:bidi="fa-IR"/>
        </w:rPr>
      </w:pPr>
      <w:r w:rsidRPr="00EB147B">
        <w:rPr>
          <w:lang w:val="en" w:bidi="fa-IR"/>
        </w:rPr>
        <w:t>Conditional acceptance represents the most sustainable and ethically defensible response. By integrating transparency, regulatory compliance, and equity within admissions policy, Welsh universities can balance digital innovation with institutional responsibility. More broadly, the analysis highlights that technological expansion in assessment must be accompanied by coherent policy frameworks to protect students and maintain institutional credibility.</w:t>
      </w:r>
    </w:p>
    <w:p w14:paraId="7CA01C5F" w14:textId="77777777" w:rsidR="00F606E2" w:rsidRPr="00F606E2" w:rsidRDefault="00F606E2" w:rsidP="00EB147B">
      <w:pPr>
        <w:bidi w:val="0"/>
        <w:jc w:val="both"/>
        <w:rPr>
          <w:b/>
          <w:bCs/>
          <w:lang w:val="en" w:bidi="fa-IR"/>
        </w:rPr>
      </w:pPr>
      <w:r w:rsidRPr="00F606E2">
        <w:rPr>
          <w:b/>
          <w:bCs/>
          <w:lang w:val="en" w:bidi="fa-IR"/>
        </w:rPr>
        <w:t>References</w:t>
      </w:r>
    </w:p>
    <w:p w14:paraId="12D53291" w14:textId="77777777" w:rsidR="001D242D" w:rsidRDefault="005E2DA8" w:rsidP="005E2DA8">
      <w:pPr>
        <w:bidi w:val="0"/>
        <w:jc w:val="both"/>
        <w:rPr>
          <w:lang w:val="en-GB" w:bidi="fa-IR"/>
        </w:rPr>
      </w:pPr>
      <w:r w:rsidRPr="005E2DA8">
        <w:rPr>
          <w:lang w:val="en-GB" w:bidi="fa-IR"/>
        </w:rPr>
        <w:t>References</w:t>
      </w:r>
      <w:r w:rsidRPr="005E2DA8">
        <w:rPr>
          <w:lang w:val="en-GB" w:bidi="fa-IR"/>
        </w:rPr>
        <w:br/>
      </w:r>
      <w:r w:rsidRPr="005E2DA8">
        <w:rPr>
          <w:lang w:val="en-GB" w:bidi="fa-IR"/>
        </w:rPr>
        <w:br/>
        <w:t>Bachman, L.F. and Palmer, A.S. (2010) Language Assessment in Practice. Oxford: Oxford University Press.</w:t>
      </w:r>
      <w:r w:rsidRPr="005E2DA8">
        <w:rPr>
          <w:lang w:val="en-GB" w:bidi="fa-IR"/>
        </w:rPr>
        <w:br/>
      </w:r>
      <w:r w:rsidRPr="005E2DA8">
        <w:rPr>
          <w:lang w:val="en-GB" w:bidi="fa-IR"/>
        </w:rPr>
        <w:br/>
        <w:t>Ball, S.J. (1993) ‘What is policy? Texts, trajectories and toolboxes’, Discourse, 13(2), pp. 10–17. </w:t>
      </w:r>
      <w:hyperlink r:id="rId5" w:tgtFrame="_blank" w:history="1">
        <w:r w:rsidRPr="005E2DA8">
          <w:rPr>
            <w:rStyle w:val="Hyperlink"/>
            <w:lang w:val="en-GB" w:bidi="fa-IR"/>
          </w:rPr>
          <w:t>https://doi.org/10.1080/0159630930130203</w:t>
        </w:r>
      </w:hyperlink>
      <w:r w:rsidRPr="005E2DA8">
        <w:rPr>
          <w:lang w:val="en-GB" w:bidi="fa-IR"/>
        </w:rPr>
        <w:br/>
      </w:r>
      <w:r w:rsidRPr="005E2DA8">
        <w:rPr>
          <w:lang w:val="en-GB" w:bidi="fa-IR"/>
        </w:rPr>
        <w:br/>
        <w:t xml:space="preserve">Bardach, E. and </w:t>
      </w:r>
      <w:proofErr w:type="spellStart"/>
      <w:r w:rsidRPr="005E2DA8">
        <w:rPr>
          <w:lang w:val="en-GB" w:bidi="fa-IR"/>
        </w:rPr>
        <w:t>Patashnik</w:t>
      </w:r>
      <w:proofErr w:type="spellEnd"/>
      <w:r w:rsidRPr="005E2DA8">
        <w:rPr>
          <w:lang w:val="en-GB" w:bidi="fa-IR"/>
        </w:rPr>
        <w:t xml:space="preserve">, E.M. (2020) A Practical Guide for Policy Analysis: The Eightfold Path to More Effective Problem Solving. 6th </w:t>
      </w:r>
      <w:proofErr w:type="spellStart"/>
      <w:r w:rsidRPr="005E2DA8">
        <w:rPr>
          <w:lang w:val="en-GB" w:bidi="fa-IR"/>
        </w:rPr>
        <w:t>edn</w:t>
      </w:r>
      <w:proofErr w:type="spellEnd"/>
      <w:r w:rsidRPr="005E2DA8">
        <w:rPr>
          <w:lang w:val="en-GB" w:bidi="fa-IR"/>
        </w:rPr>
        <w:t>. Thousand Oaks, CA: CQ Press.</w:t>
      </w:r>
      <w:r w:rsidRPr="005E2DA8">
        <w:rPr>
          <w:lang w:val="en-GB" w:bidi="fa-IR"/>
        </w:rPr>
        <w:br/>
      </w:r>
      <w:r w:rsidRPr="005E2DA8">
        <w:rPr>
          <w:lang w:val="en-GB" w:bidi="fa-IR"/>
        </w:rPr>
        <w:br/>
        <w:t>Cardiff University (2024) English language requirements. Available at: </w:t>
      </w:r>
      <w:hyperlink r:id="rId6" w:tgtFrame="_blank" w:history="1">
        <w:r w:rsidRPr="005E2DA8">
          <w:rPr>
            <w:rStyle w:val="Hyperlink"/>
            <w:lang w:val="en-GB" w:bidi="fa-IR"/>
          </w:rPr>
          <w:t>https://www.cardiff.ac.uk/study/international/english-language-requirements</w:t>
        </w:r>
      </w:hyperlink>
      <w:r w:rsidRPr="005E2DA8">
        <w:rPr>
          <w:lang w:val="en-GB" w:bidi="fa-IR"/>
        </w:rPr>
        <w:t> (Accessed: 20 April 2026).</w:t>
      </w:r>
      <w:r w:rsidRPr="005E2DA8">
        <w:rPr>
          <w:lang w:val="en-GB" w:bidi="fa-IR"/>
        </w:rPr>
        <w:br/>
      </w:r>
      <w:r w:rsidRPr="005E2DA8">
        <w:rPr>
          <w:lang w:val="en-GB" w:bidi="fa-IR"/>
        </w:rPr>
        <w:br/>
        <w:t xml:space="preserve">Isaacs, T., Hu, R., </w:t>
      </w:r>
      <w:proofErr w:type="spellStart"/>
      <w:r w:rsidRPr="005E2DA8">
        <w:rPr>
          <w:lang w:val="en-GB" w:bidi="fa-IR"/>
        </w:rPr>
        <w:t>Trenkic</w:t>
      </w:r>
      <w:proofErr w:type="spellEnd"/>
      <w:r w:rsidRPr="005E2DA8">
        <w:rPr>
          <w:lang w:val="en-GB" w:bidi="fa-IR"/>
        </w:rPr>
        <w:t>, D. and Varga, J. (2023) ‘Examining the predictive validity of the Duolingo English Test: Evidence from a major UK university’, Language Testing, 40(3), pp. 748–770. </w:t>
      </w:r>
      <w:hyperlink r:id="rId7" w:tgtFrame="_blank" w:history="1">
        <w:r w:rsidRPr="005E2DA8">
          <w:rPr>
            <w:rStyle w:val="Hyperlink"/>
            <w:lang w:val="en-GB" w:bidi="fa-IR"/>
          </w:rPr>
          <w:t>https://doi.org/10.1177/02655322231158550</w:t>
        </w:r>
      </w:hyperlink>
      <w:r w:rsidRPr="005E2DA8">
        <w:rPr>
          <w:lang w:val="en-GB" w:bidi="fa-IR"/>
        </w:rPr>
        <w:br/>
      </w:r>
      <w:r w:rsidRPr="005E2DA8">
        <w:rPr>
          <w:lang w:val="en-GB" w:bidi="fa-IR"/>
        </w:rPr>
        <w:br/>
        <w:t>Knoch, U. and Chapelle, C.A. (2018) ‘Validation of language assessments’, in Kunnan, A.J. (ed.) The Companion to Language Assessment. Hoboken, NJ: Wiley-Blackwell.</w:t>
      </w:r>
    </w:p>
    <w:p w14:paraId="238553E4" w14:textId="77777777" w:rsidR="00051AA6" w:rsidRDefault="005E2DA8" w:rsidP="001D242D">
      <w:pPr>
        <w:bidi w:val="0"/>
        <w:jc w:val="both"/>
        <w:rPr>
          <w:lang w:val="en-GB" w:bidi="fa-IR"/>
        </w:rPr>
      </w:pPr>
      <w:r w:rsidRPr="005E2DA8">
        <w:rPr>
          <w:lang w:val="en-GB" w:bidi="fa-IR"/>
        </w:rPr>
        <w:br/>
        <w:t>Knoch, U., McNamara, T. and Fan, J. (2019) Fairness, Justice and Language Assessment. Oxford: Oxford University Press.</w:t>
      </w:r>
    </w:p>
    <w:p w14:paraId="1816B246" w14:textId="77777777" w:rsidR="00051AA6" w:rsidRDefault="005E2DA8" w:rsidP="00051AA6">
      <w:pPr>
        <w:bidi w:val="0"/>
        <w:jc w:val="both"/>
        <w:rPr>
          <w:lang w:val="en-GB" w:bidi="fa-IR"/>
        </w:rPr>
      </w:pPr>
      <w:r w:rsidRPr="005E2DA8">
        <w:rPr>
          <w:lang w:val="en-GB" w:bidi="fa-IR"/>
        </w:rPr>
        <w:br/>
        <w:t>Lipsky, M. (1980) Street-Level Bureaucracy: Dilemmas of the Individual in Public Services. New York: Russell Sage Foundation.</w:t>
      </w:r>
    </w:p>
    <w:p w14:paraId="75F2FE7C" w14:textId="77777777" w:rsidR="00E86DCB" w:rsidRDefault="005E2DA8" w:rsidP="00051AA6">
      <w:pPr>
        <w:bidi w:val="0"/>
        <w:jc w:val="both"/>
        <w:rPr>
          <w:lang w:val="en-GB" w:bidi="fa-IR"/>
        </w:rPr>
      </w:pPr>
      <w:r w:rsidRPr="005E2DA8">
        <w:rPr>
          <w:lang w:val="en-GB" w:bidi="fa-IR"/>
        </w:rPr>
        <w:lastRenderedPageBreak/>
        <w:br/>
        <w:t xml:space="preserve">Marks, G. and </w:t>
      </w:r>
      <w:proofErr w:type="spellStart"/>
      <w:r w:rsidRPr="005E2DA8">
        <w:rPr>
          <w:lang w:val="en-GB" w:bidi="fa-IR"/>
        </w:rPr>
        <w:t>Hooghe</w:t>
      </w:r>
      <w:proofErr w:type="spellEnd"/>
      <w:r w:rsidRPr="005E2DA8">
        <w:rPr>
          <w:lang w:val="en-GB" w:bidi="fa-IR"/>
        </w:rPr>
        <w:t>, L. (2003) ‘Unravelling the central state, but how? Types of multi-level governance’, American Political Science Review, 97(2), pp. 233–243. </w:t>
      </w:r>
      <w:hyperlink r:id="rId8" w:tgtFrame="_blank" w:history="1">
        <w:r w:rsidRPr="005E2DA8">
          <w:rPr>
            <w:rStyle w:val="Hyperlink"/>
            <w:lang w:val="en-GB" w:bidi="fa-IR"/>
          </w:rPr>
          <w:t>https://doi.org/1</w:t>
        </w:r>
        <w:r w:rsidRPr="005E2DA8">
          <w:rPr>
            <w:rStyle w:val="Hyperlink"/>
            <w:lang w:val="en-GB" w:bidi="fa-IR"/>
          </w:rPr>
          <w:t>0</w:t>
        </w:r>
        <w:r w:rsidRPr="005E2DA8">
          <w:rPr>
            <w:rStyle w:val="Hyperlink"/>
            <w:lang w:val="en-GB" w:bidi="fa-IR"/>
          </w:rPr>
          <w:t>.1017/S000305</w:t>
        </w:r>
        <w:r w:rsidRPr="005E2DA8">
          <w:rPr>
            <w:rStyle w:val="Hyperlink"/>
            <w:lang w:val="en-GB" w:bidi="fa-IR"/>
          </w:rPr>
          <w:t>5</w:t>
        </w:r>
        <w:r w:rsidRPr="005E2DA8">
          <w:rPr>
            <w:rStyle w:val="Hyperlink"/>
            <w:lang w:val="en-GB" w:bidi="fa-IR"/>
          </w:rPr>
          <w:t>403000649</w:t>
        </w:r>
      </w:hyperlink>
      <w:r w:rsidRPr="005E2DA8">
        <w:rPr>
          <w:lang w:val="en-GB" w:bidi="fa-IR"/>
        </w:rPr>
        <w:br/>
      </w:r>
      <w:r w:rsidRPr="005E2DA8">
        <w:rPr>
          <w:lang w:val="en-GB" w:bidi="fa-IR"/>
        </w:rPr>
        <w:br/>
        <w:t>McNamara, T. and Roever, C. (2006) Language Testing: The Social Dimension. Oxford: Blackwell.</w:t>
      </w:r>
    </w:p>
    <w:p w14:paraId="2CB25582" w14:textId="77777777" w:rsidR="00E86DCB" w:rsidRDefault="005E2DA8" w:rsidP="00E86DCB">
      <w:pPr>
        <w:bidi w:val="0"/>
        <w:jc w:val="both"/>
        <w:rPr>
          <w:lang w:val="en-GB" w:bidi="fa-IR"/>
        </w:rPr>
      </w:pPr>
      <w:r w:rsidRPr="005E2DA8">
        <w:rPr>
          <w:lang w:val="en-GB" w:bidi="fa-IR"/>
        </w:rPr>
        <w:br/>
        <w:t>Ozga, J. (2000) Policy Research in Educational Settings: Contested Terrain. Buckingham: Open University Press.</w:t>
      </w:r>
      <w:r w:rsidRPr="005E2DA8">
        <w:rPr>
          <w:lang w:val="en-GB" w:bidi="fa-IR"/>
        </w:rPr>
        <w:br/>
        <w:t xml:space="preserve">Park, Y., Cardwell, R. and Naismith, B. (2024) Assessing Vocabulary on the Duolingo English Test. Duolingo </w:t>
      </w:r>
    </w:p>
    <w:p w14:paraId="442172CD" w14:textId="523DECCD" w:rsidR="00E86DCB" w:rsidRDefault="005E2DA8" w:rsidP="00E86DCB">
      <w:pPr>
        <w:bidi w:val="0"/>
        <w:jc w:val="both"/>
        <w:rPr>
          <w:lang w:val="en-GB" w:bidi="fa-IR"/>
        </w:rPr>
      </w:pPr>
      <w:r w:rsidRPr="005E2DA8">
        <w:rPr>
          <w:lang w:val="en-GB" w:bidi="fa-IR"/>
        </w:rPr>
        <w:t>Research Report No. DRR-24-01. Available at: </w:t>
      </w:r>
      <w:hyperlink r:id="rId9" w:tgtFrame="_blank" w:history="1">
        <w:r w:rsidRPr="005E2DA8">
          <w:rPr>
            <w:rStyle w:val="Hyperlink"/>
            <w:lang w:val="en-GB" w:bidi="fa-IR"/>
          </w:rPr>
          <w:t>https://duolingo-</w:t>
        </w:r>
        <w:r w:rsidRPr="005E2DA8">
          <w:rPr>
            <w:rStyle w:val="Hyperlink"/>
            <w:lang w:val="en-GB" w:bidi="fa-IR"/>
          </w:rPr>
          <w:t>papers.s3.amazonaws.com/other/vocab_whitepaper_final.pdf</w:t>
        </w:r>
      </w:hyperlink>
      <w:r w:rsidRPr="005E2DA8">
        <w:rPr>
          <w:lang w:val="en-GB" w:bidi="fa-IR"/>
        </w:rPr>
        <w:t> (Accessed: 20 April 2026).</w:t>
      </w:r>
    </w:p>
    <w:p w14:paraId="77DCEA33" w14:textId="77777777" w:rsidR="00C06882" w:rsidRDefault="005E2DA8" w:rsidP="00E86DCB">
      <w:pPr>
        <w:bidi w:val="0"/>
        <w:jc w:val="both"/>
        <w:rPr>
          <w:lang w:val="en-GB" w:bidi="fa-IR"/>
        </w:rPr>
      </w:pPr>
      <w:r w:rsidRPr="005E2DA8">
        <w:rPr>
          <w:lang w:val="en-GB" w:bidi="fa-IR"/>
        </w:rPr>
        <w:br/>
        <w:t>UK Visas and Immigration (2024) Prove your English language abilities with a secure English language test (SELT). Available at: </w:t>
      </w:r>
      <w:hyperlink r:id="rId10" w:tgtFrame="_blank" w:history="1">
        <w:r w:rsidRPr="005E2DA8">
          <w:rPr>
            <w:rStyle w:val="Hyperlink"/>
            <w:lang w:val="en-GB" w:bidi="fa-IR"/>
          </w:rPr>
          <w:t>https://www.gov.uk/guidance/prove</w:t>
        </w:r>
        <w:r w:rsidRPr="005E2DA8">
          <w:rPr>
            <w:rStyle w:val="Hyperlink"/>
            <w:lang w:val="en-GB" w:bidi="fa-IR"/>
          </w:rPr>
          <w:t>-</w:t>
        </w:r>
        <w:r w:rsidRPr="005E2DA8">
          <w:rPr>
            <w:rStyle w:val="Hyperlink"/>
            <w:lang w:val="en-GB" w:bidi="fa-IR"/>
          </w:rPr>
          <w:t>your-english-language-abilities-with-a-secure-english-language-test-selt</w:t>
        </w:r>
      </w:hyperlink>
      <w:r w:rsidRPr="005E2DA8">
        <w:rPr>
          <w:lang w:val="en-GB" w:bidi="fa-IR"/>
        </w:rPr>
        <w:t> (Accessed: 20 April 2026).</w:t>
      </w:r>
    </w:p>
    <w:p w14:paraId="4961F1DB" w14:textId="4D8837CC" w:rsidR="00C06882" w:rsidRDefault="005E2DA8" w:rsidP="00C06882">
      <w:pPr>
        <w:bidi w:val="0"/>
        <w:jc w:val="both"/>
        <w:rPr>
          <w:lang w:val="en-GB" w:bidi="fa-IR"/>
        </w:rPr>
      </w:pPr>
      <w:r w:rsidRPr="005E2DA8">
        <w:rPr>
          <w:lang w:val="en-GB" w:bidi="fa-IR"/>
        </w:rPr>
        <w:br/>
        <w:t>University of Wales Trinity Saint David (2024) English language requirements. Available at: </w:t>
      </w:r>
      <w:hyperlink r:id="rId11" w:tgtFrame="_blank" w:history="1">
        <w:r w:rsidRPr="005E2DA8">
          <w:rPr>
            <w:rStyle w:val="Hyperlink"/>
            <w:lang w:val="en-GB" w:bidi="fa-IR"/>
          </w:rPr>
          <w:t>https://www.uwtsd.ac.uk/international/apply/english-language-requirements/</w:t>
        </w:r>
      </w:hyperlink>
      <w:r w:rsidRPr="005E2DA8">
        <w:rPr>
          <w:lang w:val="en-GB" w:bidi="fa-IR"/>
        </w:rPr>
        <w:t> (Accessed: 20 April 2026).</w:t>
      </w:r>
    </w:p>
    <w:p w14:paraId="7A00568F" w14:textId="7DD173C2" w:rsidR="005E2DA8" w:rsidRPr="005E2DA8" w:rsidRDefault="005E2DA8" w:rsidP="00C06882">
      <w:pPr>
        <w:bidi w:val="0"/>
        <w:jc w:val="both"/>
        <w:rPr>
          <w:lang w:val="en-GB" w:bidi="fa-IR"/>
        </w:rPr>
      </w:pPr>
      <w:r w:rsidRPr="005E2DA8">
        <w:rPr>
          <w:lang w:val="en-GB" w:bidi="fa-IR"/>
        </w:rPr>
        <w:br/>
        <w:t>Williamson, B. (2020) ‘New digital laboratories of experimental knowledge production: Artificial intelligence and education research’, London Review of Education, 18(2), pp. 209–220. </w:t>
      </w:r>
      <w:hyperlink r:id="rId12" w:tgtFrame="_blank" w:history="1">
        <w:r w:rsidRPr="005E2DA8">
          <w:rPr>
            <w:rStyle w:val="Hyperlink"/>
            <w:lang w:val="en-GB" w:bidi="fa-IR"/>
          </w:rPr>
          <w:t>https://doi.org/10.14324/LRE.18.2.05</w:t>
        </w:r>
      </w:hyperlink>
      <w:r w:rsidRPr="005E2DA8">
        <w:rPr>
          <w:lang w:val="en-GB" w:bidi="fa-IR"/>
        </w:rPr>
        <w:br/>
      </w:r>
      <w:r w:rsidRPr="005E2DA8">
        <w:rPr>
          <w:lang w:val="en-GB" w:bidi="fa-IR"/>
        </w:rPr>
        <w:br/>
        <w:t>Yao, D. (2023) ‘Examining the subjective fairness of at-home and online tests: Taking Duolingo English Test as an example’, PLOS ONE, 18(9), e0291629. </w:t>
      </w:r>
      <w:hyperlink r:id="rId13" w:tgtFrame="_blank" w:history="1">
        <w:r w:rsidRPr="005E2DA8">
          <w:rPr>
            <w:rStyle w:val="Hyperlink"/>
            <w:lang w:val="en-GB" w:bidi="fa-IR"/>
          </w:rPr>
          <w:t>https://doi.org/10.1371/journal.pone.0291629</w:t>
        </w:r>
      </w:hyperlink>
    </w:p>
    <w:p w14:paraId="1133115C" w14:textId="63C14281" w:rsidR="005E2DA8" w:rsidRDefault="005E2DA8" w:rsidP="00EB147B">
      <w:pPr>
        <w:bidi w:val="0"/>
        <w:jc w:val="both"/>
        <w:rPr>
          <w:lang w:val="en" w:bidi="fa-IR"/>
        </w:rPr>
      </w:pPr>
    </w:p>
    <w:sectPr w:rsidR="005E2DA8" w:rsidSect="00C7652F">
      <w:pgSz w:w="11909" w:h="16834"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 Nazanin">
    <w:altName w:val="Courier New"/>
    <w:panose1 w:val="00000400000000000000"/>
    <w:charset w:val="B2"/>
    <w:family w:val="auto"/>
    <w:pitch w:val="variable"/>
    <w:sig w:usb0="00002001" w:usb1="80000000" w:usb2="00000008" w:usb3="00000000" w:csb0="0000004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B75664"/>
    <w:multiLevelType w:val="multilevel"/>
    <w:tmpl w:val="2ACAD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962BD7"/>
    <w:multiLevelType w:val="multilevel"/>
    <w:tmpl w:val="3098B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160D8D"/>
    <w:multiLevelType w:val="multilevel"/>
    <w:tmpl w:val="15A01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644EF7"/>
    <w:multiLevelType w:val="multilevel"/>
    <w:tmpl w:val="2690B3F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E238CA"/>
    <w:multiLevelType w:val="multilevel"/>
    <w:tmpl w:val="95766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E223113"/>
    <w:multiLevelType w:val="multilevel"/>
    <w:tmpl w:val="CE1A7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F83F8C"/>
    <w:multiLevelType w:val="multilevel"/>
    <w:tmpl w:val="593A8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989620">
    <w:abstractNumId w:val="2"/>
  </w:num>
  <w:num w:numId="2" w16cid:durableId="2003001639">
    <w:abstractNumId w:val="6"/>
  </w:num>
  <w:num w:numId="3" w16cid:durableId="1068844222">
    <w:abstractNumId w:val="1"/>
  </w:num>
  <w:num w:numId="4" w16cid:durableId="1113747126">
    <w:abstractNumId w:val="5"/>
  </w:num>
  <w:num w:numId="5" w16cid:durableId="1161774250">
    <w:abstractNumId w:val="3"/>
  </w:num>
  <w:num w:numId="6" w16cid:durableId="1184317944">
    <w:abstractNumId w:val="0"/>
  </w:num>
  <w:num w:numId="7" w16cid:durableId="2286180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0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4E36"/>
    <w:rsid w:val="00010FF9"/>
    <w:rsid w:val="00051AA6"/>
    <w:rsid w:val="00053D66"/>
    <w:rsid w:val="0007256C"/>
    <w:rsid w:val="000B4BB6"/>
    <w:rsid w:val="000D1954"/>
    <w:rsid w:val="001409FD"/>
    <w:rsid w:val="001474A7"/>
    <w:rsid w:val="001B4FC9"/>
    <w:rsid w:val="001D242D"/>
    <w:rsid w:val="0020324F"/>
    <w:rsid w:val="00211AB3"/>
    <w:rsid w:val="002830AB"/>
    <w:rsid w:val="00295FD2"/>
    <w:rsid w:val="002A68A2"/>
    <w:rsid w:val="002B4605"/>
    <w:rsid w:val="0032111F"/>
    <w:rsid w:val="00344B71"/>
    <w:rsid w:val="00384E36"/>
    <w:rsid w:val="003D3850"/>
    <w:rsid w:val="003D7174"/>
    <w:rsid w:val="00446649"/>
    <w:rsid w:val="004A19CA"/>
    <w:rsid w:val="004A6E80"/>
    <w:rsid w:val="004D45F0"/>
    <w:rsid w:val="004D7313"/>
    <w:rsid w:val="004E0354"/>
    <w:rsid w:val="00556FB7"/>
    <w:rsid w:val="005B06F7"/>
    <w:rsid w:val="005C3CFB"/>
    <w:rsid w:val="005E2DA8"/>
    <w:rsid w:val="00637527"/>
    <w:rsid w:val="00670FEC"/>
    <w:rsid w:val="006771EB"/>
    <w:rsid w:val="0069165D"/>
    <w:rsid w:val="006B25C7"/>
    <w:rsid w:val="006B7FEB"/>
    <w:rsid w:val="007208E1"/>
    <w:rsid w:val="00723B4A"/>
    <w:rsid w:val="00736004"/>
    <w:rsid w:val="00747897"/>
    <w:rsid w:val="007B4852"/>
    <w:rsid w:val="007C79FC"/>
    <w:rsid w:val="00804857"/>
    <w:rsid w:val="008228E1"/>
    <w:rsid w:val="00891218"/>
    <w:rsid w:val="00917EB7"/>
    <w:rsid w:val="0095347D"/>
    <w:rsid w:val="0099380C"/>
    <w:rsid w:val="0099633D"/>
    <w:rsid w:val="00996D29"/>
    <w:rsid w:val="009F7AB7"/>
    <w:rsid w:val="00A2792D"/>
    <w:rsid w:val="00A70004"/>
    <w:rsid w:val="00A73D4B"/>
    <w:rsid w:val="00AA5993"/>
    <w:rsid w:val="00AC0C49"/>
    <w:rsid w:val="00B24F6E"/>
    <w:rsid w:val="00B54EF8"/>
    <w:rsid w:val="00BD4F99"/>
    <w:rsid w:val="00C06882"/>
    <w:rsid w:val="00C07CD7"/>
    <w:rsid w:val="00C43256"/>
    <w:rsid w:val="00C43FB3"/>
    <w:rsid w:val="00C551FD"/>
    <w:rsid w:val="00C7652F"/>
    <w:rsid w:val="00CF4944"/>
    <w:rsid w:val="00D0520A"/>
    <w:rsid w:val="00D078F3"/>
    <w:rsid w:val="00DC5023"/>
    <w:rsid w:val="00DE79C0"/>
    <w:rsid w:val="00E86DCB"/>
    <w:rsid w:val="00E943A8"/>
    <w:rsid w:val="00EA2F34"/>
    <w:rsid w:val="00EB03C4"/>
    <w:rsid w:val="00EB147B"/>
    <w:rsid w:val="00F30E82"/>
    <w:rsid w:val="00F606E2"/>
    <w:rsid w:val="00F63FA0"/>
    <w:rsid w:val="00F93F74"/>
    <w:rsid w:val="00FC6192"/>
    <w:rsid w:val="00FE244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D061D"/>
  <w15:chartTrackingRefBased/>
  <w15:docId w15:val="{3601F25C-C008-4404-8CE9-F1BDA97F0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B Nazanin"/>
        <w:szCs w:val="24"/>
        <w:lang w:val="en-US" w:eastAsia="en-US" w:bidi="ar-SA"/>
      </w:rPr>
    </w:rPrDefault>
    <w:pPrDefault>
      <w:pPr>
        <w:bidi/>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3D7174"/>
    <w:pPr>
      <w:keepNext/>
      <w:keepLines/>
      <w:spacing w:before="40" w:after="0"/>
      <w:outlineLvl w:val="2"/>
    </w:pPr>
    <w:rPr>
      <w:rFonts w:asciiTheme="majorHAnsi" w:eastAsiaTheme="majorEastAsia" w:hAnsiTheme="majorHAnsi" w:cstheme="majorBidi"/>
      <w:color w:val="1F4D78" w:themeColor="accent1" w:themeShade="7F"/>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B4BB6"/>
    <w:rPr>
      <w:rFonts w:cs="Times New Roman"/>
      <w:sz w:val="24"/>
    </w:rPr>
  </w:style>
  <w:style w:type="character" w:customStyle="1" w:styleId="Heading3Char">
    <w:name w:val="Heading 3 Char"/>
    <w:basedOn w:val="DefaultParagraphFont"/>
    <w:link w:val="Heading3"/>
    <w:uiPriority w:val="9"/>
    <w:semiHidden/>
    <w:rsid w:val="003D7174"/>
    <w:rPr>
      <w:rFonts w:asciiTheme="majorHAnsi" w:eastAsiaTheme="majorEastAsia" w:hAnsiTheme="majorHAnsi" w:cstheme="majorBidi"/>
      <w:color w:val="1F4D78" w:themeColor="accent1" w:themeShade="7F"/>
      <w:sz w:val="24"/>
    </w:rPr>
  </w:style>
  <w:style w:type="character" w:styleId="Strong">
    <w:name w:val="Strong"/>
    <w:basedOn w:val="DefaultParagraphFont"/>
    <w:uiPriority w:val="22"/>
    <w:qFormat/>
    <w:rsid w:val="004E0354"/>
    <w:rPr>
      <w:b/>
      <w:bCs/>
    </w:rPr>
  </w:style>
  <w:style w:type="character" w:styleId="Hyperlink">
    <w:name w:val="Hyperlink"/>
    <w:basedOn w:val="DefaultParagraphFont"/>
    <w:uiPriority w:val="99"/>
    <w:unhideWhenUsed/>
    <w:rsid w:val="004E0354"/>
    <w:rPr>
      <w:color w:val="0000FF"/>
      <w:u w:val="single"/>
    </w:rPr>
  </w:style>
  <w:style w:type="character" w:styleId="Emphasis">
    <w:name w:val="Emphasis"/>
    <w:basedOn w:val="DefaultParagraphFont"/>
    <w:uiPriority w:val="20"/>
    <w:qFormat/>
    <w:rsid w:val="004E0354"/>
    <w:rPr>
      <w:i/>
      <w:iCs/>
    </w:rPr>
  </w:style>
  <w:style w:type="character" w:styleId="UnresolvedMention">
    <w:name w:val="Unresolved Mention"/>
    <w:basedOn w:val="DefaultParagraphFont"/>
    <w:uiPriority w:val="99"/>
    <w:semiHidden/>
    <w:unhideWhenUsed/>
    <w:rsid w:val="005E2DA8"/>
    <w:rPr>
      <w:color w:val="605E5C"/>
      <w:shd w:val="clear" w:color="auto" w:fill="E1DFDD"/>
    </w:rPr>
  </w:style>
  <w:style w:type="character" w:styleId="FollowedHyperlink">
    <w:name w:val="FollowedHyperlink"/>
    <w:basedOn w:val="DefaultParagraphFont"/>
    <w:uiPriority w:val="99"/>
    <w:semiHidden/>
    <w:unhideWhenUsed/>
    <w:rsid w:val="001D242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296399">
      <w:bodyDiv w:val="1"/>
      <w:marLeft w:val="0"/>
      <w:marRight w:val="0"/>
      <w:marTop w:val="0"/>
      <w:marBottom w:val="0"/>
      <w:divBdr>
        <w:top w:val="none" w:sz="0" w:space="0" w:color="auto"/>
        <w:left w:val="none" w:sz="0" w:space="0" w:color="auto"/>
        <w:bottom w:val="none" w:sz="0" w:space="0" w:color="auto"/>
        <w:right w:val="none" w:sz="0" w:space="0" w:color="auto"/>
      </w:divBdr>
    </w:div>
    <w:div w:id="200215232">
      <w:bodyDiv w:val="1"/>
      <w:marLeft w:val="0"/>
      <w:marRight w:val="0"/>
      <w:marTop w:val="0"/>
      <w:marBottom w:val="0"/>
      <w:divBdr>
        <w:top w:val="none" w:sz="0" w:space="0" w:color="auto"/>
        <w:left w:val="none" w:sz="0" w:space="0" w:color="auto"/>
        <w:bottom w:val="none" w:sz="0" w:space="0" w:color="auto"/>
        <w:right w:val="none" w:sz="0" w:space="0" w:color="auto"/>
      </w:divBdr>
    </w:div>
    <w:div w:id="445152323">
      <w:bodyDiv w:val="1"/>
      <w:marLeft w:val="0"/>
      <w:marRight w:val="0"/>
      <w:marTop w:val="0"/>
      <w:marBottom w:val="0"/>
      <w:divBdr>
        <w:top w:val="none" w:sz="0" w:space="0" w:color="auto"/>
        <w:left w:val="none" w:sz="0" w:space="0" w:color="auto"/>
        <w:bottom w:val="none" w:sz="0" w:space="0" w:color="auto"/>
        <w:right w:val="none" w:sz="0" w:space="0" w:color="auto"/>
      </w:divBdr>
      <w:divsChild>
        <w:div w:id="1497574384">
          <w:marLeft w:val="0"/>
          <w:marRight w:val="0"/>
          <w:marTop w:val="100"/>
          <w:marBottom w:val="100"/>
          <w:divBdr>
            <w:top w:val="none" w:sz="0" w:space="0" w:color="auto"/>
            <w:left w:val="none" w:sz="0" w:space="0" w:color="auto"/>
            <w:bottom w:val="none" w:sz="0" w:space="0" w:color="auto"/>
            <w:right w:val="none" w:sz="0" w:space="0" w:color="auto"/>
          </w:divBdr>
          <w:divsChild>
            <w:div w:id="1785341066">
              <w:marLeft w:val="0"/>
              <w:marRight w:val="0"/>
              <w:marTop w:val="0"/>
              <w:marBottom w:val="0"/>
              <w:divBdr>
                <w:top w:val="none" w:sz="0" w:space="0" w:color="auto"/>
                <w:left w:val="none" w:sz="0" w:space="0" w:color="auto"/>
                <w:bottom w:val="none" w:sz="0" w:space="0" w:color="auto"/>
                <w:right w:val="none" w:sz="0" w:space="0" w:color="auto"/>
              </w:divBdr>
              <w:divsChild>
                <w:div w:id="1597862029">
                  <w:marLeft w:val="0"/>
                  <w:marRight w:val="0"/>
                  <w:marTop w:val="0"/>
                  <w:marBottom w:val="0"/>
                  <w:divBdr>
                    <w:top w:val="none" w:sz="0" w:space="0" w:color="auto"/>
                    <w:left w:val="none" w:sz="0" w:space="0" w:color="auto"/>
                    <w:bottom w:val="none" w:sz="0" w:space="0" w:color="auto"/>
                    <w:right w:val="none" w:sz="0" w:space="0" w:color="auto"/>
                  </w:divBdr>
                  <w:divsChild>
                    <w:div w:id="323316906">
                      <w:marLeft w:val="0"/>
                      <w:marRight w:val="0"/>
                      <w:marTop w:val="0"/>
                      <w:marBottom w:val="0"/>
                      <w:divBdr>
                        <w:top w:val="none" w:sz="0" w:space="0" w:color="auto"/>
                        <w:left w:val="none" w:sz="0" w:space="0" w:color="auto"/>
                        <w:bottom w:val="none" w:sz="0" w:space="0" w:color="auto"/>
                        <w:right w:val="none" w:sz="0" w:space="0" w:color="auto"/>
                      </w:divBdr>
                      <w:divsChild>
                        <w:div w:id="1986930967">
                          <w:marLeft w:val="0"/>
                          <w:marRight w:val="0"/>
                          <w:marTop w:val="0"/>
                          <w:marBottom w:val="0"/>
                          <w:divBdr>
                            <w:top w:val="none" w:sz="0" w:space="0" w:color="auto"/>
                            <w:left w:val="none" w:sz="0" w:space="0" w:color="auto"/>
                            <w:bottom w:val="none" w:sz="0" w:space="0" w:color="auto"/>
                            <w:right w:val="none" w:sz="0" w:space="0" w:color="auto"/>
                          </w:divBdr>
                          <w:divsChild>
                            <w:div w:id="1339121153">
                              <w:marLeft w:val="0"/>
                              <w:marRight w:val="0"/>
                              <w:marTop w:val="0"/>
                              <w:marBottom w:val="0"/>
                              <w:divBdr>
                                <w:top w:val="none" w:sz="0" w:space="0" w:color="auto"/>
                                <w:left w:val="none" w:sz="0" w:space="0" w:color="auto"/>
                                <w:bottom w:val="none" w:sz="0" w:space="0" w:color="auto"/>
                                <w:right w:val="none" w:sz="0" w:space="0" w:color="auto"/>
                              </w:divBdr>
                              <w:divsChild>
                                <w:div w:id="224803799">
                                  <w:marLeft w:val="0"/>
                                  <w:marRight w:val="0"/>
                                  <w:marTop w:val="0"/>
                                  <w:marBottom w:val="0"/>
                                  <w:divBdr>
                                    <w:top w:val="none" w:sz="0" w:space="0" w:color="auto"/>
                                    <w:left w:val="none" w:sz="0" w:space="0" w:color="auto"/>
                                    <w:bottom w:val="none" w:sz="0" w:space="0" w:color="auto"/>
                                    <w:right w:val="none" w:sz="0" w:space="0" w:color="auto"/>
                                  </w:divBdr>
                                  <w:divsChild>
                                    <w:div w:id="1555503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25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5635758">
      <w:bodyDiv w:val="1"/>
      <w:marLeft w:val="0"/>
      <w:marRight w:val="0"/>
      <w:marTop w:val="0"/>
      <w:marBottom w:val="0"/>
      <w:divBdr>
        <w:top w:val="none" w:sz="0" w:space="0" w:color="auto"/>
        <w:left w:val="none" w:sz="0" w:space="0" w:color="auto"/>
        <w:bottom w:val="none" w:sz="0" w:space="0" w:color="auto"/>
        <w:right w:val="none" w:sz="0" w:space="0" w:color="auto"/>
      </w:divBdr>
    </w:div>
    <w:div w:id="628317642">
      <w:bodyDiv w:val="1"/>
      <w:marLeft w:val="0"/>
      <w:marRight w:val="0"/>
      <w:marTop w:val="0"/>
      <w:marBottom w:val="0"/>
      <w:divBdr>
        <w:top w:val="none" w:sz="0" w:space="0" w:color="auto"/>
        <w:left w:val="none" w:sz="0" w:space="0" w:color="auto"/>
        <w:bottom w:val="none" w:sz="0" w:space="0" w:color="auto"/>
        <w:right w:val="none" w:sz="0" w:space="0" w:color="auto"/>
      </w:divBdr>
    </w:div>
    <w:div w:id="661616818">
      <w:bodyDiv w:val="1"/>
      <w:marLeft w:val="0"/>
      <w:marRight w:val="0"/>
      <w:marTop w:val="0"/>
      <w:marBottom w:val="0"/>
      <w:divBdr>
        <w:top w:val="none" w:sz="0" w:space="0" w:color="auto"/>
        <w:left w:val="none" w:sz="0" w:space="0" w:color="auto"/>
        <w:bottom w:val="none" w:sz="0" w:space="0" w:color="auto"/>
        <w:right w:val="none" w:sz="0" w:space="0" w:color="auto"/>
      </w:divBdr>
    </w:div>
    <w:div w:id="683020558">
      <w:bodyDiv w:val="1"/>
      <w:marLeft w:val="0"/>
      <w:marRight w:val="0"/>
      <w:marTop w:val="0"/>
      <w:marBottom w:val="0"/>
      <w:divBdr>
        <w:top w:val="none" w:sz="0" w:space="0" w:color="auto"/>
        <w:left w:val="none" w:sz="0" w:space="0" w:color="auto"/>
        <w:bottom w:val="none" w:sz="0" w:space="0" w:color="auto"/>
        <w:right w:val="none" w:sz="0" w:space="0" w:color="auto"/>
      </w:divBdr>
    </w:div>
    <w:div w:id="690570889">
      <w:bodyDiv w:val="1"/>
      <w:marLeft w:val="0"/>
      <w:marRight w:val="0"/>
      <w:marTop w:val="0"/>
      <w:marBottom w:val="0"/>
      <w:divBdr>
        <w:top w:val="none" w:sz="0" w:space="0" w:color="auto"/>
        <w:left w:val="none" w:sz="0" w:space="0" w:color="auto"/>
        <w:bottom w:val="none" w:sz="0" w:space="0" w:color="auto"/>
        <w:right w:val="none" w:sz="0" w:space="0" w:color="auto"/>
      </w:divBdr>
    </w:div>
    <w:div w:id="859129886">
      <w:bodyDiv w:val="1"/>
      <w:marLeft w:val="0"/>
      <w:marRight w:val="0"/>
      <w:marTop w:val="0"/>
      <w:marBottom w:val="0"/>
      <w:divBdr>
        <w:top w:val="none" w:sz="0" w:space="0" w:color="auto"/>
        <w:left w:val="none" w:sz="0" w:space="0" w:color="auto"/>
        <w:bottom w:val="none" w:sz="0" w:space="0" w:color="auto"/>
        <w:right w:val="none" w:sz="0" w:space="0" w:color="auto"/>
      </w:divBdr>
    </w:div>
    <w:div w:id="1114442855">
      <w:bodyDiv w:val="1"/>
      <w:marLeft w:val="0"/>
      <w:marRight w:val="0"/>
      <w:marTop w:val="0"/>
      <w:marBottom w:val="0"/>
      <w:divBdr>
        <w:top w:val="none" w:sz="0" w:space="0" w:color="auto"/>
        <w:left w:val="none" w:sz="0" w:space="0" w:color="auto"/>
        <w:bottom w:val="none" w:sz="0" w:space="0" w:color="auto"/>
        <w:right w:val="none" w:sz="0" w:space="0" w:color="auto"/>
      </w:divBdr>
    </w:div>
    <w:div w:id="1114715575">
      <w:bodyDiv w:val="1"/>
      <w:marLeft w:val="0"/>
      <w:marRight w:val="0"/>
      <w:marTop w:val="0"/>
      <w:marBottom w:val="0"/>
      <w:divBdr>
        <w:top w:val="none" w:sz="0" w:space="0" w:color="auto"/>
        <w:left w:val="none" w:sz="0" w:space="0" w:color="auto"/>
        <w:bottom w:val="none" w:sz="0" w:space="0" w:color="auto"/>
        <w:right w:val="none" w:sz="0" w:space="0" w:color="auto"/>
      </w:divBdr>
    </w:div>
    <w:div w:id="1231690273">
      <w:bodyDiv w:val="1"/>
      <w:marLeft w:val="0"/>
      <w:marRight w:val="0"/>
      <w:marTop w:val="0"/>
      <w:marBottom w:val="0"/>
      <w:divBdr>
        <w:top w:val="none" w:sz="0" w:space="0" w:color="auto"/>
        <w:left w:val="none" w:sz="0" w:space="0" w:color="auto"/>
        <w:bottom w:val="none" w:sz="0" w:space="0" w:color="auto"/>
        <w:right w:val="none" w:sz="0" w:space="0" w:color="auto"/>
      </w:divBdr>
    </w:div>
    <w:div w:id="1260484200">
      <w:bodyDiv w:val="1"/>
      <w:marLeft w:val="0"/>
      <w:marRight w:val="0"/>
      <w:marTop w:val="0"/>
      <w:marBottom w:val="0"/>
      <w:divBdr>
        <w:top w:val="none" w:sz="0" w:space="0" w:color="auto"/>
        <w:left w:val="none" w:sz="0" w:space="0" w:color="auto"/>
        <w:bottom w:val="none" w:sz="0" w:space="0" w:color="auto"/>
        <w:right w:val="none" w:sz="0" w:space="0" w:color="auto"/>
      </w:divBdr>
    </w:div>
    <w:div w:id="1321542472">
      <w:bodyDiv w:val="1"/>
      <w:marLeft w:val="0"/>
      <w:marRight w:val="0"/>
      <w:marTop w:val="0"/>
      <w:marBottom w:val="0"/>
      <w:divBdr>
        <w:top w:val="none" w:sz="0" w:space="0" w:color="auto"/>
        <w:left w:val="none" w:sz="0" w:space="0" w:color="auto"/>
        <w:bottom w:val="none" w:sz="0" w:space="0" w:color="auto"/>
        <w:right w:val="none" w:sz="0" w:space="0" w:color="auto"/>
      </w:divBdr>
    </w:div>
    <w:div w:id="1366950004">
      <w:bodyDiv w:val="1"/>
      <w:marLeft w:val="0"/>
      <w:marRight w:val="0"/>
      <w:marTop w:val="0"/>
      <w:marBottom w:val="0"/>
      <w:divBdr>
        <w:top w:val="none" w:sz="0" w:space="0" w:color="auto"/>
        <w:left w:val="none" w:sz="0" w:space="0" w:color="auto"/>
        <w:bottom w:val="none" w:sz="0" w:space="0" w:color="auto"/>
        <w:right w:val="none" w:sz="0" w:space="0" w:color="auto"/>
      </w:divBdr>
    </w:div>
    <w:div w:id="1395852299">
      <w:bodyDiv w:val="1"/>
      <w:marLeft w:val="0"/>
      <w:marRight w:val="0"/>
      <w:marTop w:val="0"/>
      <w:marBottom w:val="0"/>
      <w:divBdr>
        <w:top w:val="none" w:sz="0" w:space="0" w:color="auto"/>
        <w:left w:val="none" w:sz="0" w:space="0" w:color="auto"/>
        <w:bottom w:val="none" w:sz="0" w:space="0" w:color="auto"/>
        <w:right w:val="none" w:sz="0" w:space="0" w:color="auto"/>
      </w:divBdr>
    </w:div>
    <w:div w:id="1434284399">
      <w:bodyDiv w:val="1"/>
      <w:marLeft w:val="0"/>
      <w:marRight w:val="0"/>
      <w:marTop w:val="0"/>
      <w:marBottom w:val="0"/>
      <w:divBdr>
        <w:top w:val="none" w:sz="0" w:space="0" w:color="auto"/>
        <w:left w:val="none" w:sz="0" w:space="0" w:color="auto"/>
        <w:bottom w:val="none" w:sz="0" w:space="0" w:color="auto"/>
        <w:right w:val="none" w:sz="0" w:space="0" w:color="auto"/>
      </w:divBdr>
    </w:div>
    <w:div w:id="1544946800">
      <w:bodyDiv w:val="1"/>
      <w:marLeft w:val="0"/>
      <w:marRight w:val="0"/>
      <w:marTop w:val="0"/>
      <w:marBottom w:val="0"/>
      <w:divBdr>
        <w:top w:val="none" w:sz="0" w:space="0" w:color="auto"/>
        <w:left w:val="none" w:sz="0" w:space="0" w:color="auto"/>
        <w:bottom w:val="none" w:sz="0" w:space="0" w:color="auto"/>
        <w:right w:val="none" w:sz="0" w:space="0" w:color="auto"/>
      </w:divBdr>
    </w:div>
    <w:div w:id="1595090877">
      <w:bodyDiv w:val="1"/>
      <w:marLeft w:val="0"/>
      <w:marRight w:val="0"/>
      <w:marTop w:val="0"/>
      <w:marBottom w:val="0"/>
      <w:divBdr>
        <w:top w:val="none" w:sz="0" w:space="0" w:color="auto"/>
        <w:left w:val="none" w:sz="0" w:space="0" w:color="auto"/>
        <w:bottom w:val="none" w:sz="0" w:space="0" w:color="auto"/>
        <w:right w:val="none" w:sz="0" w:space="0" w:color="auto"/>
      </w:divBdr>
    </w:div>
    <w:div w:id="1643581620">
      <w:bodyDiv w:val="1"/>
      <w:marLeft w:val="0"/>
      <w:marRight w:val="0"/>
      <w:marTop w:val="0"/>
      <w:marBottom w:val="0"/>
      <w:divBdr>
        <w:top w:val="none" w:sz="0" w:space="0" w:color="auto"/>
        <w:left w:val="none" w:sz="0" w:space="0" w:color="auto"/>
        <w:bottom w:val="none" w:sz="0" w:space="0" w:color="auto"/>
        <w:right w:val="none" w:sz="0" w:space="0" w:color="auto"/>
      </w:divBdr>
    </w:div>
    <w:div w:id="1667905472">
      <w:bodyDiv w:val="1"/>
      <w:marLeft w:val="0"/>
      <w:marRight w:val="0"/>
      <w:marTop w:val="0"/>
      <w:marBottom w:val="0"/>
      <w:divBdr>
        <w:top w:val="none" w:sz="0" w:space="0" w:color="auto"/>
        <w:left w:val="none" w:sz="0" w:space="0" w:color="auto"/>
        <w:bottom w:val="none" w:sz="0" w:space="0" w:color="auto"/>
        <w:right w:val="none" w:sz="0" w:space="0" w:color="auto"/>
      </w:divBdr>
    </w:div>
    <w:div w:id="1730154085">
      <w:bodyDiv w:val="1"/>
      <w:marLeft w:val="0"/>
      <w:marRight w:val="0"/>
      <w:marTop w:val="0"/>
      <w:marBottom w:val="0"/>
      <w:divBdr>
        <w:top w:val="none" w:sz="0" w:space="0" w:color="auto"/>
        <w:left w:val="none" w:sz="0" w:space="0" w:color="auto"/>
        <w:bottom w:val="none" w:sz="0" w:space="0" w:color="auto"/>
        <w:right w:val="none" w:sz="0" w:space="0" w:color="auto"/>
      </w:divBdr>
    </w:div>
    <w:div w:id="1886872280">
      <w:bodyDiv w:val="1"/>
      <w:marLeft w:val="0"/>
      <w:marRight w:val="0"/>
      <w:marTop w:val="0"/>
      <w:marBottom w:val="0"/>
      <w:divBdr>
        <w:top w:val="none" w:sz="0" w:space="0" w:color="auto"/>
        <w:left w:val="none" w:sz="0" w:space="0" w:color="auto"/>
        <w:bottom w:val="none" w:sz="0" w:space="0" w:color="auto"/>
        <w:right w:val="none" w:sz="0" w:space="0" w:color="auto"/>
      </w:divBdr>
    </w:div>
    <w:div w:id="1902011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7/S0003055403000649" TargetMode="External"/><Relationship Id="rId13" Type="http://schemas.openxmlformats.org/officeDocument/2006/relationships/hyperlink" Target="https://doi.org/10.1371/journal.pone.0291629" TargetMode="External"/><Relationship Id="rId3" Type="http://schemas.openxmlformats.org/officeDocument/2006/relationships/settings" Target="settings.xml"/><Relationship Id="rId7" Type="http://schemas.openxmlformats.org/officeDocument/2006/relationships/hyperlink" Target="https://doi.org/10.1177/02655322231158550" TargetMode="External"/><Relationship Id="rId12" Type="http://schemas.openxmlformats.org/officeDocument/2006/relationships/hyperlink" Target="https://doi.org/10.14324/LRE.18.2.0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rdiff.ac.uk/study/international/english-language-requirements" TargetMode="External"/><Relationship Id="rId11" Type="http://schemas.openxmlformats.org/officeDocument/2006/relationships/hyperlink" Target="https://www.uwtsd.ac.uk/international/apply/english-language-requirements/" TargetMode="External"/><Relationship Id="rId5" Type="http://schemas.openxmlformats.org/officeDocument/2006/relationships/hyperlink" Target="https://doi.org/10.1080/0159630930130203" TargetMode="External"/><Relationship Id="rId15" Type="http://schemas.openxmlformats.org/officeDocument/2006/relationships/theme" Target="theme/theme1.xml"/><Relationship Id="rId10" Type="http://schemas.openxmlformats.org/officeDocument/2006/relationships/hyperlink" Target="https://www.gov.uk/guidance/prove-your-english-language-abilities-with-a-secure-english-language-test-selt" TargetMode="External"/><Relationship Id="rId4" Type="http://schemas.openxmlformats.org/officeDocument/2006/relationships/webSettings" Target="webSettings.xml"/><Relationship Id="rId9" Type="http://schemas.openxmlformats.org/officeDocument/2006/relationships/hyperlink" Target="https://duolingo-papers.s3.amazonaws.com/other/vocab_whitepaper_final.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378</TotalTime>
  <Pages>11</Pages>
  <Words>6767</Words>
  <Characters>38576</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Kak Khosro</dc:creator>
  <cp:keywords/>
  <dc:description/>
  <cp:lastModifiedBy>roya barati</cp:lastModifiedBy>
  <cp:revision>44</cp:revision>
  <dcterms:created xsi:type="dcterms:W3CDTF">2026-04-11T08:03:00Z</dcterms:created>
  <dcterms:modified xsi:type="dcterms:W3CDTF">2026-04-11T18:26:00Z</dcterms:modified>
</cp:coreProperties>
</file>