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9D6A0" w14:textId="77777777" w:rsidR="006A236C" w:rsidRDefault="006A236C" w:rsidP="003F2619">
      <w:pPr>
        <w:spacing w:before="120" w:after="120"/>
        <w:rPr>
          <w:rFonts w:ascii="Times New Roman" w:eastAsia="Arial" w:hAnsi="Times New Roman" w:cs="Times New Roman"/>
          <w:b/>
          <w:bCs/>
          <w:sz w:val="24"/>
          <w:szCs w:val="24"/>
        </w:rPr>
      </w:pPr>
      <w:bookmarkStart w:id="0" w:name="_Hlk106392538"/>
      <w:bookmarkEnd w:id="0"/>
    </w:p>
    <w:p w14:paraId="1669673F" w14:textId="1E65B713" w:rsidR="0002667D" w:rsidRPr="00E106F9" w:rsidRDefault="006A236C" w:rsidP="0002667D">
      <w:pPr>
        <w:spacing w:before="120" w:after="120"/>
        <w:jc w:val="center"/>
        <w:rPr>
          <w:rFonts w:ascii="Times New Roman" w:eastAsia="Arial" w:hAnsi="Times New Roman" w:cs="Times New Roman"/>
          <w:b/>
          <w:bCs/>
          <w:sz w:val="32"/>
          <w:szCs w:val="32"/>
        </w:rPr>
      </w:pPr>
      <w:r w:rsidRPr="00E106F9">
        <w:rPr>
          <w:rFonts w:ascii="Times New Roman" w:eastAsia="Arial" w:hAnsi="Times New Roman" w:cs="Times New Roman"/>
          <w:b/>
          <w:bCs/>
          <w:sz w:val="32"/>
          <w:szCs w:val="32"/>
        </w:rPr>
        <w:t xml:space="preserve">Evidence-Based </w:t>
      </w:r>
      <w:r w:rsidR="0002667D" w:rsidRPr="00E106F9">
        <w:rPr>
          <w:rFonts w:ascii="Times New Roman" w:eastAsia="Arial" w:hAnsi="Times New Roman" w:cs="Times New Roman"/>
          <w:b/>
          <w:bCs/>
          <w:sz w:val="32"/>
          <w:szCs w:val="32"/>
        </w:rPr>
        <w:t>Approaches to Policing Decisions</w:t>
      </w:r>
    </w:p>
    <w:p w14:paraId="61056FE0" w14:textId="3DD4590F" w:rsidR="00FD07E1" w:rsidRPr="00E106F9" w:rsidRDefault="0002667D" w:rsidP="0002667D">
      <w:pPr>
        <w:spacing w:before="120" w:after="120"/>
        <w:jc w:val="center"/>
        <w:rPr>
          <w:rFonts w:ascii="Times New Roman" w:hAnsi="Times New Roman" w:cs="Times New Roman"/>
          <w:b/>
          <w:sz w:val="32"/>
          <w:szCs w:val="32"/>
        </w:rPr>
      </w:pPr>
      <w:r w:rsidRPr="00E106F9">
        <w:rPr>
          <w:rFonts w:ascii="Times New Roman" w:eastAsia="Arial" w:hAnsi="Times New Roman" w:cs="Times New Roman"/>
          <w:b/>
          <w:bCs/>
          <w:sz w:val="32"/>
          <w:szCs w:val="32"/>
        </w:rPr>
        <w:t>(BMPL4001)</w:t>
      </w:r>
    </w:p>
    <w:p w14:paraId="2F6D5CD3" w14:textId="77777777" w:rsidR="004D0FB7" w:rsidRPr="00E106F9" w:rsidRDefault="004D0FB7" w:rsidP="00FD07E1">
      <w:pPr>
        <w:jc w:val="center"/>
        <w:rPr>
          <w:b/>
          <w:bCs/>
          <w:sz w:val="32"/>
          <w:szCs w:val="32"/>
        </w:rPr>
      </w:pPr>
    </w:p>
    <w:p w14:paraId="303FBA33" w14:textId="77777777" w:rsidR="004D0FB7" w:rsidRDefault="004D0FB7" w:rsidP="00FD07E1">
      <w:pPr>
        <w:jc w:val="center"/>
        <w:rPr>
          <w:b/>
          <w:bCs/>
          <w:sz w:val="32"/>
          <w:szCs w:val="32"/>
        </w:rPr>
      </w:pPr>
    </w:p>
    <w:p w14:paraId="2E1AB4A9" w14:textId="77777777" w:rsidR="004D0FB7" w:rsidRDefault="004D0FB7" w:rsidP="00FD07E1">
      <w:pPr>
        <w:jc w:val="center"/>
        <w:rPr>
          <w:b/>
          <w:bCs/>
          <w:sz w:val="32"/>
          <w:szCs w:val="32"/>
        </w:rPr>
      </w:pPr>
    </w:p>
    <w:p w14:paraId="582A2038" w14:textId="77777777" w:rsidR="004D0FB7" w:rsidRDefault="004D0FB7" w:rsidP="00FD07E1">
      <w:pPr>
        <w:jc w:val="center"/>
        <w:rPr>
          <w:b/>
          <w:bCs/>
          <w:sz w:val="32"/>
          <w:szCs w:val="32"/>
        </w:rPr>
      </w:pPr>
    </w:p>
    <w:p w14:paraId="77C090BA" w14:textId="51918F0F" w:rsidR="00FD07E1" w:rsidRPr="00E106F9" w:rsidRDefault="00FD07E1" w:rsidP="00FD07E1">
      <w:pPr>
        <w:jc w:val="center"/>
        <w:rPr>
          <w:rFonts w:ascii="Times New Roman" w:hAnsi="Times New Roman" w:cs="Times New Roman"/>
          <w:b/>
          <w:sz w:val="28"/>
          <w:szCs w:val="28"/>
        </w:rPr>
      </w:pPr>
      <w:r w:rsidRPr="00E106F9">
        <w:rPr>
          <w:b/>
          <w:bCs/>
          <w:sz w:val="28"/>
          <w:szCs w:val="28"/>
        </w:rPr>
        <w:t>Amdadur Rashid Masum</w:t>
      </w:r>
    </w:p>
    <w:p w14:paraId="2FEEE46E" w14:textId="77777777" w:rsidR="00E106F9" w:rsidRPr="00E106F9" w:rsidRDefault="00E106F9" w:rsidP="00FD07E1">
      <w:pPr>
        <w:pStyle w:val="NoSpacing"/>
        <w:jc w:val="center"/>
        <w:rPr>
          <w:b/>
          <w:bCs/>
          <w:sz w:val="28"/>
          <w:szCs w:val="28"/>
        </w:rPr>
      </w:pPr>
    </w:p>
    <w:p w14:paraId="6A680563" w14:textId="77777777" w:rsidR="00E106F9" w:rsidRDefault="00E106F9" w:rsidP="00FD07E1">
      <w:pPr>
        <w:pStyle w:val="NoSpacing"/>
        <w:jc w:val="center"/>
        <w:rPr>
          <w:b/>
          <w:bCs/>
          <w:sz w:val="24"/>
          <w:szCs w:val="24"/>
        </w:rPr>
      </w:pPr>
    </w:p>
    <w:p w14:paraId="25431179" w14:textId="77777777" w:rsidR="00E106F9" w:rsidRDefault="00E106F9" w:rsidP="00FD07E1">
      <w:pPr>
        <w:pStyle w:val="NoSpacing"/>
        <w:jc w:val="center"/>
        <w:rPr>
          <w:b/>
          <w:bCs/>
          <w:sz w:val="24"/>
          <w:szCs w:val="24"/>
        </w:rPr>
      </w:pPr>
    </w:p>
    <w:p w14:paraId="7E54E049" w14:textId="77777777" w:rsidR="00E106F9" w:rsidRDefault="00E106F9" w:rsidP="00FD07E1">
      <w:pPr>
        <w:pStyle w:val="NoSpacing"/>
        <w:jc w:val="center"/>
        <w:rPr>
          <w:b/>
          <w:bCs/>
          <w:sz w:val="24"/>
          <w:szCs w:val="24"/>
        </w:rPr>
      </w:pPr>
    </w:p>
    <w:p w14:paraId="78343555" w14:textId="77777777" w:rsidR="00E106F9" w:rsidRDefault="00E106F9" w:rsidP="00FD07E1">
      <w:pPr>
        <w:pStyle w:val="NoSpacing"/>
        <w:jc w:val="center"/>
        <w:rPr>
          <w:b/>
          <w:bCs/>
          <w:sz w:val="24"/>
          <w:szCs w:val="24"/>
        </w:rPr>
      </w:pPr>
    </w:p>
    <w:p w14:paraId="3D11D7E4" w14:textId="77777777" w:rsidR="00E106F9" w:rsidRDefault="00E106F9" w:rsidP="00FD07E1">
      <w:pPr>
        <w:pStyle w:val="NoSpacing"/>
        <w:jc w:val="center"/>
        <w:rPr>
          <w:b/>
          <w:bCs/>
          <w:sz w:val="24"/>
          <w:szCs w:val="24"/>
        </w:rPr>
      </w:pPr>
    </w:p>
    <w:p w14:paraId="7C05E682" w14:textId="77777777" w:rsidR="00E106F9" w:rsidRDefault="00E106F9" w:rsidP="00FD07E1">
      <w:pPr>
        <w:pStyle w:val="NoSpacing"/>
        <w:jc w:val="center"/>
        <w:rPr>
          <w:b/>
          <w:bCs/>
          <w:sz w:val="24"/>
          <w:szCs w:val="24"/>
        </w:rPr>
      </w:pPr>
    </w:p>
    <w:p w14:paraId="1BEC661C" w14:textId="77777777" w:rsidR="00E106F9" w:rsidRDefault="00E106F9" w:rsidP="00FD07E1">
      <w:pPr>
        <w:pStyle w:val="NoSpacing"/>
        <w:jc w:val="center"/>
        <w:rPr>
          <w:b/>
          <w:bCs/>
          <w:sz w:val="24"/>
          <w:szCs w:val="24"/>
        </w:rPr>
      </w:pPr>
    </w:p>
    <w:p w14:paraId="01D1C63A" w14:textId="77777777" w:rsidR="00E106F9" w:rsidRDefault="00E106F9" w:rsidP="00FD07E1">
      <w:pPr>
        <w:pStyle w:val="NoSpacing"/>
        <w:jc w:val="center"/>
        <w:rPr>
          <w:b/>
          <w:bCs/>
          <w:sz w:val="24"/>
          <w:szCs w:val="24"/>
        </w:rPr>
      </w:pPr>
    </w:p>
    <w:p w14:paraId="28001B3F" w14:textId="77777777" w:rsidR="00E106F9" w:rsidRDefault="00E106F9" w:rsidP="00FD07E1">
      <w:pPr>
        <w:pStyle w:val="NoSpacing"/>
        <w:jc w:val="center"/>
        <w:rPr>
          <w:b/>
          <w:bCs/>
          <w:sz w:val="24"/>
          <w:szCs w:val="24"/>
        </w:rPr>
      </w:pPr>
    </w:p>
    <w:p w14:paraId="61CECB6A" w14:textId="77777777" w:rsidR="00E106F9" w:rsidRDefault="00E106F9" w:rsidP="00FD07E1">
      <w:pPr>
        <w:pStyle w:val="NoSpacing"/>
        <w:jc w:val="center"/>
        <w:rPr>
          <w:b/>
          <w:bCs/>
          <w:sz w:val="24"/>
          <w:szCs w:val="24"/>
        </w:rPr>
      </w:pPr>
    </w:p>
    <w:p w14:paraId="26528420" w14:textId="77777777" w:rsidR="00E106F9" w:rsidRDefault="00E106F9" w:rsidP="00FD07E1">
      <w:pPr>
        <w:pStyle w:val="NoSpacing"/>
        <w:jc w:val="center"/>
        <w:rPr>
          <w:b/>
          <w:bCs/>
          <w:sz w:val="24"/>
          <w:szCs w:val="24"/>
        </w:rPr>
      </w:pPr>
    </w:p>
    <w:p w14:paraId="0943E9F2" w14:textId="77777777" w:rsidR="00E106F9" w:rsidRDefault="00E106F9" w:rsidP="00FD07E1">
      <w:pPr>
        <w:pStyle w:val="NoSpacing"/>
        <w:jc w:val="center"/>
        <w:rPr>
          <w:b/>
          <w:bCs/>
          <w:sz w:val="24"/>
          <w:szCs w:val="24"/>
        </w:rPr>
      </w:pPr>
    </w:p>
    <w:p w14:paraId="317D2595" w14:textId="46A37ECA" w:rsidR="00FD07E1" w:rsidRPr="00856143" w:rsidRDefault="00FD07E1" w:rsidP="00FD07E1">
      <w:pPr>
        <w:pStyle w:val="NoSpacing"/>
        <w:jc w:val="center"/>
        <w:rPr>
          <w:b/>
          <w:bCs/>
          <w:color w:val="4472C4" w:themeColor="accent1"/>
          <w:sz w:val="24"/>
          <w:szCs w:val="24"/>
        </w:rPr>
      </w:pPr>
      <w:r>
        <w:rPr>
          <w:b/>
          <w:bCs/>
          <w:sz w:val="24"/>
          <w:szCs w:val="24"/>
        </w:rPr>
        <w:t>(</w:t>
      </w:r>
      <w:r w:rsidRPr="00856143">
        <w:rPr>
          <w:b/>
          <w:bCs/>
          <w:sz w:val="24"/>
          <w:szCs w:val="24"/>
        </w:rPr>
        <w:t>2128870@student.uwtsd.ac.uk</w:t>
      </w:r>
      <w:r>
        <w:rPr>
          <w:b/>
          <w:bCs/>
          <w:sz w:val="24"/>
          <w:szCs w:val="24"/>
        </w:rPr>
        <w:t>)</w:t>
      </w:r>
    </w:p>
    <w:p w14:paraId="7563AFDA" w14:textId="2442C4AD" w:rsidR="00FD07E1" w:rsidRDefault="00FD07E1" w:rsidP="006A236C">
      <w:pPr>
        <w:rPr>
          <w:rFonts w:ascii="Times New Roman" w:hAnsi="Times New Roman" w:cs="Times New Roman"/>
          <w:sz w:val="24"/>
          <w:szCs w:val="24"/>
        </w:rPr>
      </w:pPr>
    </w:p>
    <w:p w14:paraId="307FD479" w14:textId="77777777" w:rsidR="004D0FB7" w:rsidRDefault="004D0FB7" w:rsidP="006A236C">
      <w:pPr>
        <w:rPr>
          <w:rFonts w:ascii="Times New Roman" w:hAnsi="Times New Roman" w:cs="Times New Roman"/>
          <w:sz w:val="24"/>
          <w:szCs w:val="24"/>
        </w:rPr>
      </w:pPr>
    </w:p>
    <w:p w14:paraId="142360FC" w14:textId="7351868F" w:rsidR="00FD07E1" w:rsidRDefault="00FD07E1" w:rsidP="006A236C">
      <w:pPr>
        <w:rPr>
          <w:rFonts w:ascii="Times New Roman" w:hAnsi="Times New Roman" w:cs="Times New Roman"/>
          <w:sz w:val="24"/>
          <w:szCs w:val="24"/>
        </w:rPr>
      </w:pPr>
    </w:p>
    <w:p w14:paraId="19A410FD" w14:textId="462C8942" w:rsidR="00E106F9" w:rsidRDefault="00E106F9" w:rsidP="006A236C">
      <w:pPr>
        <w:rPr>
          <w:rFonts w:ascii="Times New Roman" w:hAnsi="Times New Roman" w:cs="Times New Roman"/>
          <w:sz w:val="24"/>
          <w:szCs w:val="24"/>
        </w:rPr>
      </w:pPr>
    </w:p>
    <w:p w14:paraId="359A9087" w14:textId="05A765EF" w:rsidR="00E106F9" w:rsidRDefault="00E106F9" w:rsidP="006A236C">
      <w:pPr>
        <w:rPr>
          <w:rFonts w:ascii="Times New Roman" w:hAnsi="Times New Roman" w:cs="Times New Roman"/>
          <w:sz w:val="24"/>
          <w:szCs w:val="24"/>
        </w:rPr>
      </w:pPr>
    </w:p>
    <w:p w14:paraId="01FE41F8" w14:textId="123566CB" w:rsidR="00E106F9" w:rsidRDefault="00E106F9" w:rsidP="006A236C">
      <w:pPr>
        <w:rPr>
          <w:rFonts w:ascii="Times New Roman" w:hAnsi="Times New Roman" w:cs="Times New Roman"/>
          <w:sz w:val="24"/>
          <w:szCs w:val="24"/>
        </w:rPr>
      </w:pPr>
    </w:p>
    <w:p w14:paraId="25B526DB" w14:textId="31A07760" w:rsidR="00E106F9" w:rsidRDefault="00E106F9" w:rsidP="006A236C">
      <w:pPr>
        <w:rPr>
          <w:rFonts w:ascii="Times New Roman" w:hAnsi="Times New Roman" w:cs="Times New Roman"/>
          <w:sz w:val="24"/>
          <w:szCs w:val="24"/>
        </w:rPr>
      </w:pPr>
    </w:p>
    <w:p w14:paraId="74107337" w14:textId="362100EA" w:rsidR="00E106F9" w:rsidRDefault="00E106F9" w:rsidP="006A236C">
      <w:pPr>
        <w:rPr>
          <w:rFonts w:ascii="Times New Roman" w:hAnsi="Times New Roman" w:cs="Times New Roman"/>
          <w:sz w:val="24"/>
          <w:szCs w:val="24"/>
        </w:rPr>
      </w:pPr>
    </w:p>
    <w:p w14:paraId="2B2CD545" w14:textId="77777777" w:rsidR="00E106F9" w:rsidRPr="00D66654" w:rsidRDefault="00E106F9" w:rsidP="006A236C">
      <w:pPr>
        <w:rPr>
          <w:rFonts w:ascii="Times New Roman" w:hAnsi="Times New Roman" w:cs="Times New Roman"/>
          <w:sz w:val="24"/>
          <w:szCs w:val="24"/>
        </w:rPr>
      </w:pPr>
    </w:p>
    <w:p w14:paraId="41191527" w14:textId="14209322" w:rsidR="00766C9D" w:rsidRPr="002E33F6" w:rsidRDefault="00951F37" w:rsidP="006A236C">
      <w:pPr>
        <w:rPr>
          <w:sz w:val="24"/>
          <w:szCs w:val="24"/>
        </w:rPr>
      </w:pPr>
      <w:r w:rsidRPr="002E33F6">
        <w:rPr>
          <w:sz w:val="24"/>
          <w:szCs w:val="24"/>
        </w:rPr>
        <w:lastRenderedPageBreak/>
        <w:t xml:space="preserve">Evidence is the cement of the criminal justice </w:t>
      </w:r>
      <w:r w:rsidR="00AE18AF" w:rsidRPr="002E33F6">
        <w:rPr>
          <w:sz w:val="24"/>
          <w:szCs w:val="24"/>
        </w:rPr>
        <w:t>system (</w:t>
      </w:r>
      <w:r w:rsidR="00DC7DE3" w:rsidRPr="002E33F6">
        <w:rPr>
          <w:sz w:val="24"/>
          <w:szCs w:val="24"/>
        </w:rPr>
        <w:t>C Harfield ,2014)</w:t>
      </w:r>
      <w:r w:rsidRPr="002E33F6">
        <w:rPr>
          <w:sz w:val="24"/>
          <w:szCs w:val="24"/>
        </w:rPr>
        <w:t>.</w:t>
      </w:r>
      <w:r w:rsidR="00AE18AF" w:rsidRPr="002E33F6">
        <w:rPr>
          <w:sz w:val="24"/>
          <w:szCs w:val="24"/>
        </w:rPr>
        <w:t xml:space="preserve"> The integrity of the criminal justice system is built on the integrity of evidence, the integrity of how it is gathered, and the integrity with which it is put to the test in court</w:t>
      </w:r>
      <w:r w:rsidR="00144123" w:rsidRPr="00144123">
        <w:rPr>
          <w:sz w:val="24"/>
          <w:szCs w:val="24"/>
        </w:rPr>
        <w:t xml:space="preserve">. As part of EBP (Evidence-Based Policing), police officers and staff use the finest available research evidence and generate their own to advise or test policing policies, choices, and procedures. In addition, evidence-based policing is best employed by the investigation department to reduce crime rates and their underlying factors. It is the major goal of evidence-based policing to comprehend the objectives of policing by examining the weight of data and research on crime and other resource. It is the goal of this research study to understand and analyse the concept of evidence-based policy and its many models. Furthermore, the paper highlighted two specific models that characterise evidence-based policing and also assessed the models' strengths and </w:t>
      </w:r>
      <w:r w:rsidR="00144123" w:rsidRPr="00144123">
        <w:rPr>
          <w:sz w:val="24"/>
          <w:szCs w:val="24"/>
        </w:rPr>
        <w:t>weaknesses.</w:t>
      </w:r>
      <w:r w:rsidR="00144123" w:rsidRPr="00144123">
        <w:rPr>
          <w:sz w:val="24"/>
          <w:szCs w:val="24"/>
        </w:rPr>
        <w:t xml:space="preserve"> A real-life scenario and the study's interpretation of these models in these situations are also included.</w:t>
      </w:r>
    </w:p>
    <w:p w14:paraId="04A6F7B2" w14:textId="00160E59" w:rsidR="00766C9D" w:rsidRPr="00582D9A" w:rsidRDefault="00B3479A" w:rsidP="006A236C">
      <w:pPr>
        <w:rPr>
          <w:b/>
          <w:bCs/>
          <w:sz w:val="24"/>
          <w:szCs w:val="24"/>
        </w:rPr>
      </w:pPr>
      <w:r w:rsidRPr="00582D9A">
        <w:rPr>
          <w:b/>
          <w:bCs/>
          <w:sz w:val="24"/>
          <w:szCs w:val="24"/>
        </w:rPr>
        <w:t>SARA</w:t>
      </w:r>
    </w:p>
    <w:p w14:paraId="698B52A9" w14:textId="77777777" w:rsidR="00AA2AA2" w:rsidRPr="00AA2AA2" w:rsidRDefault="00AA2AA2" w:rsidP="00AA2AA2">
      <w:pPr>
        <w:rPr>
          <w:sz w:val="24"/>
          <w:szCs w:val="24"/>
        </w:rPr>
      </w:pPr>
      <w:r w:rsidRPr="00AA2AA2">
        <w:rPr>
          <w:sz w:val="24"/>
          <w:szCs w:val="24"/>
        </w:rPr>
        <w:t>Additionally, the SARA model is commonly used in evidence-based policing. SARA has four components: scanning, analysing, responding, and evaluating. Various police agencies, training centres, and problem-solving activities for police officers can be based on this paradigm.</w:t>
      </w:r>
    </w:p>
    <w:p w14:paraId="20EF18A7" w14:textId="77777777" w:rsidR="00AA2AA2" w:rsidRPr="00AA2AA2" w:rsidRDefault="00AA2AA2" w:rsidP="00AA2AA2">
      <w:pPr>
        <w:rPr>
          <w:sz w:val="24"/>
          <w:szCs w:val="24"/>
        </w:rPr>
      </w:pPr>
      <w:r w:rsidRPr="00AA2AA2">
        <w:rPr>
          <w:sz w:val="24"/>
          <w:szCs w:val="24"/>
        </w:rPr>
        <w:t>Using Scan, the model's first component, data from many perspectives and perspectives is gathered in order to gain a comprehensive understanding of the situation (Hinkle et al., 2020). Keep the number of participants minimal so that discrimination and analysis paralysis can be avoided. In addition, it's vital to look at the situation from the police's point of view. When it comes to drug usage in the home, some people perceive it as a serious crime while others think it's just a little inconvenience, so it's important to do a thorough investigation before taking any further action.</w:t>
      </w:r>
    </w:p>
    <w:p w14:paraId="0F9190CB" w14:textId="77777777" w:rsidR="00AA2AA2" w:rsidRPr="00AA2AA2" w:rsidRDefault="00AA2AA2" w:rsidP="00AA2AA2">
      <w:pPr>
        <w:rPr>
          <w:sz w:val="24"/>
          <w:szCs w:val="24"/>
        </w:rPr>
      </w:pPr>
      <w:r w:rsidRPr="00AA2AA2">
        <w:rPr>
          <w:sz w:val="24"/>
          <w:szCs w:val="24"/>
        </w:rPr>
        <w:t>Secondly, Analyse is important because it allows everyone to focus on the big issue instead of the little ones (Weisburd et al., 2019). As an example, it presents a solution to problems rather than pointing out their existence. It is general knowledge that street drinking is a criminal offence, but the major problem here may be spotted with the help of this model because of the abundance of beer containers. Since police and other departments may utilise this model to identify the fundamental cause and take appropriate action, it helps them do their jobs better. When it comes to solving problems, it's important to look at who, why, and when are involved. The SARA model's key advantage is this.</w:t>
      </w:r>
    </w:p>
    <w:p w14:paraId="5E6C7238" w14:textId="77777777" w:rsidR="00AA2AA2" w:rsidRPr="00AA2AA2" w:rsidRDefault="00AA2AA2" w:rsidP="00AA2AA2">
      <w:pPr>
        <w:rPr>
          <w:sz w:val="24"/>
          <w:szCs w:val="24"/>
        </w:rPr>
      </w:pPr>
      <w:r w:rsidRPr="00AA2AA2">
        <w:rPr>
          <w:sz w:val="24"/>
          <w:szCs w:val="24"/>
        </w:rPr>
        <w:t xml:space="preserve">The third component of this plan, which includes enforcement, engineering, and teaching, is called Respond. For example, enforcing the law helps to identify the most egregious criminals, to create new laws, and to pursue justice through conditions and probations. The core cause of an issue is illuminated by engineering, which focuses on reducing them in the most effective way feasible (Bullock et al., 2021). There are several ways that education can </w:t>
      </w:r>
      <w:r w:rsidRPr="00AA2AA2">
        <w:rPr>
          <w:sz w:val="24"/>
          <w:szCs w:val="24"/>
        </w:rPr>
        <w:lastRenderedPageBreak/>
        <w:t>help raise awareness of issues, including workshops, movies, preventions and various training methods. This gives the entire crime investigation department more services and unique initiatives, as well as aid in developing a comprehensive action plan.</w:t>
      </w:r>
    </w:p>
    <w:p w14:paraId="0166AA36" w14:textId="77777777" w:rsidR="00AA2AA2" w:rsidRPr="00AA2AA2" w:rsidRDefault="00AA2AA2" w:rsidP="00AA2AA2">
      <w:pPr>
        <w:rPr>
          <w:sz w:val="24"/>
          <w:szCs w:val="24"/>
        </w:rPr>
      </w:pPr>
      <w:r w:rsidRPr="00AA2AA2">
        <w:rPr>
          <w:sz w:val="24"/>
          <w:szCs w:val="24"/>
        </w:rPr>
        <w:t>In order to determine how well the department's activities were executed and what adjustments were required, the final component of this approach is access. So, for instance, it is critical that the organisation as well as the police department understand which actions are being carried out correctly and effectively as well as what adjustments or changes are needed over time (Bond-Fortier and Nader, 2022). Another advantage of this method is that it allows police to look at all of the activities they take on a weekly basis to establish when and why they are being performed, as well as which ones are still in progress and which ones have been abandoned.</w:t>
      </w:r>
    </w:p>
    <w:p w14:paraId="612D891F" w14:textId="6DC36B35" w:rsidR="00E4101B" w:rsidRDefault="00AA2AA2" w:rsidP="006A236C">
      <w:pPr>
        <w:rPr>
          <w:sz w:val="24"/>
          <w:szCs w:val="24"/>
        </w:rPr>
      </w:pPr>
      <w:r w:rsidRPr="00AA2AA2">
        <w:rPr>
          <w:sz w:val="24"/>
          <w:szCs w:val="24"/>
        </w:rPr>
        <w:t>True, both models can be used to analyse criminal situations; nevertheless, the nature of the problem dictates which model is most appropriate for a given situation. For example, the police department in the middle of the city used to deal with gangs and graffiti. The SARA model is used by the police department to better understand the situation and develop a scenario to analyse the case and deal with the problem.</w:t>
      </w:r>
      <w:r w:rsidR="001321E1" w:rsidRPr="002E33F6">
        <w:rPr>
          <w:sz w:val="24"/>
          <w:szCs w:val="24"/>
        </w:rPr>
        <w:t xml:space="preserve"> As a result of the improved monitoring of chronic offenders, there are now means to remove graffiti, and other alternative tactics have also helped to reduce the crime rate in the area. Similarly, the cops utilised a variety of strategies to respond to a tactic such as, some proposed using psychological counselling programmes for persistent juvenile offenders (Mannocchi et al., 2020), while others suggested using laws and crimes exercises to better oversee juniors. </w:t>
      </w:r>
      <w:r w:rsidRPr="00AA2AA2">
        <w:rPr>
          <w:sz w:val="24"/>
          <w:szCs w:val="24"/>
        </w:rPr>
        <w:t>The organisation subsequently conducted an evaluation of the implementation of the plan, and it was determined that the area's graffiti crime rate has fallen by eighty percent. Additionally, chronic offenders who have finished counselling programmes have stopped spraying graffiti on walls and other surfaces. The application of the SARA model in its entirety assisted courts and police departments in addressing the issue and identifying the primary factor contributing to the issue, which is the model's primary advantage (Bertol et al., 2018).</w:t>
      </w:r>
    </w:p>
    <w:p w14:paraId="5CB76B28" w14:textId="77777777" w:rsidR="00871D2D" w:rsidRDefault="00871D2D" w:rsidP="006A236C">
      <w:pPr>
        <w:rPr>
          <w:b/>
          <w:bCs/>
          <w:sz w:val="24"/>
          <w:szCs w:val="24"/>
        </w:rPr>
      </w:pPr>
    </w:p>
    <w:p w14:paraId="47C64C07" w14:textId="77777777" w:rsidR="00871D2D" w:rsidRDefault="00871D2D" w:rsidP="006A236C">
      <w:pPr>
        <w:rPr>
          <w:b/>
          <w:bCs/>
          <w:sz w:val="24"/>
          <w:szCs w:val="24"/>
        </w:rPr>
      </w:pPr>
    </w:p>
    <w:p w14:paraId="54D8E386" w14:textId="77777777" w:rsidR="00F12056" w:rsidRDefault="00F12056" w:rsidP="006A236C">
      <w:pPr>
        <w:rPr>
          <w:b/>
          <w:bCs/>
          <w:sz w:val="24"/>
          <w:szCs w:val="24"/>
        </w:rPr>
      </w:pPr>
    </w:p>
    <w:p w14:paraId="77A7EA51" w14:textId="77777777" w:rsidR="00F12056" w:rsidRDefault="00F12056" w:rsidP="006A236C">
      <w:pPr>
        <w:rPr>
          <w:b/>
          <w:bCs/>
          <w:sz w:val="24"/>
          <w:szCs w:val="24"/>
        </w:rPr>
      </w:pPr>
    </w:p>
    <w:p w14:paraId="2E50CBD4" w14:textId="77777777" w:rsidR="00F12056" w:rsidRDefault="00F12056" w:rsidP="006A236C">
      <w:pPr>
        <w:rPr>
          <w:b/>
          <w:bCs/>
          <w:sz w:val="24"/>
          <w:szCs w:val="24"/>
        </w:rPr>
      </w:pPr>
    </w:p>
    <w:p w14:paraId="0D79A209" w14:textId="77777777" w:rsidR="00F12056" w:rsidRDefault="00F12056" w:rsidP="006A236C">
      <w:pPr>
        <w:rPr>
          <w:b/>
          <w:bCs/>
          <w:sz w:val="24"/>
          <w:szCs w:val="24"/>
        </w:rPr>
      </w:pPr>
    </w:p>
    <w:p w14:paraId="424E9445" w14:textId="77777777" w:rsidR="00F12056" w:rsidRDefault="00F12056" w:rsidP="006A236C">
      <w:pPr>
        <w:rPr>
          <w:b/>
          <w:bCs/>
          <w:sz w:val="24"/>
          <w:szCs w:val="24"/>
        </w:rPr>
      </w:pPr>
    </w:p>
    <w:p w14:paraId="5B158507" w14:textId="0E49DA76" w:rsidR="00E858DC" w:rsidRPr="00582D9A" w:rsidRDefault="00B021D4" w:rsidP="006A236C">
      <w:pPr>
        <w:rPr>
          <w:b/>
          <w:bCs/>
          <w:sz w:val="24"/>
          <w:szCs w:val="24"/>
        </w:rPr>
      </w:pPr>
      <w:r w:rsidRPr="00582D9A">
        <w:rPr>
          <w:b/>
          <w:bCs/>
          <w:sz w:val="24"/>
          <w:szCs w:val="24"/>
        </w:rPr>
        <w:lastRenderedPageBreak/>
        <w:t>ATLAS</w:t>
      </w:r>
    </w:p>
    <w:p w14:paraId="7F519901" w14:textId="77777777" w:rsidR="001D210A" w:rsidRPr="00896BA4" w:rsidRDefault="001D210A" w:rsidP="001D210A">
      <w:pPr>
        <w:keepNext/>
        <w:spacing w:line="360" w:lineRule="auto"/>
        <w:jc w:val="center"/>
        <w:rPr>
          <w:rFonts w:ascii="Times New Roman" w:hAnsi="Times New Roman" w:cs="Times New Roman"/>
          <w:sz w:val="24"/>
          <w:szCs w:val="24"/>
        </w:rPr>
      </w:pPr>
      <w:r w:rsidRPr="00896BA4">
        <w:rPr>
          <w:rFonts w:ascii="Times New Roman" w:hAnsi="Times New Roman" w:cs="Times New Roman"/>
          <w:noProof/>
          <w:sz w:val="24"/>
          <w:szCs w:val="24"/>
          <w:lang w:eastAsia="en-GB"/>
        </w:rPr>
        <w:drawing>
          <wp:inline distT="0" distB="0" distL="0" distR="0" wp14:anchorId="2B99A12E" wp14:editId="3FC93016">
            <wp:extent cx="4922874" cy="3184437"/>
            <wp:effectExtent l="0" t="0" r="0" b="0"/>
            <wp:docPr id="1" name="Picture 1" descr="https://whatworks.college.police.uk/About/News/PublishingImages/Pages/Analyst_day/ATL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whatworks.college.police.uk/About/News/PublishingImages/Pages/Analyst_day/ATLAS.JPG"/>
                    <pic:cNvPicPr>
                      <a:picLocks noChangeAspect="1" noChangeArrowheads="1"/>
                    </pic:cNvPicPr>
                  </pic:nvPicPr>
                  <pic:blipFill>
                    <a:blip r:embed="rId4" cstate="print">
                      <a:extLst>
                        <a:ext uri="{28A0092B-C50C-407E-A947-70E740481C1C}">
                          <a14:useLocalDpi xmlns:a14="http://schemas.microsoft.com/office/drawing/2010/main" val="0"/>
                        </a:ext>
                      </a:extLst>
                    </a:blip>
                    <a:stretch>
                      <a:fillRect/>
                    </a:stretch>
                  </pic:blipFill>
                  <pic:spPr bwMode="auto">
                    <a:xfrm>
                      <a:off x="0" y="0"/>
                      <a:ext cx="4932701" cy="3190794"/>
                    </a:xfrm>
                    <a:prstGeom prst="rect">
                      <a:avLst/>
                    </a:prstGeom>
                    <a:noFill/>
                    <a:ln>
                      <a:noFill/>
                    </a:ln>
                  </pic:spPr>
                </pic:pic>
              </a:graphicData>
            </a:graphic>
          </wp:inline>
        </w:drawing>
      </w:r>
    </w:p>
    <w:p w14:paraId="7867AADA" w14:textId="77777777" w:rsidR="001D210A" w:rsidRPr="00896BA4" w:rsidRDefault="001D210A" w:rsidP="001D210A">
      <w:pPr>
        <w:pStyle w:val="Caption"/>
        <w:spacing w:line="360" w:lineRule="auto"/>
        <w:jc w:val="center"/>
        <w:rPr>
          <w:rFonts w:ascii="Times New Roman" w:hAnsi="Times New Roman" w:cs="Times New Roman"/>
          <w:color w:val="auto"/>
          <w:sz w:val="24"/>
          <w:szCs w:val="24"/>
        </w:rPr>
      </w:pPr>
      <w:r w:rsidRPr="00896BA4">
        <w:rPr>
          <w:rFonts w:ascii="Times New Roman" w:hAnsi="Times New Roman" w:cs="Times New Roman"/>
          <w:color w:val="auto"/>
          <w:sz w:val="24"/>
          <w:szCs w:val="24"/>
        </w:rPr>
        <w:t xml:space="preserve">Figure </w:t>
      </w:r>
      <w:r w:rsidRPr="00896BA4">
        <w:rPr>
          <w:rFonts w:ascii="Times New Roman" w:hAnsi="Times New Roman" w:cs="Times New Roman"/>
          <w:color w:val="auto"/>
          <w:sz w:val="24"/>
          <w:szCs w:val="24"/>
        </w:rPr>
        <w:fldChar w:fldCharType="begin"/>
      </w:r>
      <w:r w:rsidRPr="00896BA4">
        <w:rPr>
          <w:rFonts w:ascii="Times New Roman" w:hAnsi="Times New Roman" w:cs="Times New Roman"/>
          <w:color w:val="auto"/>
          <w:sz w:val="24"/>
          <w:szCs w:val="24"/>
        </w:rPr>
        <w:instrText xml:space="preserve"> SEQ Figure \* ARABIC </w:instrText>
      </w:r>
      <w:r w:rsidRPr="00896BA4">
        <w:rPr>
          <w:rFonts w:ascii="Times New Roman" w:hAnsi="Times New Roman" w:cs="Times New Roman"/>
          <w:color w:val="auto"/>
          <w:sz w:val="24"/>
          <w:szCs w:val="24"/>
        </w:rPr>
        <w:fldChar w:fldCharType="separate"/>
      </w:r>
      <w:r w:rsidRPr="00896BA4">
        <w:rPr>
          <w:rFonts w:ascii="Times New Roman" w:hAnsi="Times New Roman" w:cs="Times New Roman"/>
          <w:noProof/>
          <w:color w:val="auto"/>
          <w:sz w:val="24"/>
          <w:szCs w:val="24"/>
        </w:rPr>
        <w:t>1</w:t>
      </w:r>
      <w:r w:rsidRPr="00896BA4">
        <w:rPr>
          <w:rFonts w:ascii="Times New Roman" w:hAnsi="Times New Roman" w:cs="Times New Roman"/>
          <w:color w:val="auto"/>
          <w:sz w:val="24"/>
          <w:szCs w:val="24"/>
        </w:rPr>
        <w:fldChar w:fldCharType="end"/>
      </w:r>
      <w:r w:rsidRPr="00896BA4">
        <w:rPr>
          <w:rFonts w:ascii="Times New Roman" w:hAnsi="Times New Roman" w:cs="Times New Roman"/>
          <w:color w:val="auto"/>
          <w:sz w:val="24"/>
          <w:szCs w:val="24"/>
        </w:rPr>
        <w:t>: ATLAS policing model</w:t>
      </w:r>
    </w:p>
    <w:p w14:paraId="3C127830" w14:textId="77777777" w:rsidR="001D210A" w:rsidRPr="00896BA4" w:rsidRDefault="001D210A" w:rsidP="001D210A">
      <w:pPr>
        <w:spacing w:line="360" w:lineRule="auto"/>
        <w:jc w:val="center"/>
        <w:rPr>
          <w:rFonts w:ascii="Times New Roman" w:hAnsi="Times New Roman" w:cs="Times New Roman"/>
          <w:sz w:val="24"/>
          <w:szCs w:val="24"/>
        </w:rPr>
      </w:pPr>
      <w:r w:rsidRPr="00896BA4">
        <w:rPr>
          <w:rFonts w:ascii="Times New Roman" w:hAnsi="Times New Roman" w:cs="Times New Roman"/>
          <w:sz w:val="24"/>
          <w:szCs w:val="24"/>
          <w:shd w:val="clear" w:color="auto" w:fill="FFFFFF"/>
        </w:rPr>
        <w:t xml:space="preserve">(Source: Buil-Gil </w:t>
      </w:r>
      <w:r w:rsidRPr="00F420B7">
        <w:rPr>
          <w:rFonts w:ascii="Times New Roman" w:hAnsi="Times New Roman" w:cs="Times New Roman"/>
          <w:i/>
          <w:sz w:val="24"/>
          <w:szCs w:val="24"/>
          <w:shd w:val="clear" w:color="auto" w:fill="FFFFFF"/>
        </w:rPr>
        <w:t>et al</w:t>
      </w:r>
      <w:r w:rsidRPr="00896BA4">
        <w:rPr>
          <w:rFonts w:ascii="Times New Roman" w:hAnsi="Times New Roman" w:cs="Times New Roman"/>
          <w:sz w:val="24"/>
          <w:szCs w:val="24"/>
          <w:shd w:val="clear" w:color="auto" w:fill="FFFFFF"/>
        </w:rPr>
        <w:t>., 2020)</w:t>
      </w:r>
    </w:p>
    <w:p w14:paraId="2A0F74B9" w14:textId="3415A5F8" w:rsidR="00E0129F" w:rsidRPr="00E0129F" w:rsidRDefault="00E0129F" w:rsidP="00E0129F">
      <w:pPr>
        <w:rPr>
          <w:sz w:val="24"/>
          <w:szCs w:val="24"/>
        </w:rPr>
      </w:pPr>
      <w:r w:rsidRPr="00E0129F">
        <w:rPr>
          <w:sz w:val="24"/>
          <w:szCs w:val="24"/>
        </w:rPr>
        <w:t xml:space="preserve">Initially, Ask is used to test, learn, and adopt the complete situation. According to Kassotis et al., (2021), it is critical for the Police Department or other professionals to ask questions to gain a better understanding of how the other person sees and perceives the situation (Kassotis et al., 2021). At the beginning of the investigation, this will help you comprehend the fundamental problem and the general situation. Similarly, evidence-based policing can approach the solution and develop a theory or hypothesis based on the information acquired from the perspective of the opposite party by comprehending the query element. Using the Test, which is the second component, you may test out fresh theories and concepts to see if they hold up to further scrutiny. In the words of Pereira and colleagues (2022), it helps police understand the issue and the response taken against it, and to determine if the response is coordinated and effective. This phase analyses new ideas and helps determine whether any revisions are needed before the case and how to properly monitor its results. When new interventions are needed, they can be introduced at this point and the Learning stage helps with that. As a result, procedures and rules can be better executed in practise. In evidence-based policy, this phase is used to estimate how long it will take to put a solution into action and how it might be improved (Abrahamson, 2021). Fourth, </w:t>
      </w:r>
      <w:r w:rsidRPr="00E0129F">
        <w:rPr>
          <w:sz w:val="24"/>
          <w:szCs w:val="24"/>
        </w:rPr>
        <w:t>adapt</w:t>
      </w:r>
      <w:r w:rsidRPr="00E0129F">
        <w:rPr>
          <w:sz w:val="24"/>
          <w:szCs w:val="24"/>
        </w:rPr>
        <w:t xml:space="preserve"> helps to monitor results and estimate what should be changed in response to the findings of the police. This is the final stage. In other words, if the staff feels that the </w:t>
      </w:r>
      <w:r w:rsidRPr="00E0129F">
        <w:rPr>
          <w:sz w:val="24"/>
          <w:szCs w:val="24"/>
        </w:rPr>
        <w:t>interventions,</w:t>
      </w:r>
      <w:r w:rsidRPr="00E0129F">
        <w:rPr>
          <w:sz w:val="24"/>
          <w:szCs w:val="24"/>
        </w:rPr>
        <w:t xml:space="preserve"> they've made haven't had any good impact on the case, they can stop using those resources and rewrite the entire situation.</w:t>
      </w:r>
    </w:p>
    <w:p w14:paraId="39E48B3E" w14:textId="77777777" w:rsidR="00E0129F" w:rsidRDefault="00E0129F" w:rsidP="00E0129F">
      <w:pPr>
        <w:rPr>
          <w:sz w:val="24"/>
          <w:szCs w:val="24"/>
        </w:rPr>
      </w:pPr>
      <w:r w:rsidRPr="00E0129F">
        <w:rPr>
          <w:sz w:val="24"/>
          <w:szCs w:val="24"/>
        </w:rPr>
        <w:lastRenderedPageBreak/>
        <w:t>In contrast, three young men got caught up in drug abuse in a real-life incident. Police used ATLAS model to identify challenges and deal with case; this model helps in identifying the main problem in a systematic manner, as previously stated. Before questioning anyone else, the cops asked each person about their problem and the crime they had committed (Hughes et al., 2021). During the course of an interrogation, law enforcement officers and other experts can readily determine the character of each subject and examine a wide range of methods and responses to address their concerns. They all need some practise with narcotics, according to a thorough investigation by the police department, which uses the ATLAS model to analyse their cases (Wolff et al., 2020). In the same way, the police can regularly assess the success or failure of various strategies through various sessions and counselling programmes.</w:t>
      </w:r>
    </w:p>
    <w:p w14:paraId="79F80B41" w14:textId="75909A18" w:rsidR="00E4101B" w:rsidRPr="002E33F6" w:rsidRDefault="00C56BD1" w:rsidP="006A236C">
      <w:pPr>
        <w:rPr>
          <w:sz w:val="24"/>
          <w:szCs w:val="24"/>
        </w:rPr>
      </w:pPr>
      <w:r w:rsidRPr="00C56BD1">
        <w:rPr>
          <w:sz w:val="24"/>
          <w:szCs w:val="24"/>
        </w:rPr>
        <w:t>The findings of the investigation show that having a solid understanding of the situation and its history is the most important factor in finding a solution to the problem. During this complex and challenging time period, evidence-based policing models are the most effective strategies that police practitioners may use. In addition, evidence-based policing is a fantastic idea since it utilises the available studies and data to generate prospective outcomes and implement numerous proposals to address the primary issue. This helps to ensure that the problem is effectively addressed. The ATLAS and SARA models were used in this study to determine the benefits and drawbacks of evidence-based policing models. These models were then applied to a variety of real-life case scenarios and compared on the basis of their benefits and drawbacks.</w:t>
      </w:r>
    </w:p>
    <w:p w14:paraId="5CB4EB9D" w14:textId="77777777" w:rsidR="00876D09" w:rsidRDefault="00876D09" w:rsidP="00876D09">
      <w:pPr>
        <w:rPr>
          <w:b/>
          <w:bCs/>
        </w:rPr>
      </w:pPr>
    </w:p>
    <w:p w14:paraId="11D41C26" w14:textId="77777777" w:rsidR="00876D09" w:rsidRDefault="00876D09" w:rsidP="00876D09">
      <w:pPr>
        <w:rPr>
          <w:b/>
          <w:bCs/>
        </w:rPr>
      </w:pPr>
    </w:p>
    <w:p w14:paraId="29087CAC" w14:textId="77777777" w:rsidR="00876D09" w:rsidRDefault="00876D09" w:rsidP="00876D09">
      <w:pPr>
        <w:rPr>
          <w:b/>
          <w:bCs/>
        </w:rPr>
      </w:pPr>
    </w:p>
    <w:p w14:paraId="3275C511" w14:textId="77777777" w:rsidR="00876D09" w:rsidRDefault="00876D09" w:rsidP="00876D09">
      <w:pPr>
        <w:rPr>
          <w:b/>
          <w:bCs/>
        </w:rPr>
      </w:pPr>
    </w:p>
    <w:p w14:paraId="44B7E5DE" w14:textId="77777777" w:rsidR="00876D09" w:rsidRDefault="00876D09" w:rsidP="00876D09">
      <w:pPr>
        <w:rPr>
          <w:b/>
          <w:bCs/>
        </w:rPr>
      </w:pPr>
    </w:p>
    <w:p w14:paraId="657ACF15" w14:textId="77777777" w:rsidR="00876D09" w:rsidRDefault="00876D09" w:rsidP="00876D09">
      <w:pPr>
        <w:rPr>
          <w:b/>
          <w:bCs/>
        </w:rPr>
      </w:pPr>
    </w:p>
    <w:p w14:paraId="1B9D1986" w14:textId="77777777" w:rsidR="00876D09" w:rsidRDefault="00876D09" w:rsidP="00876D09">
      <w:pPr>
        <w:rPr>
          <w:b/>
          <w:bCs/>
        </w:rPr>
      </w:pPr>
    </w:p>
    <w:p w14:paraId="26170695" w14:textId="77777777" w:rsidR="00876D09" w:rsidRDefault="00876D09" w:rsidP="00876D09">
      <w:pPr>
        <w:rPr>
          <w:b/>
          <w:bCs/>
        </w:rPr>
      </w:pPr>
    </w:p>
    <w:p w14:paraId="0E6BAA53" w14:textId="77777777" w:rsidR="00876D09" w:rsidRDefault="00876D09" w:rsidP="00876D09">
      <w:pPr>
        <w:rPr>
          <w:b/>
          <w:bCs/>
        </w:rPr>
      </w:pPr>
    </w:p>
    <w:p w14:paraId="54A855F8" w14:textId="4774708C" w:rsidR="00876D09" w:rsidRDefault="00876D09" w:rsidP="00876D09">
      <w:pPr>
        <w:rPr>
          <w:b/>
          <w:bCs/>
        </w:rPr>
      </w:pPr>
    </w:p>
    <w:p w14:paraId="590E7F01" w14:textId="1C2B2288" w:rsidR="00C56BD1" w:rsidRDefault="00C56BD1" w:rsidP="00876D09">
      <w:pPr>
        <w:rPr>
          <w:b/>
          <w:bCs/>
        </w:rPr>
      </w:pPr>
    </w:p>
    <w:p w14:paraId="3DD874BA" w14:textId="3402DBB0" w:rsidR="00C56BD1" w:rsidRDefault="00C56BD1" w:rsidP="00876D09">
      <w:pPr>
        <w:rPr>
          <w:b/>
          <w:bCs/>
        </w:rPr>
      </w:pPr>
    </w:p>
    <w:p w14:paraId="6CB2B9CA" w14:textId="77777777" w:rsidR="00C56BD1" w:rsidRDefault="00C56BD1" w:rsidP="00876D09">
      <w:pPr>
        <w:rPr>
          <w:b/>
          <w:bCs/>
        </w:rPr>
      </w:pPr>
    </w:p>
    <w:p w14:paraId="3BD37E47" w14:textId="5371ED45" w:rsidR="00876D09" w:rsidRPr="00876D09" w:rsidRDefault="00876D09" w:rsidP="00876D09">
      <w:pPr>
        <w:rPr>
          <w:b/>
          <w:bCs/>
        </w:rPr>
      </w:pPr>
      <w:r w:rsidRPr="00876D09">
        <w:rPr>
          <w:b/>
          <w:bCs/>
        </w:rPr>
        <w:lastRenderedPageBreak/>
        <w:t>Reflection on similarity score:</w:t>
      </w:r>
    </w:p>
    <w:p w14:paraId="207C869F" w14:textId="1C63DF02" w:rsidR="00E858DC" w:rsidRDefault="00876D09" w:rsidP="00876D09">
      <w:r>
        <w:t>Part of this task was to submit my work onto the Turnitin which, is a software which gives students and lecturers reports on whether the work is original (The University of Kent, 2009). My similarity score was 6</w:t>
      </w:r>
      <w:r>
        <w:t>4</w:t>
      </w:r>
      <w:r>
        <w:t>%. However, my similarity scores quite high then expect. That’s why I consider more citing of work. Ensuring that my work is correctly referencing using the Harvard Referencing system. As good referencing is an important academic skill needed at university (The Open University, 2015). Also, I change some the writing to imp</w:t>
      </w:r>
      <w:r>
        <w:rPr>
          <w:noProof/>
        </w:rPr>
        <w:drawing>
          <wp:inline distT="0" distB="0" distL="0" distR="0" wp14:anchorId="3E6F0334" wp14:editId="43DAB390">
            <wp:extent cx="5493385" cy="2984500"/>
            <wp:effectExtent l="0" t="0" r="0" b="6350"/>
            <wp:docPr id="2" name="Picture 2" descr="Legal Proses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egal Prosess - Word"/>
                    <pic:cNvPicPr/>
                  </pic:nvPicPr>
                  <pic:blipFill rotWithShape="1">
                    <a:blip r:embed="rId5">
                      <a:extLst>
                        <a:ext uri="{28A0092B-C50C-407E-A947-70E740481C1C}">
                          <a14:useLocalDpi xmlns:a14="http://schemas.microsoft.com/office/drawing/2010/main" val="0"/>
                        </a:ext>
                      </a:extLst>
                    </a:blip>
                    <a:srcRect l="4155" t="32519"/>
                    <a:stretch/>
                  </pic:blipFill>
                  <pic:spPr bwMode="auto">
                    <a:xfrm>
                      <a:off x="0" y="0"/>
                      <a:ext cx="5493385" cy="2984500"/>
                    </a:xfrm>
                    <a:prstGeom prst="rect">
                      <a:avLst/>
                    </a:prstGeom>
                    <a:ln>
                      <a:noFill/>
                    </a:ln>
                    <a:extLst>
                      <a:ext uri="{53640926-AAD7-44D8-BBD7-CCE9431645EC}">
                        <a14:shadowObscured xmlns:a14="http://schemas.microsoft.com/office/drawing/2010/main"/>
                      </a:ext>
                    </a:extLst>
                  </pic:spPr>
                </pic:pic>
              </a:graphicData>
            </a:graphic>
          </wp:inline>
        </w:drawing>
      </w:r>
      <w:r>
        <w:t>rove my score.</w:t>
      </w:r>
    </w:p>
    <w:p w14:paraId="1EABEC4C" w14:textId="136AFFC5" w:rsidR="00876D09" w:rsidRDefault="00876D09" w:rsidP="00876D09"/>
    <w:p w14:paraId="5170D04B" w14:textId="6FF3A62F" w:rsidR="00E858DC" w:rsidRDefault="00E858DC" w:rsidP="006A236C"/>
    <w:p w14:paraId="713B4A37" w14:textId="0A9B049D" w:rsidR="00E858DC" w:rsidRDefault="00E858DC" w:rsidP="006A236C"/>
    <w:p w14:paraId="780CAC69" w14:textId="77777777" w:rsidR="00E858DC" w:rsidRDefault="00E858DC" w:rsidP="006A236C"/>
    <w:p w14:paraId="4EED546A" w14:textId="77777777" w:rsidR="00B3479A" w:rsidRDefault="00B3479A" w:rsidP="006A236C"/>
    <w:p w14:paraId="620827EF" w14:textId="1D5F8FDF" w:rsidR="006A236C" w:rsidRDefault="006A236C" w:rsidP="006A236C"/>
    <w:p w14:paraId="761F23FE" w14:textId="23B4BA24" w:rsidR="00871D2D" w:rsidRDefault="00871D2D" w:rsidP="006A236C"/>
    <w:p w14:paraId="6755BC16" w14:textId="5F1D7CFE" w:rsidR="00871D2D" w:rsidRDefault="00871D2D" w:rsidP="006A236C"/>
    <w:p w14:paraId="095116C9" w14:textId="06E3CFD3" w:rsidR="00871D2D" w:rsidRDefault="00871D2D" w:rsidP="006A236C"/>
    <w:p w14:paraId="2281B442" w14:textId="77777777" w:rsidR="00871D2D" w:rsidRDefault="00871D2D" w:rsidP="006A236C"/>
    <w:p w14:paraId="12E7746E" w14:textId="77777777" w:rsidR="00876D09" w:rsidRDefault="00876D09" w:rsidP="006A236C">
      <w:pPr>
        <w:rPr>
          <w:b/>
          <w:bCs/>
          <w:sz w:val="24"/>
          <w:szCs w:val="24"/>
        </w:rPr>
      </w:pPr>
    </w:p>
    <w:p w14:paraId="59E398C5" w14:textId="77777777" w:rsidR="00876D09" w:rsidRDefault="00876D09" w:rsidP="006A236C">
      <w:pPr>
        <w:rPr>
          <w:b/>
          <w:bCs/>
          <w:sz w:val="24"/>
          <w:szCs w:val="24"/>
        </w:rPr>
      </w:pPr>
    </w:p>
    <w:p w14:paraId="4C725EB8" w14:textId="7F6ED4B8" w:rsidR="006A236C" w:rsidRPr="003779D2" w:rsidRDefault="003779D2" w:rsidP="006A236C">
      <w:pPr>
        <w:rPr>
          <w:b/>
          <w:bCs/>
          <w:sz w:val="24"/>
          <w:szCs w:val="24"/>
        </w:rPr>
      </w:pPr>
      <w:r w:rsidRPr="003779D2">
        <w:rPr>
          <w:b/>
          <w:bCs/>
          <w:sz w:val="24"/>
          <w:szCs w:val="24"/>
        </w:rPr>
        <w:lastRenderedPageBreak/>
        <w:t>References</w:t>
      </w:r>
      <w:r w:rsidR="00951F37" w:rsidRPr="003779D2">
        <w:rPr>
          <w:b/>
          <w:bCs/>
          <w:sz w:val="24"/>
          <w:szCs w:val="24"/>
        </w:rPr>
        <w:t>:</w:t>
      </w:r>
    </w:p>
    <w:p w14:paraId="641BD13B" w14:textId="1A36C29E" w:rsidR="00951F37" w:rsidRPr="003779D2" w:rsidRDefault="00951F37" w:rsidP="006A236C">
      <w:pPr>
        <w:rPr>
          <w:sz w:val="24"/>
          <w:szCs w:val="24"/>
        </w:rPr>
      </w:pPr>
    </w:p>
    <w:p w14:paraId="41D4D661" w14:textId="715C5665" w:rsidR="00951F37" w:rsidRPr="003779D2" w:rsidRDefault="00DC7DE3" w:rsidP="006A236C">
      <w:pPr>
        <w:rPr>
          <w:sz w:val="24"/>
          <w:szCs w:val="24"/>
        </w:rPr>
      </w:pPr>
      <w:r w:rsidRPr="003779D2">
        <w:rPr>
          <w:sz w:val="24"/>
          <w:szCs w:val="24"/>
        </w:rPr>
        <w:t>Clive</w:t>
      </w:r>
      <w:r w:rsidR="003779D2">
        <w:rPr>
          <w:sz w:val="24"/>
          <w:szCs w:val="24"/>
        </w:rPr>
        <w:t>,</w:t>
      </w:r>
      <w:r w:rsidRPr="003779D2">
        <w:rPr>
          <w:sz w:val="24"/>
          <w:szCs w:val="24"/>
        </w:rPr>
        <w:t xml:space="preserve"> Harfield (2014) Blackstone’s Police Operational Handbook: Practice and Procedure. Oxford: OUP Oxford. Available at: https://search-ebscohost-com.ezproxy.uwtsd.ac.uk/login.aspx?direct=true&amp;db=nlebk&amp;AN=2126321&amp;site=ehost-live (Accessed: 15 June 2022).</w:t>
      </w:r>
    </w:p>
    <w:p w14:paraId="73FD09C1" w14:textId="77777777" w:rsidR="003779D2" w:rsidRPr="003779D2" w:rsidRDefault="003779D2" w:rsidP="003779D2">
      <w:pPr>
        <w:rPr>
          <w:sz w:val="24"/>
          <w:szCs w:val="24"/>
        </w:rPr>
      </w:pPr>
      <w:r w:rsidRPr="003779D2">
        <w:rPr>
          <w:sz w:val="24"/>
          <w:szCs w:val="24"/>
        </w:rPr>
        <w:t>Abrahamson, D. 2021. Evidence-Based Policing: The Impact of Organisational Context and Leadership on Programmatic Adoption. In Enhancing Police Service Delivery (pp. 405-428).</w:t>
      </w:r>
    </w:p>
    <w:p w14:paraId="4D6C397B" w14:textId="77777777" w:rsidR="003779D2" w:rsidRPr="003779D2" w:rsidRDefault="003779D2" w:rsidP="003779D2">
      <w:pPr>
        <w:rPr>
          <w:sz w:val="24"/>
          <w:szCs w:val="24"/>
        </w:rPr>
      </w:pPr>
      <w:r w:rsidRPr="003779D2">
        <w:rPr>
          <w:sz w:val="24"/>
          <w:szCs w:val="24"/>
        </w:rPr>
        <w:t>Bertol, E. Di Milia, M.G. Fioravanti, A. Mari, F. Palumbo, D. Pascali, J.P. and Vaiano, F. 2018. Proactive drugs in DFSA cases: Toxicological findings in an eight-years study. Forensic science international, 291, pp.207-215.</w:t>
      </w:r>
    </w:p>
    <w:p w14:paraId="4BE61400" w14:textId="77777777" w:rsidR="003779D2" w:rsidRPr="003779D2" w:rsidRDefault="003779D2" w:rsidP="003779D2">
      <w:pPr>
        <w:rPr>
          <w:sz w:val="24"/>
          <w:szCs w:val="24"/>
        </w:rPr>
      </w:pPr>
      <w:r w:rsidRPr="003779D2">
        <w:rPr>
          <w:sz w:val="24"/>
          <w:szCs w:val="24"/>
        </w:rPr>
        <w:t>Bond-Fortier, B.J. and Nader, E.S. 2022. Testing the Effects of a Problem-Solving Policing Strategy on Crime Outcomes: The Promise of an Integrated Approach. Police Quarterly, p.10986111211060025.</w:t>
      </w:r>
    </w:p>
    <w:p w14:paraId="549A288E" w14:textId="77777777" w:rsidR="003779D2" w:rsidRPr="003779D2" w:rsidRDefault="003779D2" w:rsidP="003779D2">
      <w:pPr>
        <w:rPr>
          <w:sz w:val="24"/>
          <w:szCs w:val="24"/>
        </w:rPr>
      </w:pPr>
      <w:r w:rsidRPr="003779D2">
        <w:rPr>
          <w:sz w:val="24"/>
          <w:szCs w:val="24"/>
        </w:rPr>
        <w:t>Boulton, L. Phythian, R. Kirby, S. and Dawson, I. 2021. Taking an evidence-based approach to evidence-based policing research. Policing: A Journal of Policy and Practice, 15(2), pp.1290-1305.</w:t>
      </w:r>
    </w:p>
    <w:p w14:paraId="3912A049" w14:textId="77777777" w:rsidR="003779D2" w:rsidRPr="003779D2" w:rsidRDefault="003779D2" w:rsidP="003779D2">
      <w:pPr>
        <w:rPr>
          <w:sz w:val="24"/>
          <w:szCs w:val="24"/>
        </w:rPr>
      </w:pPr>
      <w:r w:rsidRPr="003779D2">
        <w:rPr>
          <w:sz w:val="24"/>
          <w:szCs w:val="24"/>
        </w:rPr>
        <w:t>Buil-Gil, D. Moretti, A. Shlomo, N. and Medina, J. 2020. Applying the spatial EBLUP to place-based policing. Simulation study and application to confidence in police work. Applied Spatial Analysis and Policy, 13(4), pp.901-924.</w:t>
      </w:r>
    </w:p>
    <w:p w14:paraId="1A9BDC0D" w14:textId="77777777" w:rsidR="003779D2" w:rsidRPr="003779D2" w:rsidRDefault="003779D2" w:rsidP="003779D2">
      <w:pPr>
        <w:rPr>
          <w:sz w:val="24"/>
          <w:szCs w:val="24"/>
        </w:rPr>
      </w:pPr>
      <w:r w:rsidRPr="003779D2">
        <w:rPr>
          <w:sz w:val="24"/>
          <w:szCs w:val="24"/>
        </w:rPr>
        <w:t>Bullock, K. Sidebottom, A. Armitage, R. Ashby, M.P. Clemmow, C. Kirby, S. Laycock, G. and Tilley, N. 2021. Forty years of problem-oriented policing: A review of progress in England and Wales. Policing: A Journal of Policy and Practice, 15(4), pp.2001-2014.</w:t>
      </w:r>
    </w:p>
    <w:p w14:paraId="685595CB" w14:textId="77777777" w:rsidR="003779D2" w:rsidRPr="003779D2" w:rsidRDefault="003779D2" w:rsidP="003779D2">
      <w:pPr>
        <w:rPr>
          <w:sz w:val="24"/>
          <w:szCs w:val="24"/>
        </w:rPr>
      </w:pPr>
      <w:r w:rsidRPr="003779D2">
        <w:rPr>
          <w:sz w:val="24"/>
          <w:szCs w:val="24"/>
        </w:rPr>
        <w:t>Hinkle, J.C. Weisburd, D. Telep, C.W. and Petersen, K. 2020. Problem‐oriented policing for reducing crime and disorder: An updated systematic review and meta‐analysis. Campbell systematic reviews, 16(2), p.e1089.</w:t>
      </w:r>
    </w:p>
    <w:p w14:paraId="366079FE" w14:textId="77777777" w:rsidR="003779D2" w:rsidRPr="003779D2" w:rsidRDefault="003779D2" w:rsidP="003779D2">
      <w:pPr>
        <w:rPr>
          <w:sz w:val="24"/>
          <w:szCs w:val="24"/>
        </w:rPr>
      </w:pPr>
      <w:r w:rsidRPr="003779D2">
        <w:rPr>
          <w:sz w:val="24"/>
          <w:szCs w:val="24"/>
        </w:rPr>
        <w:t>Huey, L. Kalyal, H. Peladeau, H. and Lindsay, F. 2021. ‘If You’re Gonna Make a Decision, You Should Understand the Rationale’: Are Police Leadership Programs Preparing Canadian Police Leaders for Evidence-Based Policing?. Policing: A Journal of Policy and Practice, 15(1), pp.197-207.</w:t>
      </w:r>
    </w:p>
    <w:p w14:paraId="2E34D8AC" w14:textId="77777777" w:rsidR="003779D2" w:rsidRPr="003779D2" w:rsidRDefault="003779D2" w:rsidP="003779D2">
      <w:pPr>
        <w:rPr>
          <w:sz w:val="24"/>
          <w:szCs w:val="24"/>
        </w:rPr>
      </w:pPr>
      <w:r w:rsidRPr="003779D2">
        <w:rPr>
          <w:sz w:val="24"/>
          <w:szCs w:val="24"/>
        </w:rPr>
        <w:t>Hughes, L.A. Schaible, L.M. and Kephart, T. 2021. Gang graffiti, group process, and gang violence. Journal of quantitative criminology, pp.1-20.</w:t>
      </w:r>
    </w:p>
    <w:p w14:paraId="3C68F854" w14:textId="77777777" w:rsidR="003779D2" w:rsidRPr="003779D2" w:rsidRDefault="003779D2" w:rsidP="003779D2">
      <w:pPr>
        <w:rPr>
          <w:sz w:val="24"/>
          <w:szCs w:val="24"/>
        </w:rPr>
      </w:pPr>
      <w:r w:rsidRPr="003779D2">
        <w:rPr>
          <w:sz w:val="24"/>
          <w:szCs w:val="24"/>
        </w:rPr>
        <w:t xml:space="preserve">Kassotis, C.D. Hoffman, K. Völker, J. Pu, Y. Veiga-Lopez, A. Kim, S.M. Schlezinger, J.J. Bovolin, P. Cottone, E. Saraceni, A. and Scandiffio, R. 2021. Reproducibility of adipogenic responses </w:t>
      </w:r>
      <w:r w:rsidRPr="003779D2">
        <w:rPr>
          <w:sz w:val="24"/>
          <w:szCs w:val="24"/>
        </w:rPr>
        <w:lastRenderedPageBreak/>
        <w:t>to metabolism disrupting chemicals in the 3T3-L1 pre-adipocyte model system: An interlaboratory study. Toxicology, 461, p.152900.</w:t>
      </w:r>
    </w:p>
    <w:p w14:paraId="220B910C" w14:textId="77777777" w:rsidR="003779D2" w:rsidRPr="003779D2" w:rsidRDefault="003779D2" w:rsidP="003779D2">
      <w:pPr>
        <w:rPr>
          <w:sz w:val="24"/>
          <w:szCs w:val="24"/>
        </w:rPr>
      </w:pPr>
      <w:r w:rsidRPr="003779D2">
        <w:rPr>
          <w:sz w:val="24"/>
          <w:szCs w:val="24"/>
        </w:rPr>
        <w:t>Mannocchi, G. Di Trana, A. Tini, A. Zaami, S. Gottardi, M. Pichini, S. and Busardò, F.P. 2020. Development and validation of fast UHPLC-MS/MS screening method for 87 NPS and 32 other drugs of abuse in hair and nails: application to real cases. Analytical and Bioanalytical Chemistry, 412(21), pp.5125-5145.</w:t>
      </w:r>
    </w:p>
    <w:p w14:paraId="30C84DBB" w14:textId="77777777" w:rsidR="003779D2" w:rsidRPr="003779D2" w:rsidRDefault="003779D2" w:rsidP="003779D2">
      <w:pPr>
        <w:rPr>
          <w:sz w:val="24"/>
          <w:szCs w:val="24"/>
        </w:rPr>
      </w:pPr>
      <w:r w:rsidRPr="003779D2">
        <w:rPr>
          <w:sz w:val="24"/>
          <w:szCs w:val="24"/>
        </w:rPr>
        <w:t>Pereira, A.R.P. Rosado, D.P. and Lopes, H.S.C. 2022. From the Traditional Police Model to Intelligence-Led Policing Model: Comparative Study. In Information and Knowledge in Internet of Things (pp. 457-473).</w:t>
      </w:r>
    </w:p>
    <w:p w14:paraId="0F5AC6A5" w14:textId="77777777" w:rsidR="003779D2" w:rsidRPr="003779D2" w:rsidRDefault="003779D2" w:rsidP="003779D2">
      <w:pPr>
        <w:rPr>
          <w:sz w:val="24"/>
          <w:szCs w:val="24"/>
        </w:rPr>
      </w:pPr>
      <w:r w:rsidRPr="003779D2">
        <w:rPr>
          <w:sz w:val="24"/>
          <w:szCs w:val="24"/>
        </w:rPr>
        <w:t>Piza, E.L. Szkola, J. and Blount-Hill, K.L. 2021. How can embedded criminologists, police pracademics, and crime analysts help increase police-led program evaluations? A survey of authors cited in the evidence-based policing matrix. Policing: A Journal of Policy and Practice, 15(2), pp.1217-1231.</w:t>
      </w:r>
    </w:p>
    <w:p w14:paraId="288354E6" w14:textId="77777777" w:rsidR="003779D2" w:rsidRPr="003779D2" w:rsidRDefault="003779D2" w:rsidP="003779D2">
      <w:pPr>
        <w:rPr>
          <w:sz w:val="24"/>
          <w:szCs w:val="24"/>
        </w:rPr>
      </w:pPr>
      <w:r w:rsidRPr="003779D2">
        <w:rPr>
          <w:sz w:val="24"/>
          <w:szCs w:val="24"/>
        </w:rPr>
        <w:t>Weisburd, D. Hinkle, J.C. and Telep, C. 2019. Updated protocol: The effects of problem‐oriented policing on crime and disorder: An updated systematic review. Campbell Systematic Reviews, 15(1-2).</w:t>
      </w:r>
    </w:p>
    <w:p w14:paraId="4AFA7863" w14:textId="1CEC9748" w:rsidR="003779D2" w:rsidRDefault="003779D2" w:rsidP="003779D2">
      <w:pPr>
        <w:rPr>
          <w:sz w:val="24"/>
          <w:szCs w:val="24"/>
        </w:rPr>
      </w:pPr>
      <w:r w:rsidRPr="003779D2">
        <w:rPr>
          <w:sz w:val="24"/>
          <w:szCs w:val="24"/>
        </w:rPr>
        <w:t>Wolff, K.T. Baglivio, M.T. Klein, H.J. Piquero, A.R. DeLisi, M. and Howell, J.C. 2020. Adverse childhood experiences (ACEs) and gang involvement among juvenile offenders: Assessing the mediation effects of substance use and temperament deficits. Youth violence and juvenile justice, 18(1), pp.24-53.</w:t>
      </w:r>
    </w:p>
    <w:p w14:paraId="6E90A702" w14:textId="513EF4D4" w:rsidR="00876D09" w:rsidRPr="00876D09" w:rsidRDefault="00876D09" w:rsidP="00876D09">
      <w:pPr>
        <w:rPr>
          <w:sz w:val="24"/>
          <w:szCs w:val="24"/>
        </w:rPr>
      </w:pPr>
      <w:r w:rsidRPr="00876D09">
        <w:rPr>
          <w:sz w:val="24"/>
          <w:szCs w:val="24"/>
        </w:rPr>
        <w:t>The Open University (2015) Quick guide to Harvard referencing (Cite Them Right) Available at: https://www.open.ac.uk/library/help-and-support/quick-guide-to-harvard-referencing-cite-them-right. (Accessed 17/06/2022)</w:t>
      </w:r>
    </w:p>
    <w:p w14:paraId="3B746D63" w14:textId="2510A401" w:rsidR="00876D09" w:rsidRPr="003779D2" w:rsidRDefault="00876D09" w:rsidP="00876D09">
      <w:pPr>
        <w:rPr>
          <w:sz w:val="24"/>
          <w:szCs w:val="24"/>
        </w:rPr>
      </w:pPr>
      <w:r w:rsidRPr="00876D09">
        <w:rPr>
          <w:sz w:val="24"/>
          <w:szCs w:val="24"/>
        </w:rPr>
        <w:t>The University of Kent (2009) A Very Quick Guide to Turnitin. Available at: https://www.kent.ac.uk/ai/staff/usingturnitin/Turnitin_Moodle_15MAY09.pdf. (Access date: 17/06/2022)</w:t>
      </w:r>
    </w:p>
    <w:p w14:paraId="39BAC219" w14:textId="77777777" w:rsidR="00E858DC" w:rsidRDefault="00E858DC" w:rsidP="006A236C"/>
    <w:sectPr w:rsidR="00E85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36C"/>
    <w:rsid w:val="0002667D"/>
    <w:rsid w:val="001321E1"/>
    <w:rsid w:val="00144123"/>
    <w:rsid w:val="001637C0"/>
    <w:rsid w:val="001D210A"/>
    <w:rsid w:val="002B617C"/>
    <w:rsid w:val="002E33F6"/>
    <w:rsid w:val="003779D2"/>
    <w:rsid w:val="003F2619"/>
    <w:rsid w:val="004374B2"/>
    <w:rsid w:val="004C7AE2"/>
    <w:rsid w:val="004D0FB7"/>
    <w:rsid w:val="00582D9A"/>
    <w:rsid w:val="005A2DF1"/>
    <w:rsid w:val="006450F9"/>
    <w:rsid w:val="006A236C"/>
    <w:rsid w:val="006A71B3"/>
    <w:rsid w:val="00766C9D"/>
    <w:rsid w:val="007C2843"/>
    <w:rsid w:val="00871D2D"/>
    <w:rsid w:val="00876D09"/>
    <w:rsid w:val="009035C4"/>
    <w:rsid w:val="00951F37"/>
    <w:rsid w:val="0099507E"/>
    <w:rsid w:val="009A1EBA"/>
    <w:rsid w:val="00A4463B"/>
    <w:rsid w:val="00AA2AA2"/>
    <w:rsid w:val="00AE18AF"/>
    <w:rsid w:val="00B021D4"/>
    <w:rsid w:val="00B3479A"/>
    <w:rsid w:val="00C00FBA"/>
    <w:rsid w:val="00C3601D"/>
    <w:rsid w:val="00C56BD1"/>
    <w:rsid w:val="00D17FD2"/>
    <w:rsid w:val="00D66654"/>
    <w:rsid w:val="00DC7DE3"/>
    <w:rsid w:val="00E0129F"/>
    <w:rsid w:val="00E106F9"/>
    <w:rsid w:val="00E4101B"/>
    <w:rsid w:val="00E858DC"/>
    <w:rsid w:val="00EE198A"/>
    <w:rsid w:val="00F12056"/>
    <w:rsid w:val="00F5087B"/>
    <w:rsid w:val="00FD07E1"/>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D2079"/>
  <w15:chartTrackingRefBased/>
  <w15:docId w15:val="{559245C9-C1BA-4F77-8E66-8C54F519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36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D210A"/>
    <w:pPr>
      <w:spacing w:line="240" w:lineRule="auto"/>
    </w:pPr>
    <w:rPr>
      <w:b/>
      <w:bCs/>
      <w:color w:val="4472C4" w:themeColor="accent1"/>
      <w:sz w:val="18"/>
      <w:szCs w:val="18"/>
    </w:rPr>
  </w:style>
  <w:style w:type="paragraph" w:styleId="NoSpacing">
    <w:name w:val="No Spacing"/>
    <w:link w:val="NoSpacingChar"/>
    <w:uiPriority w:val="1"/>
    <w:qFormat/>
    <w:rsid w:val="00FD07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07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tmp"/><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8</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dc:creator>
  <cp:keywords/>
  <dc:description/>
  <cp:lastModifiedBy>Amdadur masum</cp:lastModifiedBy>
  <cp:revision>22</cp:revision>
  <dcterms:created xsi:type="dcterms:W3CDTF">2022-06-14T23:26:00Z</dcterms:created>
  <dcterms:modified xsi:type="dcterms:W3CDTF">2022-06-17T20:36:00Z</dcterms:modified>
</cp:coreProperties>
</file>