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527F923" w14:textId="77777777" w:rsidR="0067498C" w:rsidRPr="0048483F" w:rsidRDefault="00C872FC" w:rsidP="00C872FC">
      <w:pPr>
        <w:spacing w:line="360" w:lineRule="auto"/>
        <w:jc w:val="center"/>
        <w:rPr>
          <w:rFonts w:ascii="Times New Roman" w:hAnsi="Times New Roman" w:cs="Times New Roman"/>
        </w:rPr>
      </w:pPr>
      <w:r w:rsidRPr="0048483F">
        <w:rPr>
          <w:noProof/>
        </w:rPr>
        <w:drawing>
          <wp:inline distT="0" distB="0" distL="0" distR="0" wp14:anchorId="4168D12D" wp14:editId="119BD290">
            <wp:extent cx="3855225" cy="2141220"/>
            <wp:effectExtent l="0" t="0" r="0" b="0"/>
            <wp:docPr id="98069959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59387" cy="2143532"/>
                    </a:xfrm>
                    <a:prstGeom prst="rect">
                      <a:avLst/>
                    </a:prstGeom>
                    <a:noFill/>
                    <a:ln>
                      <a:noFill/>
                    </a:ln>
                  </pic:spPr>
                </pic:pic>
              </a:graphicData>
            </a:graphic>
          </wp:inline>
        </w:drawing>
      </w:r>
    </w:p>
    <w:p w14:paraId="398D701C" w14:textId="77777777" w:rsidR="0067498C" w:rsidRPr="0048483F" w:rsidRDefault="00000000" w:rsidP="00C872FC">
      <w:pPr>
        <w:spacing w:line="360" w:lineRule="auto"/>
        <w:jc w:val="center"/>
        <w:rPr>
          <w:rFonts w:ascii="Times New Roman" w:hAnsi="Times New Roman" w:cs="Times New Roman"/>
        </w:rPr>
      </w:pPr>
      <w:r w:rsidRPr="0048483F">
        <w:rPr>
          <w:rFonts w:ascii="Times New Roman" w:hAnsi="Times New Roman" w:cs="Times New Roman"/>
          <w:b/>
          <w:bCs/>
        </w:rPr>
        <w:t>Module: Marketing Management</w:t>
      </w:r>
    </w:p>
    <w:p w14:paraId="0212A516" w14:textId="77777777" w:rsidR="0067498C" w:rsidRPr="0048483F" w:rsidRDefault="00000000" w:rsidP="00C872FC">
      <w:pPr>
        <w:spacing w:line="360" w:lineRule="auto"/>
        <w:jc w:val="center"/>
        <w:rPr>
          <w:rFonts w:ascii="Times New Roman" w:hAnsi="Times New Roman" w:cs="Times New Roman"/>
        </w:rPr>
      </w:pPr>
      <w:r w:rsidRPr="0048483F">
        <w:rPr>
          <w:rFonts w:ascii="Times New Roman" w:hAnsi="Times New Roman" w:cs="Times New Roman"/>
        </w:rPr>
        <w:t>Module Code: LCMB7024</w:t>
      </w:r>
    </w:p>
    <w:p w14:paraId="2053F856" w14:textId="77777777" w:rsidR="00C872FC" w:rsidRPr="0048483F" w:rsidRDefault="00C872FC" w:rsidP="00C872FC">
      <w:pPr>
        <w:spacing w:line="360" w:lineRule="auto"/>
        <w:jc w:val="center"/>
        <w:rPr>
          <w:rFonts w:ascii="Times New Roman" w:hAnsi="Times New Roman" w:cs="Times New Roman"/>
        </w:rPr>
      </w:pPr>
    </w:p>
    <w:p w14:paraId="506ACFB0" w14:textId="77777777" w:rsidR="0067498C" w:rsidRPr="0048483F" w:rsidRDefault="00000000" w:rsidP="00C872FC">
      <w:pPr>
        <w:spacing w:line="360" w:lineRule="auto"/>
        <w:jc w:val="center"/>
        <w:rPr>
          <w:rFonts w:ascii="Times New Roman" w:hAnsi="Times New Roman" w:cs="Times New Roman"/>
        </w:rPr>
      </w:pPr>
      <w:r w:rsidRPr="0048483F">
        <w:rPr>
          <w:rFonts w:ascii="Times New Roman" w:hAnsi="Times New Roman" w:cs="Times New Roman"/>
          <w:b/>
          <w:bCs/>
        </w:rPr>
        <w:t>Marketing Environment Analysis</w:t>
      </w:r>
    </w:p>
    <w:p w14:paraId="2CAE789E" w14:textId="77777777" w:rsidR="0067498C" w:rsidRPr="0048483F" w:rsidRDefault="00000000" w:rsidP="00C872FC">
      <w:pPr>
        <w:spacing w:line="360" w:lineRule="auto"/>
        <w:jc w:val="center"/>
        <w:rPr>
          <w:rFonts w:ascii="Times New Roman" w:hAnsi="Times New Roman" w:cs="Times New Roman"/>
        </w:rPr>
      </w:pPr>
      <w:r w:rsidRPr="0048483F">
        <w:rPr>
          <w:rFonts w:ascii="Times New Roman" w:hAnsi="Times New Roman" w:cs="Times New Roman"/>
        </w:rPr>
        <w:t>A Marketing Environment Analysis and Strategic Growth Evaluation of Tata Steel’s Transition Towards Lower-Carbon Products</w:t>
      </w:r>
    </w:p>
    <w:p w14:paraId="3C560B88" w14:textId="77777777" w:rsidR="0067498C" w:rsidRPr="0048483F" w:rsidRDefault="00000000" w:rsidP="00C872FC">
      <w:pPr>
        <w:spacing w:line="360" w:lineRule="auto"/>
        <w:jc w:val="center"/>
        <w:rPr>
          <w:rFonts w:ascii="Times New Roman" w:hAnsi="Times New Roman" w:cs="Times New Roman"/>
        </w:rPr>
      </w:pPr>
      <w:r w:rsidRPr="0048483F">
        <w:rPr>
          <w:rFonts w:ascii="Times New Roman" w:hAnsi="Times New Roman" w:cs="Times New Roman"/>
        </w:rPr>
        <w:t>(Component 1 – Individual Report)</w:t>
      </w:r>
    </w:p>
    <w:p w14:paraId="4C053AD8" w14:textId="77777777" w:rsidR="00C872FC" w:rsidRPr="0048483F" w:rsidRDefault="00C872FC" w:rsidP="00C872FC">
      <w:pPr>
        <w:spacing w:line="360" w:lineRule="auto"/>
        <w:jc w:val="center"/>
        <w:rPr>
          <w:rFonts w:ascii="Times New Roman" w:hAnsi="Times New Roman" w:cs="Times New Roman"/>
        </w:rPr>
      </w:pPr>
    </w:p>
    <w:p w14:paraId="7FAF5385" w14:textId="5DDABC5D" w:rsidR="0067498C" w:rsidRPr="0048483F" w:rsidRDefault="00000000" w:rsidP="00C872FC">
      <w:pPr>
        <w:spacing w:line="360" w:lineRule="auto"/>
        <w:jc w:val="center"/>
        <w:rPr>
          <w:rFonts w:ascii="Times New Roman" w:hAnsi="Times New Roman" w:cs="Times New Roman"/>
        </w:rPr>
      </w:pPr>
      <w:r w:rsidRPr="0048483F">
        <w:rPr>
          <w:rFonts w:ascii="Times New Roman" w:hAnsi="Times New Roman" w:cs="Times New Roman"/>
          <w:b/>
          <w:bCs/>
        </w:rPr>
        <w:t xml:space="preserve">Student Name: </w:t>
      </w:r>
      <w:proofErr w:type="spellStart"/>
      <w:r w:rsidR="00510C94">
        <w:rPr>
          <w:rFonts w:ascii="Times New Roman" w:hAnsi="Times New Roman" w:cs="Times New Roman"/>
        </w:rPr>
        <w:t>Vasukumar</w:t>
      </w:r>
      <w:proofErr w:type="spellEnd"/>
      <w:r w:rsidR="00510C94">
        <w:rPr>
          <w:rFonts w:ascii="Times New Roman" w:hAnsi="Times New Roman" w:cs="Times New Roman"/>
        </w:rPr>
        <w:t xml:space="preserve"> </w:t>
      </w:r>
      <w:proofErr w:type="spellStart"/>
      <w:r w:rsidR="00510C94">
        <w:rPr>
          <w:rFonts w:ascii="Times New Roman" w:hAnsi="Times New Roman" w:cs="Times New Roman"/>
        </w:rPr>
        <w:t>jayeshbhai</w:t>
      </w:r>
      <w:proofErr w:type="spellEnd"/>
      <w:r w:rsidR="00510C94">
        <w:rPr>
          <w:rFonts w:ascii="Times New Roman" w:hAnsi="Times New Roman" w:cs="Times New Roman"/>
        </w:rPr>
        <w:t xml:space="preserve"> Patel </w:t>
      </w:r>
    </w:p>
    <w:p w14:paraId="04241A78" w14:textId="143B9486" w:rsidR="0067498C" w:rsidRPr="00963DB6" w:rsidRDefault="00000000" w:rsidP="00C872FC">
      <w:pPr>
        <w:spacing w:line="360" w:lineRule="auto"/>
        <w:jc w:val="center"/>
        <w:rPr>
          <w:rFonts w:ascii="Times New Roman" w:hAnsi="Times New Roman" w:cs="Times New Roman"/>
        </w:rPr>
      </w:pPr>
      <w:r w:rsidRPr="0048483F">
        <w:rPr>
          <w:rFonts w:ascii="Times New Roman" w:hAnsi="Times New Roman" w:cs="Times New Roman"/>
          <w:b/>
          <w:bCs/>
        </w:rPr>
        <w:t>Student ID Number:</w:t>
      </w:r>
      <w:r w:rsidR="004F7EAE">
        <w:rPr>
          <w:rFonts w:ascii="Times New Roman" w:hAnsi="Times New Roman" w:cs="Times New Roman"/>
          <w:b/>
          <w:bCs/>
        </w:rPr>
        <w:t xml:space="preserve"> </w:t>
      </w:r>
      <w:r w:rsidR="00963DB6">
        <w:rPr>
          <w:rFonts w:ascii="Times New Roman" w:hAnsi="Times New Roman" w:cs="Times New Roman"/>
        </w:rPr>
        <w:t>25</w:t>
      </w:r>
      <w:r w:rsidR="000A70A6">
        <w:rPr>
          <w:rFonts w:ascii="Times New Roman" w:hAnsi="Times New Roman" w:cs="Times New Roman"/>
        </w:rPr>
        <w:t>366</w:t>
      </w:r>
      <w:r w:rsidR="00192AAA">
        <w:rPr>
          <w:rFonts w:ascii="Times New Roman" w:hAnsi="Times New Roman" w:cs="Times New Roman"/>
        </w:rPr>
        <w:t>74</w:t>
      </w:r>
    </w:p>
    <w:p w14:paraId="78181886" w14:textId="77777777" w:rsidR="0067498C" w:rsidRPr="0048483F" w:rsidRDefault="00000000" w:rsidP="00C872FC">
      <w:pPr>
        <w:spacing w:line="360" w:lineRule="auto"/>
        <w:jc w:val="center"/>
        <w:rPr>
          <w:rFonts w:ascii="Times New Roman" w:hAnsi="Times New Roman" w:cs="Times New Roman"/>
        </w:rPr>
      </w:pPr>
      <w:r w:rsidRPr="0048483F">
        <w:rPr>
          <w:rFonts w:ascii="Times New Roman" w:hAnsi="Times New Roman" w:cs="Times New Roman"/>
          <w:b/>
          <w:bCs/>
        </w:rPr>
        <w:t xml:space="preserve">Lecturer: </w:t>
      </w:r>
      <w:r w:rsidRPr="0048483F">
        <w:rPr>
          <w:rFonts w:ascii="Times New Roman" w:hAnsi="Times New Roman" w:cs="Times New Roman"/>
        </w:rPr>
        <w:t>Laila Maazouz / Taonga Kaonga Sobere-Snithers</w:t>
      </w:r>
    </w:p>
    <w:p w14:paraId="4F71CFF4" w14:textId="77777777" w:rsidR="00C872FC" w:rsidRPr="0048483F" w:rsidRDefault="00C872FC" w:rsidP="00C872FC">
      <w:pPr>
        <w:spacing w:line="360" w:lineRule="auto"/>
        <w:jc w:val="center"/>
        <w:rPr>
          <w:rFonts w:ascii="Times New Roman" w:hAnsi="Times New Roman" w:cs="Times New Roman"/>
        </w:rPr>
      </w:pPr>
    </w:p>
    <w:p w14:paraId="5C43A678" w14:textId="77777777" w:rsidR="0067498C" w:rsidRPr="0048483F" w:rsidRDefault="00000000" w:rsidP="00C872FC">
      <w:pPr>
        <w:spacing w:line="360" w:lineRule="auto"/>
        <w:jc w:val="center"/>
        <w:rPr>
          <w:rFonts w:ascii="Times New Roman" w:hAnsi="Times New Roman" w:cs="Times New Roman"/>
        </w:rPr>
      </w:pPr>
      <w:r w:rsidRPr="0048483F">
        <w:rPr>
          <w:rFonts w:ascii="Times New Roman" w:hAnsi="Times New Roman" w:cs="Times New Roman"/>
          <w:b/>
          <w:bCs/>
        </w:rPr>
        <w:t xml:space="preserve">Word Count: </w:t>
      </w:r>
      <w:r w:rsidRPr="0048483F">
        <w:rPr>
          <w:rFonts w:ascii="Times New Roman" w:hAnsi="Times New Roman" w:cs="Times New Roman"/>
        </w:rPr>
        <w:t>3,248 words (excluding title page, contents, tables, figure captions and references)</w:t>
      </w:r>
    </w:p>
    <w:p w14:paraId="2A5639D7" w14:textId="77777777" w:rsidR="0067498C" w:rsidRPr="0048483F" w:rsidRDefault="00000000" w:rsidP="00C872FC">
      <w:pPr>
        <w:spacing w:line="360" w:lineRule="auto"/>
        <w:jc w:val="center"/>
        <w:rPr>
          <w:rFonts w:ascii="Times New Roman" w:hAnsi="Times New Roman" w:cs="Times New Roman"/>
        </w:rPr>
      </w:pPr>
      <w:r w:rsidRPr="0048483F">
        <w:rPr>
          <w:rFonts w:ascii="Times New Roman" w:hAnsi="Times New Roman" w:cs="Times New Roman"/>
          <w:b/>
          <w:bCs/>
        </w:rPr>
        <w:t xml:space="preserve">Submission Date: </w:t>
      </w:r>
      <w:r w:rsidRPr="0048483F">
        <w:rPr>
          <w:rFonts w:ascii="Times New Roman" w:hAnsi="Times New Roman" w:cs="Times New Roman"/>
        </w:rPr>
        <w:t>24 July 2026</w:t>
      </w:r>
    </w:p>
    <w:p w14:paraId="48F5A454" w14:textId="77777777" w:rsidR="0067498C" w:rsidRPr="0048483F" w:rsidRDefault="00000000" w:rsidP="00C872FC">
      <w:pPr>
        <w:spacing w:line="360" w:lineRule="auto"/>
        <w:jc w:val="center"/>
        <w:rPr>
          <w:rFonts w:ascii="Times New Roman" w:hAnsi="Times New Roman" w:cs="Times New Roman"/>
        </w:rPr>
      </w:pPr>
      <w:r w:rsidRPr="0048483F">
        <w:rPr>
          <w:rFonts w:ascii="Times New Roman" w:hAnsi="Times New Roman" w:cs="Times New Roman"/>
        </w:rPr>
        <w:br w:type="page"/>
      </w:r>
    </w:p>
    <w:p w14:paraId="12ADFF56" w14:textId="77777777" w:rsidR="0067498C" w:rsidRPr="0048483F" w:rsidRDefault="0067498C" w:rsidP="00C970ED">
      <w:pPr>
        <w:spacing w:line="360" w:lineRule="auto"/>
        <w:jc w:val="both"/>
        <w:rPr>
          <w:rFonts w:ascii="Times New Roman" w:hAnsi="Times New Roman" w:cs="Times New Roman"/>
        </w:rPr>
        <w:sectPr w:rsidR="0067498C" w:rsidRPr="0048483F" w:rsidSect="00C872FC">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20"/>
          <w:docGrid w:linePitch="360"/>
        </w:sectPr>
      </w:pPr>
    </w:p>
    <w:sdt>
      <w:sdtPr>
        <w:rPr>
          <w:rFonts w:ascii="Arial" w:eastAsia="Arial" w:hAnsi="Arial" w:cs="Arial"/>
          <w:color w:val="auto"/>
          <w:sz w:val="24"/>
          <w:szCs w:val="24"/>
        </w:rPr>
        <w:id w:val="620265311"/>
        <w:docPartObj>
          <w:docPartGallery w:val="Table of Contents"/>
          <w:docPartUnique/>
        </w:docPartObj>
      </w:sdtPr>
      <w:sdtEndPr>
        <w:rPr>
          <w:rFonts w:ascii="Times New Roman" w:hAnsi="Times New Roman" w:cs="Times New Roman"/>
          <w:b/>
          <w:bCs/>
          <w:noProof/>
        </w:rPr>
      </w:sdtEndPr>
      <w:sdtContent>
        <w:p w14:paraId="38295165" w14:textId="77777777" w:rsidR="00C872FC" w:rsidRPr="0048483F" w:rsidRDefault="00C872FC" w:rsidP="00C872FC">
          <w:pPr>
            <w:pStyle w:val="TOCHeading"/>
            <w:jc w:val="center"/>
            <w:rPr>
              <w:rFonts w:ascii="Times New Roman" w:hAnsi="Times New Roman" w:cs="Times New Roman"/>
              <w:b/>
              <w:bCs/>
              <w:color w:val="auto"/>
              <w:sz w:val="28"/>
              <w:szCs w:val="28"/>
            </w:rPr>
          </w:pPr>
          <w:r w:rsidRPr="0048483F">
            <w:rPr>
              <w:rFonts w:ascii="Times New Roman" w:hAnsi="Times New Roman" w:cs="Times New Roman"/>
              <w:b/>
              <w:bCs/>
              <w:color w:val="auto"/>
              <w:sz w:val="28"/>
              <w:szCs w:val="28"/>
            </w:rPr>
            <w:t>Table of Contents</w:t>
          </w:r>
        </w:p>
        <w:p w14:paraId="6082A1BB" w14:textId="50130827" w:rsidR="0048483F" w:rsidRPr="0048483F" w:rsidRDefault="00C872FC" w:rsidP="0048483F">
          <w:pPr>
            <w:pStyle w:val="TOC1"/>
            <w:tabs>
              <w:tab w:val="left" w:pos="480"/>
              <w:tab w:val="right" w:leader="dot" w:pos="9016"/>
            </w:tabs>
            <w:spacing w:line="360" w:lineRule="auto"/>
            <w:rPr>
              <w:rFonts w:ascii="Times New Roman" w:eastAsiaTheme="minorEastAsia" w:hAnsi="Times New Roman" w:cs="Times New Roman"/>
              <w:noProof/>
              <w:kern w:val="2"/>
              <w14:ligatures w14:val="standardContextual"/>
            </w:rPr>
          </w:pPr>
          <w:r w:rsidRPr="0048483F">
            <w:rPr>
              <w:rFonts w:ascii="Times New Roman" w:hAnsi="Times New Roman" w:cs="Times New Roman"/>
            </w:rPr>
            <w:fldChar w:fldCharType="begin"/>
          </w:r>
          <w:r w:rsidRPr="0048483F">
            <w:rPr>
              <w:rFonts w:ascii="Times New Roman" w:hAnsi="Times New Roman" w:cs="Times New Roman"/>
            </w:rPr>
            <w:instrText xml:space="preserve"> TOC \o "1-3" \h \z \u </w:instrText>
          </w:r>
          <w:r w:rsidRPr="0048483F">
            <w:rPr>
              <w:rFonts w:ascii="Times New Roman" w:hAnsi="Times New Roman" w:cs="Times New Roman"/>
            </w:rPr>
            <w:fldChar w:fldCharType="separate"/>
          </w:r>
          <w:hyperlink w:anchor="_Toc236257108" w:history="1">
            <w:r w:rsidR="0048483F" w:rsidRPr="0048483F">
              <w:rPr>
                <w:rStyle w:val="Hyperlink"/>
                <w:rFonts w:ascii="Times New Roman" w:hAnsi="Times New Roman" w:cs="Times New Roman"/>
                <w:noProof/>
              </w:rPr>
              <w:t>1</w:t>
            </w:r>
            <w:r w:rsidR="0048483F" w:rsidRPr="0048483F">
              <w:rPr>
                <w:rFonts w:ascii="Times New Roman" w:eastAsiaTheme="minorEastAsia" w:hAnsi="Times New Roman" w:cs="Times New Roman"/>
                <w:noProof/>
                <w:kern w:val="2"/>
                <w14:ligatures w14:val="standardContextual"/>
              </w:rPr>
              <w:tab/>
            </w:r>
            <w:r w:rsidR="0048483F" w:rsidRPr="0048483F">
              <w:rPr>
                <w:rStyle w:val="Hyperlink"/>
                <w:rFonts w:ascii="Times New Roman" w:hAnsi="Times New Roman" w:cs="Times New Roman"/>
                <w:noProof/>
              </w:rPr>
              <w:t>Introduction</w:t>
            </w:r>
            <w:r w:rsidR="0048483F" w:rsidRPr="0048483F">
              <w:rPr>
                <w:rFonts w:ascii="Times New Roman" w:hAnsi="Times New Roman" w:cs="Times New Roman"/>
                <w:noProof/>
                <w:webHidden/>
              </w:rPr>
              <w:tab/>
            </w:r>
            <w:r w:rsidR="0048483F" w:rsidRPr="0048483F">
              <w:rPr>
                <w:rFonts w:ascii="Times New Roman" w:hAnsi="Times New Roman" w:cs="Times New Roman"/>
                <w:noProof/>
                <w:webHidden/>
              </w:rPr>
              <w:fldChar w:fldCharType="begin"/>
            </w:r>
            <w:r w:rsidR="0048483F" w:rsidRPr="0048483F">
              <w:rPr>
                <w:rFonts w:ascii="Times New Roman" w:hAnsi="Times New Roman" w:cs="Times New Roman"/>
                <w:noProof/>
                <w:webHidden/>
              </w:rPr>
              <w:instrText xml:space="preserve"> PAGEREF _Toc236257108 \h </w:instrText>
            </w:r>
            <w:r w:rsidR="0048483F" w:rsidRPr="0048483F">
              <w:rPr>
                <w:rFonts w:ascii="Times New Roman" w:hAnsi="Times New Roman" w:cs="Times New Roman"/>
                <w:noProof/>
                <w:webHidden/>
              </w:rPr>
            </w:r>
            <w:r w:rsidR="0048483F" w:rsidRPr="0048483F">
              <w:rPr>
                <w:rFonts w:ascii="Times New Roman" w:hAnsi="Times New Roman" w:cs="Times New Roman"/>
                <w:noProof/>
                <w:webHidden/>
              </w:rPr>
              <w:fldChar w:fldCharType="separate"/>
            </w:r>
            <w:r w:rsidR="0048483F" w:rsidRPr="0048483F">
              <w:rPr>
                <w:rFonts w:ascii="Times New Roman" w:hAnsi="Times New Roman" w:cs="Times New Roman"/>
                <w:noProof/>
                <w:webHidden/>
              </w:rPr>
              <w:t>3</w:t>
            </w:r>
            <w:r w:rsidR="0048483F" w:rsidRPr="0048483F">
              <w:rPr>
                <w:rFonts w:ascii="Times New Roman" w:hAnsi="Times New Roman" w:cs="Times New Roman"/>
                <w:noProof/>
                <w:webHidden/>
              </w:rPr>
              <w:fldChar w:fldCharType="end"/>
            </w:r>
          </w:hyperlink>
        </w:p>
        <w:p w14:paraId="0E835D3A" w14:textId="1A149C4D" w:rsidR="0048483F" w:rsidRPr="0048483F" w:rsidRDefault="0048483F" w:rsidP="0048483F">
          <w:pPr>
            <w:pStyle w:val="TOC1"/>
            <w:tabs>
              <w:tab w:val="left" w:pos="480"/>
              <w:tab w:val="right" w:leader="dot" w:pos="9016"/>
            </w:tabs>
            <w:spacing w:line="360" w:lineRule="auto"/>
            <w:rPr>
              <w:rFonts w:ascii="Times New Roman" w:eastAsiaTheme="minorEastAsia" w:hAnsi="Times New Roman" w:cs="Times New Roman"/>
              <w:noProof/>
              <w:kern w:val="2"/>
              <w14:ligatures w14:val="standardContextual"/>
            </w:rPr>
          </w:pPr>
          <w:hyperlink w:anchor="_Toc236257109" w:history="1">
            <w:r w:rsidRPr="0048483F">
              <w:rPr>
                <w:rStyle w:val="Hyperlink"/>
                <w:rFonts w:ascii="Times New Roman" w:hAnsi="Times New Roman" w:cs="Times New Roman"/>
                <w:noProof/>
              </w:rPr>
              <w:t>2</w:t>
            </w:r>
            <w:r w:rsidRPr="0048483F">
              <w:rPr>
                <w:rFonts w:ascii="Times New Roman" w:eastAsiaTheme="minorEastAsia" w:hAnsi="Times New Roman" w:cs="Times New Roman"/>
                <w:noProof/>
                <w:kern w:val="2"/>
                <w14:ligatures w14:val="standardContextual"/>
              </w:rPr>
              <w:tab/>
            </w:r>
            <w:r w:rsidRPr="0048483F">
              <w:rPr>
                <w:rStyle w:val="Hyperlink"/>
                <w:rFonts w:ascii="Times New Roman" w:hAnsi="Times New Roman" w:cs="Times New Roman"/>
                <w:noProof/>
              </w:rPr>
              <w:t>Task 1: Marketing Environment Analysis</w:t>
            </w:r>
            <w:r w:rsidRPr="0048483F">
              <w:rPr>
                <w:rFonts w:ascii="Times New Roman" w:hAnsi="Times New Roman" w:cs="Times New Roman"/>
                <w:noProof/>
                <w:webHidden/>
              </w:rPr>
              <w:tab/>
            </w:r>
            <w:r w:rsidRPr="0048483F">
              <w:rPr>
                <w:rFonts w:ascii="Times New Roman" w:hAnsi="Times New Roman" w:cs="Times New Roman"/>
                <w:noProof/>
                <w:webHidden/>
              </w:rPr>
              <w:fldChar w:fldCharType="begin"/>
            </w:r>
            <w:r w:rsidRPr="0048483F">
              <w:rPr>
                <w:rFonts w:ascii="Times New Roman" w:hAnsi="Times New Roman" w:cs="Times New Roman"/>
                <w:noProof/>
                <w:webHidden/>
              </w:rPr>
              <w:instrText xml:space="preserve"> PAGEREF _Toc236257109 \h </w:instrText>
            </w:r>
            <w:r w:rsidRPr="0048483F">
              <w:rPr>
                <w:rFonts w:ascii="Times New Roman" w:hAnsi="Times New Roman" w:cs="Times New Roman"/>
                <w:noProof/>
                <w:webHidden/>
              </w:rPr>
            </w:r>
            <w:r w:rsidRPr="0048483F">
              <w:rPr>
                <w:rFonts w:ascii="Times New Roman" w:hAnsi="Times New Roman" w:cs="Times New Roman"/>
                <w:noProof/>
                <w:webHidden/>
              </w:rPr>
              <w:fldChar w:fldCharType="separate"/>
            </w:r>
            <w:r w:rsidRPr="0048483F">
              <w:rPr>
                <w:rFonts w:ascii="Times New Roman" w:hAnsi="Times New Roman" w:cs="Times New Roman"/>
                <w:noProof/>
                <w:webHidden/>
              </w:rPr>
              <w:t>3</w:t>
            </w:r>
            <w:r w:rsidRPr="0048483F">
              <w:rPr>
                <w:rFonts w:ascii="Times New Roman" w:hAnsi="Times New Roman" w:cs="Times New Roman"/>
                <w:noProof/>
                <w:webHidden/>
              </w:rPr>
              <w:fldChar w:fldCharType="end"/>
            </w:r>
          </w:hyperlink>
        </w:p>
        <w:p w14:paraId="609C28D3" w14:textId="2096FAFD" w:rsidR="0048483F" w:rsidRPr="0048483F" w:rsidRDefault="0048483F" w:rsidP="0048483F">
          <w:pPr>
            <w:pStyle w:val="TOC2"/>
            <w:tabs>
              <w:tab w:val="left" w:pos="960"/>
              <w:tab w:val="right" w:leader="dot" w:pos="9016"/>
            </w:tabs>
            <w:spacing w:line="360" w:lineRule="auto"/>
            <w:rPr>
              <w:rFonts w:ascii="Times New Roman" w:eastAsiaTheme="minorEastAsia" w:hAnsi="Times New Roman" w:cs="Times New Roman"/>
              <w:noProof/>
              <w:kern w:val="2"/>
              <w14:ligatures w14:val="standardContextual"/>
            </w:rPr>
          </w:pPr>
          <w:hyperlink w:anchor="_Toc236257110" w:history="1">
            <w:r w:rsidRPr="0048483F">
              <w:rPr>
                <w:rStyle w:val="Hyperlink"/>
                <w:rFonts w:ascii="Times New Roman" w:hAnsi="Times New Roman" w:cs="Times New Roman"/>
                <w:noProof/>
              </w:rPr>
              <w:t>2.1</w:t>
            </w:r>
            <w:r w:rsidRPr="0048483F">
              <w:rPr>
                <w:rFonts w:ascii="Times New Roman" w:eastAsiaTheme="minorEastAsia" w:hAnsi="Times New Roman" w:cs="Times New Roman"/>
                <w:noProof/>
                <w:kern w:val="2"/>
                <w14:ligatures w14:val="standardContextual"/>
              </w:rPr>
              <w:tab/>
            </w:r>
            <w:r w:rsidRPr="0048483F">
              <w:rPr>
                <w:rStyle w:val="Hyperlink"/>
                <w:rFonts w:ascii="Times New Roman" w:hAnsi="Times New Roman" w:cs="Times New Roman"/>
                <w:noProof/>
              </w:rPr>
              <w:t>Natural environment (Primary actor)</w:t>
            </w:r>
            <w:r w:rsidRPr="0048483F">
              <w:rPr>
                <w:rFonts w:ascii="Times New Roman" w:hAnsi="Times New Roman" w:cs="Times New Roman"/>
                <w:noProof/>
                <w:webHidden/>
              </w:rPr>
              <w:tab/>
            </w:r>
            <w:r w:rsidRPr="0048483F">
              <w:rPr>
                <w:rFonts w:ascii="Times New Roman" w:hAnsi="Times New Roman" w:cs="Times New Roman"/>
                <w:noProof/>
                <w:webHidden/>
              </w:rPr>
              <w:fldChar w:fldCharType="begin"/>
            </w:r>
            <w:r w:rsidRPr="0048483F">
              <w:rPr>
                <w:rFonts w:ascii="Times New Roman" w:hAnsi="Times New Roman" w:cs="Times New Roman"/>
                <w:noProof/>
                <w:webHidden/>
              </w:rPr>
              <w:instrText xml:space="preserve"> PAGEREF _Toc236257110 \h </w:instrText>
            </w:r>
            <w:r w:rsidRPr="0048483F">
              <w:rPr>
                <w:rFonts w:ascii="Times New Roman" w:hAnsi="Times New Roman" w:cs="Times New Roman"/>
                <w:noProof/>
                <w:webHidden/>
              </w:rPr>
            </w:r>
            <w:r w:rsidRPr="0048483F">
              <w:rPr>
                <w:rFonts w:ascii="Times New Roman" w:hAnsi="Times New Roman" w:cs="Times New Roman"/>
                <w:noProof/>
                <w:webHidden/>
              </w:rPr>
              <w:fldChar w:fldCharType="separate"/>
            </w:r>
            <w:r w:rsidRPr="0048483F">
              <w:rPr>
                <w:rFonts w:ascii="Times New Roman" w:hAnsi="Times New Roman" w:cs="Times New Roman"/>
                <w:noProof/>
                <w:webHidden/>
              </w:rPr>
              <w:t>3</w:t>
            </w:r>
            <w:r w:rsidRPr="0048483F">
              <w:rPr>
                <w:rFonts w:ascii="Times New Roman" w:hAnsi="Times New Roman" w:cs="Times New Roman"/>
                <w:noProof/>
                <w:webHidden/>
              </w:rPr>
              <w:fldChar w:fldCharType="end"/>
            </w:r>
          </w:hyperlink>
        </w:p>
        <w:p w14:paraId="61D70DAD" w14:textId="135BF577" w:rsidR="0048483F" w:rsidRPr="0048483F" w:rsidRDefault="0048483F" w:rsidP="0048483F">
          <w:pPr>
            <w:pStyle w:val="TOC2"/>
            <w:tabs>
              <w:tab w:val="left" w:pos="960"/>
              <w:tab w:val="right" w:leader="dot" w:pos="9016"/>
            </w:tabs>
            <w:spacing w:line="360" w:lineRule="auto"/>
            <w:rPr>
              <w:rFonts w:ascii="Times New Roman" w:eastAsiaTheme="minorEastAsia" w:hAnsi="Times New Roman" w:cs="Times New Roman"/>
              <w:noProof/>
              <w:kern w:val="2"/>
              <w14:ligatures w14:val="standardContextual"/>
            </w:rPr>
          </w:pPr>
          <w:hyperlink w:anchor="_Toc236257111" w:history="1">
            <w:r w:rsidRPr="0048483F">
              <w:rPr>
                <w:rStyle w:val="Hyperlink"/>
                <w:rFonts w:ascii="Times New Roman" w:hAnsi="Times New Roman" w:cs="Times New Roman"/>
                <w:noProof/>
              </w:rPr>
              <w:t>2.2</w:t>
            </w:r>
            <w:r w:rsidRPr="0048483F">
              <w:rPr>
                <w:rFonts w:ascii="Times New Roman" w:eastAsiaTheme="minorEastAsia" w:hAnsi="Times New Roman" w:cs="Times New Roman"/>
                <w:noProof/>
                <w:kern w:val="2"/>
                <w14:ligatures w14:val="standardContextual"/>
              </w:rPr>
              <w:tab/>
            </w:r>
            <w:r w:rsidRPr="0048483F">
              <w:rPr>
                <w:rStyle w:val="Hyperlink"/>
                <w:rFonts w:ascii="Times New Roman" w:hAnsi="Times New Roman" w:cs="Times New Roman"/>
                <w:noProof/>
              </w:rPr>
              <w:t>Natural environment – opportunities and threats:</w:t>
            </w:r>
            <w:r w:rsidRPr="0048483F">
              <w:rPr>
                <w:rFonts w:ascii="Times New Roman" w:hAnsi="Times New Roman" w:cs="Times New Roman"/>
                <w:noProof/>
                <w:webHidden/>
              </w:rPr>
              <w:tab/>
            </w:r>
            <w:r w:rsidRPr="0048483F">
              <w:rPr>
                <w:rFonts w:ascii="Times New Roman" w:hAnsi="Times New Roman" w:cs="Times New Roman"/>
                <w:noProof/>
                <w:webHidden/>
              </w:rPr>
              <w:fldChar w:fldCharType="begin"/>
            </w:r>
            <w:r w:rsidRPr="0048483F">
              <w:rPr>
                <w:rFonts w:ascii="Times New Roman" w:hAnsi="Times New Roman" w:cs="Times New Roman"/>
                <w:noProof/>
                <w:webHidden/>
              </w:rPr>
              <w:instrText xml:space="preserve"> PAGEREF _Toc236257111 \h </w:instrText>
            </w:r>
            <w:r w:rsidRPr="0048483F">
              <w:rPr>
                <w:rFonts w:ascii="Times New Roman" w:hAnsi="Times New Roman" w:cs="Times New Roman"/>
                <w:noProof/>
                <w:webHidden/>
              </w:rPr>
            </w:r>
            <w:r w:rsidRPr="0048483F">
              <w:rPr>
                <w:rFonts w:ascii="Times New Roman" w:hAnsi="Times New Roman" w:cs="Times New Roman"/>
                <w:noProof/>
                <w:webHidden/>
              </w:rPr>
              <w:fldChar w:fldCharType="separate"/>
            </w:r>
            <w:r w:rsidRPr="0048483F">
              <w:rPr>
                <w:rFonts w:ascii="Times New Roman" w:hAnsi="Times New Roman" w:cs="Times New Roman"/>
                <w:noProof/>
                <w:webHidden/>
              </w:rPr>
              <w:t>5</w:t>
            </w:r>
            <w:r w:rsidRPr="0048483F">
              <w:rPr>
                <w:rFonts w:ascii="Times New Roman" w:hAnsi="Times New Roman" w:cs="Times New Roman"/>
                <w:noProof/>
                <w:webHidden/>
              </w:rPr>
              <w:fldChar w:fldCharType="end"/>
            </w:r>
          </w:hyperlink>
        </w:p>
        <w:p w14:paraId="12349CB0" w14:textId="637D48A4" w:rsidR="0048483F" w:rsidRPr="0048483F" w:rsidRDefault="0048483F" w:rsidP="0048483F">
          <w:pPr>
            <w:pStyle w:val="TOC2"/>
            <w:tabs>
              <w:tab w:val="left" w:pos="960"/>
              <w:tab w:val="right" w:leader="dot" w:pos="9016"/>
            </w:tabs>
            <w:spacing w:line="360" w:lineRule="auto"/>
            <w:rPr>
              <w:rFonts w:ascii="Times New Roman" w:eastAsiaTheme="minorEastAsia" w:hAnsi="Times New Roman" w:cs="Times New Roman"/>
              <w:noProof/>
              <w:kern w:val="2"/>
              <w14:ligatures w14:val="standardContextual"/>
            </w:rPr>
          </w:pPr>
          <w:hyperlink w:anchor="_Toc236257112" w:history="1">
            <w:r w:rsidRPr="0048483F">
              <w:rPr>
                <w:rStyle w:val="Hyperlink"/>
                <w:rFonts w:ascii="Times New Roman" w:hAnsi="Times New Roman" w:cs="Times New Roman"/>
                <w:noProof/>
              </w:rPr>
              <w:t>2.3</w:t>
            </w:r>
            <w:r w:rsidRPr="0048483F">
              <w:rPr>
                <w:rFonts w:ascii="Times New Roman" w:eastAsiaTheme="minorEastAsia" w:hAnsi="Times New Roman" w:cs="Times New Roman"/>
                <w:noProof/>
                <w:kern w:val="2"/>
                <w14:ligatures w14:val="standardContextual"/>
              </w:rPr>
              <w:tab/>
            </w:r>
            <w:r w:rsidRPr="0048483F">
              <w:rPr>
                <w:rStyle w:val="Hyperlink"/>
                <w:rFonts w:ascii="Times New Roman" w:hAnsi="Times New Roman" w:cs="Times New Roman"/>
                <w:noProof/>
              </w:rPr>
              <w:t>The political and legal environment (second actor)</w:t>
            </w:r>
            <w:r w:rsidRPr="0048483F">
              <w:rPr>
                <w:rFonts w:ascii="Times New Roman" w:hAnsi="Times New Roman" w:cs="Times New Roman"/>
                <w:noProof/>
                <w:webHidden/>
              </w:rPr>
              <w:tab/>
            </w:r>
            <w:r w:rsidRPr="0048483F">
              <w:rPr>
                <w:rFonts w:ascii="Times New Roman" w:hAnsi="Times New Roman" w:cs="Times New Roman"/>
                <w:noProof/>
                <w:webHidden/>
              </w:rPr>
              <w:fldChar w:fldCharType="begin"/>
            </w:r>
            <w:r w:rsidRPr="0048483F">
              <w:rPr>
                <w:rFonts w:ascii="Times New Roman" w:hAnsi="Times New Roman" w:cs="Times New Roman"/>
                <w:noProof/>
                <w:webHidden/>
              </w:rPr>
              <w:instrText xml:space="preserve"> PAGEREF _Toc236257112 \h </w:instrText>
            </w:r>
            <w:r w:rsidRPr="0048483F">
              <w:rPr>
                <w:rFonts w:ascii="Times New Roman" w:hAnsi="Times New Roman" w:cs="Times New Roman"/>
                <w:noProof/>
                <w:webHidden/>
              </w:rPr>
            </w:r>
            <w:r w:rsidRPr="0048483F">
              <w:rPr>
                <w:rFonts w:ascii="Times New Roman" w:hAnsi="Times New Roman" w:cs="Times New Roman"/>
                <w:noProof/>
                <w:webHidden/>
              </w:rPr>
              <w:fldChar w:fldCharType="separate"/>
            </w:r>
            <w:r w:rsidRPr="0048483F">
              <w:rPr>
                <w:rFonts w:ascii="Times New Roman" w:hAnsi="Times New Roman" w:cs="Times New Roman"/>
                <w:noProof/>
                <w:webHidden/>
              </w:rPr>
              <w:t>6</w:t>
            </w:r>
            <w:r w:rsidRPr="0048483F">
              <w:rPr>
                <w:rFonts w:ascii="Times New Roman" w:hAnsi="Times New Roman" w:cs="Times New Roman"/>
                <w:noProof/>
                <w:webHidden/>
              </w:rPr>
              <w:fldChar w:fldCharType="end"/>
            </w:r>
          </w:hyperlink>
        </w:p>
        <w:p w14:paraId="076BC290" w14:textId="5EEF3BEA" w:rsidR="0048483F" w:rsidRPr="0048483F" w:rsidRDefault="0048483F" w:rsidP="0048483F">
          <w:pPr>
            <w:pStyle w:val="TOC2"/>
            <w:tabs>
              <w:tab w:val="left" w:pos="960"/>
              <w:tab w:val="right" w:leader="dot" w:pos="9016"/>
            </w:tabs>
            <w:spacing w:line="360" w:lineRule="auto"/>
            <w:rPr>
              <w:rFonts w:ascii="Times New Roman" w:eastAsiaTheme="minorEastAsia" w:hAnsi="Times New Roman" w:cs="Times New Roman"/>
              <w:noProof/>
              <w:kern w:val="2"/>
              <w14:ligatures w14:val="standardContextual"/>
            </w:rPr>
          </w:pPr>
          <w:hyperlink w:anchor="_Toc236257113" w:history="1">
            <w:r w:rsidRPr="0048483F">
              <w:rPr>
                <w:rStyle w:val="Hyperlink"/>
                <w:rFonts w:ascii="Times New Roman" w:hAnsi="Times New Roman" w:cs="Times New Roman"/>
                <w:noProof/>
              </w:rPr>
              <w:t>2.4</w:t>
            </w:r>
            <w:r w:rsidRPr="0048483F">
              <w:rPr>
                <w:rFonts w:ascii="Times New Roman" w:eastAsiaTheme="minorEastAsia" w:hAnsi="Times New Roman" w:cs="Times New Roman"/>
                <w:noProof/>
                <w:kern w:val="2"/>
                <w14:ligatures w14:val="standardContextual"/>
              </w:rPr>
              <w:tab/>
            </w:r>
            <w:r w:rsidRPr="0048483F">
              <w:rPr>
                <w:rStyle w:val="Hyperlink"/>
                <w:rFonts w:ascii="Times New Roman" w:hAnsi="Times New Roman" w:cs="Times New Roman"/>
                <w:noProof/>
              </w:rPr>
              <w:t>Political and legal environment – opportunities and threats:</w:t>
            </w:r>
            <w:r w:rsidRPr="0048483F">
              <w:rPr>
                <w:rFonts w:ascii="Times New Roman" w:hAnsi="Times New Roman" w:cs="Times New Roman"/>
                <w:noProof/>
                <w:webHidden/>
              </w:rPr>
              <w:tab/>
            </w:r>
            <w:r w:rsidRPr="0048483F">
              <w:rPr>
                <w:rFonts w:ascii="Times New Roman" w:hAnsi="Times New Roman" w:cs="Times New Roman"/>
                <w:noProof/>
                <w:webHidden/>
              </w:rPr>
              <w:fldChar w:fldCharType="begin"/>
            </w:r>
            <w:r w:rsidRPr="0048483F">
              <w:rPr>
                <w:rFonts w:ascii="Times New Roman" w:hAnsi="Times New Roman" w:cs="Times New Roman"/>
                <w:noProof/>
                <w:webHidden/>
              </w:rPr>
              <w:instrText xml:space="preserve"> PAGEREF _Toc236257113 \h </w:instrText>
            </w:r>
            <w:r w:rsidRPr="0048483F">
              <w:rPr>
                <w:rFonts w:ascii="Times New Roman" w:hAnsi="Times New Roman" w:cs="Times New Roman"/>
                <w:noProof/>
                <w:webHidden/>
              </w:rPr>
            </w:r>
            <w:r w:rsidRPr="0048483F">
              <w:rPr>
                <w:rFonts w:ascii="Times New Roman" w:hAnsi="Times New Roman" w:cs="Times New Roman"/>
                <w:noProof/>
                <w:webHidden/>
              </w:rPr>
              <w:fldChar w:fldCharType="separate"/>
            </w:r>
            <w:r w:rsidRPr="0048483F">
              <w:rPr>
                <w:rFonts w:ascii="Times New Roman" w:hAnsi="Times New Roman" w:cs="Times New Roman"/>
                <w:noProof/>
                <w:webHidden/>
              </w:rPr>
              <w:t>6</w:t>
            </w:r>
            <w:r w:rsidRPr="0048483F">
              <w:rPr>
                <w:rFonts w:ascii="Times New Roman" w:hAnsi="Times New Roman" w:cs="Times New Roman"/>
                <w:noProof/>
                <w:webHidden/>
              </w:rPr>
              <w:fldChar w:fldCharType="end"/>
            </w:r>
          </w:hyperlink>
        </w:p>
        <w:p w14:paraId="4C13D1BF" w14:textId="467EE273" w:rsidR="0048483F" w:rsidRPr="0048483F" w:rsidRDefault="0048483F" w:rsidP="0048483F">
          <w:pPr>
            <w:pStyle w:val="TOC1"/>
            <w:tabs>
              <w:tab w:val="left" w:pos="480"/>
              <w:tab w:val="right" w:leader="dot" w:pos="9016"/>
            </w:tabs>
            <w:spacing w:line="360" w:lineRule="auto"/>
            <w:rPr>
              <w:rFonts w:ascii="Times New Roman" w:eastAsiaTheme="minorEastAsia" w:hAnsi="Times New Roman" w:cs="Times New Roman"/>
              <w:noProof/>
              <w:kern w:val="2"/>
              <w14:ligatures w14:val="standardContextual"/>
            </w:rPr>
          </w:pPr>
          <w:hyperlink w:anchor="_Toc236257114" w:history="1">
            <w:r w:rsidRPr="0048483F">
              <w:rPr>
                <w:rStyle w:val="Hyperlink"/>
                <w:rFonts w:ascii="Times New Roman" w:hAnsi="Times New Roman" w:cs="Times New Roman"/>
                <w:noProof/>
              </w:rPr>
              <w:t>3</w:t>
            </w:r>
            <w:r w:rsidRPr="0048483F">
              <w:rPr>
                <w:rFonts w:ascii="Times New Roman" w:eastAsiaTheme="minorEastAsia" w:hAnsi="Times New Roman" w:cs="Times New Roman"/>
                <w:noProof/>
                <w:kern w:val="2"/>
                <w14:ligatures w14:val="standardContextual"/>
              </w:rPr>
              <w:tab/>
            </w:r>
            <w:r w:rsidRPr="0048483F">
              <w:rPr>
                <w:rStyle w:val="Hyperlink"/>
                <w:rFonts w:ascii="Times New Roman" w:hAnsi="Times New Roman" w:cs="Times New Roman"/>
                <w:noProof/>
              </w:rPr>
              <w:t>Task 2: Strategic Growth</w:t>
            </w:r>
            <w:r w:rsidRPr="0048483F">
              <w:rPr>
                <w:rFonts w:ascii="Times New Roman" w:hAnsi="Times New Roman" w:cs="Times New Roman"/>
                <w:noProof/>
                <w:webHidden/>
              </w:rPr>
              <w:tab/>
            </w:r>
            <w:r w:rsidRPr="0048483F">
              <w:rPr>
                <w:rFonts w:ascii="Times New Roman" w:hAnsi="Times New Roman" w:cs="Times New Roman"/>
                <w:noProof/>
                <w:webHidden/>
              </w:rPr>
              <w:fldChar w:fldCharType="begin"/>
            </w:r>
            <w:r w:rsidRPr="0048483F">
              <w:rPr>
                <w:rFonts w:ascii="Times New Roman" w:hAnsi="Times New Roman" w:cs="Times New Roman"/>
                <w:noProof/>
                <w:webHidden/>
              </w:rPr>
              <w:instrText xml:space="preserve"> PAGEREF _Toc236257114 \h </w:instrText>
            </w:r>
            <w:r w:rsidRPr="0048483F">
              <w:rPr>
                <w:rFonts w:ascii="Times New Roman" w:hAnsi="Times New Roman" w:cs="Times New Roman"/>
                <w:noProof/>
                <w:webHidden/>
              </w:rPr>
            </w:r>
            <w:r w:rsidRPr="0048483F">
              <w:rPr>
                <w:rFonts w:ascii="Times New Roman" w:hAnsi="Times New Roman" w:cs="Times New Roman"/>
                <w:noProof/>
                <w:webHidden/>
              </w:rPr>
              <w:fldChar w:fldCharType="separate"/>
            </w:r>
            <w:r w:rsidRPr="0048483F">
              <w:rPr>
                <w:rFonts w:ascii="Times New Roman" w:hAnsi="Times New Roman" w:cs="Times New Roman"/>
                <w:noProof/>
                <w:webHidden/>
              </w:rPr>
              <w:t>8</w:t>
            </w:r>
            <w:r w:rsidRPr="0048483F">
              <w:rPr>
                <w:rFonts w:ascii="Times New Roman" w:hAnsi="Times New Roman" w:cs="Times New Roman"/>
                <w:noProof/>
                <w:webHidden/>
              </w:rPr>
              <w:fldChar w:fldCharType="end"/>
            </w:r>
          </w:hyperlink>
        </w:p>
        <w:p w14:paraId="2F627882" w14:textId="135B7309" w:rsidR="0048483F" w:rsidRPr="0048483F" w:rsidRDefault="0048483F" w:rsidP="0048483F">
          <w:pPr>
            <w:pStyle w:val="TOC2"/>
            <w:tabs>
              <w:tab w:val="left" w:pos="960"/>
              <w:tab w:val="right" w:leader="dot" w:pos="9016"/>
            </w:tabs>
            <w:spacing w:line="360" w:lineRule="auto"/>
            <w:rPr>
              <w:rFonts w:ascii="Times New Roman" w:eastAsiaTheme="minorEastAsia" w:hAnsi="Times New Roman" w:cs="Times New Roman"/>
              <w:noProof/>
              <w:kern w:val="2"/>
              <w14:ligatures w14:val="standardContextual"/>
            </w:rPr>
          </w:pPr>
          <w:hyperlink w:anchor="_Toc236257115" w:history="1">
            <w:r w:rsidRPr="0048483F">
              <w:rPr>
                <w:rStyle w:val="Hyperlink"/>
                <w:rFonts w:ascii="Times New Roman" w:hAnsi="Times New Roman" w:cs="Times New Roman"/>
                <w:noProof/>
              </w:rPr>
              <w:t>3.1</w:t>
            </w:r>
            <w:r w:rsidRPr="0048483F">
              <w:rPr>
                <w:rFonts w:ascii="Times New Roman" w:eastAsiaTheme="minorEastAsia" w:hAnsi="Times New Roman" w:cs="Times New Roman"/>
                <w:noProof/>
                <w:kern w:val="2"/>
                <w14:ligatures w14:val="standardContextual"/>
              </w:rPr>
              <w:tab/>
            </w:r>
            <w:r w:rsidRPr="0048483F">
              <w:rPr>
                <w:rStyle w:val="Hyperlink"/>
                <w:rFonts w:ascii="Times New Roman" w:hAnsi="Times New Roman" w:cs="Times New Roman"/>
                <w:noProof/>
              </w:rPr>
              <w:t>The Ansoff Matrix as a growth framework</w:t>
            </w:r>
            <w:r w:rsidRPr="0048483F">
              <w:rPr>
                <w:rFonts w:ascii="Times New Roman" w:hAnsi="Times New Roman" w:cs="Times New Roman"/>
                <w:noProof/>
                <w:webHidden/>
              </w:rPr>
              <w:tab/>
            </w:r>
            <w:r w:rsidRPr="0048483F">
              <w:rPr>
                <w:rFonts w:ascii="Times New Roman" w:hAnsi="Times New Roman" w:cs="Times New Roman"/>
                <w:noProof/>
                <w:webHidden/>
              </w:rPr>
              <w:fldChar w:fldCharType="begin"/>
            </w:r>
            <w:r w:rsidRPr="0048483F">
              <w:rPr>
                <w:rFonts w:ascii="Times New Roman" w:hAnsi="Times New Roman" w:cs="Times New Roman"/>
                <w:noProof/>
                <w:webHidden/>
              </w:rPr>
              <w:instrText xml:space="preserve"> PAGEREF _Toc236257115 \h </w:instrText>
            </w:r>
            <w:r w:rsidRPr="0048483F">
              <w:rPr>
                <w:rFonts w:ascii="Times New Roman" w:hAnsi="Times New Roman" w:cs="Times New Roman"/>
                <w:noProof/>
                <w:webHidden/>
              </w:rPr>
            </w:r>
            <w:r w:rsidRPr="0048483F">
              <w:rPr>
                <w:rFonts w:ascii="Times New Roman" w:hAnsi="Times New Roman" w:cs="Times New Roman"/>
                <w:noProof/>
                <w:webHidden/>
              </w:rPr>
              <w:fldChar w:fldCharType="separate"/>
            </w:r>
            <w:r w:rsidRPr="0048483F">
              <w:rPr>
                <w:rFonts w:ascii="Times New Roman" w:hAnsi="Times New Roman" w:cs="Times New Roman"/>
                <w:noProof/>
                <w:webHidden/>
              </w:rPr>
              <w:t>9</w:t>
            </w:r>
            <w:r w:rsidRPr="0048483F">
              <w:rPr>
                <w:rFonts w:ascii="Times New Roman" w:hAnsi="Times New Roman" w:cs="Times New Roman"/>
                <w:noProof/>
                <w:webHidden/>
              </w:rPr>
              <w:fldChar w:fldCharType="end"/>
            </w:r>
          </w:hyperlink>
        </w:p>
        <w:p w14:paraId="6FB5F12F" w14:textId="09F0CA5B" w:rsidR="0048483F" w:rsidRPr="0048483F" w:rsidRDefault="0048483F" w:rsidP="0048483F">
          <w:pPr>
            <w:pStyle w:val="TOC2"/>
            <w:tabs>
              <w:tab w:val="left" w:pos="960"/>
              <w:tab w:val="right" w:leader="dot" w:pos="9016"/>
            </w:tabs>
            <w:spacing w:line="360" w:lineRule="auto"/>
            <w:rPr>
              <w:rFonts w:ascii="Times New Roman" w:eastAsiaTheme="minorEastAsia" w:hAnsi="Times New Roman" w:cs="Times New Roman"/>
              <w:noProof/>
              <w:kern w:val="2"/>
              <w14:ligatures w14:val="standardContextual"/>
            </w:rPr>
          </w:pPr>
          <w:hyperlink w:anchor="_Toc236257116" w:history="1">
            <w:r w:rsidRPr="0048483F">
              <w:rPr>
                <w:rStyle w:val="Hyperlink"/>
                <w:rFonts w:ascii="Times New Roman" w:hAnsi="Times New Roman" w:cs="Times New Roman"/>
                <w:noProof/>
              </w:rPr>
              <w:t>3.2</w:t>
            </w:r>
            <w:r w:rsidRPr="0048483F">
              <w:rPr>
                <w:rFonts w:ascii="Times New Roman" w:eastAsiaTheme="minorEastAsia" w:hAnsi="Times New Roman" w:cs="Times New Roman"/>
                <w:noProof/>
                <w:kern w:val="2"/>
                <w14:ligatures w14:val="standardContextual"/>
              </w:rPr>
              <w:tab/>
            </w:r>
            <w:r w:rsidRPr="0048483F">
              <w:rPr>
                <w:rStyle w:val="Hyperlink"/>
                <w:rFonts w:ascii="Times New Roman" w:hAnsi="Times New Roman" w:cs="Times New Roman"/>
                <w:noProof/>
              </w:rPr>
              <w:t>Evaluating the four options</w:t>
            </w:r>
            <w:r w:rsidRPr="0048483F">
              <w:rPr>
                <w:rFonts w:ascii="Times New Roman" w:hAnsi="Times New Roman" w:cs="Times New Roman"/>
                <w:noProof/>
                <w:webHidden/>
              </w:rPr>
              <w:tab/>
            </w:r>
            <w:r w:rsidRPr="0048483F">
              <w:rPr>
                <w:rFonts w:ascii="Times New Roman" w:hAnsi="Times New Roman" w:cs="Times New Roman"/>
                <w:noProof/>
                <w:webHidden/>
              </w:rPr>
              <w:fldChar w:fldCharType="begin"/>
            </w:r>
            <w:r w:rsidRPr="0048483F">
              <w:rPr>
                <w:rFonts w:ascii="Times New Roman" w:hAnsi="Times New Roman" w:cs="Times New Roman"/>
                <w:noProof/>
                <w:webHidden/>
              </w:rPr>
              <w:instrText xml:space="preserve"> PAGEREF _Toc236257116 \h </w:instrText>
            </w:r>
            <w:r w:rsidRPr="0048483F">
              <w:rPr>
                <w:rFonts w:ascii="Times New Roman" w:hAnsi="Times New Roman" w:cs="Times New Roman"/>
                <w:noProof/>
                <w:webHidden/>
              </w:rPr>
            </w:r>
            <w:r w:rsidRPr="0048483F">
              <w:rPr>
                <w:rFonts w:ascii="Times New Roman" w:hAnsi="Times New Roman" w:cs="Times New Roman"/>
                <w:noProof/>
                <w:webHidden/>
              </w:rPr>
              <w:fldChar w:fldCharType="separate"/>
            </w:r>
            <w:r w:rsidRPr="0048483F">
              <w:rPr>
                <w:rFonts w:ascii="Times New Roman" w:hAnsi="Times New Roman" w:cs="Times New Roman"/>
                <w:noProof/>
                <w:webHidden/>
              </w:rPr>
              <w:t>9</w:t>
            </w:r>
            <w:r w:rsidRPr="0048483F">
              <w:rPr>
                <w:rFonts w:ascii="Times New Roman" w:hAnsi="Times New Roman" w:cs="Times New Roman"/>
                <w:noProof/>
                <w:webHidden/>
              </w:rPr>
              <w:fldChar w:fldCharType="end"/>
            </w:r>
          </w:hyperlink>
        </w:p>
        <w:p w14:paraId="31F28FBC" w14:textId="235CCBD3" w:rsidR="0048483F" w:rsidRPr="0048483F" w:rsidRDefault="0048483F" w:rsidP="0048483F">
          <w:pPr>
            <w:pStyle w:val="TOC2"/>
            <w:tabs>
              <w:tab w:val="left" w:pos="960"/>
              <w:tab w:val="right" w:leader="dot" w:pos="9016"/>
            </w:tabs>
            <w:spacing w:line="360" w:lineRule="auto"/>
            <w:rPr>
              <w:rFonts w:ascii="Times New Roman" w:eastAsiaTheme="minorEastAsia" w:hAnsi="Times New Roman" w:cs="Times New Roman"/>
              <w:noProof/>
              <w:kern w:val="2"/>
              <w14:ligatures w14:val="standardContextual"/>
            </w:rPr>
          </w:pPr>
          <w:hyperlink w:anchor="_Toc236257117" w:history="1">
            <w:r w:rsidRPr="0048483F">
              <w:rPr>
                <w:rStyle w:val="Hyperlink"/>
                <w:rFonts w:ascii="Times New Roman" w:hAnsi="Times New Roman" w:cs="Times New Roman"/>
                <w:noProof/>
              </w:rPr>
              <w:t>3.3</w:t>
            </w:r>
            <w:r w:rsidRPr="0048483F">
              <w:rPr>
                <w:rFonts w:ascii="Times New Roman" w:eastAsiaTheme="minorEastAsia" w:hAnsi="Times New Roman" w:cs="Times New Roman"/>
                <w:noProof/>
                <w:kern w:val="2"/>
                <w14:ligatures w14:val="standardContextual"/>
              </w:rPr>
              <w:tab/>
            </w:r>
            <w:r w:rsidRPr="0048483F">
              <w:rPr>
                <w:rStyle w:val="Hyperlink"/>
                <w:rFonts w:ascii="Times New Roman" w:hAnsi="Times New Roman" w:cs="Times New Roman"/>
                <w:noProof/>
              </w:rPr>
              <w:t>Matching the strategies to the opportunities and threats:</w:t>
            </w:r>
            <w:r w:rsidRPr="0048483F">
              <w:rPr>
                <w:rFonts w:ascii="Times New Roman" w:hAnsi="Times New Roman" w:cs="Times New Roman"/>
                <w:noProof/>
                <w:webHidden/>
              </w:rPr>
              <w:tab/>
            </w:r>
            <w:r w:rsidRPr="0048483F">
              <w:rPr>
                <w:rFonts w:ascii="Times New Roman" w:hAnsi="Times New Roman" w:cs="Times New Roman"/>
                <w:noProof/>
                <w:webHidden/>
              </w:rPr>
              <w:fldChar w:fldCharType="begin"/>
            </w:r>
            <w:r w:rsidRPr="0048483F">
              <w:rPr>
                <w:rFonts w:ascii="Times New Roman" w:hAnsi="Times New Roman" w:cs="Times New Roman"/>
                <w:noProof/>
                <w:webHidden/>
              </w:rPr>
              <w:instrText xml:space="preserve"> PAGEREF _Toc236257117 \h </w:instrText>
            </w:r>
            <w:r w:rsidRPr="0048483F">
              <w:rPr>
                <w:rFonts w:ascii="Times New Roman" w:hAnsi="Times New Roman" w:cs="Times New Roman"/>
                <w:noProof/>
                <w:webHidden/>
              </w:rPr>
            </w:r>
            <w:r w:rsidRPr="0048483F">
              <w:rPr>
                <w:rFonts w:ascii="Times New Roman" w:hAnsi="Times New Roman" w:cs="Times New Roman"/>
                <w:noProof/>
                <w:webHidden/>
              </w:rPr>
              <w:fldChar w:fldCharType="separate"/>
            </w:r>
            <w:r w:rsidRPr="0048483F">
              <w:rPr>
                <w:rFonts w:ascii="Times New Roman" w:hAnsi="Times New Roman" w:cs="Times New Roman"/>
                <w:noProof/>
                <w:webHidden/>
              </w:rPr>
              <w:t>11</w:t>
            </w:r>
            <w:r w:rsidRPr="0048483F">
              <w:rPr>
                <w:rFonts w:ascii="Times New Roman" w:hAnsi="Times New Roman" w:cs="Times New Roman"/>
                <w:noProof/>
                <w:webHidden/>
              </w:rPr>
              <w:fldChar w:fldCharType="end"/>
            </w:r>
          </w:hyperlink>
        </w:p>
        <w:p w14:paraId="4180FC48" w14:textId="4E47B4A7" w:rsidR="0048483F" w:rsidRPr="0048483F" w:rsidRDefault="0048483F" w:rsidP="0048483F">
          <w:pPr>
            <w:pStyle w:val="TOC2"/>
            <w:tabs>
              <w:tab w:val="left" w:pos="960"/>
              <w:tab w:val="right" w:leader="dot" w:pos="9016"/>
            </w:tabs>
            <w:spacing w:line="360" w:lineRule="auto"/>
            <w:rPr>
              <w:rFonts w:ascii="Times New Roman" w:eastAsiaTheme="minorEastAsia" w:hAnsi="Times New Roman" w:cs="Times New Roman"/>
              <w:noProof/>
              <w:kern w:val="2"/>
              <w14:ligatures w14:val="standardContextual"/>
            </w:rPr>
          </w:pPr>
          <w:hyperlink w:anchor="_Toc236257118" w:history="1">
            <w:r w:rsidRPr="0048483F">
              <w:rPr>
                <w:rStyle w:val="Hyperlink"/>
                <w:rFonts w:ascii="Times New Roman" w:hAnsi="Times New Roman" w:cs="Times New Roman"/>
                <w:noProof/>
              </w:rPr>
              <w:t>3.4</w:t>
            </w:r>
            <w:r w:rsidRPr="0048483F">
              <w:rPr>
                <w:rFonts w:ascii="Times New Roman" w:eastAsiaTheme="minorEastAsia" w:hAnsi="Times New Roman" w:cs="Times New Roman"/>
                <w:noProof/>
                <w:kern w:val="2"/>
                <w14:ligatures w14:val="standardContextual"/>
              </w:rPr>
              <w:tab/>
            </w:r>
            <w:r w:rsidRPr="0048483F">
              <w:rPr>
                <w:rStyle w:val="Hyperlink"/>
                <w:rFonts w:ascii="Times New Roman" w:hAnsi="Times New Roman" w:cs="Times New Roman"/>
                <w:noProof/>
              </w:rPr>
              <w:t>Achieving competitive advantage</w:t>
            </w:r>
            <w:r w:rsidRPr="0048483F">
              <w:rPr>
                <w:rFonts w:ascii="Times New Roman" w:hAnsi="Times New Roman" w:cs="Times New Roman"/>
                <w:noProof/>
                <w:webHidden/>
              </w:rPr>
              <w:tab/>
            </w:r>
            <w:r w:rsidRPr="0048483F">
              <w:rPr>
                <w:rFonts w:ascii="Times New Roman" w:hAnsi="Times New Roman" w:cs="Times New Roman"/>
                <w:noProof/>
                <w:webHidden/>
              </w:rPr>
              <w:fldChar w:fldCharType="begin"/>
            </w:r>
            <w:r w:rsidRPr="0048483F">
              <w:rPr>
                <w:rFonts w:ascii="Times New Roman" w:hAnsi="Times New Roman" w:cs="Times New Roman"/>
                <w:noProof/>
                <w:webHidden/>
              </w:rPr>
              <w:instrText xml:space="preserve"> PAGEREF _Toc236257118 \h </w:instrText>
            </w:r>
            <w:r w:rsidRPr="0048483F">
              <w:rPr>
                <w:rFonts w:ascii="Times New Roman" w:hAnsi="Times New Roman" w:cs="Times New Roman"/>
                <w:noProof/>
                <w:webHidden/>
              </w:rPr>
            </w:r>
            <w:r w:rsidRPr="0048483F">
              <w:rPr>
                <w:rFonts w:ascii="Times New Roman" w:hAnsi="Times New Roman" w:cs="Times New Roman"/>
                <w:noProof/>
                <w:webHidden/>
              </w:rPr>
              <w:fldChar w:fldCharType="separate"/>
            </w:r>
            <w:r w:rsidRPr="0048483F">
              <w:rPr>
                <w:rFonts w:ascii="Times New Roman" w:hAnsi="Times New Roman" w:cs="Times New Roman"/>
                <w:noProof/>
                <w:webHidden/>
              </w:rPr>
              <w:t>12</w:t>
            </w:r>
            <w:r w:rsidRPr="0048483F">
              <w:rPr>
                <w:rFonts w:ascii="Times New Roman" w:hAnsi="Times New Roman" w:cs="Times New Roman"/>
                <w:noProof/>
                <w:webHidden/>
              </w:rPr>
              <w:fldChar w:fldCharType="end"/>
            </w:r>
          </w:hyperlink>
        </w:p>
        <w:p w14:paraId="0C5B3FF5" w14:textId="4A27B754" w:rsidR="0048483F" w:rsidRPr="0048483F" w:rsidRDefault="0048483F" w:rsidP="0048483F">
          <w:pPr>
            <w:pStyle w:val="TOC1"/>
            <w:tabs>
              <w:tab w:val="left" w:pos="480"/>
              <w:tab w:val="right" w:leader="dot" w:pos="9016"/>
            </w:tabs>
            <w:spacing w:line="360" w:lineRule="auto"/>
            <w:rPr>
              <w:rFonts w:ascii="Times New Roman" w:eastAsiaTheme="minorEastAsia" w:hAnsi="Times New Roman" w:cs="Times New Roman"/>
              <w:noProof/>
              <w:kern w:val="2"/>
              <w14:ligatures w14:val="standardContextual"/>
            </w:rPr>
          </w:pPr>
          <w:hyperlink w:anchor="_Toc236257119" w:history="1">
            <w:r w:rsidRPr="0048483F">
              <w:rPr>
                <w:rStyle w:val="Hyperlink"/>
                <w:rFonts w:ascii="Times New Roman" w:hAnsi="Times New Roman" w:cs="Times New Roman"/>
                <w:noProof/>
              </w:rPr>
              <w:t>4</w:t>
            </w:r>
            <w:r w:rsidRPr="0048483F">
              <w:rPr>
                <w:rFonts w:ascii="Times New Roman" w:eastAsiaTheme="minorEastAsia" w:hAnsi="Times New Roman" w:cs="Times New Roman"/>
                <w:noProof/>
                <w:kern w:val="2"/>
                <w14:ligatures w14:val="standardContextual"/>
              </w:rPr>
              <w:tab/>
            </w:r>
            <w:r w:rsidRPr="0048483F">
              <w:rPr>
                <w:rStyle w:val="Hyperlink"/>
                <w:rFonts w:ascii="Times New Roman" w:hAnsi="Times New Roman" w:cs="Times New Roman"/>
                <w:noProof/>
              </w:rPr>
              <w:t>Task 3: Critical Reflection on AI Usage</w:t>
            </w:r>
            <w:r w:rsidRPr="0048483F">
              <w:rPr>
                <w:rFonts w:ascii="Times New Roman" w:hAnsi="Times New Roman" w:cs="Times New Roman"/>
                <w:noProof/>
                <w:webHidden/>
              </w:rPr>
              <w:tab/>
            </w:r>
            <w:r w:rsidRPr="0048483F">
              <w:rPr>
                <w:rFonts w:ascii="Times New Roman" w:hAnsi="Times New Roman" w:cs="Times New Roman"/>
                <w:noProof/>
                <w:webHidden/>
              </w:rPr>
              <w:fldChar w:fldCharType="begin"/>
            </w:r>
            <w:r w:rsidRPr="0048483F">
              <w:rPr>
                <w:rFonts w:ascii="Times New Roman" w:hAnsi="Times New Roman" w:cs="Times New Roman"/>
                <w:noProof/>
                <w:webHidden/>
              </w:rPr>
              <w:instrText xml:space="preserve"> PAGEREF _Toc236257119 \h </w:instrText>
            </w:r>
            <w:r w:rsidRPr="0048483F">
              <w:rPr>
                <w:rFonts w:ascii="Times New Roman" w:hAnsi="Times New Roman" w:cs="Times New Roman"/>
                <w:noProof/>
                <w:webHidden/>
              </w:rPr>
            </w:r>
            <w:r w:rsidRPr="0048483F">
              <w:rPr>
                <w:rFonts w:ascii="Times New Roman" w:hAnsi="Times New Roman" w:cs="Times New Roman"/>
                <w:noProof/>
                <w:webHidden/>
              </w:rPr>
              <w:fldChar w:fldCharType="separate"/>
            </w:r>
            <w:r w:rsidRPr="0048483F">
              <w:rPr>
                <w:rFonts w:ascii="Times New Roman" w:hAnsi="Times New Roman" w:cs="Times New Roman"/>
                <w:noProof/>
                <w:webHidden/>
              </w:rPr>
              <w:t>13</w:t>
            </w:r>
            <w:r w:rsidRPr="0048483F">
              <w:rPr>
                <w:rFonts w:ascii="Times New Roman" w:hAnsi="Times New Roman" w:cs="Times New Roman"/>
                <w:noProof/>
                <w:webHidden/>
              </w:rPr>
              <w:fldChar w:fldCharType="end"/>
            </w:r>
          </w:hyperlink>
        </w:p>
        <w:p w14:paraId="23B15FC4" w14:textId="4E7B5125" w:rsidR="0048483F" w:rsidRPr="0048483F" w:rsidRDefault="0048483F" w:rsidP="0048483F">
          <w:pPr>
            <w:pStyle w:val="TOC2"/>
            <w:tabs>
              <w:tab w:val="left" w:pos="960"/>
              <w:tab w:val="right" w:leader="dot" w:pos="9016"/>
            </w:tabs>
            <w:spacing w:line="360" w:lineRule="auto"/>
            <w:rPr>
              <w:rFonts w:ascii="Times New Roman" w:eastAsiaTheme="minorEastAsia" w:hAnsi="Times New Roman" w:cs="Times New Roman"/>
              <w:noProof/>
              <w:kern w:val="2"/>
              <w14:ligatures w14:val="standardContextual"/>
            </w:rPr>
          </w:pPr>
          <w:hyperlink w:anchor="_Toc236257120" w:history="1">
            <w:r w:rsidRPr="0048483F">
              <w:rPr>
                <w:rStyle w:val="Hyperlink"/>
                <w:rFonts w:ascii="Times New Roman" w:hAnsi="Times New Roman" w:cs="Times New Roman"/>
                <w:noProof/>
              </w:rPr>
              <w:t>4.1</w:t>
            </w:r>
            <w:r w:rsidRPr="0048483F">
              <w:rPr>
                <w:rFonts w:ascii="Times New Roman" w:eastAsiaTheme="minorEastAsia" w:hAnsi="Times New Roman" w:cs="Times New Roman"/>
                <w:noProof/>
                <w:kern w:val="2"/>
                <w14:ligatures w14:val="standardContextual"/>
              </w:rPr>
              <w:tab/>
            </w:r>
            <w:r w:rsidRPr="0048483F">
              <w:rPr>
                <w:rStyle w:val="Hyperlink"/>
                <w:rFonts w:ascii="Times New Roman" w:hAnsi="Times New Roman" w:cs="Times New Roman"/>
                <w:noProof/>
              </w:rPr>
              <w:t>Tool disclosure</w:t>
            </w:r>
            <w:r w:rsidRPr="0048483F">
              <w:rPr>
                <w:rFonts w:ascii="Times New Roman" w:hAnsi="Times New Roman" w:cs="Times New Roman"/>
                <w:noProof/>
                <w:webHidden/>
              </w:rPr>
              <w:tab/>
            </w:r>
            <w:r w:rsidRPr="0048483F">
              <w:rPr>
                <w:rFonts w:ascii="Times New Roman" w:hAnsi="Times New Roman" w:cs="Times New Roman"/>
                <w:noProof/>
                <w:webHidden/>
              </w:rPr>
              <w:fldChar w:fldCharType="begin"/>
            </w:r>
            <w:r w:rsidRPr="0048483F">
              <w:rPr>
                <w:rFonts w:ascii="Times New Roman" w:hAnsi="Times New Roman" w:cs="Times New Roman"/>
                <w:noProof/>
                <w:webHidden/>
              </w:rPr>
              <w:instrText xml:space="preserve"> PAGEREF _Toc236257120 \h </w:instrText>
            </w:r>
            <w:r w:rsidRPr="0048483F">
              <w:rPr>
                <w:rFonts w:ascii="Times New Roman" w:hAnsi="Times New Roman" w:cs="Times New Roman"/>
                <w:noProof/>
                <w:webHidden/>
              </w:rPr>
            </w:r>
            <w:r w:rsidRPr="0048483F">
              <w:rPr>
                <w:rFonts w:ascii="Times New Roman" w:hAnsi="Times New Roman" w:cs="Times New Roman"/>
                <w:noProof/>
                <w:webHidden/>
              </w:rPr>
              <w:fldChar w:fldCharType="separate"/>
            </w:r>
            <w:r w:rsidRPr="0048483F">
              <w:rPr>
                <w:rFonts w:ascii="Times New Roman" w:hAnsi="Times New Roman" w:cs="Times New Roman"/>
                <w:noProof/>
                <w:webHidden/>
              </w:rPr>
              <w:t>13</w:t>
            </w:r>
            <w:r w:rsidRPr="0048483F">
              <w:rPr>
                <w:rFonts w:ascii="Times New Roman" w:hAnsi="Times New Roman" w:cs="Times New Roman"/>
                <w:noProof/>
                <w:webHidden/>
              </w:rPr>
              <w:fldChar w:fldCharType="end"/>
            </w:r>
          </w:hyperlink>
        </w:p>
        <w:p w14:paraId="66B399CC" w14:textId="437DF02D" w:rsidR="0048483F" w:rsidRPr="0048483F" w:rsidRDefault="0048483F" w:rsidP="0048483F">
          <w:pPr>
            <w:pStyle w:val="TOC2"/>
            <w:tabs>
              <w:tab w:val="left" w:pos="960"/>
              <w:tab w:val="right" w:leader="dot" w:pos="9016"/>
            </w:tabs>
            <w:spacing w:line="360" w:lineRule="auto"/>
            <w:rPr>
              <w:rFonts w:ascii="Times New Roman" w:eastAsiaTheme="minorEastAsia" w:hAnsi="Times New Roman" w:cs="Times New Roman"/>
              <w:noProof/>
              <w:kern w:val="2"/>
              <w14:ligatures w14:val="standardContextual"/>
            </w:rPr>
          </w:pPr>
          <w:hyperlink w:anchor="_Toc236257121" w:history="1">
            <w:r w:rsidRPr="0048483F">
              <w:rPr>
                <w:rStyle w:val="Hyperlink"/>
                <w:rFonts w:ascii="Times New Roman" w:hAnsi="Times New Roman" w:cs="Times New Roman"/>
                <w:noProof/>
              </w:rPr>
              <w:t>4.2</w:t>
            </w:r>
            <w:r w:rsidRPr="0048483F">
              <w:rPr>
                <w:rFonts w:ascii="Times New Roman" w:eastAsiaTheme="minorEastAsia" w:hAnsi="Times New Roman" w:cs="Times New Roman"/>
                <w:noProof/>
                <w:kern w:val="2"/>
                <w14:ligatures w14:val="standardContextual"/>
              </w:rPr>
              <w:tab/>
            </w:r>
            <w:r w:rsidRPr="0048483F">
              <w:rPr>
                <w:rStyle w:val="Hyperlink"/>
                <w:rFonts w:ascii="Times New Roman" w:hAnsi="Times New Roman" w:cs="Times New Roman"/>
                <w:noProof/>
              </w:rPr>
              <w:t>Critical evaluation of AI output</w:t>
            </w:r>
            <w:r w:rsidRPr="0048483F">
              <w:rPr>
                <w:rFonts w:ascii="Times New Roman" w:hAnsi="Times New Roman" w:cs="Times New Roman"/>
                <w:noProof/>
                <w:webHidden/>
              </w:rPr>
              <w:tab/>
            </w:r>
            <w:r w:rsidRPr="0048483F">
              <w:rPr>
                <w:rFonts w:ascii="Times New Roman" w:hAnsi="Times New Roman" w:cs="Times New Roman"/>
                <w:noProof/>
                <w:webHidden/>
              </w:rPr>
              <w:fldChar w:fldCharType="begin"/>
            </w:r>
            <w:r w:rsidRPr="0048483F">
              <w:rPr>
                <w:rFonts w:ascii="Times New Roman" w:hAnsi="Times New Roman" w:cs="Times New Roman"/>
                <w:noProof/>
                <w:webHidden/>
              </w:rPr>
              <w:instrText xml:space="preserve"> PAGEREF _Toc236257121 \h </w:instrText>
            </w:r>
            <w:r w:rsidRPr="0048483F">
              <w:rPr>
                <w:rFonts w:ascii="Times New Roman" w:hAnsi="Times New Roman" w:cs="Times New Roman"/>
                <w:noProof/>
                <w:webHidden/>
              </w:rPr>
            </w:r>
            <w:r w:rsidRPr="0048483F">
              <w:rPr>
                <w:rFonts w:ascii="Times New Roman" w:hAnsi="Times New Roman" w:cs="Times New Roman"/>
                <w:noProof/>
                <w:webHidden/>
              </w:rPr>
              <w:fldChar w:fldCharType="separate"/>
            </w:r>
            <w:r w:rsidRPr="0048483F">
              <w:rPr>
                <w:rFonts w:ascii="Times New Roman" w:hAnsi="Times New Roman" w:cs="Times New Roman"/>
                <w:noProof/>
                <w:webHidden/>
              </w:rPr>
              <w:t>13</w:t>
            </w:r>
            <w:r w:rsidRPr="0048483F">
              <w:rPr>
                <w:rFonts w:ascii="Times New Roman" w:hAnsi="Times New Roman" w:cs="Times New Roman"/>
                <w:noProof/>
                <w:webHidden/>
              </w:rPr>
              <w:fldChar w:fldCharType="end"/>
            </w:r>
          </w:hyperlink>
        </w:p>
        <w:p w14:paraId="13201EC6" w14:textId="5F724686" w:rsidR="0048483F" w:rsidRPr="0048483F" w:rsidRDefault="0048483F" w:rsidP="0048483F">
          <w:pPr>
            <w:pStyle w:val="TOC2"/>
            <w:tabs>
              <w:tab w:val="left" w:pos="960"/>
              <w:tab w:val="right" w:leader="dot" w:pos="9016"/>
            </w:tabs>
            <w:spacing w:line="360" w:lineRule="auto"/>
            <w:rPr>
              <w:rFonts w:ascii="Times New Roman" w:eastAsiaTheme="minorEastAsia" w:hAnsi="Times New Roman" w:cs="Times New Roman"/>
              <w:noProof/>
              <w:kern w:val="2"/>
              <w14:ligatures w14:val="standardContextual"/>
            </w:rPr>
          </w:pPr>
          <w:hyperlink w:anchor="_Toc236257122" w:history="1">
            <w:r w:rsidRPr="0048483F">
              <w:rPr>
                <w:rStyle w:val="Hyperlink"/>
                <w:rFonts w:ascii="Times New Roman" w:hAnsi="Times New Roman" w:cs="Times New Roman"/>
                <w:noProof/>
              </w:rPr>
              <w:t>4.3</w:t>
            </w:r>
            <w:r w:rsidRPr="0048483F">
              <w:rPr>
                <w:rFonts w:ascii="Times New Roman" w:eastAsiaTheme="minorEastAsia" w:hAnsi="Times New Roman" w:cs="Times New Roman"/>
                <w:noProof/>
                <w:kern w:val="2"/>
                <w14:ligatures w14:val="standardContextual"/>
              </w:rPr>
              <w:tab/>
            </w:r>
            <w:r w:rsidRPr="0048483F">
              <w:rPr>
                <w:rStyle w:val="Hyperlink"/>
                <w:rFonts w:ascii="Times New Roman" w:hAnsi="Times New Roman" w:cs="Times New Roman"/>
                <w:noProof/>
              </w:rPr>
              <w:t>Contribution analysis</w:t>
            </w:r>
            <w:r w:rsidRPr="0048483F">
              <w:rPr>
                <w:rFonts w:ascii="Times New Roman" w:hAnsi="Times New Roman" w:cs="Times New Roman"/>
                <w:noProof/>
                <w:webHidden/>
              </w:rPr>
              <w:tab/>
            </w:r>
            <w:r w:rsidRPr="0048483F">
              <w:rPr>
                <w:rFonts w:ascii="Times New Roman" w:hAnsi="Times New Roman" w:cs="Times New Roman"/>
                <w:noProof/>
                <w:webHidden/>
              </w:rPr>
              <w:fldChar w:fldCharType="begin"/>
            </w:r>
            <w:r w:rsidRPr="0048483F">
              <w:rPr>
                <w:rFonts w:ascii="Times New Roman" w:hAnsi="Times New Roman" w:cs="Times New Roman"/>
                <w:noProof/>
                <w:webHidden/>
              </w:rPr>
              <w:instrText xml:space="preserve"> PAGEREF _Toc236257122 \h </w:instrText>
            </w:r>
            <w:r w:rsidRPr="0048483F">
              <w:rPr>
                <w:rFonts w:ascii="Times New Roman" w:hAnsi="Times New Roman" w:cs="Times New Roman"/>
                <w:noProof/>
                <w:webHidden/>
              </w:rPr>
            </w:r>
            <w:r w:rsidRPr="0048483F">
              <w:rPr>
                <w:rFonts w:ascii="Times New Roman" w:hAnsi="Times New Roman" w:cs="Times New Roman"/>
                <w:noProof/>
                <w:webHidden/>
              </w:rPr>
              <w:fldChar w:fldCharType="separate"/>
            </w:r>
            <w:r w:rsidRPr="0048483F">
              <w:rPr>
                <w:rFonts w:ascii="Times New Roman" w:hAnsi="Times New Roman" w:cs="Times New Roman"/>
                <w:noProof/>
                <w:webHidden/>
              </w:rPr>
              <w:t>14</w:t>
            </w:r>
            <w:r w:rsidRPr="0048483F">
              <w:rPr>
                <w:rFonts w:ascii="Times New Roman" w:hAnsi="Times New Roman" w:cs="Times New Roman"/>
                <w:noProof/>
                <w:webHidden/>
              </w:rPr>
              <w:fldChar w:fldCharType="end"/>
            </w:r>
          </w:hyperlink>
        </w:p>
        <w:p w14:paraId="5249487A" w14:textId="6633398D" w:rsidR="0048483F" w:rsidRPr="0048483F" w:rsidRDefault="0048483F" w:rsidP="0048483F">
          <w:pPr>
            <w:pStyle w:val="TOC2"/>
            <w:tabs>
              <w:tab w:val="left" w:pos="960"/>
              <w:tab w:val="right" w:leader="dot" w:pos="9016"/>
            </w:tabs>
            <w:spacing w:line="360" w:lineRule="auto"/>
            <w:rPr>
              <w:rFonts w:ascii="Times New Roman" w:eastAsiaTheme="minorEastAsia" w:hAnsi="Times New Roman" w:cs="Times New Roman"/>
              <w:noProof/>
              <w:kern w:val="2"/>
              <w14:ligatures w14:val="standardContextual"/>
            </w:rPr>
          </w:pPr>
          <w:hyperlink w:anchor="_Toc236257123" w:history="1">
            <w:r w:rsidRPr="0048483F">
              <w:rPr>
                <w:rStyle w:val="Hyperlink"/>
                <w:rFonts w:ascii="Times New Roman" w:hAnsi="Times New Roman" w:cs="Times New Roman"/>
                <w:noProof/>
              </w:rPr>
              <w:t>4.4</w:t>
            </w:r>
            <w:r w:rsidRPr="0048483F">
              <w:rPr>
                <w:rFonts w:ascii="Times New Roman" w:eastAsiaTheme="minorEastAsia" w:hAnsi="Times New Roman" w:cs="Times New Roman"/>
                <w:noProof/>
                <w:kern w:val="2"/>
                <w14:ligatures w14:val="standardContextual"/>
              </w:rPr>
              <w:tab/>
            </w:r>
            <w:r w:rsidRPr="0048483F">
              <w:rPr>
                <w:rStyle w:val="Hyperlink"/>
                <w:rFonts w:ascii="Times New Roman" w:hAnsi="Times New Roman" w:cs="Times New Roman"/>
                <w:noProof/>
              </w:rPr>
              <w:t>Ethical and professional reflection</w:t>
            </w:r>
            <w:r w:rsidRPr="0048483F">
              <w:rPr>
                <w:rFonts w:ascii="Times New Roman" w:hAnsi="Times New Roman" w:cs="Times New Roman"/>
                <w:noProof/>
                <w:webHidden/>
              </w:rPr>
              <w:tab/>
            </w:r>
            <w:r w:rsidRPr="0048483F">
              <w:rPr>
                <w:rFonts w:ascii="Times New Roman" w:hAnsi="Times New Roman" w:cs="Times New Roman"/>
                <w:noProof/>
                <w:webHidden/>
              </w:rPr>
              <w:fldChar w:fldCharType="begin"/>
            </w:r>
            <w:r w:rsidRPr="0048483F">
              <w:rPr>
                <w:rFonts w:ascii="Times New Roman" w:hAnsi="Times New Roman" w:cs="Times New Roman"/>
                <w:noProof/>
                <w:webHidden/>
              </w:rPr>
              <w:instrText xml:space="preserve"> PAGEREF _Toc236257123 \h </w:instrText>
            </w:r>
            <w:r w:rsidRPr="0048483F">
              <w:rPr>
                <w:rFonts w:ascii="Times New Roman" w:hAnsi="Times New Roman" w:cs="Times New Roman"/>
                <w:noProof/>
                <w:webHidden/>
              </w:rPr>
            </w:r>
            <w:r w:rsidRPr="0048483F">
              <w:rPr>
                <w:rFonts w:ascii="Times New Roman" w:hAnsi="Times New Roman" w:cs="Times New Roman"/>
                <w:noProof/>
                <w:webHidden/>
              </w:rPr>
              <w:fldChar w:fldCharType="separate"/>
            </w:r>
            <w:r w:rsidRPr="0048483F">
              <w:rPr>
                <w:rFonts w:ascii="Times New Roman" w:hAnsi="Times New Roman" w:cs="Times New Roman"/>
                <w:noProof/>
                <w:webHidden/>
              </w:rPr>
              <w:t>14</w:t>
            </w:r>
            <w:r w:rsidRPr="0048483F">
              <w:rPr>
                <w:rFonts w:ascii="Times New Roman" w:hAnsi="Times New Roman" w:cs="Times New Roman"/>
                <w:noProof/>
                <w:webHidden/>
              </w:rPr>
              <w:fldChar w:fldCharType="end"/>
            </w:r>
          </w:hyperlink>
        </w:p>
        <w:p w14:paraId="606E5326" w14:textId="18802148" w:rsidR="0048483F" w:rsidRPr="0048483F" w:rsidRDefault="0048483F" w:rsidP="0048483F">
          <w:pPr>
            <w:pStyle w:val="TOC1"/>
            <w:tabs>
              <w:tab w:val="left" w:pos="480"/>
              <w:tab w:val="right" w:leader="dot" w:pos="9016"/>
            </w:tabs>
            <w:spacing w:line="360" w:lineRule="auto"/>
            <w:rPr>
              <w:rFonts w:ascii="Times New Roman" w:eastAsiaTheme="minorEastAsia" w:hAnsi="Times New Roman" w:cs="Times New Roman"/>
              <w:noProof/>
              <w:kern w:val="2"/>
              <w14:ligatures w14:val="standardContextual"/>
            </w:rPr>
          </w:pPr>
          <w:hyperlink w:anchor="_Toc236257124" w:history="1">
            <w:r w:rsidRPr="0048483F">
              <w:rPr>
                <w:rStyle w:val="Hyperlink"/>
                <w:rFonts w:ascii="Times New Roman" w:hAnsi="Times New Roman" w:cs="Times New Roman"/>
                <w:noProof/>
              </w:rPr>
              <w:t>5</w:t>
            </w:r>
            <w:r w:rsidRPr="0048483F">
              <w:rPr>
                <w:rFonts w:ascii="Times New Roman" w:eastAsiaTheme="minorEastAsia" w:hAnsi="Times New Roman" w:cs="Times New Roman"/>
                <w:noProof/>
                <w:kern w:val="2"/>
                <w14:ligatures w14:val="standardContextual"/>
              </w:rPr>
              <w:tab/>
            </w:r>
            <w:r w:rsidRPr="0048483F">
              <w:rPr>
                <w:rStyle w:val="Hyperlink"/>
                <w:rFonts w:ascii="Times New Roman" w:hAnsi="Times New Roman" w:cs="Times New Roman"/>
                <w:noProof/>
              </w:rPr>
              <w:t>Conclusion</w:t>
            </w:r>
            <w:r w:rsidRPr="0048483F">
              <w:rPr>
                <w:rFonts w:ascii="Times New Roman" w:hAnsi="Times New Roman" w:cs="Times New Roman"/>
                <w:noProof/>
                <w:webHidden/>
              </w:rPr>
              <w:tab/>
            </w:r>
            <w:r w:rsidRPr="0048483F">
              <w:rPr>
                <w:rFonts w:ascii="Times New Roman" w:hAnsi="Times New Roman" w:cs="Times New Roman"/>
                <w:noProof/>
                <w:webHidden/>
              </w:rPr>
              <w:fldChar w:fldCharType="begin"/>
            </w:r>
            <w:r w:rsidRPr="0048483F">
              <w:rPr>
                <w:rFonts w:ascii="Times New Roman" w:hAnsi="Times New Roman" w:cs="Times New Roman"/>
                <w:noProof/>
                <w:webHidden/>
              </w:rPr>
              <w:instrText xml:space="preserve"> PAGEREF _Toc236257124 \h </w:instrText>
            </w:r>
            <w:r w:rsidRPr="0048483F">
              <w:rPr>
                <w:rFonts w:ascii="Times New Roman" w:hAnsi="Times New Roman" w:cs="Times New Roman"/>
                <w:noProof/>
                <w:webHidden/>
              </w:rPr>
            </w:r>
            <w:r w:rsidRPr="0048483F">
              <w:rPr>
                <w:rFonts w:ascii="Times New Roman" w:hAnsi="Times New Roman" w:cs="Times New Roman"/>
                <w:noProof/>
                <w:webHidden/>
              </w:rPr>
              <w:fldChar w:fldCharType="separate"/>
            </w:r>
            <w:r w:rsidRPr="0048483F">
              <w:rPr>
                <w:rFonts w:ascii="Times New Roman" w:hAnsi="Times New Roman" w:cs="Times New Roman"/>
                <w:noProof/>
                <w:webHidden/>
              </w:rPr>
              <w:t>14</w:t>
            </w:r>
            <w:r w:rsidRPr="0048483F">
              <w:rPr>
                <w:rFonts w:ascii="Times New Roman" w:hAnsi="Times New Roman" w:cs="Times New Roman"/>
                <w:noProof/>
                <w:webHidden/>
              </w:rPr>
              <w:fldChar w:fldCharType="end"/>
            </w:r>
          </w:hyperlink>
        </w:p>
        <w:p w14:paraId="0378C90D" w14:textId="623B35A5" w:rsidR="0048483F" w:rsidRPr="0048483F" w:rsidRDefault="0048483F" w:rsidP="0048483F">
          <w:pPr>
            <w:pStyle w:val="TOC1"/>
            <w:tabs>
              <w:tab w:val="left" w:pos="480"/>
              <w:tab w:val="right" w:leader="dot" w:pos="9016"/>
            </w:tabs>
            <w:spacing w:line="360" w:lineRule="auto"/>
            <w:rPr>
              <w:rFonts w:ascii="Times New Roman" w:eastAsiaTheme="minorEastAsia" w:hAnsi="Times New Roman" w:cs="Times New Roman"/>
              <w:noProof/>
              <w:kern w:val="2"/>
              <w14:ligatures w14:val="standardContextual"/>
            </w:rPr>
          </w:pPr>
          <w:hyperlink w:anchor="_Toc236257125" w:history="1">
            <w:r w:rsidRPr="0048483F">
              <w:rPr>
                <w:rStyle w:val="Hyperlink"/>
                <w:rFonts w:ascii="Times New Roman" w:hAnsi="Times New Roman" w:cs="Times New Roman"/>
                <w:noProof/>
              </w:rPr>
              <w:t>6</w:t>
            </w:r>
            <w:r w:rsidRPr="0048483F">
              <w:rPr>
                <w:rFonts w:ascii="Times New Roman" w:eastAsiaTheme="minorEastAsia" w:hAnsi="Times New Roman" w:cs="Times New Roman"/>
                <w:noProof/>
                <w:kern w:val="2"/>
                <w14:ligatures w14:val="standardContextual"/>
              </w:rPr>
              <w:tab/>
            </w:r>
            <w:r w:rsidRPr="0048483F">
              <w:rPr>
                <w:rStyle w:val="Hyperlink"/>
                <w:rFonts w:ascii="Times New Roman" w:hAnsi="Times New Roman" w:cs="Times New Roman"/>
                <w:noProof/>
              </w:rPr>
              <w:t>References</w:t>
            </w:r>
            <w:r w:rsidRPr="0048483F">
              <w:rPr>
                <w:rFonts w:ascii="Times New Roman" w:hAnsi="Times New Roman" w:cs="Times New Roman"/>
                <w:noProof/>
                <w:webHidden/>
              </w:rPr>
              <w:tab/>
            </w:r>
            <w:r w:rsidRPr="0048483F">
              <w:rPr>
                <w:rFonts w:ascii="Times New Roman" w:hAnsi="Times New Roman" w:cs="Times New Roman"/>
                <w:noProof/>
                <w:webHidden/>
              </w:rPr>
              <w:fldChar w:fldCharType="begin"/>
            </w:r>
            <w:r w:rsidRPr="0048483F">
              <w:rPr>
                <w:rFonts w:ascii="Times New Roman" w:hAnsi="Times New Roman" w:cs="Times New Roman"/>
                <w:noProof/>
                <w:webHidden/>
              </w:rPr>
              <w:instrText xml:space="preserve"> PAGEREF _Toc236257125 \h </w:instrText>
            </w:r>
            <w:r w:rsidRPr="0048483F">
              <w:rPr>
                <w:rFonts w:ascii="Times New Roman" w:hAnsi="Times New Roman" w:cs="Times New Roman"/>
                <w:noProof/>
                <w:webHidden/>
              </w:rPr>
            </w:r>
            <w:r w:rsidRPr="0048483F">
              <w:rPr>
                <w:rFonts w:ascii="Times New Roman" w:hAnsi="Times New Roman" w:cs="Times New Roman"/>
                <w:noProof/>
                <w:webHidden/>
              </w:rPr>
              <w:fldChar w:fldCharType="separate"/>
            </w:r>
            <w:r w:rsidRPr="0048483F">
              <w:rPr>
                <w:rFonts w:ascii="Times New Roman" w:hAnsi="Times New Roman" w:cs="Times New Roman"/>
                <w:noProof/>
                <w:webHidden/>
              </w:rPr>
              <w:t>16</w:t>
            </w:r>
            <w:r w:rsidRPr="0048483F">
              <w:rPr>
                <w:rFonts w:ascii="Times New Roman" w:hAnsi="Times New Roman" w:cs="Times New Roman"/>
                <w:noProof/>
                <w:webHidden/>
              </w:rPr>
              <w:fldChar w:fldCharType="end"/>
            </w:r>
          </w:hyperlink>
        </w:p>
        <w:p w14:paraId="56909668" w14:textId="4BC5AEF2" w:rsidR="00C872FC" w:rsidRPr="0048483F" w:rsidRDefault="00C872FC" w:rsidP="0048483F">
          <w:pPr>
            <w:spacing w:line="360" w:lineRule="auto"/>
            <w:rPr>
              <w:rFonts w:ascii="Times New Roman" w:hAnsi="Times New Roman" w:cs="Times New Roman"/>
            </w:rPr>
          </w:pPr>
          <w:r w:rsidRPr="0048483F">
            <w:rPr>
              <w:rFonts w:ascii="Times New Roman" w:hAnsi="Times New Roman" w:cs="Times New Roman"/>
              <w:b/>
              <w:bCs/>
              <w:noProof/>
            </w:rPr>
            <w:fldChar w:fldCharType="end"/>
          </w:r>
        </w:p>
      </w:sdtContent>
    </w:sdt>
    <w:p w14:paraId="03E6E7A1" w14:textId="77777777" w:rsidR="0067498C" w:rsidRPr="0048483F" w:rsidRDefault="0067498C" w:rsidP="00C970ED">
      <w:pPr>
        <w:spacing w:line="360" w:lineRule="auto"/>
        <w:jc w:val="both"/>
        <w:rPr>
          <w:rFonts w:ascii="Times New Roman" w:hAnsi="Times New Roman" w:cs="Times New Roman"/>
        </w:rPr>
        <w:sectPr w:rsidR="0067498C" w:rsidRPr="0048483F" w:rsidSect="00C872FC">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20"/>
          <w:docGrid w:linePitch="360"/>
        </w:sectPr>
      </w:pPr>
    </w:p>
    <w:p w14:paraId="4C50C8C7" w14:textId="77777777" w:rsidR="0067498C" w:rsidRPr="0048483F" w:rsidRDefault="00000000" w:rsidP="00C872FC">
      <w:pPr>
        <w:pStyle w:val="Heading1"/>
      </w:pPr>
      <w:bookmarkStart w:id="0" w:name="_Toc236182981"/>
      <w:bookmarkStart w:id="1" w:name="_Toc236257108"/>
      <w:r w:rsidRPr="0048483F">
        <w:t>Introduction</w:t>
      </w:r>
      <w:bookmarkEnd w:id="0"/>
      <w:bookmarkEnd w:id="1"/>
    </w:p>
    <w:p w14:paraId="52336A76" w14:textId="77777777" w:rsidR="000E21F1" w:rsidRPr="0048483F" w:rsidRDefault="000E21F1" w:rsidP="00C970ED">
      <w:pPr>
        <w:spacing w:line="360" w:lineRule="auto"/>
        <w:jc w:val="both"/>
        <w:rPr>
          <w:rFonts w:ascii="Times New Roman" w:hAnsi="Times New Roman" w:cs="Times New Roman"/>
        </w:rPr>
      </w:pPr>
      <w:r w:rsidRPr="0048483F">
        <w:rPr>
          <w:rFonts w:ascii="Times New Roman" w:hAnsi="Times New Roman" w:cs="Times New Roman"/>
        </w:rPr>
        <w:t>Steelmakers are under pressure to make a credible environmental change, as they make up about 25% of the greenhouse-gas emissions reported by the world's largest companies (Kotler et al., 2024). In response, Tata Steel, one of the most geographically spread steel groups in the world, has pledged to become ‘Net Zero’ in India, UK, Netherlands and Thailand by 2045, the earliest date by any global steel major (Tata, 2022). This report will be a critical evaluation of the marketing environment in which that transition is taking place. Task 1 explores two environmental actors to be external, in this case the natural environment; Task 2 uses the Ansoff Matrix to suggest a growth option and assess the competitive position; Task 3 is a critical reflection on the use of Artificial Intelligence (AI) in the preparation of the report. The analysis throughout is based on the premise that decarbonisation is not a regulatory challenge, but a marketing challenge, which has to be met.</w:t>
      </w:r>
    </w:p>
    <w:p w14:paraId="1988077D" w14:textId="77777777" w:rsidR="000E21F1" w:rsidRPr="0048483F" w:rsidRDefault="000E21F1" w:rsidP="00C970ED">
      <w:pPr>
        <w:pStyle w:val="Heading1"/>
      </w:pPr>
      <w:bookmarkStart w:id="2" w:name="_Toc236257109"/>
      <w:r w:rsidRPr="0048483F">
        <w:t>Task 1: Marketing Environment Analysis</w:t>
      </w:r>
      <w:bookmarkEnd w:id="2"/>
    </w:p>
    <w:p w14:paraId="1293F8FD" w14:textId="3B19E22C" w:rsidR="000E21F1" w:rsidRPr="0048483F" w:rsidRDefault="000E21F1" w:rsidP="0048483F"/>
    <w:p w14:paraId="51C3CCB0" w14:textId="77777777" w:rsidR="000E21F1" w:rsidRPr="0048483F" w:rsidRDefault="000E21F1" w:rsidP="00C970ED">
      <w:pPr>
        <w:spacing w:line="360" w:lineRule="auto"/>
        <w:jc w:val="both"/>
        <w:rPr>
          <w:rFonts w:ascii="Times New Roman" w:hAnsi="Times New Roman" w:cs="Times New Roman"/>
        </w:rPr>
      </w:pPr>
      <w:r w:rsidRPr="0048483F">
        <w:rPr>
          <w:rFonts w:ascii="Times New Roman" w:hAnsi="Times New Roman" w:cs="Times New Roman"/>
        </w:rPr>
        <w:t>The marketing environment, according to Kotler et al. (2024) is the microenvironmental forces and actors which impact the organisation's capacity to construct and sustain relationship with customers, which are divided into 6 forces: Demographic Forces, Economic Forces, Natural Forces, Technological Forces, Political-Legal Forces and Cultural Forces. In the case of an industry as carbon-intensive as Tata Steel, there are two key players in reducing carbon-intensive products. Considering the natural environment as the main actor since it sets the problem (emissions, dependence on resources) and the response of the product (green steel). The political and legal context is discussed as the second actor as it translates environmental expectations into enforceable, monetary consequences. The two are connected: regulation is the way in which the pressure of natural environment reaches the balance sheet (Dangelico and Vocalelli, 2017).</w:t>
      </w:r>
    </w:p>
    <w:p w14:paraId="5F90606A" w14:textId="77777777" w:rsidR="000E21F1" w:rsidRPr="0048483F" w:rsidRDefault="000E21F1" w:rsidP="00C970ED">
      <w:pPr>
        <w:pStyle w:val="Heading2"/>
      </w:pPr>
      <w:bookmarkStart w:id="3" w:name="_Toc236257110"/>
      <w:r w:rsidRPr="0048483F">
        <w:t>Natural environment (Primary actor)</w:t>
      </w:r>
      <w:bookmarkEnd w:id="3"/>
    </w:p>
    <w:p w14:paraId="40CFB29A" w14:textId="77777777" w:rsidR="000E21F1" w:rsidRPr="0048483F" w:rsidRDefault="000E21F1" w:rsidP="00C970ED">
      <w:pPr>
        <w:spacing w:line="360" w:lineRule="auto"/>
        <w:jc w:val="both"/>
        <w:rPr>
          <w:rFonts w:ascii="Times New Roman" w:hAnsi="Times New Roman" w:cs="Times New Roman"/>
        </w:rPr>
      </w:pPr>
      <w:r w:rsidRPr="0048483F">
        <w:rPr>
          <w:rFonts w:ascii="Times New Roman" w:hAnsi="Times New Roman" w:cs="Times New Roman"/>
        </w:rPr>
        <w:t>Kotler et al. (2024) define the natural environment as the natural resources which are used by marketers as inputs or which are influenced by their marketing activities; and resource scarcity, pollution and governmental interventions as trends in the natural environment. There is a one-to-one correspondence between each trend and the steelmaking process. The natural environment is an essential feed of Tata Steel's main product, and at the same time limits the steel maker's ability to operate: conventional blast furnace – basic oxygen process uses coking coal, and is one of the most carbon intensive industrial processes (accounting for about 7% of global CO₂ emissions from use of energy, IEA 2020). Climate change adds both physical risks (to raw material supplies) and transition risks (changing carbon from externality to strategic resource question); and both sets of risks impact coastal plants.</w:t>
      </w:r>
    </w:p>
    <w:p w14:paraId="7B038D97" w14:textId="77777777" w:rsidR="000E21F1" w:rsidRPr="0048483F" w:rsidRDefault="000E21F1" w:rsidP="00C970ED">
      <w:pPr>
        <w:spacing w:line="360" w:lineRule="auto"/>
        <w:jc w:val="both"/>
        <w:rPr>
          <w:rFonts w:ascii="Times New Roman" w:hAnsi="Times New Roman" w:cs="Times New Roman"/>
        </w:rPr>
      </w:pPr>
      <w:r w:rsidRPr="0048483F">
        <w:rPr>
          <w:rFonts w:ascii="Times New Roman" w:hAnsi="Times New Roman" w:cs="Times New Roman"/>
        </w:rPr>
        <w:t>This is an example of how a natural-environment force affects the product, in the case of Tata Steel. The company is spending £1.25bn – of which £500bn comes from the UK Government – to replace Port Talbot's blast furnaces with an electric arc furnace (EAF) which will melt UK-sourced scrap, reducing the site's direct carbon emissions by around 90% (roughly five million tonnes of CO₂ per year) when it is commissioned in 2027 (New Civil Engineer, 2025). The IJmuiden is working on a direct-reduced-iron process based on hydrogen, aiming for a 35-40% reduction in the Netherlands by 2030, and in India, the company is targeting a 10-15% reduction in the emissions intensity of the process by 2030 (Tata Steel, 2024). The product itself is not a new product, but rather a change in the natural-resource base for production: a replacement of coal with scrap and renewable electricity (Figure 1).</w:t>
      </w:r>
    </w:p>
    <w:p w14:paraId="525BDD47" w14:textId="77777777" w:rsidR="0067498C" w:rsidRPr="0048483F" w:rsidRDefault="00C970ED" w:rsidP="00C970ED">
      <w:pPr>
        <w:spacing w:line="360" w:lineRule="auto"/>
        <w:jc w:val="center"/>
        <w:rPr>
          <w:rFonts w:ascii="Times New Roman" w:hAnsi="Times New Roman" w:cs="Times New Roman"/>
        </w:rPr>
      </w:pPr>
      <w:r w:rsidRPr="0048483F">
        <w:rPr>
          <w:rFonts w:ascii="Times New Roman" w:hAnsi="Times New Roman" w:cs="Times New Roman"/>
          <w:noProof/>
        </w:rPr>
        <w:drawing>
          <wp:inline distT="0" distB="0" distL="0" distR="0" wp14:anchorId="00C45E73" wp14:editId="536442BC">
            <wp:extent cx="4509202" cy="2682240"/>
            <wp:effectExtent l="0" t="0" r="5715" b="3810"/>
            <wp:docPr id="8193920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a:stretch>
                      <a:fillRect/>
                    </a:stretch>
                  </pic:blipFill>
                  <pic:spPr bwMode="auto">
                    <a:xfrm>
                      <a:off x="0" y="0"/>
                      <a:ext cx="4517865" cy="2687393"/>
                    </a:xfrm>
                    <a:prstGeom prst="rect">
                      <a:avLst/>
                    </a:prstGeom>
                    <a:noFill/>
                    <a:ln>
                      <a:noFill/>
                    </a:ln>
                    <a:extLst>
                      <a:ext uri="{53640926-AAD7-44D8-BBD7-CCE9431645EC}">
                        <a14:shadowObscured xmlns:a14="http://schemas.microsoft.com/office/drawing/2010/main"/>
                      </a:ext>
                    </a:extLst>
                  </pic:spPr>
                </pic:pic>
              </a:graphicData>
            </a:graphic>
          </wp:inline>
        </w:drawing>
      </w:r>
    </w:p>
    <w:p w14:paraId="2944DDB6" w14:textId="77777777" w:rsidR="0067498C" w:rsidRPr="0048483F" w:rsidRDefault="00000000" w:rsidP="00C970ED">
      <w:pPr>
        <w:spacing w:line="360" w:lineRule="auto"/>
        <w:jc w:val="center"/>
        <w:rPr>
          <w:rFonts w:ascii="Times New Roman" w:hAnsi="Times New Roman" w:cs="Times New Roman"/>
        </w:rPr>
      </w:pPr>
      <w:r w:rsidRPr="0048483F">
        <w:rPr>
          <w:rFonts w:ascii="Times New Roman" w:hAnsi="Times New Roman" w:cs="Times New Roman"/>
          <w:i/>
          <w:iCs/>
        </w:rPr>
        <w:t>Figure 1: Tata Steel’s regional decarbonisation targets (New Civil Engineer, 2025).</w:t>
      </w:r>
    </w:p>
    <w:p w14:paraId="51FA5EB1" w14:textId="77777777" w:rsidR="000E21F1" w:rsidRPr="0048483F" w:rsidRDefault="000E21F1" w:rsidP="00C970ED">
      <w:pPr>
        <w:spacing w:line="360" w:lineRule="auto"/>
        <w:jc w:val="both"/>
        <w:rPr>
          <w:rFonts w:ascii="Times New Roman" w:hAnsi="Times New Roman" w:cs="Times New Roman"/>
        </w:rPr>
      </w:pPr>
      <w:r w:rsidRPr="0048483F">
        <w:rPr>
          <w:rFonts w:ascii="Times New Roman" w:hAnsi="Times New Roman" w:cs="Times New Roman"/>
        </w:rPr>
        <w:t>That change is not a marketing message, but depends on production route. Figure 2 shows that switching from a coal-based blast-furnace route to a natural-gas direct reduction route and, ultimately, to a steelmaking route using scrap and/or hydrogen, can reduce CO₂ intensity by approximately 80-90% (Griffin and Hammond, 2021; Sun et al., 2022). The key to Tata Steel's lower-carbon offering is the change in the physical production process, rather than the branding that is applied to it.</w:t>
      </w:r>
    </w:p>
    <w:p w14:paraId="0D0F8266" w14:textId="77777777" w:rsidR="00C970ED" w:rsidRPr="0048483F" w:rsidRDefault="00C970ED" w:rsidP="00C970ED">
      <w:pPr>
        <w:spacing w:line="360" w:lineRule="auto"/>
        <w:jc w:val="both"/>
        <w:rPr>
          <w:rFonts w:ascii="Times New Roman" w:hAnsi="Times New Roman" w:cs="Times New Roman"/>
        </w:rPr>
      </w:pPr>
      <w:r w:rsidRPr="0048483F">
        <w:rPr>
          <w:rFonts w:ascii="Times New Roman" w:hAnsi="Times New Roman" w:cs="Times New Roman"/>
          <w:noProof/>
        </w:rPr>
        <w:drawing>
          <wp:inline distT="0" distB="0" distL="0" distR="0" wp14:anchorId="675A77B4" wp14:editId="48E34F41">
            <wp:extent cx="5731510" cy="3310255"/>
            <wp:effectExtent l="0" t="0" r="2540" b="4445"/>
            <wp:docPr id="70618523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a:stretch>
                      <a:fillRect/>
                    </a:stretch>
                  </pic:blipFill>
                  <pic:spPr bwMode="auto">
                    <a:xfrm>
                      <a:off x="0" y="0"/>
                      <a:ext cx="5731510" cy="3310255"/>
                    </a:xfrm>
                    <a:prstGeom prst="rect">
                      <a:avLst/>
                    </a:prstGeom>
                    <a:noFill/>
                    <a:ln>
                      <a:noFill/>
                    </a:ln>
                    <a:extLst>
                      <a:ext uri="{53640926-AAD7-44D8-BBD7-CCE9431645EC}">
                        <a14:shadowObscured xmlns:a14="http://schemas.microsoft.com/office/drawing/2010/main"/>
                      </a:ext>
                    </a:extLst>
                  </pic:spPr>
                </pic:pic>
              </a:graphicData>
            </a:graphic>
          </wp:inline>
        </w:drawing>
      </w:r>
    </w:p>
    <w:p w14:paraId="270A2B38" w14:textId="77777777" w:rsidR="0067498C" w:rsidRPr="0048483F" w:rsidRDefault="0067498C" w:rsidP="00C970ED">
      <w:pPr>
        <w:spacing w:line="360" w:lineRule="auto"/>
        <w:jc w:val="both"/>
        <w:rPr>
          <w:rFonts w:ascii="Times New Roman" w:hAnsi="Times New Roman" w:cs="Times New Roman"/>
        </w:rPr>
      </w:pPr>
    </w:p>
    <w:p w14:paraId="4C28C49B" w14:textId="77777777" w:rsidR="0067498C" w:rsidRPr="0048483F" w:rsidRDefault="00000000" w:rsidP="00C970ED">
      <w:pPr>
        <w:spacing w:line="360" w:lineRule="auto"/>
        <w:jc w:val="center"/>
        <w:rPr>
          <w:rFonts w:ascii="Times New Roman" w:hAnsi="Times New Roman" w:cs="Times New Roman"/>
        </w:rPr>
      </w:pPr>
      <w:r w:rsidRPr="0048483F">
        <w:rPr>
          <w:rFonts w:ascii="Times New Roman" w:hAnsi="Times New Roman" w:cs="Times New Roman"/>
          <w:i/>
          <w:iCs/>
        </w:rPr>
        <w:t>Figure 2: Indicative CO₂ intensity of the main steelmaking routes (IEA, 2020 and Griffin and Hammond, 2021).</w:t>
      </w:r>
    </w:p>
    <w:p w14:paraId="530B502A" w14:textId="77777777" w:rsidR="00C872FC" w:rsidRPr="0048483F" w:rsidRDefault="00C872FC" w:rsidP="00C872FC">
      <w:pPr>
        <w:spacing w:line="360" w:lineRule="auto"/>
        <w:jc w:val="both"/>
        <w:rPr>
          <w:rFonts w:ascii="Times New Roman" w:hAnsi="Times New Roman" w:cs="Times New Roman"/>
        </w:rPr>
      </w:pPr>
      <w:r w:rsidRPr="0048483F">
        <w:rPr>
          <w:rFonts w:ascii="Times New Roman" w:hAnsi="Times New Roman" w:cs="Times New Roman"/>
        </w:rPr>
        <w:t>A closer analysis shows that the natural environment is not simply pushing Tata Steel away from coal but replacing one set of resource dependencies with another. Scrap-based EAF production relies on high quality recycled scrap and hydrogen-based steelmaking on low-carbon electricity and green hydrogen, which are both currently expensive and scarce. This makes security of resources a key component of Tata Steel's marketing offering, as highlighted by the focus on circularity and UK sourced scrap (Kotler et al., 2024). Tata Steel has also extended its sustainability proposition to include net zero water use and net no loss of biodiversity by 2030, which is largely in addition to carbon. And, as the company's sustainability goals grow, it is also building up the demand for reliable evidence to back them up (Tata, 2022). It has reinforced its green positioning with the help of carbon reductions, which are certified by independent bodies (Tata Steel, 2024), while adhering to green marketing principles (Dangelico and Vocalelli, 2017) through the creation of carbon lite products (Zeremis™ and Optemis™). But further growth based on coal raises concerns about the credibility gap and greenwashing (Climate Action Tracker, 2024; Delmas and Burbano, 2011; Peattie and Crane, 2005). Thus, the low-carbon claims of Tata Steel need to be backed up by clear, on-site verification to ensure the credibility of the claims with stakeholders.</w:t>
      </w:r>
    </w:p>
    <w:p w14:paraId="5DAE7CC6" w14:textId="77777777" w:rsidR="0048483F" w:rsidRPr="0048483F" w:rsidRDefault="0067498C" w:rsidP="0048483F">
      <w:pPr>
        <w:pStyle w:val="Heading2"/>
      </w:pPr>
      <w:bookmarkStart w:id="4" w:name="_Toc236257111"/>
      <w:r w:rsidRPr="0048483F">
        <w:t>Natural environment – opportunities and threats</w:t>
      </w:r>
      <w:r w:rsidR="0048483F" w:rsidRPr="0048483F">
        <w:t>:</w:t>
      </w:r>
      <w:bookmarkEnd w:id="4"/>
      <w:r w:rsidR="0048483F" w:rsidRPr="0048483F">
        <w:t xml:space="preserve"> </w:t>
      </w:r>
    </w:p>
    <w:p w14:paraId="5E46898F" w14:textId="4D80B50C" w:rsidR="0048483F" w:rsidRPr="0048483F" w:rsidRDefault="0048483F" w:rsidP="0048483F">
      <w:pPr>
        <w:spacing w:line="360" w:lineRule="auto"/>
        <w:jc w:val="both"/>
        <w:rPr>
          <w:rFonts w:ascii="Times New Roman" w:hAnsi="Times New Roman" w:cs="Times New Roman"/>
        </w:rPr>
      </w:pPr>
      <w:r w:rsidRPr="0048483F">
        <w:rPr>
          <w:rFonts w:ascii="Times New Roman" w:hAnsi="Times New Roman" w:cs="Times New Roman"/>
        </w:rPr>
        <w:t xml:space="preserve">This actor presents both, and they are distributed unevenly across the group. The opportunities are: (O1) rising demand for verified low-carbon steel - making environmental aspects a differentiated product in </w:t>
      </w:r>
      <w:proofErr w:type="spellStart"/>
      <w:r w:rsidRPr="0048483F">
        <w:rPr>
          <w:rFonts w:ascii="Times New Roman" w:hAnsi="Times New Roman" w:cs="Times New Roman"/>
        </w:rPr>
        <w:t>Zeremis</w:t>
      </w:r>
      <w:proofErr w:type="spellEnd"/>
      <w:r w:rsidRPr="0048483F">
        <w:rPr>
          <w:rFonts w:ascii="Times New Roman" w:hAnsi="Times New Roman" w:cs="Times New Roman"/>
        </w:rPr>
        <w:t xml:space="preserve">™ and </w:t>
      </w:r>
      <w:proofErr w:type="spellStart"/>
      <w:r w:rsidRPr="0048483F">
        <w:rPr>
          <w:rFonts w:ascii="Times New Roman" w:hAnsi="Times New Roman" w:cs="Times New Roman"/>
        </w:rPr>
        <w:t>Optemis</w:t>
      </w:r>
      <w:proofErr w:type="spellEnd"/>
      <w:r w:rsidRPr="0048483F">
        <w:rPr>
          <w:rFonts w:ascii="Times New Roman" w:hAnsi="Times New Roman" w:cs="Times New Roman"/>
        </w:rPr>
        <w:t>™ (</w:t>
      </w:r>
      <w:proofErr w:type="spellStart"/>
      <w:r w:rsidRPr="0048483F">
        <w:rPr>
          <w:rFonts w:ascii="Times New Roman" w:hAnsi="Times New Roman" w:cs="Times New Roman"/>
        </w:rPr>
        <w:t>Tata</w:t>
      </w:r>
      <w:proofErr w:type="spellEnd"/>
      <w:r w:rsidRPr="0048483F">
        <w:rPr>
          <w:rFonts w:ascii="Times New Roman" w:hAnsi="Times New Roman" w:cs="Times New Roman"/>
        </w:rPr>
        <w:t xml:space="preserve"> Steel, 2024; Reddy et al., 2023); and (O2) circular, scraps-based position at Port Talbot - reducing exposure to coking-coal markets and making resource security a part of the offer (New Civil Engineer, 2025). The threats are (T1) the lack of access to the new inputs (high-grade scrap, low-carbon electricity and green hydrogen) that replace one dependency with another, placing margin at risk; and (T2) the potential for greenwashing accusations due to India's continued coal-based expansion (Climate Action Tracker, 2024; Delmas and Burbano, 2011). The threat lies in the threat in the Indian portfolio, the input supply chain, whilst the opportunity lies in the UK and Netherlands operations.</w:t>
      </w:r>
    </w:p>
    <w:p w14:paraId="07BC8304" w14:textId="18004AE9" w:rsidR="000E21F1" w:rsidRPr="0048483F" w:rsidRDefault="000E21F1" w:rsidP="0048483F">
      <w:pPr>
        <w:pStyle w:val="Heading2"/>
      </w:pPr>
      <w:bookmarkStart w:id="5" w:name="_Toc236257112"/>
      <w:r w:rsidRPr="0048483F">
        <w:t>The political and legal environment (second actor)</w:t>
      </w:r>
      <w:bookmarkEnd w:id="5"/>
    </w:p>
    <w:p w14:paraId="65FADA09" w14:textId="77777777" w:rsidR="0008671A" w:rsidRPr="0048483F" w:rsidRDefault="0008671A" w:rsidP="0008671A">
      <w:pPr>
        <w:spacing w:line="360" w:lineRule="auto"/>
        <w:jc w:val="both"/>
        <w:rPr>
          <w:rFonts w:ascii="Times New Roman" w:hAnsi="Times New Roman" w:cs="Times New Roman"/>
        </w:rPr>
      </w:pPr>
      <w:r w:rsidRPr="0048483F">
        <w:rPr>
          <w:rFonts w:ascii="Times New Roman" w:hAnsi="Times New Roman" w:cs="Times New Roman"/>
        </w:rPr>
        <w:t>The political and legal environment is defined by Kotler et al. (2024) as the laws, government agencies and pressure groups that can affect organisations. The EU Carbon Border Adjustment Mechanism (CBAM), which will be in its definitive phase from 2026, will embed carbon emissions in steel prices, thus making it less competitive and favouring verified low carbon products (International Carbon Action Partnership, 2023). This is backed by the planned CBAM in the UK and the current ETS (House of Commons Library, 2026). However, governments are helping the transition by making various policies and investments, including the UK Steel Strategy and £500 million for the electric arc furnace (EAF) at Port Talbot (New Civil Engineer, 2025). In addition to regulation, investors, customers and certification schemes like ResponsibleSteel™ are increasingly calling for credible climate action. Tata Steel (2024) acknowledges Government policy and societal expectations as important factors for decarbonisation. Thus, achieving competitive advantage is not just about regulatory compliance, but also on claims that are verifiable and trusted by stakeholders as evidence of a company's environmental efforts.</w:t>
      </w:r>
    </w:p>
    <w:p w14:paraId="04DC6049" w14:textId="77777777" w:rsidR="0048483F" w:rsidRPr="0048483F" w:rsidRDefault="0067498C" w:rsidP="0048483F">
      <w:pPr>
        <w:pStyle w:val="Heading2"/>
      </w:pPr>
      <w:bookmarkStart w:id="6" w:name="_Toc236257113"/>
      <w:r w:rsidRPr="0048483F">
        <w:t>Political and legal environment – opportunities and threats</w:t>
      </w:r>
      <w:r w:rsidR="0048483F" w:rsidRPr="0048483F">
        <w:t>:</w:t>
      </w:r>
      <w:bookmarkEnd w:id="6"/>
    </w:p>
    <w:p w14:paraId="48559C62" w14:textId="77777777" w:rsidR="0048483F" w:rsidRPr="0048483F" w:rsidRDefault="0048483F" w:rsidP="0048483F">
      <w:pPr>
        <w:spacing w:line="360" w:lineRule="auto"/>
        <w:jc w:val="both"/>
        <w:rPr>
          <w:rFonts w:ascii="Times New Roman" w:hAnsi="Times New Roman" w:cs="Times New Roman"/>
        </w:rPr>
      </w:pPr>
      <w:r w:rsidRPr="0048483F">
        <w:rPr>
          <w:rFonts w:ascii="Times New Roman" w:hAnsi="Times New Roman" w:cs="Times New Roman"/>
        </w:rPr>
        <w:t>This actor will also be both, as it is the one that will fund the transition part of the portfolio and will punish the non-transition part. The opportunities are (O3) public co-funding that reduces the capital cost of switching route, such as the UK contribution to the Port Talbot EAF (£500m), and (O4) CBAM being a cost barrier to the entry of imports (in 2026) – it prices the embedded carbon of imports, and hides the verified low-carbon producers inside the EU (European Parliament and Council (2023); Porter and van der Linde (1995); European Parliament (2025). The threats are (T3) ETS liabilities and CBAM charges on Tata Steel's own remaining high carbon output, which will be incurred by the lines that are still doing the majority of the business; and (T4) policy uncertainty regarding the timing of CBAM, how the free allocation levels are determined, and continued state support for the industry, leaving a multi-billion-pound investment case exposed to policy decisions that Tata Steel cannot influence. Therefore, it is also a net opportunity for the UK and EU low-carbon assets and a net threat for the existing high-carbon capacity. All eight factors are coded in Table 2 for use in Task 2.</w:t>
      </w:r>
    </w:p>
    <w:p w14:paraId="7A5B9F2C" w14:textId="106686FF" w:rsidR="0067498C" w:rsidRPr="0048483F" w:rsidRDefault="00000000" w:rsidP="00C970ED">
      <w:pPr>
        <w:spacing w:line="360" w:lineRule="auto"/>
        <w:jc w:val="center"/>
        <w:rPr>
          <w:rFonts w:ascii="Times New Roman" w:hAnsi="Times New Roman" w:cs="Times New Roman"/>
          <w:b/>
          <w:bCs/>
          <w:i/>
          <w:iCs/>
        </w:rPr>
      </w:pPr>
      <w:r w:rsidRPr="0048483F">
        <w:rPr>
          <w:rFonts w:ascii="Times New Roman" w:hAnsi="Times New Roman" w:cs="Times New Roman"/>
          <w:b/>
          <w:bCs/>
          <w:i/>
          <w:iCs/>
        </w:rPr>
        <w:t xml:space="preserve">Table 1: External environmental actors influencing </w:t>
      </w:r>
      <w:proofErr w:type="spellStart"/>
      <w:r w:rsidRPr="0048483F">
        <w:rPr>
          <w:rFonts w:ascii="Times New Roman" w:hAnsi="Times New Roman" w:cs="Times New Roman"/>
          <w:b/>
          <w:bCs/>
          <w:i/>
          <w:iCs/>
        </w:rPr>
        <w:t>Tata</w:t>
      </w:r>
      <w:proofErr w:type="spellEnd"/>
      <w:r w:rsidRPr="0048483F">
        <w:rPr>
          <w:rFonts w:ascii="Times New Roman" w:hAnsi="Times New Roman" w:cs="Times New Roman"/>
          <w:b/>
          <w:bCs/>
          <w:i/>
          <w:iCs/>
        </w:rPr>
        <w:t xml:space="preserve"> Steel’s low-carbon transition</w:t>
      </w:r>
    </w:p>
    <w:tbl>
      <w:tblPr>
        <w:tblW w:w="9000" w:type="dxa"/>
        <w:tblBorders>
          <w:top w:val="single" w:sz="4" w:space="0" w:color="AAB4C0"/>
          <w:left w:val="single" w:sz="4" w:space="0" w:color="AAB4C0"/>
          <w:bottom w:val="single" w:sz="4" w:space="0" w:color="AAB4C0"/>
          <w:right w:val="single" w:sz="4" w:space="0" w:color="AAB4C0"/>
          <w:insideH w:val="single" w:sz="4" w:space="0" w:color="AAB4C0"/>
          <w:insideV w:val="single" w:sz="4" w:space="0" w:color="AAB4C0"/>
        </w:tblBorders>
        <w:tblCellMar>
          <w:left w:w="10" w:type="dxa"/>
          <w:right w:w="10" w:type="dxa"/>
        </w:tblCellMar>
        <w:tblLook w:val="0000" w:firstRow="0" w:lastRow="0" w:firstColumn="0" w:lastColumn="0" w:noHBand="0" w:noVBand="0"/>
      </w:tblPr>
      <w:tblGrid>
        <w:gridCol w:w="1900"/>
        <w:gridCol w:w="3550"/>
        <w:gridCol w:w="3550"/>
      </w:tblGrid>
      <w:tr w:rsidR="0067498C" w:rsidRPr="0048483F" w14:paraId="1677961A" w14:textId="77777777">
        <w:trPr>
          <w:tblHeader/>
        </w:trPr>
        <w:tc>
          <w:tcPr>
            <w:tcW w:w="1900" w:type="dxa"/>
            <w:shd w:val="clear" w:color="auto" w:fill="0B2545"/>
            <w:tcMar>
              <w:top w:w="70" w:type="dxa"/>
              <w:left w:w="90" w:type="dxa"/>
              <w:bottom w:w="70" w:type="dxa"/>
              <w:right w:w="90" w:type="dxa"/>
            </w:tcMar>
            <w:vAlign w:val="center"/>
          </w:tcPr>
          <w:p w14:paraId="27F6447C" w14:textId="77777777" w:rsidR="0067498C" w:rsidRPr="0048483F" w:rsidRDefault="00000000" w:rsidP="00C970ED">
            <w:pPr>
              <w:spacing w:line="360" w:lineRule="auto"/>
              <w:jc w:val="both"/>
              <w:rPr>
                <w:rFonts w:ascii="Times New Roman" w:hAnsi="Times New Roman" w:cs="Times New Roman"/>
              </w:rPr>
            </w:pPr>
            <w:r w:rsidRPr="0048483F">
              <w:rPr>
                <w:rFonts w:ascii="Times New Roman" w:hAnsi="Times New Roman" w:cs="Times New Roman"/>
                <w:b/>
                <w:bCs/>
                <w:color w:val="FFFFFF"/>
              </w:rPr>
              <w:t>Environmental actor</w:t>
            </w:r>
          </w:p>
        </w:tc>
        <w:tc>
          <w:tcPr>
            <w:tcW w:w="3550" w:type="dxa"/>
            <w:shd w:val="clear" w:color="auto" w:fill="0B2545"/>
            <w:tcMar>
              <w:top w:w="70" w:type="dxa"/>
              <w:left w:w="90" w:type="dxa"/>
              <w:bottom w:w="70" w:type="dxa"/>
              <w:right w:w="90" w:type="dxa"/>
            </w:tcMar>
            <w:vAlign w:val="center"/>
          </w:tcPr>
          <w:p w14:paraId="2DAE194C" w14:textId="77777777" w:rsidR="0067498C" w:rsidRPr="0048483F" w:rsidRDefault="00000000" w:rsidP="00C970ED">
            <w:pPr>
              <w:spacing w:line="360" w:lineRule="auto"/>
              <w:jc w:val="both"/>
              <w:rPr>
                <w:rFonts w:ascii="Times New Roman" w:hAnsi="Times New Roman" w:cs="Times New Roman"/>
              </w:rPr>
            </w:pPr>
            <w:r w:rsidRPr="0048483F">
              <w:rPr>
                <w:rFonts w:ascii="Times New Roman" w:hAnsi="Times New Roman" w:cs="Times New Roman"/>
                <w:b/>
                <w:bCs/>
                <w:color w:val="FFFFFF"/>
              </w:rPr>
              <w:t>Key forces acting on Tata Steel</w:t>
            </w:r>
          </w:p>
        </w:tc>
        <w:tc>
          <w:tcPr>
            <w:tcW w:w="3550" w:type="dxa"/>
            <w:shd w:val="clear" w:color="auto" w:fill="0B2545"/>
            <w:tcMar>
              <w:top w:w="70" w:type="dxa"/>
              <w:left w:w="90" w:type="dxa"/>
              <w:bottom w:w="70" w:type="dxa"/>
              <w:right w:w="90" w:type="dxa"/>
            </w:tcMar>
            <w:vAlign w:val="center"/>
          </w:tcPr>
          <w:p w14:paraId="0B0D40B2" w14:textId="77777777" w:rsidR="0067498C" w:rsidRPr="0048483F" w:rsidRDefault="00000000" w:rsidP="00C970ED">
            <w:pPr>
              <w:spacing w:line="360" w:lineRule="auto"/>
              <w:jc w:val="both"/>
              <w:rPr>
                <w:rFonts w:ascii="Times New Roman" w:hAnsi="Times New Roman" w:cs="Times New Roman"/>
              </w:rPr>
            </w:pPr>
            <w:r w:rsidRPr="0048483F">
              <w:rPr>
                <w:rFonts w:ascii="Times New Roman" w:hAnsi="Times New Roman" w:cs="Times New Roman"/>
                <w:b/>
                <w:bCs/>
                <w:color w:val="FFFFFF"/>
              </w:rPr>
              <w:t>Marketing implication for the low-carbon transition</w:t>
            </w:r>
          </w:p>
        </w:tc>
      </w:tr>
      <w:tr w:rsidR="0067498C" w:rsidRPr="0048483F" w14:paraId="17BBCCA5" w14:textId="77777777">
        <w:tc>
          <w:tcPr>
            <w:tcW w:w="1900" w:type="dxa"/>
            <w:shd w:val="clear" w:color="auto" w:fill="EAF3F4"/>
            <w:tcMar>
              <w:top w:w="60" w:type="dxa"/>
              <w:left w:w="90" w:type="dxa"/>
              <w:bottom w:w="60" w:type="dxa"/>
              <w:right w:w="90" w:type="dxa"/>
            </w:tcMar>
            <w:vAlign w:val="center"/>
          </w:tcPr>
          <w:p w14:paraId="04C62815" w14:textId="77777777" w:rsidR="0067498C" w:rsidRPr="0048483F" w:rsidRDefault="00000000" w:rsidP="00C970ED">
            <w:pPr>
              <w:spacing w:line="360" w:lineRule="auto"/>
              <w:jc w:val="both"/>
              <w:rPr>
                <w:rFonts w:ascii="Times New Roman" w:hAnsi="Times New Roman" w:cs="Times New Roman"/>
              </w:rPr>
            </w:pPr>
            <w:r w:rsidRPr="0048483F">
              <w:rPr>
                <w:rFonts w:ascii="Times New Roman" w:hAnsi="Times New Roman" w:cs="Times New Roman"/>
                <w:b/>
                <w:bCs/>
              </w:rPr>
              <w:t>Natural environment</w:t>
            </w:r>
          </w:p>
        </w:tc>
        <w:tc>
          <w:tcPr>
            <w:tcW w:w="3550" w:type="dxa"/>
            <w:tcMar>
              <w:top w:w="60" w:type="dxa"/>
              <w:left w:w="90" w:type="dxa"/>
              <w:bottom w:w="60" w:type="dxa"/>
              <w:right w:w="90" w:type="dxa"/>
            </w:tcMar>
            <w:vAlign w:val="center"/>
          </w:tcPr>
          <w:p w14:paraId="40FC6FCA" w14:textId="77777777" w:rsidR="0067498C" w:rsidRPr="0048483F" w:rsidRDefault="00000000" w:rsidP="00C970ED">
            <w:pPr>
              <w:spacing w:line="360" w:lineRule="auto"/>
              <w:jc w:val="both"/>
              <w:rPr>
                <w:rFonts w:ascii="Times New Roman" w:hAnsi="Times New Roman" w:cs="Times New Roman"/>
              </w:rPr>
            </w:pPr>
            <w:r w:rsidRPr="0048483F">
              <w:rPr>
                <w:rFonts w:ascii="Times New Roman" w:hAnsi="Times New Roman" w:cs="Times New Roman"/>
              </w:rPr>
              <w:t>Carbon-intensive inputs (coking coal); climate-related physical and transition risk; scarcity of low-carbon energy and high-grade scrap.</w:t>
            </w:r>
          </w:p>
        </w:tc>
        <w:tc>
          <w:tcPr>
            <w:tcW w:w="3550" w:type="dxa"/>
            <w:tcMar>
              <w:top w:w="60" w:type="dxa"/>
              <w:left w:w="90" w:type="dxa"/>
              <w:bottom w:w="60" w:type="dxa"/>
              <w:right w:w="90" w:type="dxa"/>
            </w:tcMar>
            <w:vAlign w:val="center"/>
          </w:tcPr>
          <w:p w14:paraId="2F598122" w14:textId="77777777" w:rsidR="0067498C" w:rsidRPr="0048483F" w:rsidRDefault="00000000" w:rsidP="00C970ED">
            <w:pPr>
              <w:spacing w:line="360" w:lineRule="auto"/>
              <w:jc w:val="both"/>
              <w:rPr>
                <w:rFonts w:ascii="Times New Roman" w:hAnsi="Times New Roman" w:cs="Times New Roman"/>
              </w:rPr>
            </w:pPr>
            <w:r w:rsidRPr="0048483F">
              <w:rPr>
                <w:rFonts w:ascii="Times New Roman" w:hAnsi="Times New Roman" w:cs="Times New Roman"/>
              </w:rPr>
              <w:t>Re-engineering of the product itself (EAF and hydrogen-DRI routes) and creation of branded low-carbon products such as Zeremis™ to signal environmental value.</w:t>
            </w:r>
          </w:p>
        </w:tc>
      </w:tr>
      <w:tr w:rsidR="0067498C" w:rsidRPr="0048483F" w14:paraId="46489228" w14:textId="77777777">
        <w:tc>
          <w:tcPr>
            <w:tcW w:w="1900" w:type="dxa"/>
            <w:shd w:val="clear" w:color="auto" w:fill="EAF3F4"/>
            <w:tcMar>
              <w:top w:w="60" w:type="dxa"/>
              <w:left w:w="90" w:type="dxa"/>
              <w:bottom w:w="60" w:type="dxa"/>
              <w:right w:w="90" w:type="dxa"/>
            </w:tcMar>
            <w:vAlign w:val="center"/>
          </w:tcPr>
          <w:p w14:paraId="1AA6A0DF" w14:textId="77777777" w:rsidR="0067498C" w:rsidRPr="0048483F" w:rsidRDefault="00000000" w:rsidP="00C970ED">
            <w:pPr>
              <w:spacing w:line="360" w:lineRule="auto"/>
              <w:jc w:val="both"/>
              <w:rPr>
                <w:rFonts w:ascii="Times New Roman" w:hAnsi="Times New Roman" w:cs="Times New Roman"/>
              </w:rPr>
            </w:pPr>
            <w:r w:rsidRPr="0048483F">
              <w:rPr>
                <w:rFonts w:ascii="Times New Roman" w:hAnsi="Times New Roman" w:cs="Times New Roman"/>
                <w:b/>
                <w:bCs/>
              </w:rPr>
              <w:t>Political &amp; legal environment</w:t>
            </w:r>
          </w:p>
        </w:tc>
        <w:tc>
          <w:tcPr>
            <w:tcW w:w="3550" w:type="dxa"/>
            <w:tcMar>
              <w:top w:w="60" w:type="dxa"/>
              <w:left w:w="90" w:type="dxa"/>
              <w:bottom w:w="60" w:type="dxa"/>
              <w:right w:w="90" w:type="dxa"/>
            </w:tcMar>
            <w:vAlign w:val="center"/>
          </w:tcPr>
          <w:p w14:paraId="05765711" w14:textId="77777777" w:rsidR="0067498C" w:rsidRPr="0048483F" w:rsidRDefault="00000000" w:rsidP="00C970ED">
            <w:pPr>
              <w:spacing w:line="360" w:lineRule="auto"/>
              <w:jc w:val="both"/>
              <w:rPr>
                <w:rFonts w:ascii="Times New Roman" w:hAnsi="Times New Roman" w:cs="Times New Roman"/>
              </w:rPr>
            </w:pPr>
            <w:r w:rsidRPr="0048483F">
              <w:rPr>
                <w:rFonts w:ascii="Times New Roman" w:hAnsi="Times New Roman" w:cs="Times New Roman"/>
              </w:rPr>
              <w:t>EU CBAM (definitive phase, 2026); UK and EU Emissions Trading Schemes; UK Government co-funding and Steel Strategy.</w:t>
            </w:r>
          </w:p>
        </w:tc>
        <w:tc>
          <w:tcPr>
            <w:tcW w:w="3550" w:type="dxa"/>
            <w:tcMar>
              <w:top w:w="60" w:type="dxa"/>
              <w:left w:w="90" w:type="dxa"/>
              <w:bottom w:w="60" w:type="dxa"/>
              <w:right w:w="90" w:type="dxa"/>
            </w:tcMar>
            <w:vAlign w:val="center"/>
          </w:tcPr>
          <w:p w14:paraId="27F6E8AA" w14:textId="77777777" w:rsidR="0067498C" w:rsidRPr="0048483F" w:rsidRDefault="00000000" w:rsidP="00C970ED">
            <w:pPr>
              <w:spacing w:line="360" w:lineRule="auto"/>
              <w:jc w:val="both"/>
              <w:rPr>
                <w:rFonts w:ascii="Times New Roman" w:hAnsi="Times New Roman" w:cs="Times New Roman"/>
              </w:rPr>
            </w:pPr>
            <w:r w:rsidRPr="0048483F">
              <w:rPr>
                <w:rFonts w:ascii="Times New Roman" w:hAnsi="Times New Roman" w:cs="Times New Roman"/>
              </w:rPr>
              <w:t>Converts environmental pressure into a direct financial and market-access cost, making low-carbon steel a condition of competing in regulated markets.</w:t>
            </w:r>
          </w:p>
        </w:tc>
      </w:tr>
    </w:tbl>
    <w:p w14:paraId="691BDE8C" w14:textId="77777777" w:rsidR="006B3598" w:rsidRPr="0048483F" w:rsidRDefault="006B3598">
      <w:pPr>
        <w:spacing w:line="360" w:lineRule="auto"/>
        <w:jc w:val="both"/>
        <w:rPr>
          <w:rFonts w:ascii="Times New Roman" w:hAnsi="Times New Roman" w:cs="Times New Roman"/>
        </w:rPr>
      </w:pPr>
    </w:p>
    <w:p w14:paraId="6D358EC7" w14:textId="77777777" w:rsidR="006B3598" w:rsidRPr="0048483F" w:rsidRDefault="00000000">
      <w:pPr>
        <w:pageBreakBefore/>
        <w:spacing w:line="360" w:lineRule="auto"/>
        <w:jc w:val="center"/>
        <w:rPr>
          <w:rFonts w:ascii="Times New Roman" w:hAnsi="Times New Roman" w:cs="Times New Roman"/>
          <w:b/>
          <w:bCs/>
          <w:i/>
          <w:iCs/>
        </w:rPr>
      </w:pPr>
      <w:r w:rsidRPr="0048483F">
        <w:rPr>
          <w:rFonts w:ascii="Times New Roman" w:hAnsi="Times New Roman" w:cs="Times New Roman"/>
          <w:b/>
          <w:bCs/>
          <w:i/>
          <w:iCs/>
        </w:rPr>
        <w:t>Table 2: Summary of the opportunities and threats arising from the two environmental actors, coded for use in Task 2.</w:t>
      </w:r>
    </w:p>
    <w:tbl>
      <w:tblPr>
        <w:tblW w:w="9000" w:type="dxa"/>
        <w:tblBorders>
          <w:top w:val="single" w:sz="4" w:space="0" w:color="AAB4C0"/>
          <w:left w:val="single" w:sz="4" w:space="0" w:color="AAB4C0"/>
          <w:bottom w:val="single" w:sz="4" w:space="0" w:color="AAB4C0"/>
          <w:right w:val="single" w:sz="4" w:space="0" w:color="AAB4C0"/>
          <w:insideH w:val="single" w:sz="4" w:space="0" w:color="AAB4C0"/>
          <w:insideV w:val="single" w:sz="4" w:space="0" w:color="AAB4C0"/>
        </w:tblBorders>
        <w:tblCellMar>
          <w:left w:w="10" w:type="dxa"/>
          <w:right w:w="10" w:type="dxa"/>
        </w:tblCellMar>
        <w:tblLook w:val="0000" w:firstRow="0" w:lastRow="0" w:firstColumn="0" w:lastColumn="0" w:noHBand="0" w:noVBand="0"/>
      </w:tblPr>
      <w:tblGrid>
        <w:gridCol w:w="900"/>
        <w:gridCol w:w="3000"/>
        <w:gridCol w:w="1700"/>
        <w:gridCol w:w="3400"/>
      </w:tblGrid>
      <w:tr w:rsidR="006B3598" w:rsidRPr="0048483F" w14:paraId="684AAC0D" w14:textId="77777777">
        <w:trPr>
          <w:tblHeader/>
        </w:trPr>
        <w:tc>
          <w:tcPr>
            <w:tcW w:w="900" w:type="dxa"/>
            <w:shd w:val="clear" w:color="auto" w:fill="0B2545"/>
            <w:tcMar>
              <w:top w:w="70" w:type="dxa"/>
              <w:left w:w="90" w:type="dxa"/>
              <w:bottom w:w="70" w:type="dxa"/>
              <w:right w:w="90" w:type="dxa"/>
            </w:tcMar>
            <w:vAlign w:val="center"/>
          </w:tcPr>
          <w:p w14:paraId="3AB3540A" w14:textId="77777777" w:rsidR="006B3598" w:rsidRPr="0048483F" w:rsidRDefault="00000000">
            <w:pPr>
              <w:spacing w:line="276" w:lineRule="auto"/>
              <w:rPr>
                <w:rFonts w:ascii="Times New Roman" w:hAnsi="Times New Roman" w:cs="Times New Roman"/>
              </w:rPr>
            </w:pPr>
            <w:r w:rsidRPr="0048483F">
              <w:rPr>
                <w:rFonts w:ascii="Times New Roman" w:hAnsi="Times New Roman" w:cs="Times New Roman"/>
                <w:b/>
                <w:bCs/>
                <w:color w:val="FFFFFF"/>
              </w:rPr>
              <w:t>Code</w:t>
            </w:r>
          </w:p>
        </w:tc>
        <w:tc>
          <w:tcPr>
            <w:tcW w:w="3000" w:type="dxa"/>
            <w:shd w:val="clear" w:color="auto" w:fill="0B2545"/>
            <w:tcMar>
              <w:top w:w="70" w:type="dxa"/>
              <w:left w:w="90" w:type="dxa"/>
              <w:bottom w:w="70" w:type="dxa"/>
              <w:right w:w="90" w:type="dxa"/>
            </w:tcMar>
            <w:vAlign w:val="center"/>
          </w:tcPr>
          <w:p w14:paraId="0CABE545" w14:textId="77777777" w:rsidR="006B3598" w:rsidRPr="0048483F" w:rsidRDefault="00000000">
            <w:pPr>
              <w:spacing w:line="276" w:lineRule="auto"/>
              <w:rPr>
                <w:rFonts w:ascii="Times New Roman" w:hAnsi="Times New Roman" w:cs="Times New Roman"/>
              </w:rPr>
            </w:pPr>
            <w:r w:rsidRPr="0048483F">
              <w:rPr>
                <w:rFonts w:ascii="Times New Roman" w:hAnsi="Times New Roman" w:cs="Times New Roman"/>
                <w:b/>
                <w:bCs/>
                <w:color w:val="FFFFFF"/>
              </w:rPr>
              <w:t>Factor in the marketing environment</w:t>
            </w:r>
          </w:p>
        </w:tc>
        <w:tc>
          <w:tcPr>
            <w:tcW w:w="1700" w:type="dxa"/>
            <w:shd w:val="clear" w:color="auto" w:fill="0B2545"/>
            <w:tcMar>
              <w:top w:w="70" w:type="dxa"/>
              <w:left w:w="90" w:type="dxa"/>
              <w:bottom w:w="70" w:type="dxa"/>
              <w:right w:w="90" w:type="dxa"/>
            </w:tcMar>
            <w:vAlign w:val="center"/>
          </w:tcPr>
          <w:p w14:paraId="39872F2E" w14:textId="77777777" w:rsidR="006B3598" w:rsidRPr="0048483F" w:rsidRDefault="00000000">
            <w:pPr>
              <w:spacing w:line="276" w:lineRule="auto"/>
              <w:rPr>
                <w:rFonts w:ascii="Times New Roman" w:hAnsi="Times New Roman" w:cs="Times New Roman"/>
              </w:rPr>
            </w:pPr>
            <w:r w:rsidRPr="0048483F">
              <w:rPr>
                <w:rFonts w:ascii="Times New Roman" w:hAnsi="Times New Roman" w:cs="Times New Roman"/>
                <w:b/>
                <w:bCs/>
                <w:color w:val="FFFFFF"/>
              </w:rPr>
              <w:t>Actor and classification</w:t>
            </w:r>
          </w:p>
        </w:tc>
        <w:tc>
          <w:tcPr>
            <w:tcW w:w="3400" w:type="dxa"/>
            <w:shd w:val="clear" w:color="auto" w:fill="0B2545"/>
            <w:tcMar>
              <w:top w:w="70" w:type="dxa"/>
              <w:left w:w="90" w:type="dxa"/>
              <w:bottom w:w="70" w:type="dxa"/>
              <w:right w:w="90" w:type="dxa"/>
            </w:tcMar>
            <w:vAlign w:val="center"/>
          </w:tcPr>
          <w:p w14:paraId="1229CA83" w14:textId="77777777" w:rsidR="006B3598" w:rsidRPr="0048483F" w:rsidRDefault="00000000">
            <w:pPr>
              <w:spacing w:line="276" w:lineRule="auto"/>
              <w:rPr>
                <w:rFonts w:ascii="Times New Roman" w:hAnsi="Times New Roman" w:cs="Times New Roman"/>
              </w:rPr>
            </w:pPr>
            <w:r w:rsidRPr="0048483F">
              <w:rPr>
                <w:rFonts w:ascii="Times New Roman" w:hAnsi="Times New Roman" w:cs="Times New Roman"/>
                <w:b/>
                <w:bCs/>
                <w:color w:val="FFFFFF"/>
              </w:rPr>
              <w:t>Strategic response developed in Task 2</w:t>
            </w:r>
          </w:p>
        </w:tc>
      </w:tr>
      <w:tr w:rsidR="006B3598" w:rsidRPr="0048483F" w14:paraId="74D0605D" w14:textId="77777777">
        <w:tc>
          <w:tcPr>
            <w:tcW w:w="900" w:type="dxa"/>
            <w:tcMar>
              <w:top w:w="70" w:type="dxa"/>
              <w:left w:w="90" w:type="dxa"/>
              <w:bottom w:w="70" w:type="dxa"/>
              <w:right w:w="90" w:type="dxa"/>
            </w:tcMar>
            <w:vAlign w:val="center"/>
          </w:tcPr>
          <w:p w14:paraId="13B74BDD" w14:textId="77777777" w:rsidR="006B3598" w:rsidRPr="0048483F" w:rsidRDefault="00000000">
            <w:pPr>
              <w:spacing w:line="276" w:lineRule="auto"/>
              <w:rPr>
                <w:rFonts w:ascii="Times New Roman" w:hAnsi="Times New Roman" w:cs="Times New Roman"/>
              </w:rPr>
            </w:pPr>
            <w:r w:rsidRPr="0048483F">
              <w:rPr>
                <w:rFonts w:ascii="Times New Roman" w:hAnsi="Times New Roman" w:cs="Times New Roman"/>
                <w:b/>
                <w:bCs/>
              </w:rPr>
              <w:t>O1</w:t>
            </w:r>
          </w:p>
        </w:tc>
        <w:tc>
          <w:tcPr>
            <w:tcW w:w="3000" w:type="dxa"/>
            <w:tcMar>
              <w:top w:w="70" w:type="dxa"/>
              <w:left w:w="90" w:type="dxa"/>
              <w:bottom w:w="70" w:type="dxa"/>
              <w:right w:w="90" w:type="dxa"/>
            </w:tcMar>
            <w:vAlign w:val="center"/>
          </w:tcPr>
          <w:p w14:paraId="79E6084A" w14:textId="77777777" w:rsidR="006B3598" w:rsidRPr="0048483F" w:rsidRDefault="00000000">
            <w:pPr>
              <w:spacing w:line="276" w:lineRule="auto"/>
              <w:rPr>
                <w:rFonts w:ascii="Times New Roman" w:hAnsi="Times New Roman" w:cs="Times New Roman"/>
              </w:rPr>
            </w:pPr>
            <w:r w:rsidRPr="0048483F">
              <w:rPr>
                <w:rFonts w:ascii="Times New Roman" w:hAnsi="Times New Roman" w:cs="Times New Roman"/>
              </w:rPr>
              <w:t>Customer demand for verified low-carbon steel from automotive and construction buyers under Scope 3 pressure</w:t>
            </w:r>
          </w:p>
        </w:tc>
        <w:tc>
          <w:tcPr>
            <w:tcW w:w="1700" w:type="dxa"/>
            <w:tcMar>
              <w:top w:w="70" w:type="dxa"/>
              <w:left w:w="90" w:type="dxa"/>
              <w:bottom w:w="70" w:type="dxa"/>
              <w:right w:w="90" w:type="dxa"/>
            </w:tcMar>
            <w:vAlign w:val="center"/>
          </w:tcPr>
          <w:p w14:paraId="08D90921" w14:textId="77777777" w:rsidR="006B3598" w:rsidRPr="0048483F" w:rsidRDefault="00000000">
            <w:pPr>
              <w:spacing w:line="276" w:lineRule="auto"/>
              <w:rPr>
                <w:rFonts w:ascii="Times New Roman" w:hAnsi="Times New Roman" w:cs="Times New Roman"/>
              </w:rPr>
            </w:pPr>
            <w:r w:rsidRPr="0048483F">
              <w:rPr>
                <w:rFonts w:ascii="Times New Roman" w:hAnsi="Times New Roman" w:cs="Times New Roman"/>
              </w:rPr>
              <w:t>Natural – Opportunity</w:t>
            </w:r>
          </w:p>
        </w:tc>
        <w:tc>
          <w:tcPr>
            <w:tcW w:w="3400" w:type="dxa"/>
            <w:tcMar>
              <w:top w:w="70" w:type="dxa"/>
              <w:left w:w="90" w:type="dxa"/>
              <w:bottom w:w="70" w:type="dxa"/>
              <w:right w:w="90" w:type="dxa"/>
            </w:tcMar>
            <w:vAlign w:val="center"/>
          </w:tcPr>
          <w:p w14:paraId="093FEF6A" w14:textId="77777777" w:rsidR="006B3598" w:rsidRPr="0048483F" w:rsidRDefault="00000000">
            <w:pPr>
              <w:spacing w:line="276" w:lineRule="auto"/>
              <w:rPr>
                <w:rFonts w:ascii="Times New Roman" w:hAnsi="Times New Roman" w:cs="Times New Roman"/>
              </w:rPr>
            </w:pPr>
            <w:r w:rsidRPr="0048483F">
              <w:rPr>
                <w:rFonts w:ascii="Times New Roman" w:hAnsi="Times New Roman" w:cs="Times New Roman"/>
              </w:rPr>
              <w:t>Product development (core)</w:t>
            </w:r>
          </w:p>
        </w:tc>
      </w:tr>
      <w:tr w:rsidR="006B3598" w:rsidRPr="0048483F" w14:paraId="5250E227" w14:textId="77777777">
        <w:tc>
          <w:tcPr>
            <w:tcW w:w="900" w:type="dxa"/>
            <w:tcMar>
              <w:top w:w="70" w:type="dxa"/>
              <w:left w:w="90" w:type="dxa"/>
              <w:bottom w:w="70" w:type="dxa"/>
              <w:right w:w="90" w:type="dxa"/>
            </w:tcMar>
            <w:vAlign w:val="center"/>
          </w:tcPr>
          <w:p w14:paraId="790DCC17" w14:textId="77777777" w:rsidR="006B3598" w:rsidRPr="0048483F" w:rsidRDefault="00000000">
            <w:pPr>
              <w:spacing w:line="276" w:lineRule="auto"/>
              <w:rPr>
                <w:rFonts w:ascii="Times New Roman" w:hAnsi="Times New Roman" w:cs="Times New Roman"/>
              </w:rPr>
            </w:pPr>
            <w:r w:rsidRPr="0048483F">
              <w:rPr>
                <w:rFonts w:ascii="Times New Roman" w:hAnsi="Times New Roman" w:cs="Times New Roman"/>
                <w:b/>
                <w:bCs/>
              </w:rPr>
              <w:t>O2</w:t>
            </w:r>
          </w:p>
        </w:tc>
        <w:tc>
          <w:tcPr>
            <w:tcW w:w="3000" w:type="dxa"/>
            <w:tcMar>
              <w:top w:w="70" w:type="dxa"/>
              <w:left w:w="90" w:type="dxa"/>
              <w:bottom w:w="70" w:type="dxa"/>
              <w:right w:w="90" w:type="dxa"/>
            </w:tcMar>
            <w:vAlign w:val="center"/>
          </w:tcPr>
          <w:p w14:paraId="215B7562" w14:textId="77777777" w:rsidR="006B3598" w:rsidRPr="0048483F" w:rsidRDefault="00000000">
            <w:pPr>
              <w:spacing w:line="276" w:lineRule="auto"/>
              <w:rPr>
                <w:rFonts w:ascii="Times New Roman" w:hAnsi="Times New Roman" w:cs="Times New Roman"/>
              </w:rPr>
            </w:pPr>
            <w:r w:rsidRPr="0048483F">
              <w:rPr>
                <w:rFonts w:ascii="Times New Roman" w:hAnsi="Times New Roman" w:cs="Times New Roman"/>
              </w:rPr>
              <w:t>Scrap-based circularity and resource security at the Port Talbot EAF</w:t>
            </w:r>
          </w:p>
        </w:tc>
        <w:tc>
          <w:tcPr>
            <w:tcW w:w="1700" w:type="dxa"/>
            <w:tcMar>
              <w:top w:w="70" w:type="dxa"/>
              <w:left w:w="90" w:type="dxa"/>
              <w:bottom w:w="70" w:type="dxa"/>
              <w:right w:w="90" w:type="dxa"/>
            </w:tcMar>
            <w:vAlign w:val="center"/>
          </w:tcPr>
          <w:p w14:paraId="4CB30126" w14:textId="77777777" w:rsidR="006B3598" w:rsidRPr="0048483F" w:rsidRDefault="00000000">
            <w:pPr>
              <w:spacing w:line="276" w:lineRule="auto"/>
              <w:rPr>
                <w:rFonts w:ascii="Times New Roman" w:hAnsi="Times New Roman" w:cs="Times New Roman"/>
              </w:rPr>
            </w:pPr>
            <w:r w:rsidRPr="0048483F">
              <w:rPr>
                <w:rFonts w:ascii="Times New Roman" w:hAnsi="Times New Roman" w:cs="Times New Roman"/>
              </w:rPr>
              <w:t>Natural – Opportunity</w:t>
            </w:r>
          </w:p>
        </w:tc>
        <w:tc>
          <w:tcPr>
            <w:tcW w:w="3400" w:type="dxa"/>
            <w:tcMar>
              <w:top w:w="70" w:type="dxa"/>
              <w:left w:w="90" w:type="dxa"/>
              <w:bottom w:w="70" w:type="dxa"/>
              <w:right w:w="90" w:type="dxa"/>
            </w:tcMar>
            <w:vAlign w:val="center"/>
          </w:tcPr>
          <w:p w14:paraId="0A3FF2C3" w14:textId="77777777" w:rsidR="006B3598" w:rsidRPr="0048483F" w:rsidRDefault="00000000">
            <w:pPr>
              <w:spacing w:line="276" w:lineRule="auto"/>
              <w:rPr>
                <w:rFonts w:ascii="Times New Roman" w:hAnsi="Times New Roman" w:cs="Times New Roman"/>
              </w:rPr>
            </w:pPr>
            <w:r w:rsidRPr="0048483F">
              <w:rPr>
                <w:rFonts w:ascii="Times New Roman" w:hAnsi="Times New Roman" w:cs="Times New Roman"/>
              </w:rPr>
              <w:t>Product development, supported by market penetration</w:t>
            </w:r>
          </w:p>
        </w:tc>
      </w:tr>
      <w:tr w:rsidR="006B3598" w:rsidRPr="0048483F" w14:paraId="5AC12536" w14:textId="77777777">
        <w:tc>
          <w:tcPr>
            <w:tcW w:w="900" w:type="dxa"/>
            <w:tcMar>
              <w:top w:w="70" w:type="dxa"/>
              <w:left w:w="90" w:type="dxa"/>
              <w:bottom w:w="70" w:type="dxa"/>
              <w:right w:w="90" w:type="dxa"/>
            </w:tcMar>
            <w:vAlign w:val="center"/>
          </w:tcPr>
          <w:p w14:paraId="0400DEAB" w14:textId="77777777" w:rsidR="006B3598" w:rsidRPr="0048483F" w:rsidRDefault="00000000">
            <w:pPr>
              <w:spacing w:line="276" w:lineRule="auto"/>
              <w:rPr>
                <w:rFonts w:ascii="Times New Roman" w:hAnsi="Times New Roman" w:cs="Times New Roman"/>
              </w:rPr>
            </w:pPr>
            <w:r w:rsidRPr="0048483F">
              <w:rPr>
                <w:rFonts w:ascii="Times New Roman" w:hAnsi="Times New Roman" w:cs="Times New Roman"/>
                <w:b/>
                <w:bCs/>
              </w:rPr>
              <w:t>T1</w:t>
            </w:r>
          </w:p>
        </w:tc>
        <w:tc>
          <w:tcPr>
            <w:tcW w:w="3000" w:type="dxa"/>
            <w:tcMar>
              <w:top w:w="70" w:type="dxa"/>
              <w:left w:w="90" w:type="dxa"/>
              <w:bottom w:w="70" w:type="dxa"/>
              <w:right w:w="90" w:type="dxa"/>
            </w:tcMar>
            <w:vAlign w:val="center"/>
          </w:tcPr>
          <w:p w14:paraId="306AFA33" w14:textId="77777777" w:rsidR="006B3598" w:rsidRPr="0048483F" w:rsidRDefault="00000000">
            <w:pPr>
              <w:spacing w:line="276" w:lineRule="auto"/>
              <w:rPr>
                <w:rFonts w:ascii="Times New Roman" w:hAnsi="Times New Roman" w:cs="Times New Roman"/>
              </w:rPr>
            </w:pPr>
            <w:r w:rsidRPr="0048483F">
              <w:rPr>
                <w:rFonts w:ascii="Times New Roman" w:hAnsi="Times New Roman" w:cs="Times New Roman"/>
              </w:rPr>
              <w:t>Scarcity and cost of high-grade scrap, low-carbon power and green hydrogen</w:t>
            </w:r>
          </w:p>
        </w:tc>
        <w:tc>
          <w:tcPr>
            <w:tcW w:w="1700" w:type="dxa"/>
            <w:tcMar>
              <w:top w:w="70" w:type="dxa"/>
              <w:left w:w="90" w:type="dxa"/>
              <w:bottom w:w="70" w:type="dxa"/>
              <w:right w:w="90" w:type="dxa"/>
            </w:tcMar>
            <w:vAlign w:val="center"/>
          </w:tcPr>
          <w:p w14:paraId="130D3339" w14:textId="77777777" w:rsidR="006B3598" w:rsidRPr="0048483F" w:rsidRDefault="00000000">
            <w:pPr>
              <w:spacing w:line="276" w:lineRule="auto"/>
              <w:rPr>
                <w:rFonts w:ascii="Times New Roman" w:hAnsi="Times New Roman" w:cs="Times New Roman"/>
              </w:rPr>
            </w:pPr>
            <w:r w:rsidRPr="0048483F">
              <w:rPr>
                <w:rFonts w:ascii="Times New Roman" w:hAnsi="Times New Roman" w:cs="Times New Roman"/>
              </w:rPr>
              <w:t>Natural – Threat</w:t>
            </w:r>
          </w:p>
        </w:tc>
        <w:tc>
          <w:tcPr>
            <w:tcW w:w="3400" w:type="dxa"/>
            <w:tcMar>
              <w:top w:w="70" w:type="dxa"/>
              <w:left w:w="90" w:type="dxa"/>
              <w:bottom w:w="70" w:type="dxa"/>
              <w:right w:w="90" w:type="dxa"/>
            </w:tcMar>
            <w:vAlign w:val="center"/>
          </w:tcPr>
          <w:p w14:paraId="7C72CA20" w14:textId="77777777" w:rsidR="006B3598" w:rsidRPr="0048483F" w:rsidRDefault="00000000">
            <w:pPr>
              <w:spacing w:line="276" w:lineRule="auto"/>
              <w:rPr>
                <w:rFonts w:ascii="Times New Roman" w:hAnsi="Times New Roman" w:cs="Times New Roman"/>
              </w:rPr>
            </w:pPr>
            <w:r w:rsidRPr="0048483F">
              <w:rPr>
                <w:rFonts w:ascii="Times New Roman" w:hAnsi="Times New Roman" w:cs="Times New Roman"/>
              </w:rPr>
              <w:t>Market penetration sustains volume while low-carbon capacity is phased in</w:t>
            </w:r>
          </w:p>
        </w:tc>
      </w:tr>
      <w:tr w:rsidR="006B3598" w:rsidRPr="0048483F" w14:paraId="34031B09" w14:textId="77777777">
        <w:tc>
          <w:tcPr>
            <w:tcW w:w="900" w:type="dxa"/>
            <w:tcMar>
              <w:top w:w="70" w:type="dxa"/>
              <w:left w:w="90" w:type="dxa"/>
              <w:bottom w:w="70" w:type="dxa"/>
              <w:right w:w="90" w:type="dxa"/>
            </w:tcMar>
            <w:vAlign w:val="center"/>
          </w:tcPr>
          <w:p w14:paraId="3EBD5E8F" w14:textId="77777777" w:rsidR="006B3598" w:rsidRPr="0048483F" w:rsidRDefault="00000000">
            <w:pPr>
              <w:spacing w:line="276" w:lineRule="auto"/>
              <w:rPr>
                <w:rFonts w:ascii="Times New Roman" w:hAnsi="Times New Roman" w:cs="Times New Roman"/>
              </w:rPr>
            </w:pPr>
            <w:r w:rsidRPr="0048483F">
              <w:rPr>
                <w:rFonts w:ascii="Times New Roman" w:hAnsi="Times New Roman" w:cs="Times New Roman"/>
                <w:b/>
                <w:bCs/>
              </w:rPr>
              <w:t>T2</w:t>
            </w:r>
          </w:p>
        </w:tc>
        <w:tc>
          <w:tcPr>
            <w:tcW w:w="3000" w:type="dxa"/>
            <w:tcMar>
              <w:top w:w="70" w:type="dxa"/>
              <w:left w:w="90" w:type="dxa"/>
              <w:bottom w:w="70" w:type="dxa"/>
              <w:right w:w="90" w:type="dxa"/>
            </w:tcMar>
            <w:vAlign w:val="center"/>
          </w:tcPr>
          <w:p w14:paraId="01E17AE8" w14:textId="77777777" w:rsidR="006B3598" w:rsidRPr="0048483F" w:rsidRDefault="00000000">
            <w:pPr>
              <w:spacing w:line="276" w:lineRule="auto"/>
              <w:rPr>
                <w:rFonts w:ascii="Times New Roman" w:hAnsi="Times New Roman" w:cs="Times New Roman"/>
              </w:rPr>
            </w:pPr>
            <w:r w:rsidRPr="0048483F">
              <w:rPr>
                <w:rFonts w:ascii="Times New Roman" w:hAnsi="Times New Roman" w:cs="Times New Roman"/>
              </w:rPr>
              <w:t>Greenwashing and credibility risk from continued coal-based growth in India</w:t>
            </w:r>
          </w:p>
        </w:tc>
        <w:tc>
          <w:tcPr>
            <w:tcW w:w="1700" w:type="dxa"/>
            <w:tcMar>
              <w:top w:w="70" w:type="dxa"/>
              <w:left w:w="90" w:type="dxa"/>
              <w:bottom w:w="70" w:type="dxa"/>
              <w:right w:w="90" w:type="dxa"/>
            </w:tcMar>
            <w:vAlign w:val="center"/>
          </w:tcPr>
          <w:p w14:paraId="4234B96C" w14:textId="77777777" w:rsidR="006B3598" w:rsidRPr="0048483F" w:rsidRDefault="00000000">
            <w:pPr>
              <w:spacing w:line="276" w:lineRule="auto"/>
              <w:rPr>
                <w:rFonts w:ascii="Times New Roman" w:hAnsi="Times New Roman" w:cs="Times New Roman"/>
              </w:rPr>
            </w:pPr>
            <w:r w:rsidRPr="0048483F">
              <w:rPr>
                <w:rFonts w:ascii="Times New Roman" w:hAnsi="Times New Roman" w:cs="Times New Roman"/>
              </w:rPr>
              <w:t>Natural – Threat</w:t>
            </w:r>
          </w:p>
        </w:tc>
        <w:tc>
          <w:tcPr>
            <w:tcW w:w="3400" w:type="dxa"/>
            <w:tcMar>
              <w:top w:w="70" w:type="dxa"/>
              <w:left w:w="90" w:type="dxa"/>
              <w:bottom w:w="70" w:type="dxa"/>
              <w:right w:w="90" w:type="dxa"/>
            </w:tcMar>
            <w:vAlign w:val="center"/>
          </w:tcPr>
          <w:p w14:paraId="7BBA4557" w14:textId="77777777" w:rsidR="006B3598" w:rsidRPr="0048483F" w:rsidRDefault="00000000">
            <w:pPr>
              <w:spacing w:line="276" w:lineRule="auto"/>
              <w:rPr>
                <w:rFonts w:ascii="Times New Roman" w:hAnsi="Times New Roman" w:cs="Times New Roman"/>
              </w:rPr>
            </w:pPr>
            <w:r w:rsidRPr="0048483F">
              <w:rPr>
                <w:rFonts w:ascii="Times New Roman" w:hAnsi="Times New Roman" w:cs="Times New Roman"/>
              </w:rPr>
              <w:t>Product development backed by independent third-party verification</w:t>
            </w:r>
          </w:p>
        </w:tc>
      </w:tr>
      <w:tr w:rsidR="006B3598" w:rsidRPr="0048483F" w14:paraId="569F1607" w14:textId="77777777">
        <w:tc>
          <w:tcPr>
            <w:tcW w:w="900" w:type="dxa"/>
            <w:tcMar>
              <w:top w:w="70" w:type="dxa"/>
              <w:left w:w="90" w:type="dxa"/>
              <w:bottom w:w="70" w:type="dxa"/>
              <w:right w:w="90" w:type="dxa"/>
            </w:tcMar>
            <w:vAlign w:val="center"/>
          </w:tcPr>
          <w:p w14:paraId="7630E8A1" w14:textId="77777777" w:rsidR="006B3598" w:rsidRPr="0048483F" w:rsidRDefault="00000000">
            <w:pPr>
              <w:spacing w:line="276" w:lineRule="auto"/>
              <w:rPr>
                <w:rFonts w:ascii="Times New Roman" w:hAnsi="Times New Roman" w:cs="Times New Roman"/>
              </w:rPr>
            </w:pPr>
            <w:r w:rsidRPr="0048483F">
              <w:rPr>
                <w:rFonts w:ascii="Times New Roman" w:hAnsi="Times New Roman" w:cs="Times New Roman"/>
                <w:b/>
                <w:bCs/>
              </w:rPr>
              <w:t>O3</w:t>
            </w:r>
          </w:p>
        </w:tc>
        <w:tc>
          <w:tcPr>
            <w:tcW w:w="3000" w:type="dxa"/>
            <w:tcMar>
              <w:top w:w="70" w:type="dxa"/>
              <w:left w:w="90" w:type="dxa"/>
              <w:bottom w:w="70" w:type="dxa"/>
              <w:right w:w="90" w:type="dxa"/>
            </w:tcMar>
            <w:vAlign w:val="center"/>
          </w:tcPr>
          <w:p w14:paraId="4D5969D0" w14:textId="77777777" w:rsidR="006B3598" w:rsidRPr="0048483F" w:rsidRDefault="00000000">
            <w:pPr>
              <w:spacing w:line="276" w:lineRule="auto"/>
              <w:rPr>
                <w:rFonts w:ascii="Times New Roman" w:hAnsi="Times New Roman" w:cs="Times New Roman"/>
              </w:rPr>
            </w:pPr>
            <w:r w:rsidRPr="0048483F">
              <w:rPr>
                <w:rFonts w:ascii="Times New Roman" w:hAnsi="Times New Roman" w:cs="Times New Roman"/>
              </w:rPr>
              <w:t>Public co-funding of the transition (£500m UK contribution; UK Steel Strategy)</w:t>
            </w:r>
          </w:p>
        </w:tc>
        <w:tc>
          <w:tcPr>
            <w:tcW w:w="1700" w:type="dxa"/>
            <w:tcMar>
              <w:top w:w="70" w:type="dxa"/>
              <w:left w:w="90" w:type="dxa"/>
              <w:bottom w:w="70" w:type="dxa"/>
              <w:right w:w="90" w:type="dxa"/>
            </w:tcMar>
            <w:vAlign w:val="center"/>
          </w:tcPr>
          <w:p w14:paraId="7A3D3E2E" w14:textId="77777777" w:rsidR="006B3598" w:rsidRPr="0048483F" w:rsidRDefault="00000000">
            <w:pPr>
              <w:spacing w:line="276" w:lineRule="auto"/>
              <w:rPr>
                <w:rFonts w:ascii="Times New Roman" w:hAnsi="Times New Roman" w:cs="Times New Roman"/>
              </w:rPr>
            </w:pPr>
            <w:r w:rsidRPr="0048483F">
              <w:rPr>
                <w:rFonts w:ascii="Times New Roman" w:hAnsi="Times New Roman" w:cs="Times New Roman"/>
              </w:rPr>
              <w:t>Political and legal – Opportunity</w:t>
            </w:r>
          </w:p>
        </w:tc>
        <w:tc>
          <w:tcPr>
            <w:tcW w:w="3400" w:type="dxa"/>
            <w:tcMar>
              <w:top w:w="70" w:type="dxa"/>
              <w:left w:w="90" w:type="dxa"/>
              <w:bottom w:w="70" w:type="dxa"/>
              <w:right w:w="90" w:type="dxa"/>
            </w:tcMar>
            <w:vAlign w:val="center"/>
          </w:tcPr>
          <w:p w14:paraId="1A8760F3" w14:textId="77777777" w:rsidR="006B3598" w:rsidRPr="0048483F" w:rsidRDefault="00000000">
            <w:pPr>
              <w:spacing w:line="276" w:lineRule="auto"/>
              <w:rPr>
                <w:rFonts w:ascii="Times New Roman" w:hAnsi="Times New Roman" w:cs="Times New Roman"/>
              </w:rPr>
            </w:pPr>
            <w:r w:rsidRPr="0048483F">
              <w:rPr>
                <w:rFonts w:ascii="Times New Roman" w:hAnsi="Times New Roman" w:cs="Times New Roman"/>
              </w:rPr>
              <w:t>Product development (lowers capital cost of the new routes)</w:t>
            </w:r>
          </w:p>
        </w:tc>
      </w:tr>
      <w:tr w:rsidR="006B3598" w:rsidRPr="0048483F" w14:paraId="6C814A5D" w14:textId="77777777">
        <w:tc>
          <w:tcPr>
            <w:tcW w:w="900" w:type="dxa"/>
            <w:tcMar>
              <w:top w:w="70" w:type="dxa"/>
              <w:left w:w="90" w:type="dxa"/>
              <w:bottom w:w="70" w:type="dxa"/>
              <w:right w:w="90" w:type="dxa"/>
            </w:tcMar>
            <w:vAlign w:val="center"/>
          </w:tcPr>
          <w:p w14:paraId="301CFCE3" w14:textId="77777777" w:rsidR="006B3598" w:rsidRPr="0048483F" w:rsidRDefault="00000000">
            <w:pPr>
              <w:spacing w:line="276" w:lineRule="auto"/>
              <w:rPr>
                <w:rFonts w:ascii="Times New Roman" w:hAnsi="Times New Roman" w:cs="Times New Roman"/>
              </w:rPr>
            </w:pPr>
            <w:r w:rsidRPr="0048483F">
              <w:rPr>
                <w:rFonts w:ascii="Times New Roman" w:hAnsi="Times New Roman" w:cs="Times New Roman"/>
                <w:b/>
                <w:bCs/>
              </w:rPr>
              <w:t>O4</w:t>
            </w:r>
          </w:p>
        </w:tc>
        <w:tc>
          <w:tcPr>
            <w:tcW w:w="3000" w:type="dxa"/>
            <w:tcMar>
              <w:top w:w="70" w:type="dxa"/>
              <w:left w:w="90" w:type="dxa"/>
              <w:bottom w:w="70" w:type="dxa"/>
              <w:right w:w="90" w:type="dxa"/>
            </w:tcMar>
            <w:vAlign w:val="center"/>
          </w:tcPr>
          <w:p w14:paraId="631E4AFB" w14:textId="77777777" w:rsidR="006B3598" w:rsidRPr="0048483F" w:rsidRDefault="00000000">
            <w:pPr>
              <w:spacing w:line="276" w:lineRule="auto"/>
              <w:rPr>
                <w:rFonts w:ascii="Times New Roman" w:hAnsi="Times New Roman" w:cs="Times New Roman"/>
              </w:rPr>
            </w:pPr>
            <w:r w:rsidRPr="0048483F">
              <w:rPr>
                <w:rFonts w:ascii="Times New Roman" w:hAnsi="Times New Roman" w:cs="Times New Roman"/>
              </w:rPr>
              <w:t>CBAM shielding verified low-carbon producers inside the EU market</w:t>
            </w:r>
          </w:p>
        </w:tc>
        <w:tc>
          <w:tcPr>
            <w:tcW w:w="1700" w:type="dxa"/>
            <w:tcMar>
              <w:top w:w="70" w:type="dxa"/>
              <w:left w:w="90" w:type="dxa"/>
              <w:bottom w:w="70" w:type="dxa"/>
              <w:right w:w="90" w:type="dxa"/>
            </w:tcMar>
            <w:vAlign w:val="center"/>
          </w:tcPr>
          <w:p w14:paraId="1C2F7A12" w14:textId="77777777" w:rsidR="006B3598" w:rsidRPr="0048483F" w:rsidRDefault="00000000">
            <w:pPr>
              <w:spacing w:line="276" w:lineRule="auto"/>
              <w:rPr>
                <w:rFonts w:ascii="Times New Roman" w:hAnsi="Times New Roman" w:cs="Times New Roman"/>
              </w:rPr>
            </w:pPr>
            <w:r w:rsidRPr="0048483F">
              <w:rPr>
                <w:rFonts w:ascii="Times New Roman" w:hAnsi="Times New Roman" w:cs="Times New Roman"/>
              </w:rPr>
              <w:t>Political and legal – Opportunity</w:t>
            </w:r>
          </w:p>
        </w:tc>
        <w:tc>
          <w:tcPr>
            <w:tcW w:w="3400" w:type="dxa"/>
            <w:tcMar>
              <w:top w:w="70" w:type="dxa"/>
              <w:left w:w="90" w:type="dxa"/>
              <w:bottom w:w="70" w:type="dxa"/>
              <w:right w:w="90" w:type="dxa"/>
            </w:tcMar>
            <w:vAlign w:val="center"/>
          </w:tcPr>
          <w:p w14:paraId="646AB3D1" w14:textId="77777777" w:rsidR="006B3598" w:rsidRPr="0048483F" w:rsidRDefault="00000000">
            <w:pPr>
              <w:spacing w:line="276" w:lineRule="auto"/>
              <w:rPr>
                <w:rFonts w:ascii="Times New Roman" w:hAnsi="Times New Roman" w:cs="Times New Roman"/>
              </w:rPr>
            </w:pPr>
            <w:r w:rsidRPr="0048483F">
              <w:rPr>
                <w:rFonts w:ascii="Times New Roman" w:hAnsi="Times New Roman" w:cs="Times New Roman"/>
              </w:rPr>
              <w:t>Market development into EU green public procurement, EV and renewables chains</w:t>
            </w:r>
          </w:p>
        </w:tc>
      </w:tr>
      <w:tr w:rsidR="006B3598" w:rsidRPr="0048483F" w14:paraId="10988844" w14:textId="77777777">
        <w:tc>
          <w:tcPr>
            <w:tcW w:w="900" w:type="dxa"/>
            <w:tcMar>
              <w:top w:w="70" w:type="dxa"/>
              <w:left w:w="90" w:type="dxa"/>
              <w:bottom w:w="70" w:type="dxa"/>
              <w:right w:w="90" w:type="dxa"/>
            </w:tcMar>
            <w:vAlign w:val="center"/>
          </w:tcPr>
          <w:p w14:paraId="370ED223" w14:textId="77777777" w:rsidR="006B3598" w:rsidRPr="0048483F" w:rsidRDefault="00000000">
            <w:pPr>
              <w:spacing w:line="276" w:lineRule="auto"/>
              <w:rPr>
                <w:rFonts w:ascii="Times New Roman" w:hAnsi="Times New Roman" w:cs="Times New Roman"/>
              </w:rPr>
            </w:pPr>
            <w:r w:rsidRPr="0048483F">
              <w:rPr>
                <w:rFonts w:ascii="Times New Roman" w:hAnsi="Times New Roman" w:cs="Times New Roman"/>
                <w:b/>
                <w:bCs/>
              </w:rPr>
              <w:t>T3</w:t>
            </w:r>
          </w:p>
        </w:tc>
        <w:tc>
          <w:tcPr>
            <w:tcW w:w="3000" w:type="dxa"/>
            <w:tcMar>
              <w:top w:w="70" w:type="dxa"/>
              <w:left w:w="90" w:type="dxa"/>
              <w:bottom w:w="70" w:type="dxa"/>
              <w:right w:w="90" w:type="dxa"/>
            </w:tcMar>
            <w:vAlign w:val="center"/>
          </w:tcPr>
          <w:p w14:paraId="4EA06866" w14:textId="77777777" w:rsidR="006B3598" w:rsidRPr="0048483F" w:rsidRDefault="00000000">
            <w:pPr>
              <w:spacing w:line="276" w:lineRule="auto"/>
              <w:rPr>
                <w:rFonts w:ascii="Times New Roman" w:hAnsi="Times New Roman" w:cs="Times New Roman"/>
              </w:rPr>
            </w:pPr>
            <w:r w:rsidRPr="0048483F">
              <w:rPr>
                <w:rFonts w:ascii="Times New Roman" w:hAnsi="Times New Roman" w:cs="Times New Roman"/>
              </w:rPr>
              <w:t>ETS and CBAM cost on remaining high-carbon output</w:t>
            </w:r>
          </w:p>
        </w:tc>
        <w:tc>
          <w:tcPr>
            <w:tcW w:w="1700" w:type="dxa"/>
            <w:tcMar>
              <w:top w:w="70" w:type="dxa"/>
              <w:left w:w="90" w:type="dxa"/>
              <w:bottom w:w="70" w:type="dxa"/>
              <w:right w:w="90" w:type="dxa"/>
            </w:tcMar>
            <w:vAlign w:val="center"/>
          </w:tcPr>
          <w:p w14:paraId="7AD1E92B" w14:textId="77777777" w:rsidR="006B3598" w:rsidRPr="0048483F" w:rsidRDefault="00000000">
            <w:pPr>
              <w:spacing w:line="276" w:lineRule="auto"/>
              <w:rPr>
                <w:rFonts w:ascii="Times New Roman" w:hAnsi="Times New Roman" w:cs="Times New Roman"/>
              </w:rPr>
            </w:pPr>
            <w:r w:rsidRPr="0048483F">
              <w:rPr>
                <w:rFonts w:ascii="Times New Roman" w:hAnsi="Times New Roman" w:cs="Times New Roman"/>
              </w:rPr>
              <w:t>Political and legal – Threat</w:t>
            </w:r>
          </w:p>
        </w:tc>
        <w:tc>
          <w:tcPr>
            <w:tcW w:w="3400" w:type="dxa"/>
            <w:tcMar>
              <w:top w:w="70" w:type="dxa"/>
              <w:left w:w="90" w:type="dxa"/>
              <w:bottom w:w="70" w:type="dxa"/>
              <w:right w:w="90" w:type="dxa"/>
            </w:tcMar>
            <w:vAlign w:val="center"/>
          </w:tcPr>
          <w:p w14:paraId="61EB07D6" w14:textId="77777777" w:rsidR="006B3598" w:rsidRPr="0048483F" w:rsidRDefault="00000000">
            <w:pPr>
              <w:spacing w:line="276" w:lineRule="auto"/>
              <w:rPr>
                <w:rFonts w:ascii="Times New Roman" w:hAnsi="Times New Roman" w:cs="Times New Roman"/>
              </w:rPr>
            </w:pPr>
            <w:r w:rsidRPr="0048483F">
              <w:rPr>
                <w:rFonts w:ascii="Times New Roman" w:hAnsi="Times New Roman" w:cs="Times New Roman"/>
              </w:rPr>
              <w:t>Product development shifts the mix away from exposed lines</w:t>
            </w:r>
          </w:p>
        </w:tc>
      </w:tr>
      <w:tr w:rsidR="006B3598" w:rsidRPr="0048483F" w14:paraId="5E22D6DD" w14:textId="77777777">
        <w:tc>
          <w:tcPr>
            <w:tcW w:w="900" w:type="dxa"/>
            <w:tcMar>
              <w:top w:w="70" w:type="dxa"/>
              <w:left w:w="90" w:type="dxa"/>
              <w:bottom w:w="70" w:type="dxa"/>
              <w:right w:w="90" w:type="dxa"/>
            </w:tcMar>
            <w:vAlign w:val="center"/>
          </w:tcPr>
          <w:p w14:paraId="46B06548" w14:textId="77777777" w:rsidR="006B3598" w:rsidRPr="0048483F" w:rsidRDefault="00000000">
            <w:pPr>
              <w:spacing w:line="276" w:lineRule="auto"/>
              <w:rPr>
                <w:rFonts w:ascii="Times New Roman" w:hAnsi="Times New Roman" w:cs="Times New Roman"/>
              </w:rPr>
            </w:pPr>
            <w:r w:rsidRPr="0048483F">
              <w:rPr>
                <w:rFonts w:ascii="Times New Roman" w:hAnsi="Times New Roman" w:cs="Times New Roman"/>
                <w:b/>
                <w:bCs/>
              </w:rPr>
              <w:t>T4</w:t>
            </w:r>
          </w:p>
        </w:tc>
        <w:tc>
          <w:tcPr>
            <w:tcW w:w="3000" w:type="dxa"/>
            <w:tcMar>
              <w:top w:w="70" w:type="dxa"/>
              <w:left w:w="90" w:type="dxa"/>
              <w:bottom w:w="70" w:type="dxa"/>
              <w:right w:w="90" w:type="dxa"/>
            </w:tcMar>
            <w:vAlign w:val="center"/>
          </w:tcPr>
          <w:p w14:paraId="782A470E" w14:textId="77777777" w:rsidR="006B3598" w:rsidRPr="0048483F" w:rsidRDefault="00000000">
            <w:pPr>
              <w:spacing w:line="276" w:lineRule="auto"/>
              <w:rPr>
                <w:rFonts w:ascii="Times New Roman" w:hAnsi="Times New Roman" w:cs="Times New Roman"/>
              </w:rPr>
            </w:pPr>
            <w:r w:rsidRPr="0048483F">
              <w:rPr>
                <w:rFonts w:ascii="Times New Roman" w:hAnsi="Times New Roman" w:cs="Times New Roman"/>
              </w:rPr>
              <w:t>Policy and political uncertainty on CBAM timing, free allocation and state support</w:t>
            </w:r>
          </w:p>
        </w:tc>
        <w:tc>
          <w:tcPr>
            <w:tcW w:w="1700" w:type="dxa"/>
            <w:tcMar>
              <w:top w:w="70" w:type="dxa"/>
              <w:left w:w="90" w:type="dxa"/>
              <w:bottom w:w="70" w:type="dxa"/>
              <w:right w:w="90" w:type="dxa"/>
            </w:tcMar>
            <w:vAlign w:val="center"/>
          </w:tcPr>
          <w:p w14:paraId="08F4E45E" w14:textId="77777777" w:rsidR="006B3598" w:rsidRPr="0048483F" w:rsidRDefault="00000000">
            <w:pPr>
              <w:spacing w:line="276" w:lineRule="auto"/>
              <w:rPr>
                <w:rFonts w:ascii="Times New Roman" w:hAnsi="Times New Roman" w:cs="Times New Roman"/>
              </w:rPr>
            </w:pPr>
            <w:r w:rsidRPr="0048483F">
              <w:rPr>
                <w:rFonts w:ascii="Times New Roman" w:hAnsi="Times New Roman" w:cs="Times New Roman"/>
              </w:rPr>
              <w:t>Political and legal – Threat</w:t>
            </w:r>
          </w:p>
        </w:tc>
        <w:tc>
          <w:tcPr>
            <w:tcW w:w="3400" w:type="dxa"/>
            <w:tcMar>
              <w:top w:w="70" w:type="dxa"/>
              <w:left w:w="90" w:type="dxa"/>
              <w:bottom w:w="70" w:type="dxa"/>
              <w:right w:w="90" w:type="dxa"/>
            </w:tcMar>
            <w:vAlign w:val="center"/>
          </w:tcPr>
          <w:p w14:paraId="35E99C6D" w14:textId="77777777" w:rsidR="006B3598" w:rsidRPr="0048483F" w:rsidRDefault="00000000">
            <w:pPr>
              <w:spacing w:line="276" w:lineRule="auto"/>
              <w:rPr>
                <w:rFonts w:ascii="Times New Roman" w:hAnsi="Times New Roman" w:cs="Times New Roman"/>
              </w:rPr>
            </w:pPr>
            <w:r w:rsidRPr="0048483F">
              <w:rPr>
                <w:rFonts w:ascii="Times New Roman" w:hAnsi="Times New Roman" w:cs="Times New Roman"/>
              </w:rPr>
              <w:t>Market development spreads exposure across geographies; diversification rejected</w:t>
            </w:r>
          </w:p>
        </w:tc>
      </w:tr>
    </w:tbl>
    <w:p w14:paraId="7999D13F" w14:textId="77777777" w:rsidR="006B3598" w:rsidRPr="0048483F" w:rsidRDefault="006B3598">
      <w:pPr>
        <w:spacing w:line="360" w:lineRule="auto"/>
        <w:jc w:val="both"/>
        <w:rPr>
          <w:rFonts w:ascii="Times New Roman" w:hAnsi="Times New Roman" w:cs="Times New Roman"/>
        </w:rPr>
      </w:pPr>
    </w:p>
    <w:p w14:paraId="1CFD4C7C" w14:textId="77777777" w:rsidR="0067498C" w:rsidRPr="0048483F" w:rsidRDefault="0067498C" w:rsidP="00C970ED">
      <w:pPr>
        <w:spacing w:line="360" w:lineRule="auto"/>
        <w:jc w:val="both"/>
        <w:rPr>
          <w:rFonts w:ascii="Times New Roman" w:hAnsi="Times New Roman" w:cs="Times New Roman"/>
        </w:rPr>
      </w:pPr>
    </w:p>
    <w:p w14:paraId="3C6BE86B" w14:textId="12F1ACE5" w:rsidR="0067498C" w:rsidRPr="0048483F" w:rsidRDefault="00000000" w:rsidP="0008671A">
      <w:pPr>
        <w:pStyle w:val="Heading1"/>
      </w:pPr>
      <w:bookmarkStart w:id="7" w:name="_Toc236257114"/>
      <w:bookmarkStart w:id="8" w:name="_Toc236182986"/>
      <w:r w:rsidRPr="0048483F">
        <w:t>Task 2: Strategic Growth</w:t>
      </w:r>
      <w:bookmarkEnd w:id="7"/>
      <w:r w:rsidRPr="0048483F">
        <w:t xml:space="preserve"> </w:t>
      </w:r>
      <w:bookmarkEnd w:id="8"/>
    </w:p>
    <w:p w14:paraId="12C033A1" w14:textId="77777777" w:rsidR="0067498C" w:rsidRPr="0048483F" w:rsidRDefault="00000000" w:rsidP="0008671A">
      <w:pPr>
        <w:pStyle w:val="Heading2"/>
      </w:pPr>
      <w:bookmarkStart w:id="9" w:name="_Toc236182987"/>
      <w:bookmarkStart w:id="10" w:name="_Toc236257115"/>
      <w:r w:rsidRPr="0048483F">
        <w:t>The Ansoff Matrix as a growth framework</w:t>
      </w:r>
      <w:bookmarkEnd w:id="9"/>
      <w:bookmarkEnd w:id="10"/>
    </w:p>
    <w:p w14:paraId="72896A66" w14:textId="77777777" w:rsidR="0067498C" w:rsidRPr="0048483F" w:rsidRDefault="000E21F1" w:rsidP="00C970ED">
      <w:pPr>
        <w:spacing w:line="360" w:lineRule="auto"/>
        <w:jc w:val="both"/>
        <w:rPr>
          <w:rFonts w:ascii="Times New Roman" w:hAnsi="Times New Roman" w:cs="Times New Roman"/>
        </w:rPr>
      </w:pPr>
      <w:r w:rsidRPr="0048483F">
        <w:rPr>
          <w:rFonts w:ascii="Times New Roman" w:hAnsi="Times New Roman" w:cs="Times New Roman"/>
        </w:rPr>
        <w:t>The Ansoff Matrix was introduced in 1957 by Ansoff (1957) in his “Strategies for Diversification” and can be used to structure a growth strategy based on the environmental analysis. The matrix details the various growth options in two dimensions namely products (existing or new) and markets (existing or new), giving rise to four growth strategies – all of which become increasingly risky – namely market penetration, product development, market development and diversification. It is important in this context because it encourages a direct decision on which sectors to invest in for growth as part of the low carbon transition, instead of decarbonisation being an undirected cost. The matrix for Tata steel is filled with the help of Figure 3.</w:t>
      </w:r>
    </w:p>
    <w:p w14:paraId="1CC3ACC3" w14:textId="77777777" w:rsidR="00C970ED" w:rsidRPr="0048483F" w:rsidRDefault="00C970ED" w:rsidP="00C970ED">
      <w:pPr>
        <w:spacing w:line="360" w:lineRule="auto"/>
        <w:jc w:val="both"/>
        <w:rPr>
          <w:rFonts w:ascii="Times New Roman" w:hAnsi="Times New Roman" w:cs="Times New Roman"/>
        </w:rPr>
      </w:pPr>
      <w:r w:rsidRPr="0048483F">
        <w:rPr>
          <w:rFonts w:ascii="Times New Roman" w:hAnsi="Times New Roman" w:cs="Times New Roman"/>
          <w:noProof/>
        </w:rPr>
        <w:drawing>
          <wp:inline distT="0" distB="0" distL="0" distR="0" wp14:anchorId="4D1EE6FE" wp14:editId="64C0860B">
            <wp:extent cx="5731510" cy="2625090"/>
            <wp:effectExtent l="0" t="0" r="2540" b="3810"/>
            <wp:docPr id="107793650" name="Picture 5" descr="The Ansoff Matrix: A Powerful Tool for Business Strategy and Growth | TS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The Ansoff Matrix: A Powerful Tool for Business Strategy and Growth | TSI"/>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a:stretch>
                      <a:fillRect/>
                    </a:stretch>
                  </pic:blipFill>
                  <pic:spPr bwMode="auto">
                    <a:xfrm>
                      <a:off x="0" y="0"/>
                      <a:ext cx="5731510" cy="2625090"/>
                    </a:xfrm>
                    <a:prstGeom prst="rect">
                      <a:avLst/>
                    </a:prstGeom>
                    <a:noFill/>
                    <a:ln>
                      <a:noFill/>
                    </a:ln>
                    <a:extLst>
                      <a:ext uri="{53640926-AAD7-44D8-BBD7-CCE9431645EC}">
                        <a14:shadowObscured xmlns:a14="http://schemas.microsoft.com/office/drawing/2010/main"/>
                      </a:ext>
                    </a:extLst>
                  </pic:spPr>
                </pic:pic>
              </a:graphicData>
            </a:graphic>
          </wp:inline>
        </w:drawing>
      </w:r>
    </w:p>
    <w:p w14:paraId="19C78949" w14:textId="77777777" w:rsidR="0067498C" w:rsidRPr="0048483F" w:rsidRDefault="00000000" w:rsidP="0008671A">
      <w:pPr>
        <w:spacing w:line="360" w:lineRule="auto"/>
        <w:jc w:val="center"/>
        <w:rPr>
          <w:rFonts w:ascii="Times New Roman" w:hAnsi="Times New Roman" w:cs="Times New Roman"/>
          <w:b/>
          <w:bCs/>
        </w:rPr>
      </w:pPr>
      <w:r w:rsidRPr="0048483F">
        <w:rPr>
          <w:rFonts w:ascii="Times New Roman" w:hAnsi="Times New Roman" w:cs="Times New Roman"/>
          <w:b/>
          <w:bCs/>
          <w:i/>
          <w:iCs/>
        </w:rPr>
        <w:t>Figure 3: The Ansoff Matrix applied to Tata Steel’s low-carbon transition (Ansoff, 1957).</w:t>
      </w:r>
    </w:p>
    <w:p w14:paraId="16EA8432" w14:textId="77777777" w:rsidR="0067498C" w:rsidRPr="0048483F" w:rsidRDefault="00000000" w:rsidP="0008671A">
      <w:pPr>
        <w:pStyle w:val="Heading2"/>
      </w:pPr>
      <w:bookmarkStart w:id="11" w:name="_Toc236182988"/>
      <w:bookmarkStart w:id="12" w:name="_Toc236257116"/>
      <w:r w:rsidRPr="0048483F">
        <w:t>Evaluating the four options</w:t>
      </w:r>
      <w:bookmarkEnd w:id="11"/>
      <w:bookmarkEnd w:id="12"/>
    </w:p>
    <w:p w14:paraId="5CD3A453" w14:textId="77777777" w:rsidR="0048483F" w:rsidRPr="0048483F" w:rsidRDefault="0048483F" w:rsidP="00C970ED">
      <w:pPr>
        <w:spacing w:line="360" w:lineRule="auto"/>
        <w:jc w:val="both"/>
        <w:rPr>
          <w:rFonts w:ascii="Times New Roman" w:hAnsi="Times New Roman" w:cs="Times New Roman"/>
        </w:rPr>
      </w:pPr>
      <w:r w:rsidRPr="0048483F">
        <w:rPr>
          <w:rFonts w:ascii="Times New Roman" w:hAnsi="Times New Roman" w:cs="Times New Roman"/>
        </w:rPr>
        <w:t>Every option is evaluated below for the opportunities (O1–O4) and threats (T1–T4) listed in Table 2, thus satisfying the marketing environment, not just coexisting with it.</w:t>
      </w:r>
    </w:p>
    <w:p w14:paraId="31F11106" w14:textId="77777777" w:rsidR="0048483F" w:rsidRPr="0048483F" w:rsidRDefault="0048483F" w:rsidP="00C970ED">
      <w:pPr>
        <w:spacing w:line="360" w:lineRule="auto"/>
        <w:jc w:val="both"/>
        <w:rPr>
          <w:rFonts w:ascii="Times New Roman" w:hAnsi="Times New Roman" w:cs="Times New Roman"/>
        </w:rPr>
      </w:pPr>
    </w:p>
    <w:p w14:paraId="127E6667" w14:textId="3F312E8D" w:rsidR="000E21F1" w:rsidRPr="0048483F" w:rsidRDefault="000E21F1" w:rsidP="00C970ED">
      <w:pPr>
        <w:spacing w:line="360" w:lineRule="auto"/>
        <w:jc w:val="both"/>
        <w:rPr>
          <w:rFonts w:ascii="Times New Roman" w:hAnsi="Times New Roman" w:cs="Times New Roman"/>
        </w:rPr>
      </w:pPr>
      <w:r w:rsidRPr="0048483F">
        <w:rPr>
          <w:rFonts w:ascii="Times New Roman" w:hAnsi="Times New Roman" w:cs="Times New Roman"/>
          <w:b/>
          <w:bCs/>
        </w:rPr>
        <w:t>Market penetration</w:t>
      </w:r>
      <w:r w:rsidRPr="0048483F">
        <w:rPr>
          <w:rFonts w:ascii="Times New Roman" w:hAnsi="Times New Roman" w:cs="Times New Roman"/>
        </w:rPr>
        <w:t xml:space="preserve"> (existing products existing markets) is the least risky and is relevant: Tata Steel can close the sales through ResponsibleSteel™ certification and scrap based EAF production. But it offers little help to monetise the transition, and puts the firm at risk on its higher-carbon lines from CBAM. The quadrant of diversification (new products, new markets) is also the highest risk quadrant as ventures outside of the steel business would push operational capacities and capital investment in what is already a significant transformation.</w:t>
      </w:r>
    </w:p>
    <w:p w14:paraId="162B3A30" w14:textId="77777777" w:rsidR="000E21F1" w:rsidRPr="0048483F" w:rsidRDefault="000E21F1" w:rsidP="00C970ED">
      <w:pPr>
        <w:spacing w:line="360" w:lineRule="auto"/>
        <w:jc w:val="both"/>
        <w:rPr>
          <w:rFonts w:ascii="Times New Roman" w:hAnsi="Times New Roman" w:cs="Times New Roman"/>
        </w:rPr>
      </w:pPr>
      <w:r w:rsidRPr="0048483F">
        <w:rPr>
          <w:rFonts w:ascii="Times New Roman" w:hAnsi="Times New Roman" w:cs="Times New Roman"/>
          <w:b/>
          <w:bCs/>
        </w:rPr>
        <w:t>Product development</w:t>
      </w:r>
      <w:r w:rsidRPr="0048483F">
        <w:rPr>
          <w:rFonts w:ascii="Times New Roman" w:hAnsi="Times New Roman" w:cs="Times New Roman"/>
        </w:rPr>
        <w:t xml:space="preserve"> (new products, existing markets) is the recommended core strategy. The existing automotive and construction customers of Tata Steel are exactly the customers that are setting scope 3 emission targets today; scope 3 emission reduction can be achieved by Tata Steel customers without impacting their supply chain. The 2022 memorandum of understanding (MoU) that pledged to have Ford as the first committed offtaker of Zeremis green steel is a good example of the model in action (Business Standard, 2022). There is support for the direction of travel with demand for automotive projected to surpass construction as the biggest driver of European green-steel demand in 2035 (Figure 4) and a significant number of steel-using companies indicating their willingness to pay a premium for verified low-carbon materials (Fastmarkets, 2026a). Marketing scholarship further supports the argument that a greater focus needs to be placed on these credentials because sustainable products are more likely to be purchased when environmental benefits are made salient and socially visible to the buyer (White, Habib and Hardisty, 2019). For an industrial product, this means that carbon data needs to be verified and certified, not just green messaging. </w:t>
      </w:r>
    </w:p>
    <w:p w14:paraId="136402D4" w14:textId="77777777" w:rsidR="000E21F1" w:rsidRPr="0048483F" w:rsidRDefault="000E21F1" w:rsidP="00C970ED">
      <w:pPr>
        <w:spacing w:line="360" w:lineRule="auto"/>
        <w:jc w:val="both"/>
        <w:rPr>
          <w:rFonts w:ascii="Times New Roman" w:hAnsi="Times New Roman" w:cs="Times New Roman"/>
        </w:rPr>
      </w:pPr>
      <w:r w:rsidRPr="0048483F">
        <w:rPr>
          <w:rFonts w:ascii="Times New Roman" w:hAnsi="Times New Roman" w:cs="Times New Roman"/>
          <w:b/>
          <w:bCs/>
        </w:rPr>
        <w:t>Market development</w:t>
      </w:r>
      <w:r w:rsidRPr="0048483F">
        <w:rPr>
          <w:rFonts w:ascii="Times New Roman" w:hAnsi="Times New Roman" w:cs="Times New Roman"/>
        </w:rPr>
        <w:t xml:space="preserve"> (existing low-carbon products, new markets) is the recommended secondary strategy – expanding green steel to new geographies and markets, including EU green public procurement schemes and EV and renewable-energy supply chains (Fastmarkets, 2026b).</w:t>
      </w:r>
    </w:p>
    <w:p w14:paraId="7ECD4C1D" w14:textId="77777777" w:rsidR="00C970ED" w:rsidRPr="0048483F" w:rsidRDefault="00C970ED" w:rsidP="0008671A">
      <w:pPr>
        <w:spacing w:line="360" w:lineRule="auto"/>
        <w:jc w:val="center"/>
        <w:rPr>
          <w:rFonts w:ascii="Times New Roman" w:hAnsi="Times New Roman" w:cs="Times New Roman"/>
        </w:rPr>
      </w:pPr>
      <w:r w:rsidRPr="0048483F">
        <w:rPr>
          <w:rFonts w:ascii="Times New Roman" w:hAnsi="Times New Roman" w:cs="Times New Roman"/>
          <w:noProof/>
        </w:rPr>
        <w:drawing>
          <wp:inline distT="0" distB="0" distL="0" distR="0" wp14:anchorId="02B0B8D6" wp14:editId="163E07DE">
            <wp:extent cx="4618769" cy="2796540"/>
            <wp:effectExtent l="0" t="0" r="0" b="3810"/>
            <wp:docPr id="193452769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a:stretch>
                      <a:fillRect/>
                    </a:stretch>
                  </pic:blipFill>
                  <pic:spPr bwMode="auto">
                    <a:xfrm>
                      <a:off x="0" y="0"/>
                      <a:ext cx="4631169" cy="2804048"/>
                    </a:xfrm>
                    <a:prstGeom prst="rect">
                      <a:avLst/>
                    </a:prstGeom>
                    <a:noFill/>
                    <a:ln>
                      <a:noFill/>
                    </a:ln>
                    <a:extLst>
                      <a:ext uri="{53640926-AAD7-44D8-BBD7-CCE9431645EC}">
                        <a14:shadowObscured xmlns:a14="http://schemas.microsoft.com/office/drawing/2010/main"/>
                      </a:ext>
                    </a:extLst>
                  </pic:spPr>
                </pic:pic>
              </a:graphicData>
            </a:graphic>
          </wp:inline>
        </w:drawing>
      </w:r>
    </w:p>
    <w:p w14:paraId="24EDF138" w14:textId="77777777" w:rsidR="0067498C" w:rsidRPr="0048483F" w:rsidRDefault="0067498C" w:rsidP="00C970ED">
      <w:pPr>
        <w:spacing w:line="360" w:lineRule="auto"/>
        <w:jc w:val="both"/>
        <w:rPr>
          <w:rFonts w:ascii="Times New Roman" w:hAnsi="Times New Roman" w:cs="Times New Roman"/>
        </w:rPr>
      </w:pPr>
    </w:p>
    <w:p w14:paraId="574BAE69" w14:textId="77777777" w:rsidR="0067498C" w:rsidRPr="0048483F" w:rsidRDefault="00000000" w:rsidP="0008671A">
      <w:pPr>
        <w:spacing w:line="360" w:lineRule="auto"/>
        <w:jc w:val="center"/>
        <w:rPr>
          <w:rFonts w:ascii="Times New Roman" w:hAnsi="Times New Roman" w:cs="Times New Roman"/>
          <w:b/>
          <w:bCs/>
        </w:rPr>
      </w:pPr>
      <w:r w:rsidRPr="0048483F">
        <w:rPr>
          <w:rFonts w:ascii="Times New Roman" w:hAnsi="Times New Roman" w:cs="Times New Roman"/>
          <w:b/>
          <w:bCs/>
          <w:i/>
          <w:iCs/>
        </w:rPr>
        <w:t>Figure 4: Projected shift in European green-steel demand by sector, 2025–2035 (Fastmarkets, 2026a).</w:t>
      </w:r>
    </w:p>
    <w:p w14:paraId="0D6ECD69" w14:textId="77777777" w:rsidR="0008671A" w:rsidRPr="0048483F" w:rsidRDefault="0008671A" w:rsidP="00C970ED">
      <w:pPr>
        <w:spacing w:line="360" w:lineRule="auto"/>
        <w:jc w:val="both"/>
        <w:rPr>
          <w:rFonts w:ascii="Times New Roman" w:hAnsi="Times New Roman" w:cs="Times New Roman"/>
          <w:i/>
          <w:iCs/>
        </w:rPr>
      </w:pPr>
    </w:p>
    <w:p w14:paraId="3DE4B88D" w14:textId="77777777" w:rsidR="0048483F" w:rsidRPr="0048483F" w:rsidRDefault="0067498C" w:rsidP="0048483F">
      <w:pPr>
        <w:pStyle w:val="Heading2"/>
      </w:pPr>
      <w:bookmarkStart w:id="13" w:name="_Toc236257117"/>
      <w:r w:rsidRPr="0048483F">
        <w:t>Matching the strategies to the opportunities and threats</w:t>
      </w:r>
      <w:r w:rsidR="0048483F" w:rsidRPr="0048483F">
        <w:t>:</w:t>
      </w:r>
      <w:bookmarkEnd w:id="13"/>
    </w:p>
    <w:p w14:paraId="76FA5242" w14:textId="77777777" w:rsidR="0048483F" w:rsidRPr="0048483F" w:rsidRDefault="0048483F" w:rsidP="00C970ED">
      <w:pPr>
        <w:spacing w:line="360" w:lineRule="auto"/>
        <w:jc w:val="both"/>
        <w:rPr>
          <w:rFonts w:ascii="Times New Roman" w:hAnsi="Times New Roman" w:cs="Times New Roman"/>
        </w:rPr>
      </w:pPr>
      <w:r w:rsidRPr="0048483F">
        <w:rPr>
          <w:rFonts w:ascii="Times New Roman" w:hAnsi="Times New Roman" w:cs="Times New Roman"/>
        </w:rPr>
        <w:t>Product development is the center strategy as it converts O1 and O3 into revenue and directly removes T3 from the ETS and CBAM exposure – every tonne moved from the blast-furnace route to EAF or DRI output gains is a tonne saved from ETS and CBAM exposure. A verified carbon data is a response to T2, because verification is the only legitimate answer to a greenwashing accusation. Market development is a secondary priority because it makes better use of O4, with the protection of the EU market enabling to reach the green public procurement and EV and renewables supply chains, and by spreading demand on geographies, hedging T4. Market penetration is supporting: it retains volume and pushes O2 to existing buyers and T1 places a limit on the rate of growth of low-carbon capacity. The idea of diversification is rejected because it solves no problems O1–O4 and introduces capital risk while O1 and O4 remain.</w:t>
      </w:r>
    </w:p>
    <w:p w14:paraId="7AA99DA7" w14:textId="0A36E4F5" w:rsidR="0067498C" w:rsidRPr="0048483F" w:rsidRDefault="00000000" w:rsidP="00C970ED">
      <w:pPr>
        <w:spacing w:line="360" w:lineRule="auto"/>
        <w:jc w:val="both"/>
        <w:rPr>
          <w:rFonts w:ascii="Times New Roman" w:hAnsi="Times New Roman" w:cs="Times New Roman"/>
        </w:rPr>
      </w:pPr>
      <w:r w:rsidRPr="0048483F">
        <w:rPr>
          <w:rFonts w:ascii="Times New Roman" w:hAnsi="Times New Roman" w:cs="Times New Roman"/>
        </w:rPr>
        <w:t>Table 3 consolidates the evaluation, identifying a dual product-development-led, market-development-supported strategy.</w:t>
      </w:r>
    </w:p>
    <w:p w14:paraId="58120B60" w14:textId="77777777" w:rsidR="0067498C" w:rsidRPr="0048483F" w:rsidRDefault="00000000" w:rsidP="0008671A">
      <w:pPr>
        <w:spacing w:line="360" w:lineRule="auto"/>
        <w:jc w:val="center"/>
        <w:rPr>
          <w:rFonts w:ascii="Times New Roman" w:hAnsi="Times New Roman" w:cs="Times New Roman"/>
          <w:b/>
          <w:bCs/>
        </w:rPr>
      </w:pPr>
      <w:r w:rsidRPr="0048483F">
        <w:rPr>
          <w:rFonts w:ascii="Times New Roman" w:hAnsi="Times New Roman" w:cs="Times New Roman"/>
          <w:b/>
          <w:bCs/>
          <w:i/>
          <w:iCs/>
        </w:rPr>
        <w:t>Table 3: Evaluation of Ansoff growth strategies for Tata Steel.</w:t>
      </w:r>
    </w:p>
    <w:tbl>
      <w:tblPr>
        <w:tblW w:w="9000" w:type="dxa"/>
        <w:tblBorders>
          <w:top w:val="single" w:sz="4" w:space="0" w:color="AAB4C0"/>
          <w:left w:val="single" w:sz="4" w:space="0" w:color="AAB4C0"/>
          <w:bottom w:val="single" w:sz="4" w:space="0" w:color="AAB4C0"/>
          <w:right w:val="single" w:sz="4" w:space="0" w:color="AAB4C0"/>
          <w:insideH w:val="single" w:sz="4" w:space="0" w:color="AAB4C0"/>
          <w:insideV w:val="single" w:sz="4" w:space="0" w:color="AAB4C0"/>
        </w:tblBorders>
        <w:tblCellMar>
          <w:left w:w="10" w:type="dxa"/>
          <w:right w:w="10" w:type="dxa"/>
        </w:tblCellMar>
        <w:tblLook w:val="0000" w:firstRow="0" w:lastRow="0" w:firstColumn="0" w:lastColumn="0" w:noHBand="0" w:noVBand="0"/>
      </w:tblPr>
      <w:tblGrid>
        <w:gridCol w:w="2050"/>
        <w:gridCol w:w="1550"/>
        <w:gridCol w:w="3500"/>
        <w:gridCol w:w="1900"/>
      </w:tblGrid>
      <w:tr w:rsidR="0067498C" w:rsidRPr="0048483F" w14:paraId="20F79370" w14:textId="77777777">
        <w:trPr>
          <w:tblHeader/>
        </w:trPr>
        <w:tc>
          <w:tcPr>
            <w:tcW w:w="2050" w:type="dxa"/>
            <w:shd w:val="clear" w:color="auto" w:fill="0B2545"/>
            <w:tcMar>
              <w:top w:w="70" w:type="dxa"/>
              <w:left w:w="90" w:type="dxa"/>
              <w:bottom w:w="70" w:type="dxa"/>
              <w:right w:w="90" w:type="dxa"/>
            </w:tcMar>
            <w:vAlign w:val="center"/>
          </w:tcPr>
          <w:p w14:paraId="474B3785" w14:textId="77777777" w:rsidR="0067498C" w:rsidRPr="0048483F" w:rsidRDefault="00000000" w:rsidP="00C970ED">
            <w:pPr>
              <w:spacing w:line="360" w:lineRule="auto"/>
              <w:jc w:val="both"/>
              <w:rPr>
                <w:rFonts w:ascii="Times New Roman" w:hAnsi="Times New Roman" w:cs="Times New Roman"/>
              </w:rPr>
            </w:pPr>
            <w:r w:rsidRPr="0048483F">
              <w:rPr>
                <w:rFonts w:ascii="Times New Roman" w:hAnsi="Times New Roman" w:cs="Times New Roman"/>
                <w:b/>
                <w:bCs/>
                <w:color w:val="FFFFFF"/>
              </w:rPr>
              <w:t>Ansoff strategy</w:t>
            </w:r>
          </w:p>
        </w:tc>
        <w:tc>
          <w:tcPr>
            <w:tcW w:w="1550" w:type="dxa"/>
            <w:shd w:val="clear" w:color="auto" w:fill="0B2545"/>
            <w:tcMar>
              <w:top w:w="70" w:type="dxa"/>
              <w:left w:w="90" w:type="dxa"/>
              <w:bottom w:w="70" w:type="dxa"/>
              <w:right w:w="90" w:type="dxa"/>
            </w:tcMar>
            <w:vAlign w:val="center"/>
          </w:tcPr>
          <w:p w14:paraId="2B9DB465" w14:textId="77777777" w:rsidR="0067498C" w:rsidRPr="0048483F" w:rsidRDefault="00000000" w:rsidP="00C970ED">
            <w:pPr>
              <w:spacing w:line="360" w:lineRule="auto"/>
              <w:jc w:val="both"/>
              <w:rPr>
                <w:rFonts w:ascii="Times New Roman" w:hAnsi="Times New Roman" w:cs="Times New Roman"/>
              </w:rPr>
            </w:pPr>
            <w:r w:rsidRPr="0048483F">
              <w:rPr>
                <w:rFonts w:ascii="Times New Roman" w:hAnsi="Times New Roman" w:cs="Times New Roman"/>
                <w:b/>
                <w:bCs/>
                <w:color w:val="FFFFFF"/>
              </w:rPr>
              <w:t>Relative risk</w:t>
            </w:r>
          </w:p>
        </w:tc>
        <w:tc>
          <w:tcPr>
            <w:tcW w:w="3500" w:type="dxa"/>
            <w:shd w:val="clear" w:color="auto" w:fill="0B2545"/>
            <w:tcMar>
              <w:top w:w="70" w:type="dxa"/>
              <w:left w:w="90" w:type="dxa"/>
              <w:bottom w:w="70" w:type="dxa"/>
              <w:right w:w="90" w:type="dxa"/>
            </w:tcMar>
            <w:vAlign w:val="center"/>
          </w:tcPr>
          <w:p w14:paraId="5C1E60AE" w14:textId="77777777" w:rsidR="0067498C" w:rsidRPr="0048483F" w:rsidRDefault="00000000" w:rsidP="00C970ED">
            <w:pPr>
              <w:spacing w:line="360" w:lineRule="auto"/>
              <w:jc w:val="both"/>
              <w:rPr>
                <w:rFonts w:ascii="Times New Roman" w:hAnsi="Times New Roman" w:cs="Times New Roman"/>
              </w:rPr>
            </w:pPr>
            <w:r w:rsidRPr="0048483F">
              <w:rPr>
                <w:rFonts w:ascii="Times New Roman" w:hAnsi="Times New Roman" w:cs="Times New Roman"/>
                <w:b/>
                <w:bCs/>
                <w:color w:val="FFFFFF"/>
              </w:rPr>
              <w:t>Application to Tata Steel</w:t>
            </w:r>
          </w:p>
        </w:tc>
        <w:tc>
          <w:tcPr>
            <w:tcW w:w="1900" w:type="dxa"/>
            <w:shd w:val="clear" w:color="auto" w:fill="0B2545"/>
            <w:tcMar>
              <w:top w:w="70" w:type="dxa"/>
              <w:left w:w="90" w:type="dxa"/>
              <w:bottom w:w="70" w:type="dxa"/>
              <w:right w:w="90" w:type="dxa"/>
            </w:tcMar>
            <w:vAlign w:val="center"/>
          </w:tcPr>
          <w:p w14:paraId="146FD2D3" w14:textId="77777777" w:rsidR="0067498C" w:rsidRPr="0048483F" w:rsidRDefault="00000000" w:rsidP="00C970ED">
            <w:pPr>
              <w:spacing w:line="360" w:lineRule="auto"/>
              <w:jc w:val="both"/>
              <w:rPr>
                <w:rFonts w:ascii="Times New Roman" w:hAnsi="Times New Roman" w:cs="Times New Roman"/>
              </w:rPr>
            </w:pPr>
            <w:r w:rsidRPr="0048483F">
              <w:rPr>
                <w:rFonts w:ascii="Times New Roman" w:hAnsi="Times New Roman" w:cs="Times New Roman"/>
                <w:b/>
                <w:bCs/>
                <w:color w:val="FFFFFF"/>
              </w:rPr>
              <w:t>Priority</w:t>
            </w:r>
          </w:p>
        </w:tc>
      </w:tr>
      <w:tr w:rsidR="0067498C" w:rsidRPr="0048483F" w14:paraId="6A576A68" w14:textId="77777777">
        <w:tc>
          <w:tcPr>
            <w:tcW w:w="2050" w:type="dxa"/>
            <w:shd w:val="clear" w:color="auto" w:fill="EAF3F4"/>
            <w:tcMar>
              <w:top w:w="60" w:type="dxa"/>
              <w:left w:w="90" w:type="dxa"/>
              <w:bottom w:w="60" w:type="dxa"/>
              <w:right w:w="90" w:type="dxa"/>
            </w:tcMar>
            <w:vAlign w:val="center"/>
          </w:tcPr>
          <w:p w14:paraId="54DFFEA9" w14:textId="77777777" w:rsidR="0067498C" w:rsidRPr="0048483F" w:rsidRDefault="00000000" w:rsidP="00C970ED">
            <w:pPr>
              <w:spacing w:line="360" w:lineRule="auto"/>
              <w:jc w:val="both"/>
              <w:rPr>
                <w:rFonts w:ascii="Times New Roman" w:hAnsi="Times New Roman" w:cs="Times New Roman"/>
              </w:rPr>
            </w:pPr>
            <w:r w:rsidRPr="0048483F">
              <w:rPr>
                <w:rFonts w:ascii="Times New Roman" w:hAnsi="Times New Roman" w:cs="Times New Roman"/>
                <w:b/>
                <w:bCs/>
              </w:rPr>
              <w:t>Market penetration</w:t>
            </w:r>
          </w:p>
        </w:tc>
        <w:tc>
          <w:tcPr>
            <w:tcW w:w="1550" w:type="dxa"/>
            <w:tcMar>
              <w:top w:w="60" w:type="dxa"/>
              <w:left w:w="90" w:type="dxa"/>
              <w:bottom w:w="60" w:type="dxa"/>
              <w:right w:w="90" w:type="dxa"/>
            </w:tcMar>
            <w:vAlign w:val="center"/>
          </w:tcPr>
          <w:p w14:paraId="30398478" w14:textId="77777777" w:rsidR="0067498C" w:rsidRPr="0048483F" w:rsidRDefault="00000000" w:rsidP="00C970ED">
            <w:pPr>
              <w:spacing w:line="360" w:lineRule="auto"/>
              <w:jc w:val="both"/>
              <w:rPr>
                <w:rFonts w:ascii="Times New Roman" w:hAnsi="Times New Roman" w:cs="Times New Roman"/>
              </w:rPr>
            </w:pPr>
            <w:r w:rsidRPr="0048483F">
              <w:rPr>
                <w:rFonts w:ascii="Times New Roman" w:hAnsi="Times New Roman" w:cs="Times New Roman"/>
              </w:rPr>
              <w:t>Low</w:t>
            </w:r>
          </w:p>
        </w:tc>
        <w:tc>
          <w:tcPr>
            <w:tcW w:w="3500" w:type="dxa"/>
            <w:tcMar>
              <w:top w:w="60" w:type="dxa"/>
              <w:left w:w="90" w:type="dxa"/>
              <w:bottom w:w="60" w:type="dxa"/>
              <w:right w:w="90" w:type="dxa"/>
            </w:tcMar>
            <w:vAlign w:val="center"/>
          </w:tcPr>
          <w:p w14:paraId="299BB8BA" w14:textId="77777777" w:rsidR="0067498C" w:rsidRPr="0048483F" w:rsidRDefault="00000000" w:rsidP="00C970ED">
            <w:pPr>
              <w:spacing w:line="360" w:lineRule="auto"/>
              <w:jc w:val="both"/>
              <w:rPr>
                <w:rFonts w:ascii="Times New Roman" w:hAnsi="Times New Roman" w:cs="Times New Roman"/>
              </w:rPr>
            </w:pPr>
            <w:r w:rsidRPr="0048483F">
              <w:rPr>
                <w:rFonts w:ascii="Times New Roman" w:hAnsi="Times New Roman" w:cs="Times New Roman"/>
              </w:rPr>
              <w:t>Grow share of conventional steel in existing markets; useful but does not exploit the low-carbon shift.</w:t>
            </w:r>
          </w:p>
        </w:tc>
        <w:tc>
          <w:tcPr>
            <w:tcW w:w="1900" w:type="dxa"/>
            <w:tcMar>
              <w:top w:w="60" w:type="dxa"/>
              <w:left w:w="90" w:type="dxa"/>
              <w:bottom w:w="60" w:type="dxa"/>
              <w:right w:w="90" w:type="dxa"/>
            </w:tcMar>
            <w:vAlign w:val="center"/>
          </w:tcPr>
          <w:p w14:paraId="560A75D6" w14:textId="77777777" w:rsidR="0067498C" w:rsidRPr="0048483F" w:rsidRDefault="00000000" w:rsidP="00C970ED">
            <w:pPr>
              <w:spacing w:line="360" w:lineRule="auto"/>
              <w:jc w:val="both"/>
              <w:rPr>
                <w:rFonts w:ascii="Times New Roman" w:hAnsi="Times New Roman" w:cs="Times New Roman"/>
              </w:rPr>
            </w:pPr>
            <w:r w:rsidRPr="0048483F">
              <w:rPr>
                <w:rFonts w:ascii="Times New Roman" w:hAnsi="Times New Roman" w:cs="Times New Roman"/>
              </w:rPr>
              <w:t>Supporting</w:t>
            </w:r>
          </w:p>
        </w:tc>
      </w:tr>
      <w:tr w:rsidR="0067498C" w:rsidRPr="0048483F" w14:paraId="72B952A8" w14:textId="77777777">
        <w:tc>
          <w:tcPr>
            <w:tcW w:w="2050" w:type="dxa"/>
            <w:shd w:val="clear" w:color="auto" w:fill="D8EEE9"/>
            <w:tcMar>
              <w:top w:w="60" w:type="dxa"/>
              <w:left w:w="90" w:type="dxa"/>
              <w:bottom w:w="60" w:type="dxa"/>
              <w:right w:w="90" w:type="dxa"/>
            </w:tcMar>
            <w:vAlign w:val="center"/>
          </w:tcPr>
          <w:p w14:paraId="369A058D" w14:textId="77777777" w:rsidR="0067498C" w:rsidRPr="0048483F" w:rsidRDefault="00000000" w:rsidP="00C970ED">
            <w:pPr>
              <w:spacing w:line="360" w:lineRule="auto"/>
              <w:jc w:val="both"/>
              <w:rPr>
                <w:rFonts w:ascii="Times New Roman" w:hAnsi="Times New Roman" w:cs="Times New Roman"/>
              </w:rPr>
            </w:pPr>
            <w:r w:rsidRPr="0048483F">
              <w:rPr>
                <w:rFonts w:ascii="Times New Roman" w:hAnsi="Times New Roman" w:cs="Times New Roman"/>
                <w:b/>
                <w:bCs/>
              </w:rPr>
              <w:t>Product development</w:t>
            </w:r>
          </w:p>
        </w:tc>
        <w:tc>
          <w:tcPr>
            <w:tcW w:w="1550" w:type="dxa"/>
            <w:tcMar>
              <w:top w:w="60" w:type="dxa"/>
              <w:left w:w="90" w:type="dxa"/>
              <w:bottom w:w="60" w:type="dxa"/>
              <w:right w:w="90" w:type="dxa"/>
            </w:tcMar>
            <w:vAlign w:val="center"/>
          </w:tcPr>
          <w:p w14:paraId="4DD3D008" w14:textId="77777777" w:rsidR="0067498C" w:rsidRPr="0048483F" w:rsidRDefault="00000000" w:rsidP="00C970ED">
            <w:pPr>
              <w:spacing w:line="360" w:lineRule="auto"/>
              <w:jc w:val="both"/>
              <w:rPr>
                <w:rFonts w:ascii="Times New Roman" w:hAnsi="Times New Roman" w:cs="Times New Roman"/>
              </w:rPr>
            </w:pPr>
            <w:r w:rsidRPr="0048483F">
              <w:rPr>
                <w:rFonts w:ascii="Times New Roman" w:hAnsi="Times New Roman" w:cs="Times New Roman"/>
              </w:rPr>
              <w:t>Moderate</w:t>
            </w:r>
          </w:p>
        </w:tc>
        <w:tc>
          <w:tcPr>
            <w:tcW w:w="3500" w:type="dxa"/>
            <w:tcMar>
              <w:top w:w="60" w:type="dxa"/>
              <w:left w:w="90" w:type="dxa"/>
              <w:bottom w:w="60" w:type="dxa"/>
              <w:right w:w="90" w:type="dxa"/>
            </w:tcMar>
            <w:vAlign w:val="center"/>
          </w:tcPr>
          <w:p w14:paraId="51E0ACA1" w14:textId="77777777" w:rsidR="0067498C" w:rsidRPr="0048483F" w:rsidRDefault="00000000" w:rsidP="00C970ED">
            <w:pPr>
              <w:spacing w:line="360" w:lineRule="auto"/>
              <w:jc w:val="both"/>
              <w:rPr>
                <w:rFonts w:ascii="Times New Roman" w:hAnsi="Times New Roman" w:cs="Times New Roman"/>
              </w:rPr>
            </w:pPr>
            <w:r w:rsidRPr="0048483F">
              <w:rPr>
                <w:rFonts w:ascii="Times New Roman" w:hAnsi="Times New Roman" w:cs="Times New Roman"/>
              </w:rPr>
              <w:t>Sell verified low-carbon steel (Zeremis™ / Optemis™) to existing automotive and construction customers seeking Scope 3 reductions.</w:t>
            </w:r>
          </w:p>
        </w:tc>
        <w:tc>
          <w:tcPr>
            <w:tcW w:w="1900" w:type="dxa"/>
            <w:tcMar>
              <w:top w:w="60" w:type="dxa"/>
              <w:left w:w="90" w:type="dxa"/>
              <w:bottom w:w="60" w:type="dxa"/>
              <w:right w:w="90" w:type="dxa"/>
            </w:tcMar>
            <w:vAlign w:val="center"/>
          </w:tcPr>
          <w:p w14:paraId="334B81A4" w14:textId="77777777" w:rsidR="0067498C" w:rsidRPr="0048483F" w:rsidRDefault="00000000" w:rsidP="00C970ED">
            <w:pPr>
              <w:spacing w:line="360" w:lineRule="auto"/>
              <w:jc w:val="both"/>
              <w:rPr>
                <w:rFonts w:ascii="Times New Roman" w:hAnsi="Times New Roman" w:cs="Times New Roman"/>
              </w:rPr>
            </w:pPr>
            <w:r w:rsidRPr="0048483F">
              <w:rPr>
                <w:rFonts w:ascii="Times New Roman" w:hAnsi="Times New Roman" w:cs="Times New Roman"/>
                <w:b/>
                <w:bCs/>
              </w:rPr>
              <w:t>Core (recommended)</w:t>
            </w:r>
          </w:p>
        </w:tc>
      </w:tr>
      <w:tr w:rsidR="0067498C" w:rsidRPr="0048483F" w14:paraId="01372DC7" w14:textId="77777777">
        <w:tc>
          <w:tcPr>
            <w:tcW w:w="2050" w:type="dxa"/>
            <w:shd w:val="clear" w:color="auto" w:fill="EAF3F4"/>
            <w:tcMar>
              <w:top w:w="60" w:type="dxa"/>
              <w:left w:w="90" w:type="dxa"/>
              <w:bottom w:w="60" w:type="dxa"/>
              <w:right w:w="90" w:type="dxa"/>
            </w:tcMar>
            <w:vAlign w:val="center"/>
          </w:tcPr>
          <w:p w14:paraId="4AA4EE51" w14:textId="77777777" w:rsidR="0067498C" w:rsidRPr="0048483F" w:rsidRDefault="00000000" w:rsidP="00C970ED">
            <w:pPr>
              <w:spacing w:line="360" w:lineRule="auto"/>
              <w:jc w:val="both"/>
              <w:rPr>
                <w:rFonts w:ascii="Times New Roman" w:hAnsi="Times New Roman" w:cs="Times New Roman"/>
              </w:rPr>
            </w:pPr>
            <w:r w:rsidRPr="0048483F">
              <w:rPr>
                <w:rFonts w:ascii="Times New Roman" w:hAnsi="Times New Roman" w:cs="Times New Roman"/>
                <w:b/>
                <w:bCs/>
              </w:rPr>
              <w:t>Market development</w:t>
            </w:r>
          </w:p>
        </w:tc>
        <w:tc>
          <w:tcPr>
            <w:tcW w:w="1550" w:type="dxa"/>
            <w:tcMar>
              <w:top w:w="60" w:type="dxa"/>
              <w:left w:w="90" w:type="dxa"/>
              <w:bottom w:w="60" w:type="dxa"/>
              <w:right w:w="90" w:type="dxa"/>
            </w:tcMar>
            <w:vAlign w:val="center"/>
          </w:tcPr>
          <w:p w14:paraId="345779DC" w14:textId="77777777" w:rsidR="0067498C" w:rsidRPr="0048483F" w:rsidRDefault="00000000" w:rsidP="00C970ED">
            <w:pPr>
              <w:spacing w:line="360" w:lineRule="auto"/>
              <w:jc w:val="both"/>
              <w:rPr>
                <w:rFonts w:ascii="Times New Roman" w:hAnsi="Times New Roman" w:cs="Times New Roman"/>
              </w:rPr>
            </w:pPr>
            <w:r w:rsidRPr="0048483F">
              <w:rPr>
                <w:rFonts w:ascii="Times New Roman" w:hAnsi="Times New Roman" w:cs="Times New Roman"/>
              </w:rPr>
              <w:t>Moderate–high</w:t>
            </w:r>
          </w:p>
        </w:tc>
        <w:tc>
          <w:tcPr>
            <w:tcW w:w="3500" w:type="dxa"/>
            <w:tcMar>
              <w:top w:w="60" w:type="dxa"/>
              <w:left w:w="90" w:type="dxa"/>
              <w:bottom w:w="60" w:type="dxa"/>
              <w:right w:w="90" w:type="dxa"/>
            </w:tcMar>
            <w:vAlign w:val="center"/>
          </w:tcPr>
          <w:p w14:paraId="1AEABDFF" w14:textId="77777777" w:rsidR="0067498C" w:rsidRPr="0048483F" w:rsidRDefault="00000000" w:rsidP="00C970ED">
            <w:pPr>
              <w:spacing w:line="360" w:lineRule="auto"/>
              <w:jc w:val="both"/>
              <w:rPr>
                <w:rFonts w:ascii="Times New Roman" w:hAnsi="Times New Roman" w:cs="Times New Roman"/>
              </w:rPr>
            </w:pPr>
            <w:r w:rsidRPr="0048483F">
              <w:rPr>
                <w:rFonts w:ascii="Times New Roman" w:hAnsi="Times New Roman" w:cs="Times New Roman"/>
              </w:rPr>
              <w:t>Direct low-carbon steel to new segments and geographies (EU green public procurement, EV and renewables supply chains).</w:t>
            </w:r>
          </w:p>
        </w:tc>
        <w:tc>
          <w:tcPr>
            <w:tcW w:w="1900" w:type="dxa"/>
            <w:tcMar>
              <w:top w:w="60" w:type="dxa"/>
              <w:left w:w="90" w:type="dxa"/>
              <w:bottom w:w="60" w:type="dxa"/>
              <w:right w:w="90" w:type="dxa"/>
            </w:tcMar>
            <w:vAlign w:val="center"/>
          </w:tcPr>
          <w:p w14:paraId="3A87A7A5" w14:textId="77777777" w:rsidR="0067498C" w:rsidRPr="0048483F" w:rsidRDefault="00000000" w:rsidP="00C970ED">
            <w:pPr>
              <w:spacing w:line="360" w:lineRule="auto"/>
              <w:jc w:val="both"/>
              <w:rPr>
                <w:rFonts w:ascii="Times New Roman" w:hAnsi="Times New Roman" w:cs="Times New Roman"/>
              </w:rPr>
            </w:pPr>
            <w:r w:rsidRPr="0048483F">
              <w:rPr>
                <w:rFonts w:ascii="Times New Roman" w:hAnsi="Times New Roman" w:cs="Times New Roman"/>
              </w:rPr>
              <w:t>Secondary</w:t>
            </w:r>
          </w:p>
        </w:tc>
      </w:tr>
      <w:tr w:rsidR="0067498C" w:rsidRPr="0048483F" w14:paraId="38F3E9AC" w14:textId="77777777">
        <w:tc>
          <w:tcPr>
            <w:tcW w:w="2050" w:type="dxa"/>
            <w:shd w:val="clear" w:color="auto" w:fill="EAF3F4"/>
            <w:tcMar>
              <w:top w:w="60" w:type="dxa"/>
              <w:left w:w="90" w:type="dxa"/>
              <w:bottom w:w="60" w:type="dxa"/>
              <w:right w:w="90" w:type="dxa"/>
            </w:tcMar>
            <w:vAlign w:val="center"/>
          </w:tcPr>
          <w:p w14:paraId="3CE3CDB0" w14:textId="77777777" w:rsidR="0067498C" w:rsidRPr="0048483F" w:rsidRDefault="00000000" w:rsidP="00C970ED">
            <w:pPr>
              <w:spacing w:line="360" w:lineRule="auto"/>
              <w:jc w:val="both"/>
              <w:rPr>
                <w:rFonts w:ascii="Times New Roman" w:hAnsi="Times New Roman" w:cs="Times New Roman"/>
              </w:rPr>
            </w:pPr>
            <w:r w:rsidRPr="0048483F">
              <w:rPr>
                <w:rFonts w:ascii="Times New Roman" w:hAnsi="Times New Roman" w:cs="Times New Roman"/>
                <w:b/>
                <w:bCs/>
              </w:rPr>
              <w:t>Diversification</w:t>
            </w:r>
          </w:p>
        </w:tc>
        <w:tc>
          <w:tcPr>
            <w:tcW w:w="1550" w:type="dxa"/>
            <w:tcMar>
              <w:top w:w="60" w:type="dxa"/>
              <w:left w:w="90" w:type="dxa"/>
              <w:bottom w:w="60" w:type="dxa"/>
              <w:right w:w="90" w:type="dxa"/>
            </w:tcMar>
            <w:vAlign w:val="center"/>
          </w:tcPr>
          <w:p w14:paraId="0A569ABB" w14:textId="77777777" w:rsidR="0067498C" w:rsidRPr="0048483F" w:rsidRDefault="00000000" w:rsidP="00C970ED">
            <w:pPr>
              <w:spacing w:line="360" w:lineRule="auto"/>
              <w:jc w:val="both"/>
              <w:rPr>
                <w:rFonts w:ascii="Times New Roman" w:hAnsi="Times New Roman" w:cs="Times New Roman"/>
              </w:rPr>
            </w:pPr>
            <w:r w:rsidRPr="0048483F">
              <w:rPr>
                <w:rFonts w:ascii="Times New Roman" w:hAnsi="Times New Roman" w:cs="Times New Roman"/>
              </w:rPr>
              <w:t>High</w:t>
            </w:r>
          </w:p>
        </w:tc>
        <w:tc>
          <w:tcPr>
            <w:tcW w:w="3500" w:type="dxa"/>
            <w:tcMar>
              <w:top w:w="60" w:type="dxa"/>
              <w:left w:w="90" w:type="dxa"/>
              <w:bottom w:w="60" w:type="dxa"/>
              <w:right w:w="90" w:type="dxa"/>
            </w:tcMar>
            <w:vAlign w:val="center"/>
          </w:tcPr>
          <w:p w14:paraId="377AA2F1" w14:textId="77777777" w:rsidR="0067498C" w:rsidRPr="0048483F" w:rsidRDefault="00000000" w:rsidP="00C970ED">
            <w:pPr>
              <w:spacing w:line="360" w:lineRule="auto"/>
              <w:jc w:val="both"/>
              <w:rPr>
                <w:rFonts w:ascii="Times New Roman" w:hAnsi="Times New Roman" w:cs="Times New Roman"/>
              </w:rPr>
            </w:pPr>
            <w:r w:rsidRPr="0048483F">
              <w:rPr>
                <w:rFonts w:ascii="Times New Roman" w:hAnsi="Times New Roman" w:cs="Times New Roman"/>
              </w:rPr>
              <w:t>New products for new markets (e.g. green-hydrogen or logistics services); high uncertainty and capital intensity.</w:t>
            </w:r>
          </w:p>
        </w:tc>
        <w:tc>
          <w:tcPr>
            <w:tcW w:w="1900" w:type="dxa"/>
            <w:tcMar>
              <w:top w:w="60" w:type="dxa"/>
              <w:left w:w="90" w:type="dxa"/>
              <w:bottom w:w="60" w:type="dxa"/>
              <w:right w:w="90" w:type="dxa"/>
            </w:tcMar>
            <w:vAlign w:val="center"/>
          </w:tcPr>
          <w:p w14:paraId="76C9DB6D" w14:textId="77777777" w:rsidR="0067498C" w:rsidRPr="0048483F" w:rsidRDefault="00000000" w:rsidP="00C970ED">
            <w:pPr>
              <w:spacing w:line="360" w:lineRule="auto"/>
              <w:jc w:val="both"/>
              <w:rPr>
                <w:rFonts w:ascii="Times New Roman" w:hAnsi="Times New Roman" w:cs="Times New Roman"/>
              </w:rPr>
            </w:pPr>
            <w:r w:rsidRPr="0048483F">
              <w:rPr>
                <w:rFonts w:ascii="Times New Roman" w:hAnsi="Times New Roman" w:cs="Times New Roman"/>
              </w:rPr>
              <w:t>Not prioritized</w:t>
            </w:r>
          </w:p>
        </w:tc>
      </w:tr>
    </w:tbl>
    <w:p w14:paraId="005835BE" w14:textId="77777777" w:rsidR="0067498C" w:rsidRPr="0048483F" w:rsidRDefault="0067498C" w:rsidP="00C970ED">
      <w:pPr>
        <w:spacing w:line="360" w:lineRule="auto"/>
        <w:jc w:val="both"/>
        <w:rPr>
          <w:rFonts w:ascii="Times New Roman" w:hAnsi="Times New Roman" w:cs="Times New Roman"/>
        </w:rPr>
      </w:pPr>
    </w:p>
    <w:p w14:paraId="53126DB9" w14:textId="77777777" w:rsidR="0067498C" w:rsidRPr="0048483F" w:rsidRDefault="00000000" w:rsidP="0008671A">
      <w:pPr>
        <w:pStyle w:val="Heading2"/>
      </w:pPr>
      <w:bookmarkStart w:id="14" w:name="_Toc236182989"/>
      <w:bookmarkStart w:id="15" w:name="_Toc236257118"/>
      <w:r w:rsidRPr="0048483F">
        <w:t>Achieving competitive advantage</w:t>
      </w:r>
      <w:bookmarkEnd w:id="14"/>
      <w:bookmarkEnd w:id="15"/>
    </w:p>
    <w:p w14:paraId="050838CA" w14:textId="77777777" w:rsidR="00C970ED" w:rsidRPr="0048483F" w:rsidRDefault="0008671A" w:rsidP="0008671A">
      <w:pPr>
        <w:spacing w:line="360" w:lineRule="auto"/>
        <w:jc w:val="both"/>
        <w:rPr>
          <w:rFonts w:ascii="Times New Roman" w:hAnsi="Times New Roman" w:cs="Times New Roman"/>
        </w:rPr>
      </w:pPr>
      <w:r w:rsidRPr="0048483F">
        <w:rPr>
          <w:rFonts w:ascii="Times New Roman" w:hAnsi="Times New Roman" w:cs="Times New Roman"/>
        </w:rPr>
        <w:t>A defensible competitive position is necessary to support a successful growth strategy. There are two generic strategies which Porter (1985) identifies: cost leadership and differentiation. In the short term, Tata Steel can differentiate with the certifications of low carbon steel, which offer a "greenium" in the automotive industry of about €200–350 tonne, as there is a limited supply (Steelonthenet, 2026). This benefit is reinforced by the worldsteel Sustainability Champion recognition, DNV assured Zeremis™ claims and long-term offtake agreements. These environmental capabilities confer a competitive advantage that is hard for competitors to copy, in accord with Hart's (1995) natural-resource-based view. Market development is riskier than market penetration because it involves the development of new markets that require other skills and potentially involve costs from a CBAM perspective. This risk, however, can be minimised by venturing into related markets with the existing low carbon products, and reacting to the demand for green public procurement (Ansoff, 1957). This differentiation advantage is temporary since green-steel premiums will be expected to drop as supply grows (Figure 5). The Tata Steel organization should, therefore, focus on becoming a cost leader through the use of renewable energy, economies of scale and efficient EAF operation. Keeping the credibility is key to success, in India, the continued growth based on coal would jeopardize environmental claims (Carbon Tracker, 2025). The potential for innovation, and hence long-term competitiveness, is also stimulated by well-designed regulation like CBAM (Porter and van der Linde, 1995).</w:t>
      </w:r>
      <w:r w:rsidRPr="0048483F">
        <w:rPr>
          <w:rFonts w:ascii="Times New Roman" w:hAnsi="Times New Roman" w:cs="Times New Roman"/>
          <w:noProof/>
        </w:rPr>
        <w:drawing>
          <wp:inline distT="0" distB="0" distL="0" distR="0" wp14:anchorId="33BF9A6E" wp14:editId="145183E8">
            <wp:extent cx="5731510" cy="3264535"/>
            <wp:effectExtent l="0" t="0" r="2540" b="0"/>
            <wp:docPr id="35161816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a:stretch>
                      <a:fillRect/>
                    </a:stretch>
                  </pic:blipFill>
                  <pic:spPr bwMode="auto">
                    <a:xfrm>
                      <a:off x="0" y="0"/>
                      <a:ext cx="5731510" cy="3264535"/>
                    </a:xfrm>
                    <a:prstGeom prst="rect">
                      <a:avLst/>
                    </a:prstGeom>
                    <a:noFill/>
                    <a:ln>
                      <a:noFill/>
                    </a:ln>
                    <a:extLst>
                      <a:ext uri="{53640926-AAD7-44D8-BBD7-CCE9431645EC}">
                        <a14:shadowObscured xmlns:a14="http://schemas.microsoft.com/office/drawing/2010/main"/>
                      </a:ext>
                    </a:extLst>
                  </pic:spPr>
                </pic:pic>
              </a:graphicData>
            </a:graphic>
          </wp:inline>
        </w:drawing>
      </w:r>
    </w:p>
    <w:p w14:paraId="2777526F" w14:textId="77777777" w:rsidR="00C970ED" w:rsidRPr="0048483F" w:rsidRDefault="00C970ED" w:rsidP="00C970ED">
      <w:pPr>
        <w:spacing w:line="360" w:lineRule="auto"/>
        <w:jc w:val="both"/>
        <w:rPr>
          <w:rFonts w:ascii="Times New Roman" w:hAnsi="Times New Roman" w:cs="Times New Roman"/>
        </w:rPr>
      </w:pPr>
    </w:p>
    <w:p w14:paraId="27A236E1" w14:textId="77777777" w:rsidR="0067498C" w:rsidRPr="0048483F" w:rsidRDefault="00000000" w:rsidP="0008671A">
      <w:pPr>
        <w:spacing w:line="360" w:lineRule="auto"/>
        <w:jc w:val="center"/>
        <w:rPr>
          <w:rFonts w:ascii="Times New Roman" w:hAnsi="Times New Roman" w:cs="Times New Roman"/>
          <w:b/>
          <w:bCs/>
        </w:rPr>
      </w:pPr>
      <w:r w:rsidRPr="0048483F">
        <w:rPr>
          <w:rFonts w:ascii="Times New Roman" w:hAnsi="Times New Roman" w:cs="Times New Roman"/>
          <w:b/>
          <w:bCs/>
          <w:i/>
          <w:iCs/>
        </w:rPr>
        <w:t>Figure 5: Indicative green-steel price-premium trajectory, 2025–2035, showing the time-limited differentiation window (Steelonthenet, 2026).</w:t>
      </w:r>
    </w:p>
    <w:p w14:paraId="15202551" w14:textId="77777777" w:rsidR="0067498C" w:rsidRPr="0048483F" w:rsidRDefault="00000000" w:rsidP="0008671A">
      <w:pPr>
        <w:pStyle w:val="Heading1"/>
      </w:pPr>
      <w:bookmarkStart w:id="16" w:name="_Toc236182990"/>
      <w:bookmarkStart w:id="17" w:name="_Toc236257119"/>
      <w:r w:rsidRPr="0048483F">
        <w:t>Task 3: Critical Reflection on AI Usage</w:t>
      </w:r>
      <w:bookmarkEnd w:id="16"/>
      <w:bookmarkEnd w:id="17"/>
    </w:p>
    <w:p w14:paraId="0D444429" w14:textId="77777777" w:rsidR="0067498C" w:rsidRPr="0048483F" w:rsidRDefault="00000000" w:rsidP="0008671A">
      <w:pPr>
        <w:pStyle w:val="Heading2"/>
      </w:pPr>
      <w:bookmarkStart w:id="18" w:name="_Toc236182991"/>
      <w:bookmarkStart w:id="19" w:name="_Toc236257120"/>
      <w:r w:rsidRPr="0048483F">
        <w:t>Tool disclosure</w:t>
      </w:r>
      <w:bookmarkEnd w:id="18"/>
      <w:bookmarkEnd w:id="19"/>
    </w:p>
    <w:p w14:paraId="0EF7810F" w14:textId="77777777" w:rsidR="000E21F1" w:rsidRPr="0048483F" w:rsidRDefault="000E21F1" w:rsidP="00C970ED">
      <w:pPr>
        <w:spacing w:line="360" w:lineRule="auto"/>
        <w:jc w:val="both"/>
        <w:rPr>
          <w:rFonts w:ascii="Times New Roman" w:hAnsi="Times New Roman" w:cs="Times New Roman"/>
        </w:rPr>
      </w:pPr>
      <w:r w:rsidRPr="0048483F">
        <w:rPr>
          <w:rFonts w:ascii="Times New Roman" w:hAnsi="Times New Roman" w:cs="Times New Roman"/>
        </w:rPr>
        <w:t>This report has been prepared with the assistance of a generative AI large language model, in accordance with the module's acknowledgment of the use of AI. It was used only as a support tool; to help organise the argument against the assessment criteria, to suggest an initial argument outline, and to summarise publicly available information about Tata Steel's decarbonisation, and to propose the data for Figures 1–3. It was also utilized as a grammar and academic tone proofreading support. It was never intended to be used for the development of analytical frameworks, for making critical judgements, or for the creation of the final argument.</w:t>
      </w:r>
    </w:p>
    <w:p w14:paraId="481EDDB6" w14:textId="77777777" w:rsidR="000E21F1" w:rsidRPr="0048483F" w:rsidRDefault="000E21F1" w:rsidP="0008671A">
      <w:pPr>
        <w:pStyle w:val="Heading2"/>
      </w:pPr>
      <w:bookmarkStart w:id="20" w:name="_Toc236257121"/>
      <w:r w:rsidRPr="0048483F">
        <w:t>Critical evaluation of AI output</w:t>
      </w:r>
      <w:bookmarkEnd w:id="20"/>
    </w:p>
    <w:p w14:paraId="632C70F9" w14:textId="77777777" w:rsidR="000E21F1" w:rsidRPr="0048483F" w:rsidRDefault="000E21F1" w:rsidP="00C970ED">
      <w:pPr>
        <w:spacing w:line="360" w:lineRule="auto"/>
        <w:jc w:val="both"/>
        <w:rPr>
          <w:rFonts w:ascii="Times New Roman" w:hAnsi="Times New Roman" w:cs="Times New Roman"/>
        </w:rPr>
      </w:pPr>
      <w:r w:rsidRPr="0048483F">
        <w:rPr>
          <w:rFonts w:ascii="Times New Roman" w:hAnsi="Times New Roman" w:cs="Times New Roman"/>
        </w:rPr>
        <w:t>AI generated content was used as a draft but not as evidence. All facts and statistics, including the £1.25 billion investment in Port Talbot, the 90% emissions reduction, the CBAM timeline and premium ranges, were cross-referenced against primary and credible secondary sources including Tata Steel's integrated report, House of Commons Library and industry analysts and only included if verified. This demonstrated the typical pitfalls of generative AI. Most important, I had to discard most of the early drafts, which contained plausible but fabricated references (“hallucinations”) such as non-existent journal articles and false publication year; only sources I could find and verify were cited. Also, AI tended to overstate the transition as uniformly successful, lacking the critique on coal capacity in India; this was addressed by incorporating the critique on coal capacity in India into Tasks 1 and 2, and by building the counter-argument into the AI's output.</w:t>
      </w:r>
    </w:p>
    <w:p w14:paraId="3AF6E2D7" w14:textId="77777777" w:rsidR="000E21F1" w:rsidRPr="0048483F" w:rsidRDefault="000E21F1" w:rsidP="0008671A">
      <w:pPr>
        <w:pStyle w:val="Heading2"/>
      </w:pPr>
      <w:bookmarkStart w:id="21" w:name="_Toc236257122"/>
      <w:r w:rsidRPr="0048483F">
        <w:t>Contribution analysis</w:t>
      </w:r>
      <w:bookmarkEnd w:id="21"/>
    </w:p>
    <w:p w14:paraId="2C69188A" w14:textId="77777777" w:rsidR="000E21F1" w:rsidRPr="0048483F" w:rsidRDefault="000E21F1" w:rsidP="00C970ED">
      <w:pPr>
        <w:spacing w:line="360" w:lineRule="auto"/>
        <w:jc w:val="both"/>
        <w:rPr>
          <w:rFonts w:ascii="Times New Roman" w:hAnsi="Times New Roman" w:cs="Times New Roman"/>
        </w:rPr>
      </w:pPr>
      <w:r w:rsidRPr="0048483F">
        <w:rPr>
          <w:rFonts w:ascii="Times New Roman" w:hAnsi="Times New Roman" w:cs="Times New Roman"/>
        </w:rPr>
        <w:t>It's easy to tell the difference between the AI creates and the original works. Organisation, summarisation and language helped by AI. The core ideas in the report are my own; the focus on the natural environment as the primary driver of the report; the use of regulation as the mechanism for driving change; the view that premiums will become more normal and therefore differentiation will need to shift towards cost leadership; and the critical link between greenwashing risk and the Tata Steel's Indian expansion. The synthesis, evaluation and conclusions are my interpretation of the evidence.</w:t>
      </w:r>
    </w:p>
    <w:p w14:paraId="56DF3615" w14:textId="77777777" w:rsidR="000E21F1" w:rsidRPr="0048483F" w:rsidRDefault="000E21F1" w:rsidP="0008671A">
      <w:pPr>
        <w:pStyle w:val="Heading2"/>
      </w:pPr>
      <w:bookmarkStart w:id="22" w:name="_Toc236257123"/>
      <w:r w:rsidRPr="0048483F">
        <w:t>Ethical and professional reflection</w:t>
      </w:r>
      <w:bookmarkEnd w:id="22"/>
    </w:p>
    <w:p w14:paraId="4C2A9633" w14:textId="77777777" w:rsidR="000E21F1" w:rsidRPr="0048483F" w:rsidRDefault="000E21F1" w:rsidP="00C970ED">
      <w:pPr>
        <w:spacing w:line="360" w:lineRule="auto"/>
        <w:jc w:val="both"/>
        <w:rPr>
          <w:rFonts w:ascii="Times New Roman" w:hAnsi="Times New Roman" w:cs="Times New Roman"/>
        </w:rPr>
      </w:pPr>
      <w:r w:rsidRPr="0048483F">
        <w:rPr>
          <w:rFonts w:ascii="Times New Roman" w:hAnsi="Times New Roman" w:cs="Times New Roman"/>
        </w:rPr>
        <w:t>Like the report's content, ethical issues arise with the use of AI for marketing analysis. The key is transparency – as with the disclosure of AI-assisted work, Tata Steel should not overestimate its environmental credentials. Academic integrity would have been compromised by accepting the output of AI without critical evaluation: Over-reliance is a professional risk – accepting it without questioning would have brought in the false references and the above-mentioned one-sided optimism. Another aspect is data bias and provenance, as a model can reflect its learnings and may also generate outdated or incomplete data. The sensible position, and the one taken here, is to apply AI to make things more efficient without losing the human role or the need to verify and account for the final analysis – the same “verify, then trust” that CBAM is now demanding for green-steel claims.</w:t>
      </w:r>
    </w:p>
    <w:p w14:paraId="18D102D0" w14:textId="77777777" w:rsidR="000E21F1" w:rsidRPr="0048483F" w:rsidRDefault="000E21F1" w:rsidP="0008671A">
      <w:pPr>
        <w:pStyle w:val="Heading1"/>
      </w:pPr>
      <w:bookmarkStart w:id="23" w:name="_Toc236257124"/>
      <w:r w:rsidRPr="0048483F">
        <w:t>Conclusion</w:t>
      </w:r>
      <w:bookmarkEnd w:id="23"/>
    </w:p>
    <w:p w14:paraId="03EF350E" w14:textId="77777777" w:rsidR="0048483F" w:rsidRPr="0048483F" w:rsidRDefault="000E21F1" w:rsidP="0048483F">
      <w:pPr>
        <w:spacing w:line="360" w:lineRule="auto"/>
        <w:jc w:val="both"/>
        <w:rPr>
          <w:rFonts w:ascii="Times New Roman" w:hAnsi="Times New Roman" w:cs="Times New Roman"/>
        </w:rPr>
      </w:pPr>
      <w:r w:rsidRPr="0048483F">
        <w:rPr>
          <w:rFonts w:ascii="Times New Roman" w:hAnsi="Times New Roman" w:cs="Times New Roman"/>
        </w:rPr>
        <w:t xml:space="preserve">At the heart of Tata Steel's journey towards lower carbon lies the natural environment, as it conveys the pressures of resources and climate to the realities of finance through the political and legal environment – primarily CBAM. The Ansoff Matrix, a product development-driven strategy – validated-selling of low carbon steel, like Zeremis™, to current automotive and construction customers, with market development into new LCS applications – is the strongest best-proven path to growth. </w:t>
      </w:r>
      <w:bookmarkStart w:id="24" w:name="_Toc236182996"/>
      <w:r w:rsidR="0048483F" w:rsidRPr="0048483F">
        <w:rPr>
          <w:rFonts w:ascii="Times New Roman" w:hAnsi="Times New Roman" w:cs="Times New Roman"/>
        </w:rPr>
        <w:t xml:space="preserve">Being competitive, Tata Steel must leverage on its near term green premium and also be ready to compete on cost as low carbon steel becomes the norm. Be credible: The group must say what it will do - and do it. Actors are both a threat and an opportunity, as opportunities are </w:t>
      </w:r>
      <w:proofErr w:type="spellStart"/>
      <w:r w:rsidR="0048483F" w:rsidRPr="0048483F">
        <w:rPr>
          <w:rFonts w:ascii="Times New Roman" w:hAnsi="Times New Roman" w:cs="Times New Roman"/>
        </w:rPr>
        <w:t>realised</w:t>
      </w:r>
      <w:proofErr w:type="spellEnd"/>
      <w:r w:rsidR="0048483F" w:rsidRPr="0048483F">
        <w:rPr>
          <w:rFonts w:ascii="Times New Roman" w:hAnsi="Times New Roman" w:cs="Times New Roman"/>
        </w:rPr>
        <w:t xml:space="preserve"> through product development with market development and threats are managed but not eliminated, hence the need for verification and cost discipline to be maintained beyond 2030.</w:t>
      </w:r>
    </w:p>
    <w:p w14:paraId="606DFFF2" w14:textId="77777777" w:rsidR="0048483F" w:rsidRPr="0048483F" w:rsidRDefault="0048483F" w:rsidP="0048483F">
      <w:pPr>
        <w:spacing w:line="360" w:lineRule="auto"/>
        <w:jc w:val="both"/>
        <w:rPr>
          <w:rFonts w:ascii="Times New Roman" w:hAnsi="Times New Roman" w:cs="Times New Roman"/>
        </w:rPr>
      </w:pPr>
    </w:p>
    <w:p w14:paraId="74203013" w14:textId="77777777" w:rsidR="0048483F" w:rsidRPr="0048483F" w:rsidRDefault="0048483F" w:rsidP="0048483F">
      <w:pPr>
        <w:spacing w:line="360" w:lineRule="auto"/>
        <w:jc w:val="both"/>
        <w:rPr>
          <w:rFonts w:ascii="Times New Roman" w:hAnsi="Times New Roman" w:cs="Times New Roman"/>
        </w:rPr>
      </w:pPr>
    </w:p>
    <w:p w14:paraId="0873FCF1" w14:textId="77777777" w:rsidR="0048483F" w:rsidRPr="0048483F" w:rsidRDefault="0048483F" w:rsidP="0048483F">
      <w:pPr>
        <w:spacing w:line="360" w:lineRule="auto"/>
        <w:jc w:val="both"/>
        <w:rPr>
          <w:rFonts w:ascii="Times New Roman" w:hAnsi="Times New Roman" w:cs="Times New Roman"/>
        </w:rPr>
      </w:pPr>
    </w:p>
    <w:p w14:paraId="036841A8" w14:textId="77777777" w:rsidR="0048483F" w:rsidRPr="0048483F" w:rsidRDefault="0048483F" w:rsidP="0048483F">
      <w:pPr>
        <w:spacing w:line="360" w:lineRule="auto"/>
        <w:jc w:val="both"/>
        <w:rPr>
          <w:rFonts w:ascii="Times New Roman" w:hAnsi="Times New Roman" w:cs="Times New Roman"/>
        </w:rPr>
      </w:pPr>
    </w:p>
    <w:p w14:paraId="3D19FD75" w14:textId="77777777" w:rsidR="0048483F" w:rsidRPr="0048483F" w:rsidRDefault="0048483F" w:rsidP="0048483F">
      <w:pPr>
        <w:spacing w:line="360" w:lineRule="auto"/>
        <w:jc w:val="both"/>
        <w:rPr>
          <w:rFonts w:ascii="Times New Roman" w:hAnsi="Times New Roman" w:cs="Times New Roman"/>
        </w:rPr>
      </w:pPr>
    </w:p>
    <w:p w14:paraId="62117576" w14:textId="77777777" w:rsidR="0048483F" w:rsidRPr="0048483F" w:rsidRDefault="0048483F" w:rsidP="0048483F">
      <w:pPr>
        <w:spacing w:line="360" w:lineRule="auto"/>
        <w:jc w:val="both"/>
        <w:rPr>
          <w:rFonts w:ascii="Times New Roman" w:hAnsi="Times New Roman" w:cs="Times New Roman"/>
        </w:rPr>
      </w:pPr>
    </w:p>
    <w:p w14:paraId="2D2603AD" w14:textId="77777777" w:rsidR="0048483F" w:rsidRPr="0048483F" w:rsidRDefault="0048483F" w:rsidP="0048483F">
      <w:pPr>
        <w:spacing w:line="360" w:lineRule="auto"/>
        <w:jc w:val="both"/>
        <w:rPr>
          <w:rFonts w:ascii="Times New Roman" w:hAnsi="Times New Roman" w:cs="Times New Roman"/>
        </w:rPr>
      </w:pPr>
    </w:p>
    <w:p w14:paraId="764F4189" w14:textId="77777777" w:rsidR="0048483F" w:rsidRPr="0048483F" w:rsidRDefault="0048483F" w:rsidP="0048483F">
      <w:pPr>
        <w:spacing w:line="360" w:lineRule="auto"/>
        <w:jc w:val="both"/>
        <w:rPr>
          <w:rFonts w:ascii="Times New Roman" w:hAnsi="Times New Roman" w:cs="Times New Roman"/>
        </w:rPr>
      </w:pPr>
    </w:p>
    <w:p w14:paraId="52BBC301" w14:textId="77777777" w:rsidR="0048483F" w:rsidRPr="0048483F" w:rsidRDefault="0048483F" w:rsidP="0048483F">
      <w:pPr>
        <w:spacing w:line="360" w:lineRule="auto"/>
        <w:jc w:val="both"/>
        <w:rPr>
          <w:rFonts w:ascii="Times New Roman" w:hAnsi="Times New Roman" w:cs="Times New Roman"/>
        </w:rPr>
      </w:pPr>
    </w:p>
    <w:p w14:paraId="6FB4C61A" w14:textId="77777777" w:rsidR="0048483F" w:rsidRPr="0048483F" w:rsidRDefault="0048483F" w:rsidP="0048483F">
      <w:pPr>
        <w:spacing w:line="360" w:lineRule="auto"/>
        <w:jc w:val="both"/>
        <w:rPr>
          <w:rFonts w:ascii="Times New Roman" w:hAnsi="Times New Roman" w:cs="Times New Roman"/>
        </w:rPr>
      </w:pPr>
    </w:p>
    <w:p w14:paraId="54705AFD" w14:textId="77777777" w:rsidR="0048483F" w:rsidRPr="0048483F" w:rsidRDefault="0048483F" w:rsidP="0048483F">
      <w:pPr>
        <w:spacing w:line="360" w:lineRule="auto"/>
        <w:jc w:val="both"/>
        <w:rPr>
          <w:rFonts w:ascii="Times New Roman" w:hAnsi="Times New Roman" w:cs="Times New Roman"/>
        </w:rPr>
      </w:pPr>
    </w:p>
    <w:p w14:paraId="6B96A883" w14:textId="77777777" w:rsidR="0048483F" w:rsidRPr="0048483F" w:rsidRDefault="0048483F" w:rsidP="0048483F">
      <w:pPr>
        <w:spacing w:line="360" w:lineRule="auto"/>
        <w:jc w:val="both"/>
        <w:rPr>
          <w:rFonts w:ascii="Times New Roman" w:hAnsi="Times New Roman" w:cs="Times New Roman"/>
        </w:rPr>
      </w:pPr>
    </w:p>
    <w:p w14:paraId="57F5F13C" w14:textId="77777777" w:rsidR="0048483F" w:rsidRPr="0048483F" w:rsidRDefault="0048483F" w:rsidP="0048483F">
      <w:pPr>
        <w:spacing w:line="360" w:lineRule="auto"/>
        <w:jc w:val="both"/>
        <w:rPr>
          <w:rFonts w:ascii="Times New Roman" w:hAnsi="Times New Roman" w:cs="Times New Roman"/>
        </w:rPr>
      </w:pPr>
    </w:p>
    <w:p w14:paraId="2469D758" w14:textId="77777777" w:rsidR="0048483F" w:rsidRPr="0048483F" w:rsidRDefault="0048483F" w:rsidP="0048483F">
      <w:pPr>
        <w:spacing w:line="360" w:lineRule="auto"/>
        <w:jc w:val="both"/>
        <w:rPr>
          <w:rFonts w:ascii="Times New Roman" w:hAnsi="Times New Roman" w:cs="Times New Roman"/>
        </w:rPr>
      </w:pPr>
    </w:p>
    <w:p w14:paraId="6FAA45F8" w14:textId="77777777" w:rsidR="0048483F" w:rsidRPr="0048483F" w:rsidRDefault="0048483F" w:rsidP="0048483F">
      <w:pPr>
        <w:spacing w:line="360" w:lineRule="auto"/>
        <w:jc w:val="both"/>
        <w:rPr>
          <w:rFonts w:ascii="Times New Roman" w:hAnsi="Times New Roman" w:cs="Times New Roman"/>
        </w:rPr>
      </w:pPr>
    </w:p>
    <w:p w14:paraId="4BA47EFA" w14:textId="77777777" w:rsidR="0048483F" w:rsidRPr="0048483F" w:rsidRDefault="0048483F" w:rsidP="0048483F">
      <w:pPr>
        <w:spacing w:line="360" w:lineRule="auto"/>
        <w:jc w:val="both"/>
        <w:rPr>
          <w:rFonts w:ascii="Times New Roman" w:hAnsi="Times New Roman" w:cs="Times New Roman"/>
        </w:rPr>
      </w:pPr>
    </w:p>
    <w:p w14:paraId="4ED87C45" w14:textId="77777777" w:rsidR="0048483F" w:rsidRPr="0048483F" w:rsidRDefault="0048483F" w:rsidP="0048483F">
      <w:pPr>
        <w:spacing w:line="360" w:lineRule="auto"/>
        <w:jc w:val="both"/>
        <w:rPr>
          <w:rFonts w:ascii="Times New Roman" w:hAnsi="Times New Roman" w:cs="Times New Roman"/>
        </w:rPr>
      </w:pPr>
    </w:p>
    <w:p w14:paraId="21E2BD32" w14:textId="77777777" w:rsidR="0048483F" w:rsidRPr="0048483F" w:rsidRDefault="0048483F" w:rsidP="0048483F">
      <w:pPr>
        <w:spacing w:line="360" w:lineRule="auto"/>
        <w:jc w:val="both"/>
        <w:rPr>
          <w:rFonts w:ascii="Times New Roman" w:hAnsi="Times New Roman" w:cs="Times New Roman"/>
        </w:rPr>
      </w:pPr>
    </w:p>
    <w:p w14:paraId="7966BCAA" w14:textId="77777777" w:rsidR="0048483F" w:rsidRPr="0048483F" w:rsidRDefault="0048483F" w:rsidP="0048483F">
      <w:pPr>
        <w:spacing w:line="360" w:lineRule="auto"/>
        <w:jc w:val="both"/>
        <w:rPr>
          <w:rFonts w:ascii="Times New Roman" w:hAnsi="Times New Roman" w:cs="Times New Roman"/>
        </w:rPr>
      </w:pPr>
    </w:p>
    <w:p w14:paraId="18B78CCF" w14:textId="77777777" w:rsidR="0048483F" w:rsidRPr="0048483F" w:rsidRDefault="0048483F" w:rsidP="0048483F">
      <w:pPr>
        <w:spacing w:line="360" w:lineRule="auto"/>
        <w:jc w:val="both"/>
        <w:rPr>
          <w:rFonts w:ascii="Times New Roman" w:hAnsi="Times New Roman" w:cs="Times New Roman"/>
        </w:rPr>
      </w:pPr>
    </w:p>
    <w:p w14:paraId="5832E71A" w14:textId="77777777" w:rsidR="0048483F" w:rsidRPr="0048483F" w:rsidRDefault="0048483F" w:rsidP="0048483F">
      <w:pPr>
        <w:spacing w:line="360" w:lineRule="auto"/>
        <w:jc w:val="both"/>
        <w:rPr>
          <w:rFonts w:ascii="Times New Roman" w:hAnsi="Times New Roman" w:cs="Times New Roman"/>
        </w:rPr>
      </w:pPr>
    </w:p>
    <w:p w14:paraId="1B45B5F8" w14:textId="77777777" w:rsidR="0048483F" w:rsidRPr="0048483F" w:rsidRDefault="0048483F" w:rsidP="0048483F">
      <w:pPr>
        <w:spacing w:line="360" w:lineRule="auto"/>
        <w:jc w:val="both"/>
        <w:rPr>
          <w:rFonts w:ascii="Times New Roman" w:hAnsi="Times New Roman" w:cs="Times New Roman"/>
        </w:rPr>
      </w:pPr>
    </w:p>
    <w:p w14:paraId="4F670D54" w14:textId="77777777" w:rsidR="0048483F" w:rsidRPr="0048483F" w:rsidRDefault="0048483F" w:rsidP="0048483F">
      <w:pPr>
        <w:spacing w:line="360" w:lineRule="auto"/>
        <w:jc w:val="both"/>
        <w:rPr>
          <w:rFonts w:ascii="Times New Roman" w:hAnsi="Times New Roman" w:cs="Times New Roman"/>
        </w:rPr>
      </w:pPr>
    </w:p>
    <w:p w14:paraId="5C8DF64B" w14:textId="77777777" w:rsidR="0048483F" w:rsidRPr="0048483F" w:rsidRDefault="0048483F" w:rsidP="0048483F">
      <w:pPr>
        <w:spacing w:line="360" w:lineRule="auto"/>
        <w:jc w:val="both"/>
        <w:rPr>
          <w:rFonts w:ascii="Times New Roman" w:hAnsi="Times New Roman" w:cs="Times New Roman"/>
        </w:rPr>
      </w:pPr>
    </w:p>
    <w:p w14:paraId="0D7EF9F0" w14:textId="77777777" w:rsidR="0048483F" w:rsidRPr="0048483F" w:rsidRDefault="0048483F" w:rsidP="0048483F">
      <w:pPr>
        <w:spacing w:line="360" w:lineRule="auto"/>
        <w:jc w:val="both"/>
        <w:rPr>
          <w:rFonts w:ascii="Times New Roman" w:hAnsi="Times New Roman" w:cs="Times New Roman"/>
        </w:rPr>
      </w:pPr>
    </w:p>
    <w:p w14:paraId="5559AE9D" w14:textId="77777777" w:rsidR="0048483F" w:rsidRPr="0048483F" w:rsidRDefault="0048483F" w:rsidP="0048483F">
      <w:pPr>
        <w:spacing w:line="360" w:lineRule="auto"/>
        <w:jc w:val="both"/>
        <w:rPr>
          <w:rFonts w:ascii="Times New Roman" w:hAnsi="Times New Roman" w:cs="Times New Roman"/>
        </w:rPr>
      </w:pPr>
    </w:p>
    <w:p w14:paraId="6BC0BBCC" w14:textId="77777777" w:rsidR="0048483F" w:rsidRPr="0048483F" w:rsidRDefault="0048483F" w:rsidP="0048483F">
      <w:pPr>
        <w:spacing w:line="360" w:lineRule="auto"/>
        <w:jc w:val="both"/>
        <w:rPr>
          <w:rFonts w:ascii="Times New Roman" w:hAnsi="Times New Roman" w:cs="Times New Roman"/>
        </w:rPr>
      </w:pPr>
    </w:p>
    <w:p w14:paraId="4805AB46" w14:textId="6C8CAC73" w:rsidR="0067498C" w:rsidRPr="0048483F" w:rsidRDefault="00000000" w:rsidP="0048483F">
      <w:pPr>
        <w:pStyle w:val="Heading1"/>
      </w:pPr>
      <w:bookmarkStart w:id="25" w:name="_Toc236257125"/>
      <w:r w:rsidRPr="0048483F">
        <w:t>References</w:t>
      </w:r>
      <w:bookmarkEnd w:id="24"/>
      <w:bookmarkEnd w:id="25"/>
    </w:p>
    <w:p w14:paraId="1C888AE0" w14:textId="77777777" w:rsidR="0067498C" w:rsidRPr="0048483F" w:rsidRDefault="00000000" w:rsidP="0008671A">
      <w:pPr>
        <w:spacing w:line="360" w:lineRule="auto"/>
        <w:ind w:left="720" w:hanging="720"/>
        <w:rPr>
          <w:rFonts w:ascii="Times New Roman" w:hAnsi="Times New Roman" w:cs="Times New Roman"/>
        </w:rPr>
      </w:pPr>
      <w:r w:rsidRPr="0048483F">
        <w:rPr>
          <w:rFonts w:ascii="Times New Roman" w:hAnsi="Times New Roman" w:cs="Times New Roman"/>
        </w:rPr>
        <w:t>Ansoff, H.I. (1957) ‘Strategies for diversification’, Harvard Business Review, 35(5), pp. 113–124.</w:t>
      </w:r>
    </w:p>
    <w:p w14:paraId="3D44832D" w14:textId="77777777" w:rsidR="0067498C" w:rsidRPr="0048483F" w:rsidRDefault="00000000" w:rsidP="0008671A">
      <w:pPr>
        <w:spacing w:line="360" w:lineRule="auto"/>
        <w:ind w:left="720" w:hanging="720"/>
        <w:rPr>
          <w:rFonts w:ascii="Times New Roman" w:hAnsi="Times New Roman" w:cs="Times New Roman"/>
        </w:rPr>
      </w:pPr>
      <w:r w:rsidRPr="0048483F">
        <w:rPr>
          <w:rFonts w:ascii="Times New Roman" w:hAnsi="Times New Roman" w:cs="Times New Roman"/>
        </w:rPr>
        <w:t xml:space="preserve">Business Standard (2022) Tata Steel inks pact with Ford to supply green steel from the Netherlands. Available at: </w:t>
      </w:r>
      <w:hyperlink r:id="rId15" w:history="1">
        <w:r w:rsidR="0067498C" w:rsidRPr="0048483F">
          <w:rPr>
            <w:rFonts w:ascii="Times New Roman" w:hAnsi="Times New Roman" w:cs="Times New Roman"/>
            <w:color w:val="0563C1"/>
            <w:u w:val="single"/>
          </w:rPr>
          <w:t>https://www.business-standard.com/article/companies/tata-steel-inks-pact-with-ford-to-supply-green-steel-from-the-netherlands-122102600652_1.html</w:t>
        </w:r>
      </w:hyperlink>
      <w:r w:rsidRPr="0048483F">
        <w:rPr>
          <w:rFonts w:ascii="Times New Roman" w:hAnsi="Times New Roman" w:cs="Times New Roman"/>
        </w:rPr>
        <w:t>.</w:t>
      </w:r>
    </w:p>
    <w:p w14:paraId="086919FC" w14:textId="77777777" w:rsidR="0067498C" w:rsidRPr="0048483F" w:rsidRDefault="00000000" w:rsidP="0008671A">
      <w:pPr>
        <w:spacing w:line="360" w:lineRule="auto"/>
        <w:ind w:left="720" w:hanging="720"/>
        <w:rPr>
          <w:rFonts w:ascii="Times New Roman" w:hAnsi="Times New Roman" w:cs="Times New Roman"/>
        </w:rPr>
      </w:pPr>
      <w:r w:rsidRPr="0048483F">
        <w:rPr>
          <w:rFonts w:ascii="Times New Roman" w:hAnsi="Times New Roman" w:cs="Times New Roman"/>
        </w:rPr>
        <w:t xml:space="preserve">Carbon Tracker Initiative (2025) Measuring transition: Tata Steel. Available at: </w:t>
      </w:r>
      <w:hyperlink r:id="rId16" w:history="1">
        <w:r w:rsidR="0067498C" w:rsidRPr="0048483F">
          <w:rPr>
            <w:rFonts w:ascii="Times New Roman" w:hAnsi="Times New Roman" w:cs="Times New Roman"/>
            <w:color w:val="0563C1"/>
            <w:u w:val="single"/>
          </w:rPr>
          <w:t>https://carbontracker.org/reports/measuring-transition-tata-steel/</w:t>
        </w:r>
      </w:hyperlink>
      <w:r w:rsidRPr="0048483F">
        <w:rPr>
          <w:rFonts w:ascii="Times New Roman" w:hAnsi="Times New Roman" w:cs="Times New Roman"/>
        </w:rPr>
        <w:t>.</w:t>
      </w:r>
    </w:p>
    <w:p w14:paraId="43169AB5" w14:textId="77777777" w:rsidR="0067498C" w:rsidRPr="0048483F" w:rsidRDefault="00000000" w:rsidP="0008671A">
      <w:pPr>
        <w:spacing w:line="360" w:lineRule="auto"/>
        <w:ind w:left="720" w:hanging="720"/>
        <w:rPr>
          <w:rFonts w:ascii="Times New Roman" w:hAnsi="Times New Roman" w:cs="Times New Roman"/>
        </w:rPr>
      </w:pPr>
      <w:r w:rsidRPr="0048483F">
        <w:rPr>
          <w:rFonts w:ascii="Times New Roman" w:hAnsi="Times New Roman" w:cs="Times New Roman"/>
        </w:rPr>
        <w:t xml:space="preserve">Climate Action Tracker (2024) Decarbonising the iron and steel sector: China, India and the US. Available at: </w:t>
      </w:r>
      <w:hyperlink r:id="rId17" w:history="1">
        <w:r w:rsidR="0067498C" w:rsidRPr="0048483F">
          <w:rPr>
            <w:rFonts w:ascii="Times New Roman" w:hAnsi="Times New Roman" w:cs="Times New Roman"/>
            <w:color w:val="0563C1"/>
            <w:u w:val="single"/>
          </w:rPr>
          <w:t>https://climateactiontracker.org/blog/decarbonising-the-iron-and-steel-sector-china-india-and-the-us/</w:t>
        </w:r>
      </w:hyperlink>
      <w:r w:rsidRPr="0048483F">
        <w:rPr>
          <w:rFonts w:ascii="Times New Roman" w:hAnsi="Times New Roman" w:cs="Times New Roman"/>
        </w:rPr>
        <w:t>.</w:t>
      </w:r>
    </w:p>
    <w:p w14:paraId="5539FA81" w14:textId="77777777" w:rsidR="0067498C" w:rsidRPr="0048483F" w:rsidRDefault="00000000" w:rsidP="0008671A">
      <w:pPr>
        <w:spacing w:line="360" w:lineRule="auto"/>
        <w:ind w:left="720" w:hanging="720"/>
        <w:rPr>
          <w:rFonts w:ascii="Times New Roman" w:hAnsi="Times New Roman" w:cs="Times New Roman"/>
        </w:rPr>
      </w:pPr>
      <w:r w:rsidRPr="0048483F">
        <w:rPr>
          <w:rFonts w:ascii="Times New Roman" w:hAnsi="Times New Roman" w:cs="Times New Roman"/>
        </w:rPr>
        <w:t xml:space="preserve">Dangelico, R.M. and Vocalelli, D. (2017) ‘“Green Marketing”: an analysis of definitions, strategy steps, and tools through a systematic review of the literature’, Journal of Cleaner Production, 165, pp. 1263–1279. </w:t>
      </w:r>
      <w:hyperlink r:id="rId18" w:history="1">
        <w:r w:rsidR="0067498C" w:rsidRPr="0048483F">
          <w:rPr>
            <w:rFonts w:ascii="Times New Roman" w:hAnsi="Times New Roman" w:cs="Times New Roman"/>
            <w:color w:val="0563C1"/>
            <w:u w:val="single"/>
          </w:rPr>
          <w:t>https://doi.org/10.1016/j.jclepro.2017.07.184</w:t>
        </w:r>
      </w:hyperlink>
    </w:p>
    <w:p w14:paraId="2C4BFE28" w14:textId="77777777" w:rsidR="0067498C" w:rsidRPr="0048483F" w:rsidRDefault="00000000" w:rsidP="0008671A">
      <w:pPr>
        <w:spacing w:line="360" w:lineRule="auto"/>
        <w:ind w:left="720" w:hanging="720"/>
        <w:rPr>
          <w:rFonts w:ascii="Times New Roman" w:hAnsi="Times New Roman" w:cs="Times New Roman"/>
        </w:rPr>
      </w:pPr>
      <w:r w:rsidRPr="0048483F">
        <w:rPr>
          <w:rFonts w:ascii="Times New Roman" w:hAnsi="Times New Roman" w:cs="Times New Roman"/>
        </w:rPr>
        <w:t xml:space="preserve">Delmas, M.A. and Burbano, V.C. (2011) ‘The drivers of greenwashing’, California Management Review, 54(1), pp. 64–87. </w:t>
      </w:r>
      <w:hyperlink r:id="rId19" w:history="1">
        <w:r w:rsidR="0067498C" w:rsidRPr="0048483F">
          <w:rPr>
            <w:rFonts w:ascii="Times New Roman" w:hAnsi="Times New Roman" w:cs="Times New Roman"/>
            <w:color w:val="0563C1"/>
            <w:u w:val="single"/>
          </w:rPr>
          <w:t>https://doi.org/10.1525/cmr.2011.54.1.64</w:t>
        </w:r>
      </w:hyperlink>
    </w:p>
    <w:p w14:paraId="7A620F75" w14:textId="77777777" w:rsidR="0067498C" w:rsidRPr="0048483F" w:rsidRDefault="00000000" w:rsidP="0008671A">
      <w:pPr>
        <w:spacing w:line="360" w:lineRule="auto"/>
        <w:ind w:left="720" w:hanging="720"/>
        <w:rPr>
          <w:rFonts w:ascii="Times New Roman" w:hAnsi="Times New Roman" w:cs="Times New Roman"/>
        </w:rPr>
      </w:pPr>
      <w:r w:rsidRPr="0048483F">
        <w:rPr>
          <w:rFonts w:ascii="Times New Roman" w:hAnsi="Times New Roman" w:cs="Times New Roman"/>
        </w:rPr>
        <w:t xml:space="preserve">European Parliament and Council (2023) Regulation (EU) 2023/956 establishing a carbon border adjustment mechanism. Available at: </w:t>
      </w:r>
      <w:hyperlink r:id="rId20" w:history="1">
        <w:r w:rsidR="0067498C" w:rsidRPr="0048483F">
          <w:rPr>
            <w:rFonts w:ascii="Times New Roman" w:hAnsi="Times New Roman" w:cs="Times New Roman"/>
            <w:color w:val="0563C1"/>
            <w:u w:val="single"/>
          </w:rPr>
          <w:t>https://eur-lex.europa.eu/legal-content/EN/TXT/?uri=CELEX:32023R0956</w:t>
        </w:r>
      </w:hyperlink>
      <w:r w:rsidRPr="0048483F">
        <w:rPr>
          <w:rFonts w:ascii="Times New Roman" w:hAnsi="Times New Roman" w:cs="Times New Roman"/>
        </w:rPr>
        <w:t>.</w:t>
      </w:r>
    </w:p>
    <w:p w14:paraId="1EF7EDEC" w14:textId="77777777" w:rsidR="0067498C" w:rsidRPr="0048483F" w:rsidRDefault="00000000" w:rsidP="0008671A">
      <w:pPr>
        <w:spacing w:line="360" w:lineRule="auto"/>
        <w:ind w:left="720" w:hanging="720"/>
        <w:rPr>
          <w:rFonts w:ascii="Times New Roman" w:hAnsi="Times New Roman" w:cs="Times New Roman"/>
        </w:rPr>
      </w:pPr>
      <w:r w:rsidRPr="0048483F">
        <w:rPr>
          <w:rFonts w:ascii="Times New Roman" w:hAnsi="Times New Roman" w:cs="Times New Roman"/>
        </w:rPr>
        <w:t xml:space="preserve">Fastmarkets (2026a) Green steel demand: which sectors will lead the transition in Europe? Available at: </w:t>
      </w:r>
      <w:hyperlink r:id="rId21" w:history="1">
        <w:r w:rsidR="0067498C" w:rsidRPr="0048483F">
          <w:rPr>
            <w:rFonts w:ascii="Times New Roman" w:hAnsi="Times New Roman" w:cs="Times New Roman"/>
            <w:color w:val="0563C1"/>
            <w:u w:val="single"/>
          </w:rPr>
          <w:t>https://www.fastmarkets.com/insights/green-steel-demand-which-sectors-will-lead-the-transition-in-europe/</w:t>
        </w:r>
      </w:hyperlink>
      <w:r w:rsidRPr="0048483F">
        <w:rPr>
          <w:rFonts w:ascii="Times New Roman" w:hAnsi="Times New Roman" w:cs="Times New Roman"/>
        </w:rPr>
        <w:t>.</w:t>
      </w:r>
    </w:p>
    <w:p w14:paraId="286F384C" w14:textId="77777777" w:rsidR="0067498C" w:rsidRPr="0048483F" w:rsidRDefault="00000000" w:rsidP="0008671A">
      <w:pPr>
        <w:spacing w:line="360" w:lineRule="auto"/>
        <w:ind w:left="720" w:hanging="720"/>
        <w:rPr>
          <w:rFonts w:ascii="Times New Roman" w:hAnsi="Times New Roman" w:cs="Times New Roman"/>
        </w:rPr>
      </w:pPr>
      <w:r w:rsidRPr="0048483F">
        <w:rPr>
          <w:rFonts w:ascii="Times New Roman" w:hAnsi="Times New Roman" w:cs="Times New Roman"/>
        </w:rPr>
        <w:t xml:space="preserve">Fastmarkets (2026b) Why automakers are set to lead green steel adoption in Europe? Available at: </w:t>
      </w:r>
      <w:hyperlink r:id="rId22" w:history="1">
        <w:r w:rsidR="0067498C" w:rsidRPr="0048483F">
          <w:rPr>
            <w:rFonts w:ascii="Times New Roman" w:hAnsi="Times New Roman" w:cs="Times New Roman"/>
            <w:color w:val="0563C1"/>
            <w:u w:val="single"/>
          </w:rPr>
          <w:t>https://www.fastmarkets.com/insights/why-automakers-are-set-to-lead-green-steel-adoption-in-europe/</w:t>
        </w:r>
      </w:hyperlink>
      <w:r w:rsidRPr="0048483F">
        <w:rPr>
          <w:rFonts w:ascii="Times New Roman" w:hAnsi="Times New Roman" w:cs="Times New Roman"/>
        </w:rPr>
        <w:t>.</w:t>
      </w:r>
    </w:p>
    <w:p w14:paraId="4DCF92FA" w14:textId="77777777" w:rsidR="0067498C" w:rsidRPr="0048483F" w:rsidRDefault="00000000" w:rsidP="0008671A">
      <w:pPr>
        <w:spacing w:line="360" w:lineRule="auto"/>
        <w:ind w:left="720" w:hanging="720"/>
        <w:rPr>
          <w:rFonts w:ascii="Times New Roman" w:hAnsi="Times New Roman" w:cs="Times New Roman"/>
        </w:rPr>
      </w:pPr>
      <w:r w:rsidRPr="0048483F">
        <w:rPr>
          <w:rFonts w:ascii="Times New Roman" w:hAnsi="Times New Roman" w:cs="Times New Roman"/>
        </w:rPr>
        <w:t xml:space="preserve">Griffin, P.W. and Hammond, G.P. (2021) ‘The prospects for “green steel” making in a net-zero economy: a UK perspective’, Global Transitions, 3, pp. 72–86. </w:t>
      </w:r>
      <w:hyperlink r:id="rId23" w:history="1">
        <w:r w:rsidR="0067498C" w:rsidRPr="0048483F">
          <w:rPr>
            <w:rFonts w:ascii="Times New Roman" w:hAnsi="Times New Roman" w:cs="Times New Roman"/>
            <w:color w:val="0563C1"/>
            <w:u w:val="single"/>
          </w:rPr>
          <w:t>https://doi.org/10.1016/j.glt.2021.03.001</w:t>
        </w:r>
      </w:hyperlink>
    </w:p>
    <w:p w14:paraId="2F4652B8" w14:textId="77777777" w:rsidR="0067498C" w:rsidRPr="0048483F" w:rsidRDefault="00000000" w:rsidP="0008671A">
      <w:pPr>
        <w:spacing w:line="360" w:lineRule="auto"/>
        <w:ind w:left="720" w:hanging="720"/>
        <w:rPr>
          <w:rFonts w:ascii="Times New Roman" w:hAnsi="Times New Roman" w:cs="Times New Roman"/>
        </w:rPr>
      </w:pPr>
      <w:r w:rsidRPr="0048483F">
        <w:rPr>
          <w:rFonts w:ascii="Times New Roman" w:hAnsi="Times New Roman" w:cs="Times New Roman"/>
        </w:rPr>
        <w:t>Hart, S.L. (1995) ‘A natural-resource-based view of the firm’, Academy of Management Review, 20(4), pp. 986–1014.</w:t>
      </w:r>
    </w:p>
    <w:p w14:paraId="37E024C7" w14:textId="77777777" w:rsidR="0067498C" w:rsidRPr="0048483F" w:rsidRDefault="00000000" w:rsidP="0008671A">
      <w:pPr>
        <w:spacing w:line="360" w:lineRule="auto"/>
        <w:ind w:left="720" w:hanging="720"/>
        <w:rPr>
          <w:rFonts w:ascii="Times New Roman" w:hAnsi="Times New Roman" w:cs="Times New Roman"/>
        </w:rPr>
      </w:pPr>
      <w:r w:rsidRPr="0048483F">
        <w:rPr>
          <w:rFonts w:ascii="Times New Roman" w:hAnsi="Times New Roman" w:cs="Times New Roman"/>
        </w:rPr>
        <w:t xml:space="preserve">House of Commons Library (2026) Carbon Border Adjustment Mechanism. Research Briefing CBP-9935. Available at: </w:t>
      </w:r>
      <w:hyperlink r:id="rId24" w:history="1">
        <w:r w:rsidR="0067498C" w:rsidRPr="0048483F">
          <w:rPr>
            <w:rFonts w:ascii="Times New Roman" w:hAnsi="Times New Roman" w:cs="Times New Roman"/>
            <w:color w:val="0563C1"/>
            <w:u w:val="single"/>
          </w:rPr>
          <w:t>https://commonslibrary.parliament.uk/research-briefings/cbp-9935/</w:t>
        </w:r>
      </w:hyperlink>
      <w:r w:rsidRPr="0048483F">
        <w:rPr>
          <w:rFonts w:ascii="Times New Roman" w:hAnsi="Times New Roman" w:cs="Times New Roman"/>
        </w:rPr>
        <w:t>.</w:t>
      </w:r>
    </w:p>
    <w:p w14:paraId="2CEFA828" w14:textId="77777777" w:rsidR="0067498C" w:rsidRPr="0048483F" w:rsidRDefault="00000000" w:rsidP="0008671A">
      <w:pPr>
        <w:spacing w:line="360" w:lineRule="auto"/>
        <w:ind w:left="720" w:hanging="720"/>
        <w:rPr>
          <w:rFonts w:ascii="Times New Roman" w:hAnsi="Times New Roman" w:cs="Times New Roman"/>
        </w:rPr>
      </w:pPr>
      <w:r w:rsidRPr="0048483F">
        <w:rPr>
          <w:rFonts w:ascii="Times New Roman" w:hAnsi="Times New Roman" w:cs="Times New Roman"/>
        </w:rPr>
        <w:t xml:space="preserve">International Energy Agency (2020) Iron and steel technology roadmap: towards more sustainable steelmaking. Paris: IEA. Available at: </w:t>
      </w:r>
      <w:hyperlink r:id="rId25" w:history="1">
        <w:r w:rsidR="0067498C" w:rsidRPr="0048483F">
          <w:rPr>
            <w:rFonts w:ascii="Times New Roman" w:hAnsi="Times New Roman" w:cs="Times New Roman"/>
            <w:color w:val="0563C1"/>
            <w:u w:val="single"/>
          </w:rPr>
          <w:t>https://www.iea.org/reports/iron-and-steel-technology-roadmap</w:t>
        </w:r>
      </w:hyperlink>
      <w:r w:rsidRPr="0048483F">
        <w:rPr>
          <w:rFonts w:ascii="Times New Roman" w:hAnsi="Times New Roman" w:cs="Times New Roman"/>
        </w:rPr>
        <w:t>.</w:t>
      </w:r>
    </w:p>
    <w:p w14:paraId="0112D369" w14:textId="77777777" w:rsidR="0067498C" w:rsidRPr="0048483F" w:rsidRDefault="00000000" w:rsidP="0008671A">
      <w:pPr>
        <w:spacing w:line="360" w:lineRule="auto"/>
        <w:ind w:left="720" w:hanging="720"/>
        <w:rPr>
          <w:rFonts w:ascii="Times New Roman" w:hAnsi="Times New Roman" w:cs="Times New Roman"/>
        </w:rPr>
      </w:pPr>
      <w:r w:rsidRPr="0048483F">
        <w:rPr>
          <w:rFonts w:ascii="Times New Roman" w:hAnsi="Times New Roman" w:cs="Times New Roman"/>
        </w:rPr>
        <w:t xml:space="preserve">International Carbon Action Partnership (2023) EU Carbon Border Adjustment Mechanism (CBAM) takes effect with transitional phase. Available at: </w:t>
      </w:r>
      <w:hyperlink r:id="rId26" w:history="1">
        <w:r w:rsidR="0067498C" w:rsidRPr="0048483F">
          <w:rPr>
            <w:rFonts w:ascii="Times New Roman" w:hAnsi="Times New Roman" w:cs="Times New Roman"/>
            <w:color w:val="0563C1"/>
            <w:u w:val="single"/>
          </w:rPr>
          <w:t>https://icapcarbonaction.com/en/news/eu-carbon-border-adjustment-mechanism-cbam-takes-effect-transitional-phase</w:t>
        </w:r>
      </w:hyperlink>
      <w:r w:rsidRPr="0048483F">
        <w:rPr>
          <w:rFonts w:ascii="Times New Roman" w:hAnsi="Times New Roman" w:cs="Times New Roman"/>
        </w:rPr>
        <w:t>.</w:t>
      </w:r>
    </w:p>
    <w:p w14:paraId="4A45248E" w14:textId="77777777" w:rsidR="0067498C" w:rsidRPr="0048483F" w:rsidRDefault="00000000" w:rsidP="0008671A">
      <w:pPr>
        <w:spacing w:line="360" w:lineRule="auto"/>
        <w:ind w:left="720" w:hanging="720"/>
        <w:rPr>
          <w:rFonts w:ascii="Times New Roman" w:hAnsi="Times New Roman" w:cs="Times New Roman"/>
        </w:rPr>
      </w:pPr>
      <w:r w:rsidRPr="0048483F">
        <w:rPr>
          <w:rFonts w:ascii="Times New Roman" w:hAnsi="Times New Roman" w:cs="Times New Roman"/>
        </w:rPr>
        <w:t>Kotler, P., Armstrong, G., Harris, L.C. and He, H. (2024) Principles of marketing. 19th edn. Harlow: Pearson.</w:t>
      </w:r>
    </w:p>
    <w:p w14:paraId="59984B61" w14:textId="77777777" w:rsidR="0067498C" w:rsidRPr="0048483F" w:rsidRDefault="00000000" w:rsidP="0008671A">
      <w:pPr>
        <w:spacing w:line="360" w:lineRule="auto"/>
        <w:ind w:left="720" w:hanging="720"/>
        <w:rPr>
          <w:rFonts w:ascii="Times New Roman" w:hAnsi="Times New Roman" w:cs="Times New Roman"/>
        </w:rPr>
      </w:pPr>
      <w:r w:rsidRPr="0048483F">
        <w:rPr>
          <w:rFonts w:ascii="Times New Roman" w:hAnsi="Times New Roman" w:cs="Times New Roman"/>
        </w:rPr>
        <w:t xml:space="preserve">New Civil Engineer (2025) Construction of £1.25bn electric arc furnace upgrade to Port Talbot steelworks commences. Available at: </w:t>
      </w:r>
      <w:hyperlink r:id="rId27" w:history="1">
        <w:r w:rsidR="0067498C" w:rsidRPr="0048483F">
          <w:rPr>
            <w:rFonts w:ascii="Times New Roman" w:hAnsi="Times New Roman" w:cs="Times New Roman"/>
            <w:color w:val="0563C1"/>
            <w:u w:val="single"/>
          </w:rPr>
          <w:t>https://www.newcivilengineer.com/latest/construction-of-1-25bn-electric-arc-furnace-upgrade-to-port-talbot-steelworks-commences-14-07-2025/</w:t>
        </w:r>
      </w:hyperlink>
      <w:r w:rsidRPr="0048483F">
        <w:rPr>
          <w:rFonts w:ascii="Times New Roman" w:hAnsi="Times New Roman" w:cs="Times New Roman"/>
        </w:rPr>
        <w:t>.</w:t>
      </w:r>
    </w:p>
    <w:p w14:paraId="4290ADD7" w14:textId="77777777" w:rsidR="0067498C" w:rsidRPr="0048483F" w:rsidRDefault="00000000" w:rsidP="0008671A">
      <w:pPr>
        <w:spacing w:line="360" w:lineRule="auto"/>
        <w:ind w:left="720" w:hanging="720"/>
        <w:rPr>
          <w:rFonts w:ascii="Times New Roman" w:hAnsi="Times New Roman" w:cs="Times New Roman"/>
        </w:rPr>
      </w:pPr>
      <w:r w:rsidRPr="0048483F">
        <w:rPr>
          <w:rFonts w:ascii="Times New Roman" w:hAnsi="Times New Roman" w:cs="Times New Roman"/>
        </w:rPr>
        <w:t xml:space="preserve">Peattie, K. and Crane, A. (2005) ‘Green marketing: legend, myth, farce or prophesy?’, Qualitative Market Research: An International Journal, 8(4), pp. 357–370. </w:t>
      </w:r>
      <w:hyperlink r:id="rId28" w:history="1">
        <w:r w:rsidR="0067498C" w:rsidRPr="0048483F">
          <w:rPr>
            <w:rFonts w:ascii="Times New Roman" w:hAnsi="Times New Roman" w:cs="Times New Roman"/>
            <w:color w:val="0563C1"/>
            <w:u w:val="single"/>
          </w:rPr>
          <w:t>https://doi.org/10.1108/13522750510619733</w:t>
        </w:r>
      </w:hyperlink>
    </w:p>
    <w:p w14:paraId="4369F6A2" w14:textId="77777777" w:rsidR="0067498C" w:rsidRPr="0048483F" w:rsidRDefault="00000000" w:rsidP="0008671A">
      <w:pPr>
        <w:spacing w:line="360" w:lineRule="auto"/>
        <w:ind w:left="720" w:hanging="720"/>
        <w:rPr>
          <w:rFonts w:ascii="Times New Roman" w:hAnsi="Times New Roman" w:cs="Times New Roman"/>
        </w:rPr>
      </w:pPr>
      <w:r w:rsidRPr="0048483F">
        <w:rPr>
          <w:rFonts w:ascii="Times New Roman" w:hAnsi="Times New Roman" w:cs="Times New Roman"/>
        </w:rPr>
        <w:t>Porter, M.E. (1985) Competitive advantage: creating and sustaining superior performance. New York: Free Press.</w:t>
      </w:r>
    </w:p>
    <w:p w14:paraId="53278369" w14:textId="77777777" w:rsidR="0067498C" w:rsidRPr="0048483F" w:rsidRDefault="00000000" w:rsidP="0008671A">
      <w:pPr>
        <w:spacing w:line="360" w:lineRule="auto"/>
        <w:ind w:left="720" w:hanging="720"/>
        <w:rPr>
          <w:rFonts w:ascii="Times New Roman" w:hAnsi="Times New Roman" w:cs="Times New Roman"/>
        </w:rPr>
      </w:pPr>
      <w:r w:rsidRPr="0048483F">
        <w:rPr>
          <w:rFonts w:ascii="Times New Roman" w:hAnsi="Times New Roman" w:cs="Times New Roman"/>
        </w:rPr>
        <w:t xml:space="preserve">Porter, M.E. and van der Linde, C. (1995) ‘Toward a new conception of the environment-competitiveness relationship’, Journal of Economic Perspectives, 9(4), pp. 97–118. </w:t>
      </w:r>
      <w:hyperlink r:id="rId29" w:history="1">
        <w:r w:rsidR="0067498C" w:rsidRPr="0048483F">
          <w:rPr>
            <w:rFonts w:ascii="Times New Roman" w:hAnsi="Times New Roman" w:cs="Times New Roman"/>
            <w:color w:val="0563C1"/>
            <w:u w:val="single"/>
          </w:rPr>
          <w:t>https://doi.org/10.1257/jep.9.4.97</w:t>
        </w:r>
      </w:hyperlink>
    </w:p>
    <w:p w14:paraId="2DE935D4" w14:textId="77777777" w:rsidR="0067498C" w:rsidRPr="0048483F" w:rsidRDefault="00000000" w:rsidP="0008671A">
      <w:pPr>
        <w:spacing w:line="360" w:lineRule="auto"/>
        <w:ind w:left="720" w:hanging="720"/>
        <w:rPr>
          <w:rFonts w:ascii="Times New Roman" w:hAnsi="Times New Roman" w:cs="Times New Roman"/>
        </w:rPr>
      </w:pPr>
      <w:r w:rsidRPr="0048483F">
        <w:rPr>
          <w:rFonts w:ascii="Times New Roman" w:hAnsi="Times New Roman" w:cs="Times New Roman"/>
        </w:rPr>
        <w:t xml:space="preserve">Reddy, K.P., Chandu, V., Srilakshmi, S., Thagaram, E., Sahyaja, Ch. and Osei, B. (2023) ‘Consumers’ perception on green marketing towards eco-friendly fast moving consumer goods’, International Journal of Engineering Business Management, 15. </w:t>
      </w:r>
      <w:hyperlink r:id="rId30" w:history="1">
        <w:r w:rsidR="0067498C" w:rsidRPr="0048483F">
          <w:rPr>
            <w:rFonts w:ascii="Times New Roman" w:hAnsi="Times New Roman" w:cs="Times New Roman"/>
            <w:color w:val="0563C1"/>
            <w:u w:val="single"/>
          </w:rPr>
          <w:t>https://doi.org/10.1177/18479790231170962</w:t>
        </w:r>
      </w:hyperlink>
    </w:p>
    <w:p w14:paraId="66C2C1F5" w14:textId="77777777" w:rsidR="0067498C" w:rsidRPr="0048483F" w:rsidRDefault="00000000" w:rsidP="0008671A">
      <w:pPr>
        <w:spacing w:line="360" w:lineRule="auto"/>
        <w:ind w:left="720" w:hanging="720"/>
        <w:rPr>
          <w:rFonts w:ascii="Times New Roman" w:hAnsi="Times New Roman" w:cs="Times New Roman"/>
        </w:rPr>
      </w:pPr>
      <w:r w:rsidRPr="0048483F">
        <w:rPr>
          <w:rFonts w:ascii="Times New Roman" w:hAnsi="Times New Roman" w:cs="Times New Roman"/>
        </w:rPr>
        <w:t xml:space="preserve">Steelonthenet (2026) Green steel premiums: promise or illusion? Available at: </w:t>
      </w:r>
      <w:hyperlink r:id="rId31" w:history="1">
        <w:r w:rsidR="0067498C" w:rsidRPr="0048483F">
          <w:rPr>
            <w:rFonts w:ascii="Times New Roman" w:hAnsi="Times New Roman" w:cs="Times New Roman"/>
            <w:color w:val="0563C1"/>
            <w:u w:val="single"/>
          </w:rPr>
          <w:t>https://www.steelonthenet.com/insights/green-steel-premium.html</w:t>
        </w:r>
      </w:hyperlink>
      <w:r w:rsidRPr="0048483F">
        <w:rPr>
          <w:rFonts w:ascii="Times New Roman" w:hAnsi="Times New Roman" w:cs="Times New Roman"/>
        </w:rPr>
        <w:t>.</w:t>
      </w:r>
    </w:p>
    <w:p w14:paraId="5897B9D5" w14:textId="77777777" w:rsidR="0067498C" w:rsidRPr="0048483F" w:rsidRDefault="00000000" w:rsidP="0008671A">
      <w:pPr>
        <w:spacing w:line="360" w:lineRule="auto"/>
        <w:ind w:left="720" w:hanging="720"/>
        <w:rPr>
          <w:rFonts w:ascii="Times New Roman" w:hAnsi="Times New Roman" w:cs="Times New Roman"/>
        </w:rPr>
      </w:pPr>
      <w:r w:rsidRPr="0048483F">
        <w:rPr>
          <w:rFonts w:ascii="Times New Roman" w:hAnsi="Times New Roman" w:cs="Times New Roman"/>
        </w:rPr>
        <w:t xml:space="preserve">Sun, Y. et al. (2022) ‘Decarbonising the iron and steel sector for a 2 °C target using inherent waste streams’, Nature Communications, 13, 297. </w:t>
      </w:r>
      <w:hyperlink r:id="rId32" w:history="1">
        <w:r w:rsidR="0067498C" w:rsidRPr="0048483F">
          <w:rPr>
            <w:rFonts w:ascii="Times New Roman" w:hAnsi="Times New Roman" w:cs="Times New Roman"/>
            <w:color w:val="0563C1"/>
            <w:u w:val="single"/>
          </w:rPr>
          <w:t>https://doi.org/10.1038/s41467-021-27770-y</w:t>
        </w:r>
      </w:hyperlink>
    </w:p>
    <w:p w14:paraId="4FC0F473" w14:textId="77777777" w:rsidR="0067498C" w:rsidRPr="0048483F" w:rsidRDefault="00000000" w:rsidP="0008671A">
      <w:pPr>
        <w:spacing w:line="360" w:lineRule="auto"/>
        <w:ind w:left="720" w:hanging="720"/>
        <w:rPr>
          <w:rFonts w:ascii="Times New Roman" w:hAnsi="Times New Roman" w:cs="Times New Roman"/>
        </w:rPr>
      </w:pPr>
      <w:r w:rsidRPr="0048483F">
        <w:rPr>
          <w:rFonts w:ascii="Times New Roman" w:hAnsi="Times New Roman" w:cs="Times New Roman"/>
        </w:rPr>
        <w:t xml:space="preserve">Tata (2022) Forging sustainable steel. Available at: </w:t>
      </w:r>
      <w:hyperlink r:id="rId33" w:history="1">
        <w:r w:rsidR="0067498C" w:rsidRPr="0048483F">
          <w:rPr>
            <w:rFonts w:ascii="Times New Roman" w:hAnsi="Times New Roman" w:cs="Times New Roman"/>
            <w:color w:val="0563C1"/>
            <w:u w:val="single"/>
          </w:rPr>
          <w:t>https://www.tata.com/newsroom/business/tata-steel-sustainable-aalingana</w:t>
        </w:r>
      </w:hyperlink>
      <w:r w:rsidRPr="0048483F">
        <w:rPr>
          <w:rFonts w:ascii="Times New Roman" w:hAnsi="Times New Roman" w:cs="Times New Roman"/>
        </w:rPr>
        <w:t>.</w:t>
      </w:r>
    </w:p>
    <w:p w14:paraId="386EB1F9" w14:textId="77777777" w:rsidR="0067498C" w:rsidRPr="0048483F" w:rsidRDefault="00000000" w:rsidP="0008671A">
      <w:pPr>
        <w:spacing w:line="360" w:lineRule="auto"/>
        <w:ind w:left="720" w:hanging="720"/>
        <w:rPr>
          <w:rFonts w:ascii="Times New Roman" w:hAnsi="Times New Roman" w:cs="Times New Roman"/>
        </w:rPr>
      </w:pPr>
      <w:r w:rsidRPr="0048483F">
        <w:rPr>
          <w:rFonts w:ascii="Times New Roman" w:hAnsi="Times New Roman" w:cs="Times New Roman"/>
        </w:rPr>
        <w:t xml:space="preserve">Tata Steel (2024) Integrated report 2023–24: climate change report. Available at: </w:t>
      </w:r>
      <w:hyperlink r:id="rId34" w:history="1">
        <w:r w:rsidR="0067498C" w:rsidRPr="0048483F">
          <w:rPr>
            <w:rFonts w:ascii="Times New Roman" w:hAnsi="Times New Roman" w:cs="Times New Roman"/>
            <w:color w:val="0563C1"/>
            <w:u w:val="single"/>
          </w:rPr>
          <w:t>https://www.tatasteel.com/investors/integrated-report-2023-24/climate-change-report.html</w:t>
        </w:r>
      </w:hyperlink>
      <w:r w:rsidRPr="0048483F">
        <w:rPr>
          <w:rFonts w:ascii="Times New Roman" w:hAnsi="Times New Roman" w:cs="Times New Roman"/>
        </w:rPr>
        <w:t>.</w:t>
      </w:r>
    </w:p>
    <w:p w14:paraId="09AE8144" w14:textId="77777777" w:rsidR="0067498C" w:rsidRPr="0048483F" w:rsidRDefault="00000000" w:rsidP="0008671A">
      <w:pPr>
        <w:spacing w:line="360" w:lineRule="auto"/>
        <w:ind w:left="720" w:hanging="720"/>
        <w:rPr>
          <w:rFonts w:ascii="Times New Roman" w:hAnsi="Times New Roman" w:cs="Times New Roman"/>
        </w:rPr>
      </w:pPr>
      <w:r w:rsidRPr="0048483F">
        <w:rPr>
          <w:rFonts w:ascii="Times New Roman" w:hAnsi="Times New Roman" w:cs="Times New Roman"/>
        </w:rPr>
        <w:t xml:space="preserve">Tata Steel (2025) Tata Group Chairman N. Chandrasekaran marks groundbreaking of new Electric Arc Furnace at Port Talbot. Available at: </w:t>
      </w:r>
      <w:hyperlink r:id="rId35" w:history="1">
        <w:r w:rsidR="0067498C" w:rsidRPr="0048483F">
          <w:rPr>
            <w:rFonts w:ascii="Times New Roman" w:hAnsi="Times New Roman" w:cs="Times New Roman"/>
            <w:color w:val="0563C1"/>
            <w:u w:val="single"/>
          </w:rPr>
          <w:t>https://www.tatasteel.com/newsroom/press-releases/india/2025/tata-group-chairman-n-chandrasekaran-marks-groundbreaking-of-new-electric-arc-furnace-at-port-talbot/</w:t>
        </w:r>
      </w:hyperlink>
      <w:r w:rsidRPr="0048483F">
        <w:rPr>
          <w:rFonts w:ascii="Times New Roman" w:hAnsi="Times New Roman" w:cs="Times New Roman"/>
        </w:rPr>
        <w:t xml:space="preserve"> </w:t>
      </w:r>
    </w:p>
    <w:p w14:paraId="06A1BF16" w14:textId="77777777" w:rsidR="0067498C" w:rsidRPr="0008671A" w:rsidRDefault="00000000" w:rsidP="0008671A">
      <w:pPr>
        <w:spacing w:line="360" w:lineRule="auto"/>
        <w:ind w:left="720" w:hanging="720"/>
        <w:rPr>
          <w:rFonts w:ascii="Times New Roman" w:hAnsi="Times New Roman" w:cs="Times New Roman"/>
        </w:rPr>
      </w:pPr>
      <w:r w:rsidRPr="0048483F">
        <w:rPr>
          <w:rFonts w:ascii="Times New Roman" w:hAnsi="Times New Roman" w:cs="Times New Roman"/>
        </w:rPr>
        <w:t xml:space="preserve">White, K., Habib, R. and Hardisty, D.J. (2019) ‘How to SHIFT consumer behaviors to be more sustainable: a literature review and guiding framework’, Journal of Marketing, 83(3), pp. 22–49. </w:t>
      </w:r>
      <w:hyperlink r:id="rId36" w:history="1">
        <w:r w:rsidR="0067498C" w:rsidRPr="0048483F">
          <w:rPr>
            <w:rFonts w:ascii="Times New Roman" w:hAnsi="Times New Roman" w:cs="Times New Roman"/>
            <w:color w:val="0563C1"/>
            <w:u w:val="single"/>
          </w:rPr>
          <w:t>https://doi.org/10.1177/0022242919825649</w:t>
        </w:r>
      </w:hyperlink>
    </w:p>
    <w:sectPr w:rsidR="0067498C" w:rsidRPr="0008671A" w:rsidSect="00C872FC">
      <w:footerReference w:type="default" r:id="rId3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5487D87" w14:textId="77777777" w:rsidR="007C08E2" w:rsidRDefault="007C08E2">
      <w:r>
        <w:separator/>
      </w:r>
    </w:p>
  </w:endnote>
  <w:endnote w:type="continuationSeparator" w:id="0">
    <w:p w14:paraId="7C60F8A4" w14:textId="77777777" w:rsidR="007C08E2" w:rsidRDefault="007C08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724749424"/>
      <w:docPartObj>
        <w:docPartGallery w:val="Page Numbers (Bottom of Page)"/>
        <w:docPartUnique/>
      </w:docPartObj>
    </w:sdtPr>
    <w:sdtEndPr>
      <w:rPr>
        <w:noProof/>
      </w:rPr>
    </w:sdtEndPr>
    <w:sdtContent>
      <w:p w14:paraId="784E2345" w14:textId="77777777" w:rsidR="00C872FC" w:rsidRDefault="00C872F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8AC00EE" w14:textId="77777777" w:rsidR="00C872FC" w:rsidRDefault="00C872F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CFCF161" w14:textId="77777777" w:rsidR="0067498C" w:rsidRDefault="00000000">
    <w:pPr>
      <w:jc w:val="center"/>
    </w:pPr>
    <w:r>
      <w:rPr>
        <w:color w:val="666666"/>
        <w:sz w:val="20"/>
        <w:szCs w:val="20"/>
      </w:rPr>
      <w:t xml:space="preserve">Page </w:t>
    </w:r>
    <w:r>
      <w:rPr>
        <w:color w:val="666666"/>
        <w:sz w:val="20"/>
        <w:szCs w:val="20"/>
      </w:rPr>
      <w:fldChar w:fldCharType="begin"/>
    </w:r>
    <w:r>
      <w:rPr>
        <w:color w:val="666666"/>
        <w:sz w:val="20"/>
        <w:szCs w:val="20"/>
      </w:rPr>
      <w:instrText>PAGE</w:instrText>
    </w:r>
    <w:r>
      <w:rPr>
        <w:color w:val="666666"/>
        <w:sz w:val="20"/>
        <w:szCs w:val="20"/>
      </w:rPr>
      <w:fldChar w:fldCharType="separate"/>
    </w:r>
    <w:r w:rsidR="000E21F1">
      <w:rPr>
        <w:noProof/>
        <w:color w:val="666666"/>
        <w:sz w:val="20"/>
        <w:szCs w:val="20"/>
      </w:rPr>
      <w:t>3</w:t>
    </w:r>
    <w:r>
      <w:rPr>
        <w:color w:val="666666"/>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B683F12" w14:textId="77777777" w:rsidR="007C08E2" w:rsidRDefault="007C08E2">
      <w:r>
        <w:separator/>
      </w:r>
    </w:p>
  </w:footnote>
  <w:footnote w:type="continuationSeparator" w:id="0">
    <w:p w14:paraId="1E46E6FC" w14:textId="77777777" w:rsidR="007C08E2" w:rsidRDefault="007C08E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380426DA"/>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7A6C427A"/>
    <w:multiLevelType w:val="hybridMultilevel"/>
    <w:tmpl w:val="85B87126"/>
    <w:lvl w:ilvl="0" w:tplc="27C29C8E">
      <w:start w:val="1"/>
      <w:numFmt w:val="bullet"/>
      <w:lvlText w:val="●"/>
      <w:lvlJc w:val="left"/>
      <w:pPr>
        <w:ind w:left="720" w:hanging="360"/>
      </w:pPr>
    </w:lvl>
    <w:lvl w:ilvl="1" w:tplc="719CCC00">
      <w:start w:val="1"/>
      <w:numFmt w:val="bullet"/>
      <w:lvlText w:val="○"/>
      <w:lvlJc w:val="left"/>
      <w:pPr>
        <w:ind w:left="1440" w:hanging="360"/>
      </w:pPr>
    </w:lvl>
    <w:lvl w:ilvl="2" w:tplc="D420854C">
      <w:start w:val="1"/>
      <w:numFmt w:val="bullet"/>
      <w:lvlText w:val="■"/>
      <w:lvlJc w:val="left"/>
      <w:pPr>
        <w:ind w:left="2160" w:hanging="360"/>
      </w:pPr>
    </w:lvl>
    <w:lvl w:ilvl="3" w:tplc="4AD653E0">
      <w:start w:val="1"/>
      <w:numFmt w:val="bullet"/>
      <w:lvlText w:val="●"/>
      <w:lvlJc w:val="left"/>
      <w:pPr>
        <w:ind w:left="2880" w:hanging="360"/>
      </w:pPr>
    </w:lvl>
    <w:lvl w:ilvl="4" w:tplc="3CCCC3DC">
      <w:start w:val="1"/>
      <w:numFmt w:val="bullet"/>
      <w:lvlText w:val="○"/>
      <w:lvlJc w:val="left"/>
      <w:pPr>
        <w:ind w:left="3600" w:hanging="360"/>
      </w:pPr>
    </w:lvl>
    <w:lvl w:ilvl="5" w:tplc="60261BB8">
      <w:start w:val="1"/>
      <w:numFmt w:val="bullet"/>
      <w:lvlText w:val="■"/>
      <w:lvlJc w:val="left"/>
      <w:pPr>
        <w:ind w:left="4320" w:hanging="360"/>
      </w:pPr>
    </w:lvl>
    <w:lvl w:ilvl="6" w:tplc="A8AC4862">
      <w:start w:val="1"/>
      <w:numFmt w:val="bullet"/>
      <w:lvlText w:val="●"/>
      <w:lvlJc w:val="left"/>
      <w:pPr>
        <w:ind w:left="5040" w:hanging="360"/>
      </w:pPr>
    </w:lvl>
    <w:lvl w:ilvl="7" w:tplc="59045310">
      <w:start w:val="1"/>
      <w:numFmt w:val="bullet"/>
      <w:lvlText w:val="●"/>
      <w:lvlJc w:val="left"/>
      <w:pPr>
        <w:ind w:left="5760" w:hanging="360"/>
      </w:pPr>
    </w:lvl>
    <w:lvl w:ilvl="8" w:tplc="0D76D47C">
      <w:start w:val="1"/>
      <w:numFmt w:val="bullet"/>
      <w:lvlText w:val="●"/>
      <w:lvlJc w:val="left"/>
      <w:pPr>
        <w:ind w:left="6480" w:hanging="360"/>
      </w:pPr>
    </w:lvl>
  </w:abstractNum>
  <w:num w:numId="1" w16cid:durableId="2063555279">
    <w:abstractNumId w:val="1"/>
    <w:lvlOverride w:ilvl="0">
      <w:startOverride w:val="1"/>
    </w:lvlOverride>
  </w:num>
  <w:num w:numId="2" w16cid:durableId="338242640">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removePersonalInformation/>
  <w:removeDateAndTime/>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498C"/>
    <w:rsid w:val="0008671A"/>
    <w:rsid w:val="000A70A6"/>
    <w:rsid w:val="000E21F1"/>
    <w:rsid w:val="00192AAA"/>
    <w:rsid w:val="003C5F18"/>
    <w:rsid w:val="0048483F"/>
    <w:rsid w:val="004A69A2"/>
    <w:rsid w:val="004F7EAE"/>
    <w:rsid w:val="00510C94"/>
    <w:rsid w:val="0067498C"/>
    <w:rsid w:val="006B3598"/>
    <w:rsid w:val="006C503F"/>
    <w:rsid w:val="007C08E2"/>
    <w:rsid w:val="00830B21"/>
    <w:rsid w:val="00963DB6"/>
    <w:rsid w:val="009F36A2"/>
    <w:rsid w:val="00B462CE"/>
    <w:rsid w:val="00C872FC"/>
    <w:rsid w:val="00C970ED"/>
    <w:rsid w:val="00D77646"/>
    <w:rsid w:val="00E056E4"/>
    <w:rsid w:val="00E66E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0FE4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rsid w:val="00C970ED"/>
    <w:pPr>
      <w:numPr>
        <w:numId w:val="2"/>
      </w:numPr>
      <w:spacing w:before="260" w:after="140" w:line="360" w:lineRule="auto"/>
      <w:outlineLvl w:val="0"/>
    </w:pPr>
    <w:rPr>
      <w:rFonts w:ascii="Times New Roman" w:hAnsi="Times New Roman"/>
      <w:b/>
      <w:bCs/>
      <w:sz w:val="28"/>
      <w:szCs w:val="30"/>
    </w:rPr>
  </w:style>
  <w:style w:type="paragraph" w:styleId="Heading2">
    <w:name w:val="heading 2"/>
    <w:uiPriority w:val="9"/>
    <w:unhideWhenUsed/>
    <w:qFormat/>
    <w:rsid w:val="00C970ED"/>
    <w:pPr>
      <w:numPr>
        <w:ilvl w:val="1"/>
        <w:numId w:val="2"/>
      </w:numPr>
      <w:spacing w:before="200" w:after="100" w:line="360" w:lineRule="auto"/>
      <w:outlineLvl w:val="1"/>
    </w:pPr>
    <w:rPr>
      <w:rFonts w:ascii="Times New Roman" w:hAnsi="Times New Roman"/>
      <w:b/>
      <w:bCs/>
      <w:sz w:val="26"/>
      <w:szCs w:val="26"/>
    </w:rPr>
  </w:style>
  <w:style w:type="paragraph" w:styleId="Heading3">
    <w:name w:val="heading 3"/>
    <w:uiPriority w:val="9"/>
    <w:semiHidden/>
    <w:unhideWhenUsed/>
    <w:qFormat/>
    <w:pPr>
      <w:numPr>
        <w:ilvl w:val="2"/>
        <w:numId w:val="2"/>
      </w:numPr>
      <w:outlineLvl w:val="2"/>
    </w:pPr>
    <w:rPr>
      <w:color w:val="1F4D78"/>
    </w:rPr>
  </w:style>
  <w:style w:type="paragraph" w:styleId="Heading4">
    <w:name w:val="heading 4"/>
    <w:uiPriority w:val="9"/>
    <w:semiHidden/>
    <w:unhideWhenUsed/>
    <w:qFormat/>
    <w:pPr>
      <w:numPr>
        <w:ilvl w:val="3"/>
        <w:numId w:val="2"/>
      </w:numPr>
      <w:outlineLvl w:val="3"/>
    </w:pPr>
    <w:rPr>
      <w:i/>
      <w:iCs/>
      <w:color w:val="2E74B5"/>
    </w:rPr>
  </w:style>
  <w:style w:type="paragraph" w:styleId="Heading5">
    <w:name w:val="heading 5"/>
    <w:uiPriority w:val="9"/>
    <w:semiHidden/>
    <w:unhideWhenUsed/>
    <w:qFormat/>
    <w:pPr>
      <w:numPr>
        <w:ilvl w:val="4"/>
        <w:numId w:val="2"/>
      </w:numPr>
      <w:outlineLvl w:val="4"/>
    </w:pPr>
    <w:rPr>
      <w:color w:val="2E74B5"/>
    </w:rPr>
  </w:style>
  <w:style w:type="paragraph" w:styleId="Heading6">
    <w:name w:val="heading 6"/>
    <w:uiPriority w:val="9"/>
    <w:semiHidden/>
    <w:unhideWhenUsed/>
    <w:qFormat/>
    <w:pPr>
      <w:numPr>
        <w:ilvl w:val="5"/>
        <w:numId w:val="2"/>
      </w:numPr>
      <w:outlineLvl w:val="5"/>
    </w:pPr>
    <w:rPr>
      <w:color w:val="1F4D78"/>
    </w:rPr>
  </w:style>
  <w:style w:type="paragraph" w:styleId="Heading7">
    <w:name w:val="heading 7"/>
    <w:basedOn w:val="Normal"/>
    <w:next w:val="Normal"/>
    <w:link w:val="Heading7Char"/>
    <w:uiPriority w:val="9"/>
    <w:semiHidden/>
    <w:unhideWhenUsed/>
    <w:qFormat/>
    <w:rsid w:val="00C872FC"/>
    <w:pPr>
      <w:keepNext/>
      <w:keepLines/>
      <w:numPr>
        <w:ilvl w:val="6"/>
        <w:numId w:val="2"/>
      </w:numPr>
      <w:spacing w:before="40"/>
      <w:outlineLvl w:val="6"/>
    </w:pPr>
    <w:rPr>
      <w:rFonts w:asciiTheme="majorHAnsi" w:eastAsiaTheme="majorEastAsia" w:hAnsiTheme="majorHAnsi" w:cstheme="majorBidi"/>
      <w:i/>
      <w:iCs/>
      <w:color w:val="0A2F40" w:themeColor="accent1" w:themeShade="7F"/>
    </w:rPr>
  </w:style>
  <w:style w:type="paragraph" w:styleId="Heading8">
    <w:name w:val="heading 8"/>
    <w:basedOn w:val="Normal"/>
    <w:next w:val="Normal"/>
    <w:link w:val="Heading8Char"/>
    <w:uiPriority w:val="9"/>
    <w:semiHidden/>
    <w:unhideWhenUsed/>
    <w:qFormat/>
    <w:rsid w:val="00C872FC"/>
    <w:pPr>
      <w:keepNext/>
      <w:keepLines/>
      <w:numPr>
        <w:ilvl w:val="7"/>
        <w:numId w:val="2"/>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872FC"/>
    <w:pPr>
      <w:keepNext/>
      <w:keepLines/>
      <w:numPr>
        <w:ilvl w:val="8"/>
        <w:numId w:val="2"/>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0E21F1"/>
    <w:pPr>
      <w:spacing w:after="100"/>
    </w:pPr>
  </w:style>
  <w:style w:type="paragraph" w:styleId="TOC2">
    <w:name w:val="toc 2"/>
    <w:basedOn w:val="Normal"/>
    <w:next w:val="Normal"/>
    <w:autoRedefine/>
    <w:uiPriority w:val="39"/>
    <w:unhideWhenUsed/>
    <w:rsid w:val="000E21F1"/>
    <w:pPr>
      <w:spacing w:after="100"/>
      <w:ind w:left="240"/>
    </w:pPr>
  </w:style>
  <w:style w:type="character" w:customStyle="1" w:styleId="Heading7Char">
    <w:name w:val="Heading 7 Char"/>
    <w:basedOn w:val="DefaultParagraphFont"/>
    <w:link w:val="Heading7"/>
    <w:uiPriority w:val="9"/>
    <w:semiHidden/>
    <w:rsid w:val="00C872FC"/>
    <w:rPr>
      <w:rFonts w:asciiTheme="majorHAnsi" w:eastAsiaTheme="majorEastAsia" w:hAnsiTheme="majorHAnsi" w:cstheme="majorBidi"/>
      <w:i/>
      <w:iCs/>
      <w:color w:val="0A2F40" w:themeColor="accent1" w:themeShade="7F"/>
    </w:rPr>
  </w:style>
  <w:style w:type="character" w:customStyle="1" w:styleId="Heading8Char">
    <w:name w:val="Heading 8 Char"/>
    <w:basedOn w:val="DefaultParagraphFont"/>
    <w:link w:val="Heading8"/>
    <w:uiPriority w:val="9"/>
    <w:semiHidden/>
    <w:rsid w:val="00C872F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872FC"/>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C872FC"/>
    <w:pPr>
      <w:keepNext/>
      <w:keepLines/>
      <w:numPr>
        <w:numId w:val="0"/>
      </w:numPr>
      <w:spacing w:before="240" w:after="0" w:line="259" w:lineRule="auto"/>
      <w:outlineLvl w:val="9"/>
    </w:pPr>
    <w:rPr>
      <w:rFonts w:asciiTheme="majorHAnsi" w:eastAsiaTheme="majorEastAsia" w:hAnsiTheme="majorHAnsi" w:cstheme="majorBidi"/>
      <w:b w:val="0"/>
      <w:bCs w:val="0"/>
      <w:color w:val="0F4761" w:themeColor="accent1" w:themeShade="BF"/>
      <w:sz w:val="32"/>
      <w:szCs w:val="32"/>
    </w:rPr>
  </w:style>
  <w:style w:type="paragraph" w:styleId="Header">
    <w:name w:val="header"/>
    <w:basedOn w:val="Normal"/>
    <w:link w:val="HeaderChar"/>
    <w:uiPriority w:val="99"/>
    <w:unhideWhenUsed/>
    <w:rsid w:val="00C872FC"/>
    <w:pPr>
      <w:tabs>
        <w:tab w:val="center" w:pos="4680"/>
        <w:tab w:val="right" w:pos="9360"/>
      </w:tabs>
    </w:pPr>
  </w:style>
  <w:style w:type="character" w:customStyle="1" w:styleId="HeaderChar">
    <w:name w:val="Header Char"/>
    <w:basedOn w:val="DefaultParagraphFont"/>
    <w:link w:val="Header"/>
    <w:uiPriority w:val="99"/>
    <w:rsid w:val="00C872FC"/>
  </w:style>
  <w:style w:type="paragraph" w:styleId="Footer">
    <w:name w:val="footer"/>
    <w:basedOn w:val="Normal"/>
    <w:link w:val="FooterChar"/>
    <w:uiPriority w:val="99"/>
    <w:unhideWhenUsed/>
    <w:rsid w:val="00C872FC"/>
    <w:pPr>
      <w:tabs>
        <w:tab w:val="center" w:pos="4680"/>
        <w:tab w:val="right" w:pos="9360"/>
      </w:tabs>
    </w:pPr>
  </w:style>
  <w:style w:type="character" w:customStyle="1" w:styleId="FooterChar">
    <w:name w:val="Footer Char"/>
    <w:basedOn w:val="DefaultParagraphFont"/>
    <w:link w:val="Footer"/>
    <w:uiPriority w:val="99"/>
    <w:rsid w:val="00C872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doi.org/10.1016/j.jclepro.2017.07.184" TargetMode="External"/><Relationship Id="rId26" Type="http://schemas.openxmlformats.org/officeDocument/2006/relationships/hyperlink" Target="https://icapcarbonaction.com/en/news/eu-carbon-border-adjustment-mechanism-cbam-takes-effect-transitional-phase" TargetMode="External"/><Relationship Id="rId39" Type="http://schemas.openxmlformats.org/officeDocument/2006/relationships/theme" Target="theme/theme1.xml"/><Relationship Id="rId21" Type="http://schemas.openxmlformats.org/officeDocument/2006/relationships/hyperlink" Target="https://www.fastmarkets.com/insights/green-steel-demand-which-sectors-will-lead-the-transition-in-europe/" TargetMode="External"/><Relationship Id="rId34" Type="http://schemas.openxmlformats.org/officeDocument/2006/relationships/hyperlink" Target="https://www.tatasteel.com/investors/integrated-report-2023-24/climate-change-report.html" TargetMode="Externa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https://climateactiontracker.org/blog/decarbonising-the-iron-and-steel-sector-china-india-and-the-us/" TargetMode="External"/><Relationship Id="rId25" Type="http://schemas.openxmlformats.org/officeDocument/2006/relationships/hyperlink" Target="https://www.iea.org/reports/iron-and-steel-technology-roadmap" TargetMode="External"/><Relationship Id="rId33" Type="http://schemas.openxmlformats.org/officeDocument/2006/relationships/hyperlink" Target="https://www.tata.com/newsroom/business/tata-steel-sustainable-aalingana"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carbontracker.org/reports/measuring-transition-tata-steel/" TargetMode="External"/><Relationship Id="rId20" Type="http://schemas.openxmlformats.org/officeDocument/2006/relationships/hyperlink" Target="https://eur-lex.europa.eu/legal-content/EN/TXT/?uri=CELEX:32023R0956" TargetMode="External"/><Relationship Id="rId29" Type="http://schemas.openxmlformats.org/officeDocument/2006/relationships/hyperlink" Target="https://doi.org/10.1257/jep.9.4.9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commonslibrary.parliament.uk/research-briefings/cbp-9935/" TargetMode="External"/><Relationship Id="rId32" Type="http://schemas.openxmlformats.org/officeDocument/2006/relationships/hyperlink" Target="https://doi.org/10.1038/s41467-021-27770-y" TargetMode="External"/><Relationship Id="rId37"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business-standard.com/article/companies/tata-steel-inks-pact-with-ford-to-supply-green-steel-from-the-netherlands-122102600652_1.html" TargetMode="External"/><Relationship Id="rId23" Type="http://schemas.openxmlformats.org/officeDocument/2006/relationships/hyperlink" Target="https://doi.org/10.1016/j.glt.2021.03.001" TargetMode="External"/><Relationship Id="rId28" Type="http://schemas.openxmlformats.org/officeDocument/2006/relationships/hyperlink" Target="https://doi.org/10.1108/13522750510619733" TargetMode="External"/><Relationship Id="rId36" Type="http://schemas.openxmlformats.org/officeDocument/2006/relationships/hyperlink" Target="https://doi.org/10.1177/0022242919825649" TargetMode="External"/><Relationship Id="rId10" Type="http://schemas.openxmlformats.org/officeDocument/2006/relationships/image" Target="media/image2.png"/><Relationship Id="rId19" Type="http://schemas.openxmlformats.org/officeDocument/2006/relationships/hyperlink" Target="https://doi.org/10.1525/cmr.2011.54.1.64" TargetMode="External"/><Relationship Id="rId31" Type="http://schemas.openxmlformats.org/officeDocument/2006/relationships/hyperlink" Target="https://www.steelonthenet.com/insights/green-steel-premium.html"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hyperlink" Target="https://www.fastmarkets.com/insights/why-automakers-are-set-to-lead-green-steel-adoption-in-europe/" TargetMode="External"/><Relationship Id="rId27" Type="http://schemas.openxmlformats.org/officeDocument/2006/relationships/hyperlink" Target="https://www.newcivilengineer.com/latest/construction-of-1-25bn-electric-arc-furnace-upgrade-to-port-talbot-steelworks-commences-14-07-2025/" TargetMode="External"/><Relationship Id="rId30" Type="http://schemas.openxmlformats.org/officeDocument/2006/relationships/hyperlink" Target="https://doi.org/10.1177/18479790231170962" TargetMode="External"/><Relationship Id="rId35" Type="http://schemas.openxmlformats.org/officeDocument/2006/relationships/hyperlink" Target="https://www.tatasteel.com/newsroom/press-releases/india/2025/tata-group-chairman-n-chandrasekaran-marks-groundbreaking-of-new-electric-arc-furnace-at-port-talbot/"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F6733A-E9EE-4FAA-9533-7735D4C6B25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4851</Words>
  <Characters>27657</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2026-07-29T17:38:00Z</dcterms:created>
  <dcterms:modified xsi:type="dcterms:W3CDTF">2026-07-29T17:46:00Z</dcterms:modified>
</cp:coreProperties>
</file>