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F508F7" w:rsidRDefault="00F508F7" w14:paraId="0BA60A84" w14:textId="77777777">
      <w:pPr>
        <w:spacing w:after="160" w:line="259" w:lineRule="auto"/>
        <w:jc w:val="left"/>
        <w:rPr>
          <w:b/>
          <w:bCs/>
          <w:lang w:val="en-US"/>
        </w:rPr>
      </w:pPr>
      <w:r w:rsidRPr="00F508F7">
        <w:rPr>
          <w:b/>
          <w:bCs/>
          <w:noProof/>
          <w:lang w:val="en-US" w:bidi="bn-BD"/>
        </w:rPr>
        <w:drawing>
          <wp:inline distT="0" distB="0" distL="0" distR="0" wp14:anchorId="415D5D75" wp14:editId="35D73B14">
            <wp:extent cx="1455420" cy="571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1455420" cy="571500"/>
                    </a:xfrm>
                    <a:prstGeom prst="rect">
                      <a:avLst/>
                    </a:prstGeom>
                    <a:noFill/>
                    <a:ln>
                      <a:noFill/>
                    </a:ln>
                  </pic:spPr>
                </pic:pic>
              </a:graphicData>
            </a:graphic>
          </wp:inline>
        </w:drawing>
      </w:r>
    </w:p>
    <w:p w:rsidR="00F508F7" w:rsidRDefault="00F508F7" w14:paraId="7BEE1496" w14:textId="77777777">
      <w:pPr>
        <w:spacing w:after="160" w:line="259" w:lineRule="auto"/>
        <w:jc w:val="left"/>
        <w:rPr>
          <w:b/>
          <w:bCs/>
          <w:lang w:val="en-US"/>
        </w:rPr>
      </w:pPr>
    </w:p>
    <w:p w:rsidR="00F508F7" w:rsidP="00F508F7" w:rsidRDefault="00F508F7" w14:paraId="7798A5E4" w14:textId="77777777">
      <w:pPr>
        <w:pStyle w:val="Default"/>
      </w:pPr>
    </w:p>
    <w:tbl>
      <w:tblPr>
        <w:tblStyle w:val="TableGrid"/>
        <w:tblW w:w="0" w:type="auto"/>
        <w:tblLayout w:type="fixed"/>
        <w:tblLook w:val="0000" w:firstRow="0" w:lastRow="0" w:firstColumn="0" w:lastColumn="0" w:noHBand="0" w:noVBand="0"/>
      </w:tblPr>
      <w:tblGrid>
        <w:gridCol w:w="2329"/>
        <w:gridCol w:w="2329"/>
        <w:gridCol w:w="2329"/>
        <w:gridCol w:w="2329"/>
      </w:tblGrid>
      <w:tr w:rsidR="00F508F7" w:rsidTr="6B047C0B" w14:paraId="423131D5" w14:textId="77777777">
        <w:trPr>
          <w:trHeight w:val="103"/>
        </w:trPr>
        <w:tc>
          <w:tcPr>
            <w:tcW w:w="4658" w:type="dxa"/>
            <w:gridSpan w:val="2"/>
            <w:tcMar/>
          </w:tcPr>
          <w:p w:rsidR="00F508F7" w:rsidP="6B047C0B" w:rsidRDefault="00F508F7" w14:paraId="36210F25" w14:textId="50B3E761">
            <w:pPr>
              <w:pStyle w:val="Default"/>
              <w:rPr>
                <w:sz w:val="22"/>
                <w:szCs w:val="22"/>
                <w:lang w:val="en-GB"/>
              </w:rPr>
            </w:pPr>
            <w:r w:rsidRPr="6B047C0B" w:rsidR="00F508F7">
              <w:rPr>
                <w:b w:val="1"/>
                <w:bCs w:val="1"/>
                <w:sz w:val="22"/>
                <w:szCs w:val="22"/>
                <w:lang w:val="en-GB"/>
              </w:rPr>
              <w:t xml:space="preserve">Student name: </w:t>
            </w:r>
            <w:r w:rsidRPr="6B047C0B" w:rsidR="00626A0F">
              <w:rPr>
                <w:b w:val="1"/>
                <w:bCs w:val="1"/>
                <w:sz w:val="22"/>
                <w:szCs w:val="22"/>
                <w:lang w:val="en-GB"/>
              </w:rPr>
              <w:t xml:space="preserve">Mercy </w:t>
            </w:r>
            <w:r w:rsidRPr="6B047C0B" w:rsidR="008C0640">
              <w:rPr>
                <w:b w:val="1"/>
                <w:bCs w:val="1"/>
                <w:sz w:val="22"/>
                <w:szCs w:val="22"/>
                <w:lang w:val="en-GB"/>
              </w:rPr>
              <w:t>Reoja</w:t>
            </w:r>
            <w:r w:rsidRPr="6B047C0B" w:rsidR="008C0640">
              <w:rPr>
                <w:b w:val="1"/>
                <w:bCs w:val="1"/>
                <w:sz w:val="22"/>
                <w:szCs w:val="22"/>
                <w:lang w:val="en-GB"/>
              </w:rPr>
              <w:t xml:space="preserve"> Fiel</w:t>
            </w:r>
          </w:p>
        </w:tc>
        <w:tc>
          <w:tcPr>
            <w:tcW w:w="4658" w:type="dxa"/>
            <w:gridSpan w:val="2"/>
            <w:tcMar/>
          </w:tcPr>
          <w:p w:rsidR="00F508F7" w:rsidRDefault="00F508F7" w14:paraId="2D4EC6E6" w14:textId="675BE7D2">
            <w:pPr>
              <w:pStyle w:val="Default"/>
              <w:rPr>
                <w:sz w:val="22"/>
                <w:szCs w:val="22"/>
              </w:rPr>
            </w:pPr>
            <w:r>
              <w:rPr>
                <w:b/>
                <w:bCs/>
                <w:sz w:val="22"/>
                <w:szCs w:val="22"/>
              </w:rPr>
              <w:t xml:space="preserve">Student ID number: </w:t>
            </w:r>
            <w:r w:rsidR="00EA48C8">
              <w:rPr>
                <w:b/>
                <w:bCs/>
                <w:sz w:val="22"/>
                <w:szCs w:val="22"/>
              </w:rPr>
              <w:t>2427852</w:t>
            </w:r>
          </w:p>
        </w:tc>
      </w:tr>
      <w:tr w:rsidR="00F508F7" w:rsidTr="6B047C0B" w14:paraId="41F4ABDF" w14:textId="77777777">
        <w:trPr>
          <w:trHeight w:val="103"/>
        </w:trPr>
        <w:tc>
          <w:tcPr>
            <w:tcW w:w="4658" w:type="dxa"/>
            <w:gridSpan w:val="2"/>
            <w:tcMar/>
          </w:tcPr>
          <w:p w:rsidR="00F508F7" w:rsidRDefault="00F508F7" w14:paraId="74518EC5" w14:textId="77777777">
            <w:pPr>
              <w:pStyle w:val="Default"/>
              <w:rPr>
                <w:sz w:val="22"/>
                <w:szCs w:val="22"/>
              </w:rPr>
            </w:pPr>
            <w:proofErr w:type="spellStart"/>
            <w:r>
              <w:rPr>
                <w:b/>
                <w:bCs/>
                <w:sz w:val="22"/>
                <w:szCs w:val="22"/>
              </w:rPr>
              <w:t>Programme</w:t>
            </w:r>
            <w:proofErr w:type="spellEnd"/>
            <w:r>
              <w:rPr>
                <w:b/>
                <w:bCs/>
                <w:sz w:val="22"/>
                <w:szCs w:val="22"/>
              </w:rPr>
              <w:t xml:space="preserve">: </w:t>
            </w:r>
          </w:p>
        </w:tc>
        <w:tc>
          <w:tcPr>
            <w:tcW w:w="4658" w:type="dxa"/>
            <w:gridSpan w:val="2"/>
            <w:tcMar/>
          </w:tcPr>
          <w:p w:rsidR="00F508F7" w:rsidRDefault="00F508F7" w14:paraId="77DF05F6" w14:textId="77777777">
            <w:pPr>
              <w:pStyle w:val="Default"/>
              <w:rPr>
                <w:sz w:val="22"/>
                <w:szCs w:val="22"/>
              </w:rPr>
            </w:pPr>
            <w:r>
              <w:rPr>
                <w:b/>
                <w:bCs/>
                <w:sz w:val="22"/>
                <w:szCs w:val="22"/>
              </w:rPr>
              <w:t xml:space="preserve">BSc (Hons) Health and Social Care </w:t>
            </w:r>
          </w:p>
        </w:tc>
      </w:tr>
      <w:tr w:rsidR="00F508F7" w:rsidTr="6B047C0B" w14:paraId="7A37D70A" w14:textId="77777777">
        <w:trPr>
          <w:trHeight w:val="103"/>
        </w:trPr>
        <w:tc>
          <w:tcPr>
            <w:tcW w:w="4658" w:type="dxa"/>
            <w:gridSpan w:val="2"/>
            <w:tcMar/>
          </w:tcPr>
          <w:p w:rsidR="00F508F7" w:rsidRDefault="00F508F7" w14:paraId="62726D71" w14:textId="77777777">
            <w:pPr>
              <w:pStyle w:val="Default"/>
              <w:rPr>
                <w:sz w:val="22"/>
                <w:szCs w:val="22"/>
              </w:rPr>
            </w:pPr>
            <w:r>
              <w:rPr>
                <w:b/>
                <w:bCs/>
                <w:sz w:val="22"/>
                <w:szCs w:val="22"/>
              </w:rPr>
              <w:t xml:space="preserve">Module: </w:t>
            </w:r>
          </w:p>
        </w:tc>
        <w:tc>
          <w:tcPr>
            <w:tcW w:w="4658" w:type="dxa"/>
            <w:gridSpan w:val="2"/>
            <w:tcMar/>
          </w:tcPr>
          <w:p w:rsidR="00F508F7" w:rsidRDefault="00F508F7" w14:paraId="5ADD6350" w14:textId="77777777">
            <w:pPr>
              <w:pStyle w:val="Default"/>
              <w:rPr>
                <w:sz w:val="22"/>
                <w:szCs w:val="22"/>
              </w:rPr>
            </w:pPr>
            <w:r>
              <w:rPr>
                <w:b/>
                <w:bCs/>
                <w:sz w:val="22"/>
                <w:szCs w:val="22"/>
              </w:rPr>
              <w:t xml:space="preserve">Protecting and Supporting Families in Health and Care </w:t>
            </w:r>
          </w:p>
        </w:tc>
      </w:tr>
      <w:tr w:rsidR="00F508F7" w:rsidTr="6B047C0B" w14:paraId="18F91A86" w14:textId="77777777">
        <w:trPr>
          <w:trHeight w:val="360"/>
        </w:trPr>
        <w:tc>
          <w:tcPr>
            <w:tcW w:w="2329" w:type="dxa"/>
            <w:tcMar/>
          </w:tcPr>
          <w:p w:rsidR="00F508F7" w:rsidRDefault="00F508F7" w14:paraId="4B4198D0" w14:textId="77777777">
            <w:pPr>
              <w:pStyle w:val="Default"/>
              <w:rPr>
                <w:sz w:val="22"/>
                <w:szCs w:val="22"/>
              </w:rPr>
            </w:pPr>
            <w:r>
              <w:rPr>
                <w:b/>
                <w:bCs/>
                <w:sz w:val="22"/>
                <w:szCs w:val="22"/>
              </w:rPr>
              <w:t xml:space="preserve">Module code: </w:t>
            </w:r>
          </w:p>
        </w:tc>
        <w:tc>
          <w:tcPr>
            <w:tcW w:w="2329" w:type="dxa"/>
            <w:tcMar/>
          </w:tcPr>
          <w:p w:rsidR="00F508F7" w:rsidRDefault="00F508F7" w14:paraId="2E9038E8" w14:textId="77777777">
            <w:pPr>
              <w:pStyle w:val="Default"/>
              <w:rPr>
                <w:sz w:val="22"/>
                <w:szCs w:val="22"/>
              </w:rPr>
            </w:pPr>
            <w:r>
              <w:rPr>
                <w:b/>
                <w:bCs/>
                <w:sz w:val="22"/>
                <w:szCs w:val="22"/>
              </w:rPr>
              <w:t xml:space="preserve">BMHP5021 </w:t>
            </w:r>
          </w:p>
        </w:tc>
        <w:tc>
          <w:tcPr>
            <w:tcW w:w="2329" w:type="dxa"/>
            <w:tcMar/>
          </w:tcPr>
          <w:p w:rsidR="00F508F7" w:rsidRDefault="00F508F7" w14:paraId="6DE3F1D9" w14:textId="77777777">
            <w:pPr>
              <w:pStyle w:val="Default"/>
              <w:rPr>
                <w:sz w:val="22"/>
                <w:szCs w:val="22"/>
              </w:rPr>
            </w:pPr>
            <w:r>
              <w:rPr>
                <w:b/>
                <w:bCs/>
                <w:sz w:val="22"/>
                <w:szCs w:val="22"/>
              </w:rPr>
              <w:t xml:space="preserve">Contribution to Overall Module Assessment (%): </w:t>
            </w:r>
          </w:p>
        </w:tc>
        <w:tc>
          <w:tcPr>
            <w:tcW w:w="2329" w:type="dxa"/>
            <w:tcMar/>
          </w:tcPr>
          <w:p w:rsidR="00F508F7" w:rsidRDefault="00F508F7" w14:paraId="5CC1FC4E" w14:textId="77777777">
            <w:pPr>
              <w:pStyle w:val="Default"/>
              <w:rPr>
                <w:sz w:val="22"/>
                <w:szCs w:val="22"/>
              </w:rPr>
            </w:pPr>
            <w:r>
              <w:rPr>
                <w:b/>
                <w:bCs/>
                <w:sz w:val="22"/>
                <w:szCs w:val="22"/>
              </w:rPr>
              <w:t xml:space="preserve">50% </w:t>
            </w:r>
          </w:p>
        </w:tc>
      </w:tr>
      <w:tr w:rsidR="00F508F7" w:rsidTr="6B047C0B" w14:paraId="423444A6" w14:textId="77777777">
        <w:trPr>
          <w:trHeight w:val="1455"/>
        </w:trPr>
        <w:tc>
          <w:tcPr>
            <w:tcW w:w="2329" w:type="dxa"/>
            <w:tcMar/>
          </w:tcPr>
          <w:p w:rsidR="00F508F7" w:rsidRDefault="00F508F7" w14:paraId="277B4685" w14:textId="4923DE50">
            <w:pPr>
              <w:pStyle w:val="Default"/>
              <w:rPr>
                <w:sz w:val="22"/>
                <w:szCs w:val="22"/>
              </w:rPr>
            </w:pPr>
            <w:r>
              <w:rPr>
                <w:b/>
                <w:bCs/>
                <w:sz w:val="22"/>
                <w:szCs w:val="22"/>
              </w:rPr>
              <w:t>Lecturer:</w:t>
            </w:r>
            <w:r w:rsidR="006877FE">
              <w:rPr>
                <w:b/>
                <w:bCs/>
                <w:sz w:val="22"/>
                <w:szCs w:val="22"/>
              </w:rPr>
              <w:t xml:space="preserve"> Amanda Jones</w:t>
            </w:r>
          </w:p>
        </w:tc>
        <w:tc>
          <w:tcPr>
            <w:tcW w:w="2329" w:type="dxa"/>
            <w:tcMar/>
          </w:tcPr>
          <w:p w:rsidR="00F508F7" w:rsidRDefault="00F508F7" w14:paraId="3F4D2CDD" w14:textId="77777777">
            <w:pPr>
              <w:pStyle w:val="Default"/>
              <w:rPr>
                <w:sz w:val="22"/>
                <w:szCs w:val="22"/>
              </w:rPr>
            </w:pPr>
            <w:r>
              <w:rPr>
                <w:b/>
                <w:bCs/>
                <w:sz w:val="22"/>
                <w:szCs w:val="22"/>
              </w:rPr>
              <w:t xml:space="preserve">Weekdays </w:t>
            </w:r>
          </w:p>
          <w:p w:rsidR="00F508F7" w:rsidRDefault="00F508F7" w14:paraId="0EBEFE3E" w14:textId="77777777">
            <w:pPr>
              <w:pStyle w:val="Default"/>
              <w:rPr>
                <w:sz w:val="22"/>
                <w:szCs w:val="22"/>
              </w:rPr>
            </w:pPr>
            <w:r>
              <w:rPr>
                <w:b/>
                <w:bCs/>
                <w:sz w:val="22"/>
                <w:szCs w:val="22"/>
              </w:rPr>
              <w:t xml:space="preserve">G1 Amanda Jones </w:t>
            </w:r>
          </w:p>
          <w:p w:rsidR="00F508F7" w:rsidRDefault="00F508F7" w14:paraId="502C4FD6" w14:textId="77777777">
            <w:pPr>
              <w:pStyle w:val="Default"/>
              <w:rPr>
                <w:sz w:val="22"/>
                <w:szCs w:val="22"/>
              </w:rPr>
            </w:pPr>
            <w:r>
              <w:rPr>
                <w:b/>
                <w:bCs/>
                <w:sz w:val="22"/>
                <w:szCs w:val="22"/>
              </w:rPr>
              <w:t xml:space="preserve">G2 Shaila Hussain (module leader) </w:t>
            </w:r>
          </w:p>
          <w:p w:rsidR="00F508F7" w:rsidRDefault="00F508F7" w14:paraId="4EFFB13D" w14:textId="77777777">
            <w:pPr>
              <w:pStyle w:val="Default"/>
              <w:rPr>
                <w:sz w:val="22"/>
                <w:szCs w:val="22"/>
              </w:rPr>
            </w:pPr>
            <w:r>
              <w:rPr>
                <w:b/>
                <w:bCs/>
                <w:sz w:val="22"/>
                <w:szCs w:val="22"/>
              </w:rPr>
              <w:t xml:space="preserve">Weekend </w:t>
            </w:r>
          </w:p>
          <w:p w:rsidR="00F508F7" w:rsidRDefault="00F508F7" w14:paraId="423F4B99" w14:textId="77777777">
            <w:pPr>
              <w:pStyle w:val="Default"/>
              <w:rPr>
                <w:sz w:val="22"/>
                <w:szCs w:val="22"/>
              </w:rPr>
            </w:pPr>
            <w:r>
              <w:rPr>
                <w:b/>
                <w:bCs/>
                <w:sz w:val="22"/>
                <w:szCs w:val="22"/>
              </w:rPr>
              <w:t xml:space="preserve">GW1 Muhammad Aliyu </w:t>
            </w:r>
          </w:p>
          <w:p w:rsidR="00F508F7" w:rsidRDefault="00F508F7" w14:paraId="11440FA4" w14:textId="77777777">
            <w:pPr>
              <w:pStyle w:val="Default"/>
              <w:rPr>
                <w:sz w:val="22"/>
                <w:szCs w:val="22"/>
              </w:rPr>
            </w:pPr>
            <w:r>
              <w:rPr>
                <w:b/>
                <w:bCs/>
                <w:sz w:val="22"/>
                <w:szCs w:val="22"/>
              </w:rPr>
              <w:t xml:space="preserve">GW2 Umma Suleiman </w:t>
            </w:r>
          </w:p>
        </w:tc>
        <w:tc>
          <w:tcPr>
            <w:tcW w:w="2329" w:type="dxa"/>
            <w:tcMar/>
          </w:tcPr>
          <w:p w:rsidR="00F508F7" w:rsidRDefault="00F508F7" w14:paraId="7B18BEFF" w14:textId="77777777">
            <w:pPr>
              <w:pStyle w:val="Default"/>
              <w:rPr>
                <w:sz w:val="22"/>
                <w:szCs w:val="22"/>
              </w:rPr>
            </w:pPr>
            <w:r>
              <w:rPr>
                <w:b/>
                <w:bCs/>
                <w:sz w:val="22"/>
                <w:szCs w:val="22"/>
              </w:rPr>
              <w:t xml:space="preserve">Internal Verifier: </w:t>
            </w:r>
          </w:p>
        </w:tc>
        <w:tc>
          <w:tcPr>
            <w:tcW w:w="2329" w:type="dxa"/>
            <w:tcMar/>
          </w:tcPr>
          <w:p w:rsidR="00F508F7" w:rsidRDefault="00F508F7" w14:paraId="7F643438" w14:textId="77777777">
            <w:pPr>
              <w:pStyle w:val="Default"/>
              <w:rPr>
                <w:sz w:val="22"/>
                <w:szCs w:val="22"/>
              </w:rPr>
            </w:pPr>
            <w:r>
              <w:rPr>
                <w:b/>
                <w:bCs/>
                <w:sz w:val="22"/>
                <w:szCs w:val="22"/>
              </w:rPr>
              <w:t xml:space="preserve">Chloe Harries </w:t>
            </w:r>
          </w:p>
        </w:tc>
      </w:tr>
      <w:tr w:rsidR="00F508F7" w:rsidTr="6B047C0B" w14:paraId="3A0D2ED9" w14:textId="77777777">
        <w:trPr>
          <w:trHeight w:val="292"/>
        </w:trPr>
        <w:tc>
          <w:tcPr>
            <w:tcW w:w="2329" w:type="dxa"/>
            <w:tcMar/>
          </w:tcPr>
          <w:p w:rsidR="00F508F7" w:rsidRDefault="00F508F7" w14:paraId="6A3A7B54" w14:textId="77777777">
            <w:pPr>
              <w:pStyle w:val="Default"/>
              <w:rPr>
                <w:sz w:val="22"/>
                <w:szCs w:val="22"/>
              </w:rPr>
            </w:pPr>
            <w:r>
              <w:rPr>
                <w:b/>
                <w:bCs/>
                <w:sz w:val="22"/>
                <w:szCs w:val="22"/>
              </w:rPr>
              <w:t xml:space="preserve">Assignment Title: </w:t>
            </w:r>
          </w:p>
        </w:tc>
        <w:tc>
          <w:tcPr>
            <w:tcW w:w="2329" w:type="dxa"/>
            <w:tcMar/>
          </w:tcPr>
          <w:p w:rsidR="00F508F7" w:rsidP="6B047C0B" w:rsidRDefault="00F508F7" w14:paraId="609A3C5A" w14:textId="77777777">
            <w:pPr>
              <w:pStyle w:val="Default"/>
              <w:rPr>
                <w:sz w:val="22"/>
                <w:szCs w:val="22"/>
                <w:lang w:val="en-GB"/>
              </w:rPr>
            </w:pPr>
            <w:r w:rsidRPr="6B047C0B" w:rsidR="00F508F7">
              <w:rPr>
                <w:b w:val="1"/>
                <w:bCs w:val="1"/>
                <w:sz w:val="22"/>
                <w:szCs w:val="22"/>
                <w:lang w:val="en-GB"/>
              </w:rPr>
              <w:t xml:space="preserve">Component 2: Written Report </w:t>
            </w:r>
          </w:p>
        </w:tc>
        <w:tc>
          <w:tcPr>
            <w:tcW w:w="2329" w:type="dxa"/>
            <w:tcMar/>
          </w:tcPr>
          <w:p w:rsidR="00F508F7" w:rsidRDefault="00F508F7" w14:paraId="180A25AF" w14:textId="77777777">
            <w:pPr>
              <w:pStyle w:val="Default"/>
              <w:rPr>
                <w:sz w:val="22"/>
                <w:szCs w:val="22"/>
              </w:rPr>
            </w:pPr>
            <w:r>
              <w:rPr>
                <w:b/>
                <w:bCs/>
                <w:sz w:val="22"/>
                <w:szCs w:val="22"/>
              </w:rPr>
              <w:t xml:space="preserve">Word count (or equivalent): </w:t>
            </w:r>
          </w:p>
        </w:tc>
        <w:tc>
          <w:tcPr>
            <w:tcW w:w="2329" w:type="dxa"/>
            <w:tcMar/>
          </w:tcPr>
          <w:p w:rsidR="00F508F7" w:rsidRDefault="00F508F7" w14:paraId="58546E02" w14:textId="77777777">
            <w:pPr>
              <w:pStyle w:val="Default"/>
              <w:rPr>
                <w:sz w:val="22"/>
                <w:szCs w:val="22"/>
              </w:rPr>
            </w:pPr>
            <w:r>
              <w:rPr>
                <w:b/>
                <w:bCs/>
                <w:sz w:val="22"/>
                <w:szCs w:val="22"/>
              </w:rPr>
              <w:t xml:space="preserve">2,000 words (+/- 10%) </w:t>
            </w:r>
          </w:p>
        </w:tc>
      </w:tr>
    </w:tbl>
    <w:p w:rsidR="00F508F7" w:rsidRDefault="00F508F7" w14:paraId="26CB18CB" w14:textId="77777777">
      <w:pPr>
        <w:spacing w:after="160" w:line="259" w:lineRule="auto"/>
        <w:jc w:val="left"/>
        <w:rPr>
          <w:b/>
          <w:bCs/>
          <w:lang w:val="en-US"/>
        </w:rPr>
      </w:pPr>
      <w:r>
        <w:rPr>
          <w:b/>
          <w:bCs/>
          <w:lang w:val="en-US"/>
        </w:rPr>
        <w:br w:type="page"/>
      </w:r>
    </w:p>
    <w:sdt>
      <w:sdtPr>
        <w:id w:val="-1957863030"/>
        <w:docPartObj>
          <w:docPartGallery w:val="Table of Contents"/>
          <w:docPartUnique/>
        </w:docPartObj>
        <w:rPr>
          <w:rFonts w:ascii="Times New Roman" w:hAnsi="Times New Roman" w:eastAsia="Calibri" w:cs="Vrinda" w:eastAsiaTheme="minorAscii" w:cstheme="minorBidi"/>
          <w:color w:val="auto"/>
          <w:sz w:val="24"/>
          <w:szCs w:val="24"/>
          <w:lang w:val="en-GB"/>
        </w:rPr>
      </w:sdtPr>
      <w:sdtEndPr>
        <w:rPr>
          <w:rFonts w:ascii="Times New Roman" w:hAnsi="Times New Roman" w:eastAsia="Calibri" w:cs="Vrinda" w:eastAsiaTheme="minorAscii" w:cstheme="minorBidi"/>
          <w:b w:val="1"/>
          <w:bCs w:val="1"/>
          <w:noProof/>
          <w:color w:val="auto"/>
          <w:sz w:val="24"/>
          <w:szCs w:val="24"/>
          <w:lang w:val="en-GB"/>
        </w:rPr>
      </w:sdtEndPr>
      <w:sdtContent>
        <w:p w:rsidR="00F508F7" w:rsidRDefault="00F508F7" w14:paraId="5882F50B" w14:textId="77777777">
          <w:pPr>
            <w:pStyle w:val="TOCHeading"/>
          </w:pPr>
          <w:r>
            <w:t>Table of Contents</w:t>
          </w:r>
        </w:p>
        <w:p w:rsidR="00F508F7" w:rsidRDefault="00F508F7" w14:paraId="32FF83E9" w14:textId="77777777">
          <w:pPr>
            <w:pStyle w:val="TOC2"/>
            <w:tabs>
              <w:tab w:val="right" w:leader="dot" w:pos="9350"/>
            </w:tabs>
            <w:rPr>
              <w:noProof/>
            </w:rPr>
          </w:pPr>
          <w:r>
            <w:fldChar w:fldCharType="begin"/>
          </w:r>
          <w:r>
            <w:instrText xml:space="preserve"> TOC \o "1-3" \h \z \u </w:instrText>
          </w:r>
          <w:r>
            <w:fldChar w:fldCharType="separate"/>
          </w:r>
          <w:hyperlink w:history="1" w:anchor="_Toc235827589">
            <w:r w:rsidRPr="00AA2A59">
              <w:rPr>
                <w:rStyle w:val="Hyperlink"/>
                <w:noProof/>
                <w:lang w:val="en-US"/>
              </w:rPr>
              <w:t>1. Introduction</w:t>
            </w:r>
            <w:r>
              <w:rPr>
                <w:noProof/>
                <w:webHidden/>
              </w:rPr>
              <w:tab/>
            </w:r>
            <w:r>
              <w:rPr>
                <w:noProof/>
                <w:webHidden/>
              </w:rPr>
              <w:fldChar w:fldCharType="begin"/>
            </w:r>
            <w:r>
              <w:rPr>
                <w:noProof/>
                <w:webHidden/>
              </w:rPr>
              <w:instrText xml:space="preserve"> PAGEREF _Toc235827589 \h </w:instrText>
            </w:r>
            <w:r>
              <w:rPr>
                <w:noProof/>
                <w:webHidden/>
              </w:rPr>
            </w:r>
            <w:r>
              <w:rPr>
                <w:noProof/>
                <w:webHidden/>
              </w:rPr>
              <w:fldChar w:fldCharType="separate"/>
            </w:r>
            <w:r>
              <w:rPr>
                <w:noProof/>
                <w:webHidden/>
              </w:rPr>
              <w:t>3</w:t>
            </w:r>
            <w:r>
              <w:rPr>
                <w:noProof/>
                <w:webHidden/>
              </w:rPr>
              <w:fldChar w:fldCharType="end"/>
            </w:r>
          </w:hyperlink>
        </w:p>
        <w:p w:rsidR="00F508F7" w:rsidRDefault="00F508F7" w14:paraId="0F743E1D" w14:textId="77777777">
          <w:pPr>
            <w:pStyle w:val="TOC2"/>
            <w:tabs>
              <w:tab w:val="right" w:leader="dot" w:pos="9350"/>
            </w:tabs>
            <w:rPr>
              <w:noProof/>
            </w:rPr>
          </w:pPr>
          <w:hyperlink w:history="1" w:anchor="_Toc235827590">
            <w:r w:rsidRPr="00AA2A59">
              <w:rPr>
                <w:rStyle w:val="Hyperlink"/>
                <w:noProof/>
                <w:lang w:val="en-US"/>
              </w:rPr>
              <w:t>2. Early Help System (EHS)</w:t>
            </w:r>
            <w:r>
              <w:rPr>
                <w:noProof/>
                <w:webHidden/>
              </w:rPr>
              <w:tab/>
            </w:r>
            <w:r>
              <w:rPr>
                <w:noProof/>
                <w:webHidden/>
              </w:rPr>
              <w:fldChar w:fldCharType="begin"/>
            </w:r>
            <w:r>
              <w:rPr>
                <w:noProof/>
                <w:webHidden/>
              </w:rPr>
              <w:instrText xml:space="preserve"> PAGEREF _Toc235827590 \h </w:instrText>
            </w:r>
            <w:r>
              <w:rPr>
                <w:noProof/>
                <w:webHidden/>
              </w:rPr>
            </w:r>
            <w:r>
              <w:rPr>
                <w:noProof/>
                <w:webHidden/>
              </w:rPr>
              <w:fldChar w:fldCharType="separate"/>
            </w:r>
            <w:r>
              <w:rPr>
                <w:noProof/>
                <w:webHidden/>
              </w:rPr>
              <w:t>4</w:t>
            </w:r>
            <w:r>
              <w:rPr>
                <w:noProof/>
                <w:webHidden/>
              </w:rPr>
              <w:fldChar w:fldCharType="end"/>
            </w:r>
          </w:hyperlink>
        </w:p>
        <w:p w:rsidR="00F508F7" w:rsidRDefault="00F508F7" w14:paraId="797FA869" w14:textId="77777777">
          <w:pPr>
            <w:pStyle w:val="TOC2"/>
            <w:tabs>
              <w:tab w:val="right" w:leader="dot" w:pos="9350"/>
            </w:tabs>
            <w:rPr>
              <w:noProof/>
            </w:rPr>
          </w:pPr>
          <w:hyperlink w:history="1" w:anchor="_Toc235827591">
            <w:r w:rsidRPr="00AA2A59">
              <w:rPr>
                <w:rStyle w:val="Hyperlink"/>
                <w:noProof/>
                <w:lang w:val="en-US"/>
              </w:rPr>
              <w:t>3. Multi-agency Working</w:t>
            </w:r>
            <w:r>
              <w:rPr>
                <w:noProof/>
                <w:webHidden/>
              </w:rPr>
              <w:tab/>
            </w:r>
            <w:r>
              <w:rPr>
                <w:noProof/>
                <w:webHidden/>
              </w:rPr>
              <w:fldChar w:fldCharType="begin"/>
            </w:r>
            <w:r>
              <w:rPr>
                <w:noProof/>
                <w:webHidden/>
              </w:rPr>
              <w:instrText xml:space="preserve"> PAGEREF _Toc235827591 \h </w:instrText>
            </w:r>
            <w:r>
              <w:rPr>
                <w:noProof/>
                <w:webHidden/>
              </w:rPr>
            </w:r>
            <w:r>
              <w:rPr>
                <w:noProof/>
                <w:webHidden/>
              </w:rPr>
              <w:fldChar w:fldCharType="separate"/>
            </w:r>
            <w:r>
              <w:rPr>
                <w:noProof/>
                <w:webHidden/>
              </w:rPr>
              <w:t>5</w:t>
            </w:r>
            <w:r>
              <w:rPr>
                <w:noProof/>
                <w:webHidden/>
              </w:rPr>
              <w:fldChar w:fldCharType="end"/>
            </w:r>
          </w:hyperlink>
        </w:p>
        <w:p w:rsidR="00F508F7" w:rsidRDefault="00F508F7" w14:paraId="316CC818" w14:textId="77777777">
          <w:pPr>
            <w:pStyle w:val="TOC2"/>
            <w:tabs>
              <w:tab w:val="right" w:leader="dot" w:pos="9350"/>
            </w:tabs>
            <w:rPr>
              <w:noProof/>
            </w:rPr>
          </w:pPr>
          <w:hyperlink w:history="1" w:anchor="_Toc235827592">
            <w:r w:rsidRPr="00AA2A59">
              <w:rPr>
                <w:rStyle w:val="Hyperlink"/>
                <w:noProof/>
                <w:lang w:val="en-US"/>
              </w:rPr>
              <w:t>4. Tower Hamlets Council</w:t>
            </w:r>
            <w:r>
              <w:rPr>
                <w:noProof/>
                <w:webHidden/>
              </w:rPr>
              <w:tab/>
            </w:r>
            <w:r>
              <w:rPr>
                <w:noProof/>
                <w:webHidden/>
              </w:rPr>
              <w:fldChar w:fldCharType="begin"/>
            </w:r>
            <w:r>
              <w:rPr>
                <w:noProof/>
                <w:webHidden/>
              </w:rPr>
              <w:instrText xml:space="preserve"> PAGEREF _Toc235827592 \h </w:instrText>
            </w:r>
            <w:r>
              <w:rPr>
                <w:noProof/>
                <w:webHidden/>
              </w:rPr>
            </w:r>
            <w:r>
              <w:rPr>
                <w:noProof/>
                <w:webHidden/>
              </w:rPr>
              <w:fldChar w:fldCharType="separate"/>
            </w:r>
            <w:r>
              <w:rPr>
                <w:noProof/>
                <w:webHidden/>
              </w:rPr>
              <w:t>6</w:t>
            </w:r>
            <w:r>
              <w:rPr>
                <w:noProof/>
                <w:webHidden/>
              </w:rPr>
              <w:fldChar w:fldCharType="end"/>
            </w:r>
          </w:hyperlink>
        </w:p>
        <w:p w:rsidR="00F508F7" w:rsidRDefault="00F508F7" w14:paraId="3545159D" w14:textId="77777777">
          <w:pPr>
            <w:pStyle w:val="TOC2"/>
            <w:tabs>
              <w:tab w:val="right" w:leader="dot" w:pos="9350"/>
            </w:tabs>
            <w:rPr>
              <w:noProof/>
            </w:rPr>
          </w:pPr>
          <w:hyperlink w:history="1" w:anchor="_Toc235827593">
            <w:r w:rsidRPr="00AA2A59">
              <w:rPr>
                <w:rStyle w:val="Hyperlink"/>
                <w:noProof/>
                <w:lang w:val="en-US"/>
              </w:rPr>
              <w:t>5. Southwark Council</w:t>
            </w:r>
            <w:r>
              <w:rPr>
                <w:noProof/>
                <w:webHidden/>
              </w:rPr>
              <w:tab/>
            </w:r>
            <w:r>
              <w:rPr>
                <w:noProof/>
                <w:webHidden/>
              </w:rPr>
              <w:fldChar w:fldCharType="begin"/>
            </w:r>
            <w:r>
              <w:rPr>
                <w:noProof/>
                <w:webHidden/>
              </w:rPr>
              <w:instrText xml:space="preserve"> PAGEREF _Toc235827593 \h </w:instrText>
            </w:r>
            <w:r>
              <w:rPr>
                <w:noProof/>
                <w:webHidden/>
              </w:rPr>
            </w:r>
            <w:r>
              <w:rPr>
                <w:noProof/>
                <w:webHidden/>
              </w:rPr>
              <w:fldChar w:fldCharType="separate"/>
            </w:r>
            <w:r>
              <w:rPr>
                <w:noProof/>
                <w:webHidden/>
              </w:rPr>
              <w:t>7</w:t>
            </w:r>
            <w:r>
              <w:rPr>
                <w:noProof/>
                <w:webHidden/>
              </w:rPr>
              <w:fldChar w:fldCharType="end"/>
            </w:r>
          </w:hyperlink>
        </w:p>
        <w:p w:rsidR="00F508F7" w:rsidRDefault="00F508F7" w14:paraId="365AFA28" w14:textId="77777777">
          <w:pPr>
            <w:pStyle w:val="TOC2"/>
            <w:tabs>
              <w:tab w:val="right" w:leader="dot" w:pos="9350"/>
            </w:tabs>
            <w:rPr>
              <w:noProof/>
            </w:rPr>
          </w:pPr>
          <w:hyperlink w:history="1" w:anchor="_Toc235827594">
            <w:r w:rsidRPr="00AA2A59">
              <w:rPr>
                <w:rStyle w:val="Hyperlink"/>
                <w:noProof/>
                <w:lang w:val="en-US"/>
              </w:rPr>
              <w:t>6. Staffordshire County Council</w:t>
            </w:r>
            <w:r>
              <w:rPr>
                <w:noProof/>
                <w:webHidden/>
              </w:rPr>
              <w:tab/>
            </w:r>
            <w:r>
              <w:rPr>
                <w:noProof/>
                <w:webHidden/>
              </w:rPr>
              <w:fldChar w:fldCharType="begin"/>
            </w:r>
            <w:r>
              <w:rPr>
                <w:noProof/>
                <w:webHidden/>
              </w:rPr>
              <w:instrText xml:space="preserve"> PAGEREF _Toc235827594 \h </w:instrText>
            </w:r>
            <w:r>
              <w:rPr>
                <w:noProof/>
                <w:webHidden/>
              </w:rPr>
            </w:r>
            <w:r>
              <w:rPr>
                <w:noProof/>
                <w:webHidden/>
              </w:rPr>
              <w:fldChar w:fldCharType="separate"/>
            </w:r>
            <w:r>
              <w:rPr>
                <w:noProof/>
                <w:webHidden/>
              </w:rPr>
              <w:t>8</w:t>
            </w:r>
            <w:r>
              <w:rPr>
                <w:noProof/>
                <w:webHidden/>
              </w:rPr>
              <w:fldChar w:fldCharType="end"/>
            </w:r>
          </w:hyperlink>
        </w:p>
        <w:p w:rsidR="00F508F7" w:rsidRDefault="00F508F7" w14:paraId="5B3BAD5E" w14:textId="77777777">
          <w:pPr>
            <w:pStyle w:val="TOC2"/>
            <w:tabs>
              <w:tab w:val="right" w:leader="dot" w:pos="9350"/>
            </w:tabs>
            <w:rPr>
              <w:noProof/>
            </w:rPr>
          </w:pPr>
          <w:hyperlink w:history="1" w:anchor="_Toc235827595">
            <w:r w:rsidRPr="00AA2A59">
              <w:rPr>
                <w:rStyle w:val="Hyperlink"/>
                <w:noProof/>
                <w:lang w:val="en-US"/>
              </w:rPr>
              <w:t>7. Comparative Analysis</w:t>
            </w:r>
            <w:r>
              <w:rPr>
                <w:noProof/>
                <w:webHidden/>
              </w:rPr>
              <w:tab/>
            </w:r>
            <w:r>
              <w:rPr>
                <w:noProof/>
                <w:webHidden/>
              </w:rPr>
              <w:fldChar w:fldCharType="begin"/>
            </w:r>
            <w:r>
              <w:rPr>
                <w:noProof/>
                <w:webHidden/>
              </w:rPr>
              <w:instrText xml:space="preserve"> PAGEREF _Toc235827595 \h </w:instrText>
            </w:r>
            <w:r>
              <w:rPr>
                <w:noProof/>
                <w:webHidden/>
              </w:rPr>
            </w:r>
            <w:r>
              <w:rPr>
                <w:noProof/>
                <w:webHidden/>
              </w:rPr>
              <w:fldChar w:fldCharType="separate"/>
            </w:r>
            <w:r>
              <w:rPr>
                <w:noProof/>
                <w:webHidden/>
              </w:rPr>
              <w:t>9</w:t>
            </w:r>
            <w:r>
              <w:rPr>
                <w:noProof/>
                <w:webHidden/>
              </w:rPr>
              <w:fldChar w:fldCharType="end"/>
            </w:r>
          </w:hyperlink>
        </w:p>
        <w:p w:rsidR="00F508F7" w:rsidRDefault="00F508F7" w14:paraId="1B76CB03" w14:textId="77777777">
          <w:pPr>
            <w:pStyle w:val="TOC2"/>
            <w:tabs>
              <w:tab w:val="right" w:leader="dot" w:pos="9350"/>
            </w:tabs>
            <w:rPr>
              <w:noProof/>
            </w:rPr>
          </w:pPr>
          <w:hyperlink w:history="1" w:anchor="_Toc235827596">
            <w:r w:rsidRPr="00AA2A59">
              <w:rPr>
                <w:rStyle w:val="Hyperlink"/>
                <w:noProof/>
                <w:lang w:val="en-US"/>
              </w:rPr>
              <w:t>8. Conclusion and Recommendations</w:t>
            </w:r>
            <w:r>
              <w:rPr>
                <w:noProof/>
                <w:webHidden/>
              </w:rPr>
              <w:tab/>
            </w:r>
            <w:r>
              <w:rPr>
                <w:noProof/>
                <w:webHidden/>
              </w:rPr>
              <w:fldChar w:fldCharType="begin"/>
            </w:r>
            <w:r>
              <w:rPr>
                <w:noProof/>
                <w:webHidden/>
              </w:rPr>
              <w:instrText xml:space="preserve"> PAGEREF _Toc235827596 \h </w:instrText>
            </w:r>
            <w:r>
              <w:rPr>
                <w:noProof/>
                <w:webHidden/>
              </w:rPr>
            </w:r>
            <w:r>
              <w:rPr>
                <w:noProof/>
                <w:webHidden/>
              </w:rPr>
              <w:fldChar w:fldCharType="separate"/>
            </w:r>
            <w:r>
              <w:rPr>
                <w:noProof/>
                <w:webHidden/>
              </w:rPr>
              <w:t>10</w:t>
            </w:r>
            <w:r>
              <w:rPr>
                <w:noProof/>
                <w:webHidden/>
              </w:rPr>
              <w:fldChar w:fldCharType="end"/>
            </w:r>
          </w:hyperlink>
        </w:p>
        <w:p w:rsidR="00F508F7" w:rsidRDefault="00F508F7" w14:paraId="37570017" w14:textId="77777777">
          <w:pPr>
            <w:pStyle w:val="TOC2"/>
            <w:tabs>
              <w:tab w:val="right" w:leader="dot" w:pos="9350"/>
            </w:tabs>
            <w:rPr>
              <w:noProof/>
            </w:rPr>
          </w:pPr>
          <w:hyperlink w:history="1" w:anchor="_Toc235827597">
            <w:r w:rsidRPr="00AA2A59">
              <w:rPr>
                <w:rStyle w:val="Hyperlink"/>
                <w:noProof/>
                <w:lang w:val="en-US"/>
              </w:rPr>
              <w:t>Reference List</w:t>
            </w:r>
            <w:r>
              <w:rPr>
                <w:noProof/>
                <w:webHidden/>
              </w:rPr>
              <w:tab/>
            </w:r>
            <w:r>
              <w:rPr>
                <w:noProof/>
                <w:webHidden/>
              </w:rPr>
              <w:fldChar w:fldCharType="begin"/>
            </w:r>
            <w:r>
              <w:rPr>
                <w:noProof/>
                <w:webHidden/>
              </w:rPr>
              <w:instrText xml:space="preserve"> PAGEREF _Toc235827597 \h </w:instrText>
            </w:r>
            <w:r>
              <w:rPr>
                <w:noProof/>
                <w:webHidden/>
              </w:rPr>
            </w:r>
            <w:r>
              <w:rPr>
                <w:noProof/>
                <w:webHidden/>
              </w:rPr>
              <w:fldChar w:fldCharType="separate"/>
            </w:r>
            <w:r>
              <w:rPr>
                <w:noProof/>
                <w:webHidden/>
              </w:rPr>
              <w:t>11</w:t>
            </w:r>
            <w:r>
              <w:rPr>
                <w:noProof/>
                <w:webHidden/>
              </w:rPr>
              <w:fldChar w:fldCharType="end"/>
            </w:r>
          </w:hyperlink>
        </w:p>
        <w:p w:rsidR="00F508F7" w:rsidRDefault="00F508F7" w14:paraId="1FAB4F92" w14:textId="77777777">
          <w:r>
            <w:rPr>
              <w:b/>
              <w:bCs/>
              <w:noProof/>
            </w:rPr>
            <w:fldChar w:fldCharType="end"/>
          </w:r>
        </w:p>
      </w:sdtContent>
    </w:sdt>
    <w:p w:rsidR="00F508F7" w:rsidRDefault="00F508F7" w14:paraId="0A184605" w14:textId="77777777">
      <w:pPr>
        <w:spacing w:after="160" w:line="259" w:lineRule="auto"/>
        <w:jc w:val="left"/>
        <w:rPr>
          <w:b/>
          <w:bCs/>
          <w:lang w:val="en-US"/>
        </w:rPr>
      </w:pPr>
      <w:r>
        <w:rPr>
          <w:b/>
          <w:bCs/>
          <w:lang w:val="en-US"/>
        </w:rPr>
        <w:br w:type="page"/>
      </w:r>
    </w:p>
    <w:p w:rsidRPr="009825CA" w:rsidR="009825CA" w:rsidP="00F508F7" w:rsidRDefault="009825CA" w14:paraId="6042E736" w14:textId="77777777">
      <w:pPr>
        <w:spacing w:line="360" w:lineRule="auto"/>
        <w:jc w:val="center"/>
        <w:rPr>
          <w:b/>
          <w:bCs/>
          <w:lang w:val="en-US"/>
        </w:rPr>
      </w:pPr>
      <w:r w:rsidRPr="009825CA">
        <w:rPr>
          <w:b/>
          <w:bCs/>
          <w:lang w:val="en-US"/>
        </w:rPr>
        <w:lastRenderedPageBreak/>
        <w:t>An Examination and Analysis of How the Early Help System Is Signposted to UK Families by Local Authority Websites</w:t>
      </w:r>
    </w:p>
    <w:p w:rsidRPr="009825CA" w:rsidR="009825CA" w:rsidP="00F508F7" w:rsidRDefault="009825CA" w14:paraId="01ACE1B5" w14:textId="77777777">
      <w:pPr>
        <w:pStyle w:val="Heading2"/>
        <w:spacing w:line="360" w:lineRule="auto"/>
        <w:rPr>
          <w:lang w:val="en-US"/>
        </w:rPr>
      </w:pPr>
      <w:bookmarkStart w:name="_Toc235827589" w:id="0"/>
      <w:r w:rsidRPr="009825CA">
        <w:rPr>
          <w:lang w:val="en-US"/>
        </w:rPr>
        <w:t>1. Introduction</w:t>
      </w:r>
      <w:bookmarkEnd w:id="0"/>
    </w:p>
    <w:p w:rsidRPr="009825CA" w:rsidR="009825CA" w:rsidP="6B047C0B" w:rsidRDefault="009825CA" w14:paraId="605B7D1F"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Early Help is a ‘gateway to support' but provided a parent can access the right service before the situation gets worse. In this report Tower Hamlets and Southwark and Staffordshire are evaluated across the following categories: clarity, referral access, safeguarding, inclusion and partnership working. The national system guide provides a vision of what a mature offer should look like, which is family-</w:t>
      </w:r>
      <w:r w:rsidRPr="6B047C0B" w:rsidR="009825CA">
        <w:rPr>
          <w:rFonts w:ascii="Arial" w:hAnsi="Arial" w:eastAsia="Arial" w:cs="Arial"/>
          <w:sz w:val="22"/>
          <w:szCs w:val="22"/>
          <w:lang w:val="en-US"/>
        </w:rPr>
        <w:t>centred</w:t>
      </w:r>
      <w:r w:rsidRPr="6B047C0B" w:rsidR="009825CA">
        <w:rPr>
          <w:rFonts w:ascii="Arial" w:hAnsi="Arial" w:eastAsia="Arial" w:cs="Arial"/>
          <w:sz w:val="22"/>
          <w:szCs w:val="22"/>
          <w:lang w:val="en-US"/>
        </w:rPr>
        <w:t xml:space="preserve">, coordinated and meets the needs of families before it becomes more acute (Department for Education and Department for Levelling Up, Housing and Communities, 2022). A council website should therefore be considered as infrastructure for interventions and not for publicity. Some examples of </w:t>
      </w:r>
      <w:r w:rsidRPr="6B047C0B" w:rsidR="009825CA">
        <w:rPr>
          <w:rFonts w:ascii="Arial" w:hAnsi="Arial" w:eastAsia="Arial" w:cs="Arial"/>
          <w:sz w:val="22"/>
          <w:szCs w:val="22"/>
          <w:lang w:val="en-US"/>
        </w:rPr>
        <w:t>organisations</w:t>
      </w:r>
      <w:r w:rsidRPr="6B047C0B" w:rsidR="009825CA">
        <w:rPr>
          <w:rFonts w:ascii="Arial" w:hAnsi="Arial" w:eastAsia="Arial" w:cs="Arial"/>
          <w:sz w:val="22"/>
          <w:szCs w:val="22"/>
          <w:lang w:val="en-US"/>
        </w:rPr>
        <w:t xml:space="preserve"> transferring their complexity to families who may have limited ability to cope with the complexity is poor signposting. The review is based on the websites as they are experienced by families and is not an assessment of the quality of services offered after referral.</w:t>
      </w:r>
    </w:p>
    <w:p w:rsidRPr="009825CA" w:rsidR="009825CA" w:rsidP="6B047C0B" w:rsidRDefault="009825CA" w14:paraId="30DBFA16"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This means that Tower Hamlets has the best description of locality, Southwark has the best description of service and Staffordshire has the best seamless journey, but least good at describing locality. The amount of information is not quality. When parents are excluded from school because of a phone call, financial difficulties, domestic violence and deteriorating mental health, a long page can make them fail. </w:t>
      </w:r>
      <w:r w:rsidRPr="6B047C0B" w:rsidR="009825CA">
        <w:rPr>
          <w:rFonts w:ascii="Arial" w:hAnsi="Arial" w:eastAsia="Arial" w:cs="Arial"/>
          <w:sz w:val="22"/>
          <w:szCs w:val="22"/>
          <w:lang w:val="en-US"/>
        </w:rPr>
        <w:t>Nutbeam</w:t>
      </w:r>
      <w:r w:rsidRPr="6B047C0B" w:rsidR="009825CA">
        <w:rPr>
          <w:rFonts w:ascii="Arial" w:hAnsi="Arial" w:eastAsia="Arial" w:cs="Arial"/>
          <w:sz w:val="22"/>
          <w:szCs w:val="22"/>
          <w:lang w:val="en-US"/>
        </w:rPr>
        <w:t xml:space="preserve"> differentiates functional, interactive and critical literacy, and reveals that access is a matter of interpretation and action (</w:t>
      </w:r>
      <w:r w:rsidRPr="6B047C0B" w:rsidR="009825CA">
        <w:rPr>
          <w:rFonts w:ascii="Arial" w:hAnsi="Arial" w:eastAsia="Arial" w:cs="Arial"/>
          <w:sz w:val="22"/>
          <w:szCs w:val="22"/>
          <w:lang w:val="en-US"/>
        </w:rPr>
        <w:t>Nutbeam</w:t>
      </w:r>
      <w:r w:rsidRPr="6B047C0B" w:rsidR="009825CA">
        <w:rPr>
          <w:rFonts w:ascii="Arial" w:hAnsi="Arial" w:eastAsia="Arial" w:cs="Arial"/>
          <w:sz w:val="22"/>
          <w:szCs w:val="22"/>
          <w:lang w:val="en-US"/>
        </w:rPr>
        <w:t>, 2000). What matters is if a site moves policy to a next step. When signposting is confusing it is a safeguarding issue as support is delayed.</w:t>
      </w:r>
    </w:p>
    <w:p w:rsidR="00F508F7" w:rsidP="6B047C0B" w:rsidRDefault="00F508F7" w14:paraId="0215F716"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1FB4B959" w14:textId="77777777">
      <w:pPr>
        <w:pStyle w:val="Heading2"/>
        <w:spacing w:line="360" w:lineRule="auto"/>
        <w:rPr>
          <w:rFonts w:ascii="Arial" w:hAnsi="Arial" w:eastAsia="Arial" w:cs="Arial"/>
          <w:sz w:val="22"/>
          <w:szCs w:val="22"/>
          <w:lang w:val="en-US"/>
        </w:rPr>
      </w:pPr>
      <w:bookmarkStart w:name="_Toc235827590" w:id="1"/>
      <w:r w:rsidRPr="6B047C0B" w:rsidR="009825CA">
        <w:rPr>
          <w:rFonts w:ascii="Arial" w:hAnsi="Arial" w:eastAsia="Arial" w:cs="Arial"/>
          <w:sz w:val="22"/>
          <w:szCs w:val="22"/>
          <w:lang w:val="en-US"/>
        </w:rPr>
        <w:t>2.</w:t>
      </w:r>
      <w:r w:rsidRPr="6B047C0B" w:rsidR="009825CA">
        <w:rPr>
          <w:rFonts w:ascii="Arial" w:hAnsi="Arial" w:eastAsia="Arial" w:cs="Arial"/>
          <w:sz w:val="22"/>
          <w:szCs w:val="22"/>
          <w:lang w:val="en-US"/>
        </w:rPr>
        <w:t xml:space="preserve"> Early Help System (EHS)</w:t>
      </w:r>
      <w:bookmarkEnd w:id="1"/>
    </w:p>
    <w:p w:rsidRPr="009825CA" w:rsidR="009825CA" w:rsidP="6B047C0B" w:rsidRDefault="009825CA" w14:paraId="73374134"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Early Help isn't social care in disguise or a lesser version of social care. A combination of both universal and specific supports to positively impact the family and prevent families from </w:t>
      </w:r>
      <w:r w:rsidRPr="6B047C0B" w:rsidR="009825CA">
        <w:rPr>
          <w:rFonts w:ascii="Arial" w:hAnsi="Arial" w:eastAsia="Arial" w:cs="Arial"/>
          <w:sz w:val="22"/>
          <w:szCs w:val="22"/>
          <w:lang w:val="en-US"/>
        </w:rPr>
        <w:t>spiralling</w:t>
      </w:r>
      <w:r w:rsidRPr="6B047C0B" w:rsidR="009825CA">
        <w:rPr>
          <w:rFonts w:ascii="Arial" w:hAnsi="Arial" w:eastAsia="Arial" w:cs="Arial"/>
          <w:sz w:val="22"/>
          <w:szCs w:val="22"/>
          <w:lang w:val="en-US"/>
        </w:rPr>
        <w:t>. Statutory guidance for 2026 has been revised to ensure targeted Early Help and section 17 support is part of a more joined-up approach to Family Help, with multidisciplinary planning for multiple needs (Department for Education, 2026). This is key as families have no issues with th</w:t>
      </w:r>
      <w:r w:rsidRPr="6B047C0B" w:rsidR="009825CA">
        <w:rPr>
          <w:rFonts w:ascii="Arial" w:hAnsi="Arial" w:eastAsia="Arial" w:cs="Arial"/>
          <w:sz w:val="22"/>
          <w:szCs w:val="22"/>
          <w:lang w:val="en-US"/>
        </w:rPr>
        <w:t xml:space="preserve">e categories of the departments, </w:t>
      </w:r>
      <w:r w:rsidRPr="6B047C0B" w:rsidR="009825CA">
        <w:rPr>
          <w:rFonts w:ascii="Arial" w:hAnsi="Arial" w:eastAsia="Arial" w:cs="Arial"/>
          <w:sz w:val="22"/>
          <w:szCs w:val="22"/>
          <w:lang w:val="en-US"/>
        </w:rPr>
        <w:t>conflict can intensify with rent arrears and influence the attendance, emotional regulation and safety. A credible website should give an insight into the range of support and the distinction between voluntary and compulsory support and protection. Where there is significant harm it should not be used to cover up where a statutory assessment is required.</w:t>
      </w:r>
    </w:p>
    <w:p w:rsidRPr="009825CA" w:rsidR="009825CA" w:rsidP="6B047C0B" w:rsidRDefault="009825CA" w14:paraId="29CD6FBD"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Engagement is the underpinning of Early Help and engagement is not compliance. Due to coercive control, insecure working situations, language difficulties or negative experiences with services, a parent can miss appointments. Platt (2012) shows that engagement is not only a question of motivation, but of personal factors and practitioner relationships/service design. The relationship is affected before contact by websites: before the contact, the fear is increased by accusatory wording, and after contact, the trust is decreased by vague promises. Signposting should include: what will happen after the contact; if consent is required; practitioners involved and how urgent concerns will be addressed. Parent and professional/emergency users should be separated, as different users have different levels of knowledge and urgency.</w:t>
      </w:r>
    </w:p>
    <w:p w:rsidR="00F508F7" w:rsidP="6B047C0B" w:rsidRDefault="00F508F7" w14:paraId="49446546"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5FEE106F" w14:textId="77777777">
      <w:pPr>
        <w:pStyle w:val="Heading2"/>
        <w:spacing w:line="360" w:lineRule="auto"/>
        <w:rPr>
          <w:rFonts w:ascii="Arial" w:hAnsi="Arial" w:eastAsia="Arial" w:cs="Arial"/>
          <w:sz w:val="22"/>
          <w:szCs w:val="22"/>
          <w:lang w:val="en-US"/>
        </w:rPr>
      </w:pPr>
      <w:bookmarkStart w:name="_Toc235827591" w:id="2"/>
      <w:r w:rsidRPr="6B047C0B" w:rsidR="009825CA">
        <w:rPr>
          <w:rFonts w:ascii="Arial" w:hAnsi="Arial" w:eastAsia="Arial" w:cs="Arial"/>
          <w:sz w:val="22"/>
          <w:szCs w:val="22"/>
          <w:lang w:val="en-US"/>
        </w:rPr>
        <w:t>3.</w:t>
      </w:r>
      <w:r w:rsidRPr="6B047C0B" w:rsidR="009825CA">
        <w:rPr>
          <w:rFonts w:ascii="Arial" w:hAnsi="Arial" w:eastAsia="Arial" w:cs="Arial"/>
          <w:sz w:val="22"/>
          <w:szCs w:val="22"/>
          <w:lang w:val="en-US"/>
        </w:rPr>
        <w:t xml:space="preserve"> Multi-agency Working</w:t>
      </w:r>
      <w:bookmarkEnd w:id="2"/>
    </w:p>
    <w:p w:rsidRPr="009825CA" w:rsidR="009825CA" w:rsidP="6B047C0B" w:rsidRDefault="009825CA" w14:paraId="4AF962A4"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Multi-agency working required as not all services view the whole family picture. Attendance is kept at school, health providers see problems in development, housing providers find out about homelessness, and police may have information about the domestic abuse. Working together isn't just a case of sitting people next to each other in the same room, as thresholds, vocabularies and accountability are different, according to Walker (2018). Digital signposting should provide information on who is responsible for co-ordination of help, why information might be shared and how connections can be made between universal and specialist services. If not, then it remains a slogan: ‘joined-up working'. The most robust website should be able to determine a lead route and minimize repetition of the families' story between services.</w:t>
      </w:r>
    </w:p>
    <w:p w:rsidRPr="009825CA" w:rsidR="009825CA" w:rsidP="6B047C0B" w:rsidRDefault="009825CA" w14:paraId="5C4A1221"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Not only is there the risk of communication loss but also information that is not being </w:t>
      </w:r>
      <w:r w:rsidRPr="6B047C0B" w:rsidR="009825CA">
        <w:rPr>
          <w:rFonts w:ascii="Arial" w:hAnsi="Arial" w:eastAsia="Arial" w:cs="Arial"/>
          <w:sz w:val="22"/>
          <w:szCs w:val="22"/>
          <w:lang w:val="en-US"/>
        </w:rPr>
        <w:t>analysed</w:t>
      </w:r>
      <w:r w:rsidRPr="6B047C0B" w:rsidR="009825CA">
        <w:rPr>
          <w:rFonts w:ascii="Arial" w:hAnsi="Arial" w:eastAsia="Arial" w:cs="Arial"/>
          <w:sz w:val="22"/>
          <w:szCs w:val="22"/>
          <w:lang w:val="en-US"/>
        </w:rPr>
        <w:t>. Frost, Robinson and Anning (2005) found that although multidisciplinary teams provide an increased access, there can be tensions with respect to professional identity and professional responsibility. A website will not fix poor judgement, but will make accountability apparent, with contact and escalation directions. Fragmented websites can mirror fragmented practice--signaling to users to go to education, housing, mental health/parenting sites. Information should be structured based on family circumstances and outcomes and not internal directorates. Design that is digital, is best when it's about coordination, not bureaucracy.</w:t>
      </w:r>
    </w:p>
    <w:p w:rsidR="00F508F7" w:rsidP="6B047C0B" w:rsidRDefault="00F508F7" w14:paraId="20A6730D"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2C988540" w14:textId="77777777">
      <w:pPr>
        <w:pStyle w:val="Heading2"/>
        <w:spacing w:line="360" w:lineRule="auto"/>
        <w:rPr>
          <w:rFonts w:ascii="Arial" w:hAnsi="Arial" w:eastAsia="Arial" w:cs="Arial"/>
          <w:sz w:val="22"/>
          <w:szCs w:val="22"/>
          <w:lang w:val="en-US"/>
        </w:rPr>
      </w:pPr>
      <w:bookmarkStart w:name="_Toc235827592" w:id="3"/>
      <w:r w:rsidRPr="6B047C0B" w:rsidR="009825CA">
        <w:rPr>
          <w:rFonts w:ascii="Arial" w:hAnsi="Arial" w:eastAsia="Arial" w:cs="Arial"/>
          <w:sz w:val="22"/>
          <w:szCs w:val="22"/>
          <w:lang w:val="en-US"/>
        </w:rPr>
        <w:t>4.</w:t>
      </w:r>
      <w:r w:rsidRPr="6B047C0B" w:rsidR="009825CA">
        <w:rPr>
          <w:rFonts w:ascii="Arial" w:hAnsi="Arial" w:eastAsia="Arial" w:cs="Arial"/>
          <w:sz w:val="22"/>
          <w:szCs w:val="22"/>
          <w:lang w:val="en-US"/>
        </w:rPr>
        <w:t xml:space="preserve"> Tower Hamlets Council</w:t>
      </w:r>
      <w:bookmarkEnd w:id="3"/>
    </w:p>
    <w:p w:rsidRPr="009825CA" w:rsidR="009825CA" w:rsidP="6B047C0B" w:rsidRDefault="009825CA" w14:paraId="723CC5AF"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The most seamless description is for Tower Hamlets. It has an 'About Early help' page that explains the difference between general and specialist provision and defines parental conflict, SEND, low attendance and mental-health difficulty and that that first step to targeted provis</w:t>
      </w:r>
      <w:r w:rsidRPr="6B047C0B" w:rsidR="009825CA">
        <w:rPr>
          <w:rFonts w:ascii="Arial" w:hAnsi="Arial" w:eastAsia="Arial" w:cs="Arial"/>
          <w:sz w:val="22"/>
          <w:szCs w:val="22"/>
          <w:lang w:val="en-US"/>
        </w:rPr>
        <w:t>ion is an Early help Assessment</w:t>
      </w:r>
      <w:r w:rsidRPr="6B047C0B" w:rsidR="009825CA">
        <w:rPr>
          <w:rFonts w:ascii="Arial" w:hAnsi="Arial" w:eastAsia="Arial" w:cs="Arial"/>
          <w:sz w:val="22"/>
          <w:szCs w:val="22"/>
          <w:lang w:val="en-US"/>
        </w:rPr>
        <w:t xml:space="preserve">. There is a primary focus on coverage of pregnancy to 19 (or 25 for young people with SEND). The page states that likely significant harm becomes statutory services and early help feels like it's divorced from protection. Has low cognitive density. Use of acronyms such as MAST, MASH, CAMHS, </w:t>
      </w:r>
      <w:r w:rsidRPr="6B047C0B" w:rsidR="009825CA">
        <w:rPr>
          <w:rFonts w:ascii="Arial" w:hAnsi="Arial" w:eastAsia="Arial" w:cs="Arial"/>
          <w:sz w:val="22"/>
          <w:szCs w:val="22"/>
          <w:lang w:val="en-US"/>
        </w:rPr>
        <w:t>eEHA</w:t>
      </w:r>
      <w:r w:rsidRPr="6B047C0B" w:rsidR="009825CA">
        <w:rPr>
          <w:rFonts w:ascii="Arial" w:hAnsi="Arial" w:eastAsia="Arial" w:cs="Arial"/>
          <w:sz w:val="22"/>
          <w:szCs w:val="22"/>
          <w:lang w:val="en-US"/>
        </w:rPr>
        <w:t xml:space="preserve"> and EDT used throughout the journey, parent may know about integration but not know which is important.</w:t>
      </w:r>
    </w:p>
    <w:p w:rsidRPr="009825CA" w:rsidR="009825CA" w:rsidP="6B047C0B" w:rsidRDefault="009825CA" w14:paraId="2078B7D2"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Digital route connected to Best Start Family Hubs and Children and Family </w:t>
      </w:r>
      <w:r w:rsidRPr="6B047C0B" w:rsidR="009825CA">
        <w:rPr>
          <w:rFonts w:ascii="Arial" w:hAnsi="Arial" w:eastAsia="Arial" w:cs="Arial"/>
          <w:sz w:val="22"/>
          <w:szCs w:val="22"/>
          <w:lang w:val="en-US"/>
        </w:rPr>
        <w:t>Centres</w:t>
      </w:r>
      <w:r w:rsidRPr="6B047C0B" w:rsidR="009825CA">
        <w:rPr>
          <w:rFonts w:ascii="Arial" w:hAnsi="Arial" w:eastAsia="Arial" w:cs="Arial"/>
          <w:sz w:val="22"/>
          <w:szCs w:val="22"/>
          <w:lang w:val="en-US"/>
        </w:rPr>
        <w:t xml:space="preserve"> and referral, improving accessibility. This will allow families to have a place to go for advice and not have to "know the right team" of professionals. However, visitors continue to follow the main page to the hub pages, and then to the leaflets and request form. This is great for professionals, but can also become a services map, not a direct route. A "first screen" that was more situationally grounded would be things like financial difficulties, attendance at school, parent's wellbeing or immediate safety.</w:t>
      </w:r>
    </w:p>
    <w:p w:rsidR="00F508F7" w:rsidP="6B047C0B" w:rsidRDefault="00F508F7" w14:paraId="5230C6AF"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344307C8" w14:textId="77777777">
      <w:pPr>
        <w:pStyle w:val="Heading2"/>
        <w:spacing w:line="360" w:lineRule="auto"/>
        <w:rPr>
          <w:rFonts w:ascii="Arial" w:hAnsi="Arial" w:eastAsia="Arial" w:cs="Arial"/>
          <w:sz w:val="22"/>
          <w:szCs w:val="22"/>
          <w:lang w:val="en-US"/>
        </w:rPr>
      </w:pPr>
      <w:bookmarkStart w:name="_Toc235827593" w:id="4"/>
      <w:r w:rsidRPr="6B047C0B" w:rsidR="009825CA">
        <w:rPr>
          <w:rFonts w:ascii="Arial" w:hAnsi="Arial" w:eastAsia="Arial" w:cs="Arial"/>
          <w:sz w:val="22"/>
          <w:szCs w:val="22"/>
          <w:lang w:val="en-US"/>
        </w:rPr>
        <w:t>5.</w:t>
      </w:r>
      <w:r w:rsidRPr="6B047C0B" w:rsidR="009825CA">
        <w:rPr>
          <w:rFonts w:ascii="Arial" w:hAnsi="Arial" w:eastAsia="Arial" w:cs="Arial"/>
          <w:sz w:val="22"/>
          <w:szCs w:val="22"/>
          <w:lang w:val="en-US"/>
        </w:rPr>
        <w:t xml:space="preserve"> Southwark Council</w:t>
      </w:r>
      <w:bookmarkEnd w:id="4"/>
    </w:p>
    <w:p w:rsidRPr="009825CA" w:rsidR="009825CA" w:rsidP="6B047C0B" w:rsidRDefault="009825CA" w14:paraId="0A8E6631"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What matters to Southwark is that they have a clear concept. It has an ‘About early help’ page, detailing the universal provision that is available before targeted Family early help is undertaken and includes information on parenting, emotional well-being, debt, bereavement and domestic abuse (Southwark Council, 2024). There is a clear age range, in this case age 18 (25 if applicable when SEND). Families are able to identify eligibility without the use of a threshold chart. The weakness begins afterwards. There are different user groups for universal help, children and family </w:t>
      </w:r>
      <w:r w:rsidRPr="6B047C0B" w:rsidR="009825CA">
        <w:rPr>
          <w:rFonts w:ascii="Arial" w:hAnsi="Arial" w:eastAsia="Arial" w:cs="Arial"/>
          <w:sz w:val="22"/>
          <w:szCs w:val="22"/>
          <w:lang w:val="en-US"/>
        </w:rPr>
        <w:t>centres</w:t>
      </w:r>
      <w:r w:rsidRPr="6B047C0B" w:rsidR="009825CA">
        <w:rPr>
          <w:rFonts w:ascii="Arial" w:hAnsi="Arial" w:eastAsia="Arial" w:cs="Arial"/>
          <w:sz w:val="22"/>
          <w:szCs w:val="22"/>
          <w:lang w:val="en-US"/>
        </w:rPr>
        <w:t xml:space="preserve"> and "extra" Early Help. This provides a correct picture of the intensity of services and brings up further decisions. A family's need for one universal service or targeted casework—or multiple referrals may not be known.</w:t>
      </w:r>
    </w:p>
    <w:p w:rsidRPr="009825CA" w:rsidR="009825CA" w:rsidP="6B047C0B" w:rsidRDefault="009825CA" w14:paraId="13F313CF"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Southwark's referral page provides an urgent safeguarding number, needs consent for non-urgent referral, provides duty-manager advice and states that referrals are considered for during a weekly allocation meeting (Southwark Council, 2025). This openness contributes to make sense of the procedure. There are however separate arrangements to refer for non-urgent services. A single offer across two access points - parenting and education inclusion and wellbeing. A form that needs to be completed - and sent by email - is not as mobile friendly as a responsive application, particularly for people with low data rates. So Southwark expresses thresholds well but action is more process than substance as it does in its introduction.</w:t>
      </w:r>
    </w:p>
    <w:p w:rsidR="00F508F7" w:rsidP="6B047C0B" w:rsidRDefault="00F508F7" w14:paraId="6F4BB3E7"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46419E9A" w14:textId="77777777">
      <w:pPr>
        <w:pStyle w:val="Heading2"/>
        <w:spacing w:line="360" w:lineRule="auto"/>
        <w:rPr>
          <w:rFonts w:ascii="Arial" w:hAnsi="Arial" w:eastAsia="Arial" w:cs="Arial"/>
          <w:sz w:val="22"/>
          <w:szCs w:val="22"/>
          <w:lang w:val="en-US"/>
        </w:rPr>
      </w:pPr>
      <w:bookmarkStart w:name="_Toc235827594" w:id="5"/>
      <w:r w:rsidRPr="6B047C0B" w:rsidR="009825CA">
        <w:rPr>
          <w:rFonts w:ascii="Arial" w:hAnsi="Arial" w:eastAsia="Arial" w:cs="Arial"/>
          <w:sz w:val="22"/>
          <w:szCs w:val="22"/>
          <w:lang w:val="en-US"/>
        </w:rPr>
        <w:t>6.</w:t>
      </w:r>
      <w:r w:rsidRPr="6B047C0B" w:rsidR="009825CA">
        <w:rPr>
          <w:rFonts w:ascii="Arial" w:hAnsi="Arial" w:eastAsia="Arial" w:cs="Arial"/>
          <w:sz w:val="22"/>
          <w:szCs w:val="22"/>
          <w:lang w:val="en-US"/>
        </w:rPr>
        <w:t xml:space="preserve"> Staffordshire County Council</w:t>
      </w:r>
      <w:bookmarkEnd w:id="5"/>
    </w:p>
    <w:p w:rsidRPr="009825CA" w:rsidR="009825CA" w:rsidP="6B047C0B" w:rsidRDefault="009825CA" w14:paraId="5E6E532F"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Staffordshire has been able to show a good locality model. Families First is delivered in 19 geographical patches in eight districts, providing a connection between Early Help Teams and safeguarding and disability services </w:t>
      </w:r>
      <w:r w:rsidRPr="6B047C0B" w:rsidR="00F508F7">
        <w:rPr>
          <w:rFonts w:ascii="Arial" w:hAnsi="Arial" w:eastAsia="Arial" w:cs="Arial"/>
          <w:sz w:val="22"/>
          <w:szCs w:val="22"/>
          <w:lang w:val="en-US"/>
        </w:rPr>
        <w:t>(Staffordshire County Council, 2026)</w:t>
      </w:r>
      <w:r w:rsidRPr="6B047C0B" w:rsidR="009825CA">
        <w:rPr>
          <w:rFonts w:ascii="Arial" w:hAnsi="Arial" w:eastAsia="Arial" w:cs="Arial"/>
          <w:sz w:val="22"/>
          <w:szCs w:val="22"/>
          <w:lang w:val="en-US"/>
        </w:rPr>
        <w:t>. The page sets out a tiering system, distinguishing between Level 3 multiple needs and Level 4 acute needs and offers a clear allocation system for practitioners. Its language is system oriented, rather than family oriented. No words mentioned deployment, words like 'geographical patches' and 'levels of need' and 'specialist safeguarding units' are not about families. Although the page is stated to be “</w:t>
      </w:r>
      <w:r w:rsidRPr="6B047C0B" w:rsidR="009825CA">
        <w:rPr>
          <w:rFonts w:ascii="Arial" w:hAnsi="Arial" w:eastAsia="Arial" w:cs="Arial"/>
          <w:sz w:val="22"/>
          <w:szCs w:val="22"/>
          <w:lang w:val="en-US"/>
        </w:rPr>
        <w:t>co-ordinated</w:t>
      </w:r>
      <w:r w:rsidRPr="6B047C0B" w:rsidR="009825CA">
        <w:rPr>
          <w:rFonts w:ascii="Arial" w:hAnsi="Arial" w:eastAsia="Arial" w:cs="Arial"/>
          <w:sz w:val="22"/>
          <w:szCs w:val="22"/>
          <w:lang w:val="en-US"/>
        </w:rPr>
        <w:t>”, it doesn't specify who co-ordinates an individual family plan. Informative, not quite family friendly.</w:t>
      </w:r>
    </w:p>
    <w:p w:rsidRPr="009825CA" w:rsidR="009825CA" w:rsidP="6B047C0B" w:rsidRDefault="009825CA" w14:paraId="497A18BA"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The ‘Getting access to support’ page differentiates between families receiving suppor</w:t>
      </w:r>
      <w:r w:rsidRPr="6B047C0B" w:rsidR="00F508F7">
        <w:rPr>
          <w:rFonts w:ascii="Arial" w:hAnsi="Arial" w:eastAsia="Arial" w:cs="Arial"/>
          <w:sz w:val="22"/>
          <w:szCs w:val="22"/>
          <w:lang w:val="en-US"/>
        </w:rPr>
        <w:t>t and families seeking support -</w:t>
      </w:r>
      <w:r w:rsidRPr="6B047C0B" w:rsidR="009825CA">
        <w:rPr>
          <w:rFonts w:ascii="Arial" w:hAnsi="Arial" w:eastAsia="Arial" w:cs="Arial"/>
          <w:sz w:val="22"/>
          <w:szCs w:val="22"/>
          <w:lang w:val="en-US"/>
        </w:rPr>
        <w:t xml:space="preserve"> including any early help or urgent safeguarding concerns </w:t>
      </w:r>
      <w:r w:rsidRPr="6B047C0B" w:rsidR="00F508F7">
        <w:rPr>
          <w:rFonts w:ascii="Arial" w:hAnsi="Arial" w:eastAsia="Arial" w:cs="Arial"/>
          <w:sz w:val="22"/>
          <w:szCs w:val="22"/>
          <w:lang w:val="en-US"/>
        </w:rPr>
        <w:t>(Staffordshire County Council, 2026)</w:t>
      </w:r>
      <w:r w:rsidRPr="6B047C0B" w:rsidR="009825CA">
        <w:rPr>
          <w:rFonts w:ascii="Arial" w:hAnsi="Arial" w:eastAsia="Arial" w:cs="Arial"/>
          <w:sz w:val="22"/>
          <w:szCs w:val="22"/>
          <w:lang w:val="en-US"/>
        </w:rPr>
        <w:t xml:space="preserve">. It directs users to a pre-existing worker, and encourages support as prevention. Families must, however, find a local team, or go to other contact pages. Horwath argues that families should not be segmented into services, but rather that lived experience and socioeconomic factors need to be explored. What Staffordshire should do, is better embody that, and in doing so provide one named contact, response time and options of nearby hubs when people input their postcode. </w:t>
      </w:r>
      <w:r w:rsidRPr="6B047C0B" w:rsidR="009825CA">
        <w:rPr>
          <w:rFonts w:ascii="Arial" w:hAnsi="Arial" w:eastAsia="Arial" w:cs="Arial"/>
          <w:sz w:val="22"/>
          <w:szCs w:val="22"/>
          <w:lang w:val="en-US"/>
        </w:rPr>
        <w:t>Localisation</w:t>
      </w:r>
      <w:r w:rsidRPr="6B047C0B" w:rsidR="009825CA">
        <w:rPr>
          <w:rFonts w:ascii="Arial" w:hAnsi="Arial" w:eastAsia="Arial" w:cs="Arial"/>
          <w:sz w:val="22"/>
          <w:szCs w:val="22"/>
          <w:lang w:val="en-US"/>
        </w:rPr>
        <w:t xml:space="preserve"> should make it easy to access, and not require knowledge of district boundaries.</w:t>
      </w:r>
    </w:p>
    <w:p w:rsidR="00F508F7" w:rsidP="6B047C0B" w:rsidRDefault="00F508F7" w14:paraId="6C136B90"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401264E7" w14:textId="77777777">
      <w:pPr>
        <w:pStyle w:val="Heading2"/>
        <w:spacing w:line="360" w:lineRule="auto"/>
        <w:rPr>
          <w:rFonts w:ascii="Arial" w:hAnsi="Arial" w:eastAsia="Arial" w:cs="Arial"/>
          <w:sz w:val="22"/>
          <w:szCs w:val="22"/>
          <w:lang w:val="en-US"/>
        </w:rPr>
      </w:pPr>
      <w:bookmarkStart w:name="_Toc235827595" w:id="6"/>
      <w:r w:rsidRPr="6B047C0B" w:rsidR="009825CA">
        <w:rPr>
          <w:rFonts w:ascii="Arial" w:hAnsi="Arial" w:eastAsia="Arial" w:cs="Arial"/>
          <w:sz w:val="22"/>
          <w:szCs w:val="22"/>
          <w:lang w:val="en-US"/>
        </w:rPr>
        <w:t>7.</w:t>
      </w:r>
      <w:r w:rsidRPr="6B047C0B" w:rsidR="009825CA">
        <w:rPr>
          <w:rFonts w:ascii="Arial" w:hAnsi="Arial" w:eastAsia="Arial" w:cs="Arial"/>
          <w:sz w:val="22"/>
          <w:szCs w:val="22"/>
          <w:lang w:val="en-US"/>
        </w:rPr>
        <w:t xml:space="preserve"> Comparative Analysis</w:t>
      </w:r>
      <w:bookmarkEnd w:id="6"/>
    </w:p>
    <w:p w:rsidRPr="009825CA" w:rsidR="009825CA" w:rsidP="6B047C0B" w:rsidRDefault="009825CA" w14:paraId="1CB5D9D9"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All Tower Hamlets best links definition thresholds multi-agency and physical provision. Southwark is easier to read at first, but splits at referral, while Staffordshire provides good geographical information and is more practitioner friendly. Despite the existence of the Internet, it doesn't necessarily mean people can do things online, as was observed by van </w:t>
      </w:r>
      <w:r w:rsidRPr="6B047C0B" w:rsidR="009825CA">
        <w:rPr>
          <w:rFonts w:ascii="Arial" w:hAnsi="Arial" w:eastAsia="Arial" w:cs="Arial"/>
          <w:sz w:val="22"/>
          <w:szCs w:val="22"/>
          <w:lang w:val="en-US"/>
        </w:rPr>
        <w:t>Deursen</w:t>
      </w:r>
      <w:r w:rsidRPr="6B047C0B" w:rsidR="009825CA">
        <w:rPr>
          <w:rFonts w:ascii="Arial" w:hAnsi="Arial" w:eastAsia="Arial" w:cs="Arial"/>
          <w:sz w:val="22"/>
          <w:szCs w:val="22"/>
          <w:lang w:val="en-US"/>
        </w:rPr>
        <w:t xml:space="preserve"> and van Dijk (2014). While a parent may own a smartphone, they might be at a disadvantage due to acronyms, forms, low data or unclear thresholds. The borough of Tower Hamlets is consequently ranked 1st, Southwark 2nd and Staffordshire 3rd. None provides a smooth transition to a human response name.</w:t>
      </w:r>
    </w:p>
    <w:p w:rsidRPr="009825CA" w:rsidR="009825CA" w:rsidP="6B047C0B" w:rsidRDefault="009825CA" w14:paraId="07730AD7"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There is a capacity qualification for the ranking. The possibility to self-referral and increase demand but not supply, and vice versa, can lead to decreased trust. In England, an English authority stated that the shift to later intervention was due to deprivation, less provision in the community, and a lack of partnership working practice (Hood et al., 2020). Councils must make available information on their times of response, how they </w:t>
      </w:r>
      <w:r w:rsidRPr="6B047C0B" w:rsidR="009825CA">
        <w:rPr>
          <w:rFonts w:ascii="Arial" w:hAnsi="Arial" w:eastAsia="Arial" w:cs="Arial"/>
          <w:sz w:val="22"/>
          <w:szCs w:val="22"/>
          <w:lang w:val="en-US"/>
        </w:rPr>
        <w:t>prioritise</w:t>
      </w:r>
      <w:r w:rsidRPr="6B047C0B" w:rsidR="009825CA">
        <w:rPr>
          <w:rFonts w:ascii="Arial" w:hAnsi="Arial" w:eastAsia="Arial" w:cs="Arial"/>
          <w:sz w:val="22"/>
          <w:szCs w:val="22"/>
          <w:lang w:val="en-US"/>
        </w:rPr>
        <w:t xml:space="preserve"> and what options are available if they cannot deliver targeted support. They should monitor forms which are abandoned, repeat calls and escalation to statutory intervention. Repeated page views are not a good indicator of accessibility; it could mean that the visitor is confused. Digital Analytics: Based on Family Experience and Service Outcome.</w:t>
      </w:r>
    </w:p>
    <w:p w:rsidR="00F508F7" w:rsidP="6B047C0B" w:rsidRDefault="00F508F7" w14:paraId="637385A3" w14:textId="77777777">
      <w:pPr>
        <w:spacing w:after="160" w:line="259" w:lineRule="auto"/>
        <w:jc w:val="left"/>
        <w:rPr>
          <w:rFonts w:ascii="Arial" w:hAnsi="Arial" w:eastAsia="Arial" w:cs="Arial"/>
          <w:b w:val="1"/>
          <w:bCs w:val="1"/>
          <w:color w:val="0D0D0D" w:themeColor="text1" w:themeTint="F2"/>
          <w:sz w:val="22"/>
          <w:szCs w:val="22"/>
          <w:lang w:val="en-US" w:bidi="bn-BD"/>
        </w:rPr>
      </w:pPr>
      <w:r w:rsidRPr="6B047C0B">
        <w:rPr>
          <w:rFonts w:ascii="Arial" w:hAnsi="Arial" w:eastAsia="Arial" w:cs="Arial"/>
          <w:sz w:val="22"/>
          <w:szCs w:val="22"/>
          <w:lang w:val="en-US"/>
        </w:rPr>
        <w:br w:type="page"/>
      </w:r>
    </w:p>
    <w:p w:rsidRPr="009825CA" w:rsidR="009825CA" w:rsidP="6B047C0B" w:rsidRDefault="009825CA" w14:paraId="61DAAC82" w14:textId="77777777">
      <w:pPr>
        <w:pStyle w:val="Heading2"/>
        <w:spacing w:line="360" w:lineRule="auto"/>
        <w:rPr>
          <w:rFonts w:ascii="Arial" w:hAnsi="Arial" w:eastAsia="Arial" w:cs="Arial"/>
          <w:sz w:val="22"/>
          <w:szCs w:val="22"/>
          <w:lang w:val="en-US"/>
        </w:rPr>
      </w:pPr>
      <w:bookmarkStart w:name="_Toc235827596" w:id="7"/>
      <w:r w:rsidRPr="6B047C0B" w:rsidR="009825CA">
        <w:rPr>
          <w:rFonts w:ascii="Arial" w:hAnsi="Arial" w:eastAsia="Arial" w:cs="Arial"/>
          <w:sz w:val="22"/>
          <w:szCs w:val="22"/>
          <w:lang w:val="en-US"/>
        </w:rPr>
        <w:t>8.</w:t>
      </w:r>
      <w:r w:rsidRPr="6B047C0B" w:rsidR="009825CA">
        <w:rPr>
          <w:rFonts w:ascii="Arial" w:hAnsi="Arial" w:eastAsia="Arial" w:cs="Arial"/>
          <w:sz w:val="22"/>
          <w:szCs w:val="22"/>
          <w:lang w:val="en-US"/>
        </w:rPr>
        <w:t xml:space="preserve"> Conclusion and Recommendations</w:t>
      </w:r>
      <w:bookmarkEnd w:id="7"/>
    </w:p>
    <w:p w:rsidRPr="009825CA" w:rsidR="009825CA" w:rsidP="6B047C0B" w:rsidRDefault="009825CA" w14:paraId="1D18DF74"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Tower Hamlets is most effective with respect to the Early Help, multi-agency front door and visible hub network. Southwark is good at explaining the provision of universal and targeted support and asking families to work this out in terms of administrative geography when making referrals. That is because "process can consume children's attention when attention is on the process" (Horwath and Tarr, 2015). This can be done in the design of websites as well, in which the web pages are more about form and thresholds than about the child. Ask on each page what is going on, how it is impacting the child and if anyone is being put at risk. Information architecture should be used to enact responsive action rather than to show institutional fullness.</w:t>
      </w:r>
    </w:p>
    <w:p w:rsidRPr="009825CA" w:rsidR="009825CA" w:rsidP="6B047C0B" w:rsidRDefault="009825CA" w14:paraId="5E413204" w14:textId="77777777">
      <w:pPr>
        <w:spacing w:line="360" w:lineRule="auto"/>
        <w:rPr>
          <w:rFonts w:ascii="Arial" w:hAnsi="Arial" w:eastAsia="Arial" w:cs="Arial"/>
          <w:sz w:val="22"/>
          <w:szCs w:val="22"/>
          <w:lang w:val="en-US"/>
        </w:rPr>
      </w:pPr>
      <w:r w:rsidRPr="6B047C0B" w:rsidR="009825CA">
        <w:rPr>
          <w:rFonts w:ascii="Arial" w:hAnsi="Arial" w:eastAsia="Arial" w:cs="Arial"/>
          <w:sz w:val="22"/>
          <w:szCs w:val="22"/>
          <w:lang w:val="en-US"/>
        </w:rPr>
        <w:t xml:space="preserve">One permanent “Get family help” button should be available in all three councils and connect to regular help, professional advice and life threatening safety concern. The next screen allows you to add the following features: situation based prompts, postcode based contacts, translated summaries, read aloud and mobile form that can be saved. Councils should include details of consent requirements, response time, arrangements for information sharing and any consequences of a rejected referral. Parental testing should be done to ensure Pages work with parents with SEND, limited literacy, limited English and coercive control and pay-as-you-go data. The intent is to contact them sooner and safer. A website is successful if a family can get to an appropriate human response without knowledge of the council's </w:t>
      </w:r>
      <w:r w:rsidRPr="6B047C0B" w:rsidR="009825CA">
        <w:rPr>
          <w:rFonts w:ascii="Arial" w:hAnsi="Arial" w:eastAsia="Arial" w:cs="Arial"/>
          <w:sz w:val="22"/>
          <w:szCs w:val="22"/>
          <w:lang w:val="en-US"/>
        </w:rPr>
        <w:t>organisational</w:t>
      </w:r>
      <w:r w:rsidRPr="6B047C0B" w:rsidR="009825CA">
        <w:rPr>
          <w:rFonts w:ascii="Arial" w:hAnsi="Arial" w:eastAsia="Arial" w:cs="Arial"/>
          <w:sz w:val="22"/>
          <w:szCs w:val="22"/>
          <w:lang w:val="en-US"/>
        </w:rPr>
        <w:t xml:space="preserve"> structure. This should be assessed by successful contact, rather than by traffic to council web pages.</w:t>
      </w:r>
    </w:p>
    <w:p w:rsidR="00F508F7" w:rsidRDefault="00F508F7" w14:paraId="0628AB3C" w14:textId="77777777">
      <w:pPr>
        <w:spacing w:after="160" w:line="259" w:lineRule="auto"/>
        <w:jc w:val="left"/>
        <w:rPr>
          <w:rFonts w:eastAsiaTheme="majorEastAsia" w:cstheme="majorBidi"/>
          <w:b/>
          <w:bCs/>
          <w:color w:val="0D0D0D" w:themeColor="text1" w:themeTint="F2"/>
          <w:sz w:val="32"/>
          <w:szCs w:val="26"/>
          <w:lang w:val="en-US" w:bidi="bn-BD"/>
        </w:rPr>
      </w:pPr>
      <w:r>
        <w:rPr>
          <w:lang w:val="en-US"/>
        </w:rPr>
        <w:br w:type="page"/>
      </w:r>
    </w:p>
    <w:p w:rsidRPr="009825CA" w:rsidR="009825CA" w:rsidP="00F508F7" w:rsidRDefault="009825CA" w14:paraId="613DBFDD" w14:textId="77777777">
      <w:pPr>
        <w:pStyle w:val="Heading2"/>
        <w:spacing w:line="360" w:lineRule="auto"/>
        <w:rPr>
          <w:lang w:val="en-US"/>
        </w:rPr>
      </w:pPr>
      <w:bookmarkStart w:name="_Toc235827597" w:id="8"/>
      <w:r w:rsidRPr="009825CA">
        <w:rPr>
          <w:lang w:val="en-US"/>
        </w:rPr>
        <w:lastRenderedPageBreak/>
        <w:t>Reference List</w:t>
      </w:r>
      <w:bookmarkEnd w:id="8"/>
    </w:p>
    <w:p w:rsidRPr="009825CA" w:rsidR="009825CA" w:rsidP="00F508F7" w:rsidRDefault="009825CA" w14:paraId="18F65B6D" w14:textId="77777777">
      <w:pPr>
        <w:spacing w:line="360" w:lineRule="auto"/>
        <w:rPr>
          <w:lang w:val="en-US"/>
        </w:rPr>
      </w:pPr>
      <w:r w:rsidRPr="009825CA">
        <w:rPr>
          <w:lang w:val="en-US"/>
        </w:rPr>
        <w:t>Department for Education (2026)</w:t>
      </w:r>
      <w:r>
        <w:rPr>
          <w:lang w:val="en-US"/>
        </w:rPr>
        <w:t>.</w:t>
      </w:r>
      <w:r w:rsidRPr="009825CA">
        <w:rPr>
          <w:lang w:val="en-US"/>
        </w:rPr>
        <w:t xml:space="preserve"> </w:t>
      </w:r>
      <w:r w:rsidRPr="009825CA">
        <w:rPr>
          <w:i/>
          <w:iCs/>
          <w:lang w:val="en-US"/>
        </w:rPr>
        <w:t>Working together to safeguard children 2026: statutory guidance</w:t>
      </w:r>
      <w:r w:rsidRPr="009825CA">
        <w:rPr>
          <w:lang w:val="en-US"/>
        </w:rPr>
        <w:t xml:space="preserve">. Available at: </w:t>
      </w:r>
      <w:hyperlink w:tgtFrame="_new" w:history="1" r:id="rId6">
        <w:r w:rsidRPr="009825CA">
          <w:rPr>
            <w:rStyle w:val="Hyperlink"/>
            <w:lang w:val="en-US"/>
          </w:rPr>
          <w:t>https://www.gov.uk/government/publications/working-together-to-safeguard-children--2</w:t>
        </w:r>
      </w:hyperlink>
      <w:r w:rsidRPr="009825CA">
        <w:rPr>
          <w:lang w:val="en-US"/>
        </w:rPr>
        <w:t xml:space="preserve"> (Accessed: 24 July 2026).</w:t>
      </w:r>
    </w:p>
    <w:p w:rsidRPr="009825CA" w:rsidR="009825CA" w:rsidP="00F508F7" w:rsidRDefault="009825CA" w14:paraId="3E1E2BC8" w14:textId="77777777">
      <w:pPr>
        <w:spacing w:line="360" w:lineRule="auto"/>
        <w:rPr>
          <w:lang w:val="en-US"/>
        </w:rPr>
      </w:pPr>
      <w:r w:rsidRPr="009825CA">
        <w:rPr>
          <w:lang w:val="en-US"/>
        </w:rPr>
        <w:t>Department for Education and Department for Levelling Up, Housing and Communities (2022)</w:t>
      </w:r>
      <w:r>
        <w:rPr>
          <w:lang w:val="en-US"/>
        </w:rPr>
        <w:t>.</w:t>
      </w:r>
      <w:r w:rsidRPr="009825CA">
        <w:rPr>
          <w:lang w:val="en-US"/>
        </w:rPr>
        <w:t xml:space="preserve"> </w:t>
      </w:r>
      <w:r w:rsidRPr="009825CA">
        <w:rPr>
          <w:i/>
          <w:iCs/>
          <w:lang w:val="en-US"/>
        </w:rPr>
        <w:t>Supporting Families: Early Help System guide</w:t>
      </w:r>
      <w:r w:rsidRPr="009825CA">
        <w:rPr>
          <w:lang w:val="en-US"/>
        </w:rPr>
        <w:t xml:space="preserve">. Available at: </w:t>
      </w:r>
      <w:hyperlink w:tgtFrame="_new" w:history="1" r:id="rId7">
        <w:r w:rsidRPr="009825CA">
          <w:rPr>
            <w:rStyle w:val="Hyperlink"/>
            <w:lang w:val="en-US"/>
          </w:rPr>
          <w:t>https://www.gov.uk/government/publications/supporting-families-early-help-system-guide</w:t>
        </w:r>
      </w:hyperlink>
      <w:r w:rsidRPr="009825CA">
        <w:rPr>
          <w:lang w:val="en-US"/>
        </w:rPr>
        <w:t xml:space="preserve"> (Accessed: 24 July 2026).</w:t>
      </w:r>
    </w:p>
    <w:p w:rsidRPr="009825CA" w:rsidR="009825CA" w:rsidP="00F508F7" w:rsidRDefault="009825CA" w14:paraId="26826090" w14:textId="77777777">
      <w:pPr>
        <w:spacing w:line="360" w:lineRule="auto"/>
        <w:rPr>
          <w:lang w:val="en-US"/>
        </w:rPr>
      </w:pPr>
      <w:r w:rsidRPr="009825CA">
        <w:rPr>
          <w:lang w:val="en-US"/>
        </w:rPr>
        <w:t>Frost, N., Robinson, M. and Anning, A. (2005)</w:t>
      </w:r>
      <w:r>
        <w:rPr>
          <w:lang w:val="en-US"/>
        </w:rPr>
        <w:t>.</w:t>
      </w:r>
      <w:r w:rsidRPr="009825CA">
        <w:rPr>
          <w:lang w:val="en-US"/>
        </w:rPr>
        <w:t xml:space="preserve"> ‘Social workers in multidisciplinary teams: issues and dilemmas for professional practice’, </w:t>
      </w:r>
      <w:r w:rsidRPr="009825CA">
        <w:rPr>
          <w:i/>
          <w:iCs/>
          <w:lang w:val="en-US"/>
        </w:rPr>
        <w:t>Child &amp; Family Social Work</w:t>
      </w:r>
      <w:r w:rsidRPr="009825CA">
        <w:rPr>
          <w:lang w:val="en-US"/>
        </w:rPr>
        <w:t xml:space="preserve">, 10(3), pp. 187–196. Available at: </w:t>
      </w:r>
      <w:hyperlink w:tgtFrame="_new" w:history="1" r:id="rId8">
        <w:r w:rsidRPr="009825CA">
          <w:rPr>
            <w:rStyle w:val="Hyperlink"/>
            <w:lang w:val="en-US"/>
          </w:rPr>
          <w:t>https://doi.org/10.1111/j.1365-2206.2005.00370.x</w:t>
        </w:r>
      </w:hyperlink>
      <w:r w:rsidRPr="009825CA">
        <w:rPr>
          <w:lang w:val="en-US"/>
        </w:rPr>
        <w:t>.</w:t>
      </w:r>
    </w:p>
    <w:p w:rsidRPr="009825CA" w:rsidR="009825CA" w:rsidP="00F508F7" w:rsidRDefault="009825CA" w14:paraId="72BF4409" w14:textId="77777777">
      <w:pPr>
        <w:spacing w:line="360" w:lineRule="auto"/>
        <w:rPr>
          <w:lang w:val="en-US"/>
        </w:rPr>
      </w:pPr>
      <w:r w:rsidRPr="009825CA">
        <w:rPr>
          <w:lang w:val="en-US"/>
        </w:rPr>
        <w:t xml:space="preserve">Hood, R., Gorin, S., Goldacre, A., Muleya, W. and </w:t>
      </w:r>
      <w:proofErr w:type="spellStart"/>
      <w:r w:rsidRPr="009825CA">
        <w:rPr>
          <w:lang w:val="en-US"/>
        </w:rPr>
        <w:t>Bywaters</w:t>
      </w:r>
      <w:proofErr w:type="spellEnd"/>
      <w:r w:rsidRPr="009825CA">
        <w:rPr>
          <w:lang w:val="en-US"/>
        </w:rPr>
        <w:t>, P. (2020)</w:t>
      </w:r>
      <w:r>
        <w:rPr>
          <w:lang w:val="en-US"/>
        </w:rPr>
        <w:t>.</w:t>
      </w:r>
      <w:r w:rsidRPr="009825CA">
        <w:rPr>
          <w:lang w:val="en-US"/>
        </w:rPr>
        <w:t xml:space="preserve"> ‘Exploring drivers of demand for child protection services in an English local authority’, </w:t>
      </w:r>
      <w:r w:rsidRPr="009825CA">
        <w:rPr>
          <w:i/>
          <w:iCs/>
          <w:lang w:val="en-US"/>
        </w:rPr>
        <w:t>Child &amp; Family Social Work</w:t>
      </w:r>
      <w:r w:rsidRPr="009825CA">
        <w:rPr>
          <w:lang w:val="en-US"/>
        </w:rPr>
        <w:t xml:space="preserve">, 25(3), pp. 657–664. Available at: </w:t>
      </w:r>
      <w:hyperlink w:history="1" r:id="rId9">
        <w:r w:rsidRPr="00191FD0">
          <w:rPr>
            <w:rStyle w:val="Hyperlink"/>
            <w:lang w:val="en-US"/>
          </w:rPr>
          <w:t>https://doi.org/10.1111/cfs.12740</w:t>
        </w:r>
      </w:hyperlink>
      <w:r w:rsidRPr="009825CA">
        <w:rPr>
          <w:lang w:val="en-US"/>
        </w:rPr>
        <w:t>.</w:t>
      </w:r>
      <w:r>
        <w:rPr>
          <w:lang w:val="en-US"/>
        </w:rPr>
        <w:t xml:space="preserve"> </w:t>
      </w:r>
    </w:p>
    <w:p w:rsidRPr="009825CA" w:rsidR="009825CA" w:rsidP="00F508F7" w:rsidRDefault="009825CA" w14:paraId="2EA1F14D" w14:textId="77777777">
      <w:pPr>
        <w:spacing w:line="360" w:lineRule="auto"/>
        <w:rPr>
          <w:lang w:val="en-US"/>
        </w:rPr>
      </w:pPr>
      <w:r w:rsidRPr="009825CA">
        <w:rPr>
          <w:lang w:val="en-US"/>
        </w:rPr>
        <w:t xml:space="preserve">Horwath, J. (2025) </w:t>
      </w:r>
      <w:r w:rsidRPr="009825CA">
        <w:rPr>
          <w:i/>
          <w:iCs/>
          <w:lang w:val="en-US"/>
        </w:rPr>
        <w:t>Making Connections with Vulnerable Children and Families</w:t>
      </w:r>
      <w:r w:rsidRPr="009825CA">
        <w:rPr>
          <w:lang w:val="en-US"/>
        </w:rPr>
        <w:t>. London: Jessica Kingsley Publishers.</w:t>
      </w:r>
    </w:p>
    <w:p w:rsidRPr="009825CA" w:rsidR="009825CA" w:rsidP="00F508F7" w:rsidRDefault="009825CA" w14:paraId="15B2DD55" w14:textId="77777777">
      <w:pPr>
        <w:spacing w:line="360" w:lineRule="auto"/>
        <w:rPr>
          <w:lang w:val="en-US"/>
        </w:rPr>
      </w:pPr>
      <w:r w:rsidRPr="009825CA">
        <w:rPr>
          <w:lang w:val="en-US"/>
        </w:rPr>
        <w:t>Horwath, J. and Tarr, S. (2015)</w:t>
      </w:r>
      <w:r>
        <w:rPr>
          <w:lang w:val="en-US"/>
        </w:rPr>
        <w:t>.</w:t>
      </w:r>
      <w:r w:rsidRPr="009825CA">
        <w:rPr>
          <w:lang w:val="en-US"/>
        </w:rPr>
        <w:t xml:space="preserve"> ‘Child visibility in cases of chronic neglect: implications for social work practice’, </w:t>
      </w:r>
      <w:r w:rsidRPr="009825CA">
        <w:rPr>
          <w:i/>
          <w:iCs/>
          <w:lang w:val="en-US"/>
        </w:rPr>
        <w:t>The British Journal of Social Work</w:t>
      </w:r>
      <w:r w:rsidRPr="009825CA">
        <w:rPr>
          <w:lang w:val="en-US"/>
        </w:rPr>
        <w:t xml:space="preserve">, 45(5), pp. 1379–1394. Available at: </w:t>
      </w:r>
      <w:hyperlink w:history="1" r:id="rId10">
        <w:r w:rsidRPr="00191FD0">
          <w:rPr>
            <w:rStyle w:val="Hyperlink"/>
            <w:lang w:val="en-US"/>
          </w:rPr>
          <w:t>https://doi.org/10.1093/bjsw/bcu073</w:t>
        </w:r>
      </w:hyperlink>
      <w:r w:rsidRPr="009825CA">
        <w:rPr>
          <w:lang w:val="en-US"/>
        </w:rPr>
        <w:t>.</w:t>
      </w:r>
      <w:r>
        <w:rPr>
          <w:lang w:val="en-US"/>
        </w:rPr>
        <w:t xml:space="preserve"> </w:t>
      </w:r>
    </w:p>
    <w:p w:rsidRPr="009825CA" w:rsidR="009825CA" w:rsidP="00F508F7" w:rsidRDefault="009825CA" w14:paraId="09E1CEDD" w14:textId="77777777">
      <w:pPr>
        <w:spacing w:line="360" w:lineRule="auto"/>
        <w:rPr>
          <w:lang w:val="en-US"/>
        </w:rPr>
      </w:pPr>
      <w:proofErr w:type="spellStart"/>
      <w:r w:rsidRPr="009825CA">
        <w:rPr>
          <w:lang w:val="en-US"/>
        </w:rPr>
        <w:t>Nutbeam</w:t>
      </w:r>
      <w:proofErr w:type="spellEnd"/>
      <w:r w:rsidRPr="009825CA">
        <w:rPr>
          <w:lang w:val="en-US"/>
        </w:rPr>
        <w:t>, D. (2000)</w:t>
      </w:r>
      <w:r>
        <w:rPr>
          <w:lang w:val="en-US"/>
        </w:rPr>
        <w:t>.</w:t>
      </w:r>
      <w:r w:rsidRPr="009825CA">
        <w:rPr>
          <w:lang w:val="en-US"/>
        </w:rPr>
        <w:t xml:space="preserve"> ‘Health literacy as a public health goal: a challenge for contemporary health education and communication strategies into the 21st century’, </w:t>
      </w:r>
      <w:r w:rsidRPr="009825CA">
        <w:rPr>
          <w:i/>
          <w:iCs/>
          <w:lang w:val="en-US"/>
        </w:rPr>
        <w:t>Health Promotion International</w:t>
      </w:r>
      <w:r w:rsidRPr="009825CA">
        <w:rPr>
          <w:lang w:val="en-US"/>
        </w:rPr>
        <w:t xml:space="preserve">, 15(3), pp. 259–267. Available at: </w:t>
      </w:r>
      <w:hyperlink w:tgtFrame="_new" w:history="1" r:id="rId11">
        <w:r w:rsidRPr="009825CA">
          <w:rPr>
            <w:rStyle w:val="Hyperlink"/>
            <w:lang w:val="en-US"/>
          </w:rPr>
          <w:t>https://doi.org/10.1093/heapro/15.3.259</w:t>
        </w:r>
      </w:hyperlink>
      <w:r w:rsidRPr="009825CA">
        <w:rPr>
          <w:lang w:val="en-US"/>
        </w:rPr>
        <w:t>.</w:t>
      </w:r>
    </w:p>
    <w:p w:rsidRPr="009825CA" w:rsidR="009825CA" w:rsidP="00F508F7" w:rsidRDefault="009825CA" w14:paraId="36C9A49D" w14:textId="77777777">
      <w:pPr>
        <w:spacing w:line="360" w:lineRule="auto"/>
        <w:rPr>
          <w:lang w:val="en-US"/>
        </w:rPr>
      </w:pPr>
      <w:r w:rsidRPr="009825CA">
        <w:rPr>
          <w:lang w:val="en-US"/>
        </w:rPr>
        <w:t>Platt, D. (2012)</w:t>
      </w:r>
      <w:r>
        <w:rPr>
          <w:lang w:val="en-US"/>
        </w:rPr>
        <w:t>.</w:t>
      </w:r>
      <w:r w:rsidRPr="009825CA">
        <w:rPr>
          <w:lang w:val="en-US"/>
        </w:rPr>
        <w:t xml:space="preserve"> ‘Understanding parental engagement with child welfare services: an integrated model’, </w:t>
      </w:r>
      <w:r w:rsidRPr="009825CA">
        <w:rPr>
          <w:i/>
          <w:iCs/>
          <w:lang w:val="en-US"/>
        </w:rPr>
        <w:t>Child &amp; Family Social Work</w:t>
      </w:r>
      <w:r w:rsidRPr="009825CA">
        <w:rPr>
          <w:lang w:val="en-US"/>
        </w:rPr>
        <w:t xml:space="preserve">, 17(2), pp. 138–148. Available at: </w:t>
      </w:r>
      <w:hyperlink w:history="1" r:id="rId12">
        <w:r w:rsidRPr="00191FD0">
          <w:rPr>
            <w:rStyle w:val="Hyperlink"/>
            <w:lang w:val="en-US"/>
          </w:rPr>
          <w:t>https://doi.org/10.1111/j.1365-2206.2012.00828.x</w:t>
        </w:r>
      </w:hyperlink>
      <w:r w:rsidRPr="009825CA">
        <w:rPr>
          <w:lang w:val="en-US"/>
        </w:rPr>
        <w:t>.</w:t>
      </w:r>
      <w:r>
        <w:rPr>
          <w:lang w:val="en-US"/>
        </w:rPr>
        <w:t xml:space="preserve"> </w:t>
      </w:r>
    </w:p>
    <w:p w:rsidRPr="009825CA" w:rsidR="009825CA" w:rsidP="00F508F7" w:rsidRDefault="009825CA" w14:paraId="70BCFAF1" w14:textId="77777777">
      <w:pPr>
        <w:spacing w:line="360" w:lineRule="auto"/>
        <w:rPr>
          <w:lang w:val="en-US"/>
        </w:rPr>
      </w:pPr>
      <w:r w:rsidRPr="009825CA">
        <w:rPr>
          <w:lang w:val="en-US"/>
        </w:rPr>
        <w:t xml:space="preserve">Southwark Council (2024) </w:t>
      </w:r>
      <w:r w:rsidRPr="009825CA">
        <w:rPr>
          <w:i/>
          <w:iCs/>
          <w:lang w:val="en-US"/>
        </w:rPr>
        <w:t>About early help</w:t>
      </w:r>
      <w:r w:rsidRPr="009825CA">
        <w:rPr>
          <w:lang w:val="en-US"/>
        </w:rPr>
        <w:t xml:space="preserve">. Available at: </w:t>
      </w:r>
      <w:hyperlink w:tgtFrame="_new" w:history="1" r:id="rId13">
        <w:r w:rsidRPr="009825CA">
          <w:rPr>
            <w:rStyle w:val="Hyperlink"/>
            <w:lang w:val="en-US"/>
          </w:rPr>
          <w:t>https://www.southwark.gov.uk/children-and-families/childrens-social-care/early-help/about-early-help</w:t>
        </w:r>
      </w:hyperlink>
      <w:r w:rsidRPr="009825CA">
        <w:rPr>
          <w:lang w:val="en-US"/>
        </w:rPr>
        <w:t xml:space="preserve"> (Accessed: 24 July 2026).</w:t>
      </w:r>
    </w:p>
    <w:p w:rsidRPr="009825CA" w:rsidR="009825CA" w:rsidP="00F508F7" w:rsidRDefault="009825CA" w14:paraId="1CF3DC93" w14:textId="77777777">
      <w:pPr>
        <w:spacing w:line="360" w:lineRule="auto"/>
        <w:rPr>
          <w:lang w:val="en-US"/>
        </w:rPr>
      </w:pPr>
      <w:r w:rsidRPr="009825CA">
        <w:rPr>
          <w:lang w:val="en-US"/>
        </w:rPr>
        <w:t>Southwark Council (2025)</w:t>
      </w:r>
      <w:r>
        <w:rPr>
          <w:lang w:val="en-US"/>
        </w:rPr>
        <w:t>.</w:t>
      </w:r>
      <w:r w:rsidRPr="009825CA">
        <w:rPr>
          <w:lang w:val="en-US"/>
        </w:rPr>
        <w:t xml:space="preserve"> </w:t>
      </w:r>
      <w:r w:rsidRPr="009825CA">
        <w:rPr>
          <w:i/>
          <w:iCs/>
          <w:lang w:val="en-US"/>
        </w:rPr>
        <w:t>Make a referral</w:t>
      </w:r>
      <w:r w:rsidRPr="009825CA">
        <w:rPr>
          <w:lang w:val="en-US"/>
        </w:rPr>
        <w:t xml:space="preserve">. Available at: </w:t>
      </w:r>
      <w:hyperlink w:tgtFrame="_new" w:history="1" r:id="rId14">
        <w:r w:rsidRPr="009825CA">
          <w:rPr>
            <w:rStyle w:val="Hyperlink"/>
            <w:lang w:val="en-US"/>
          </w:rPr>
          <w:t>https://www.southwark.gov.uk/children-and-families/childrens-social-care/early-help/extra-early-help/make-referral</w:t>
        </w:r>
      </w:hyperlink>
      <w:r w:rsidRPr="009825CA">
        <w:rPr>
          <w:lang w:val="en-US"/>
        </w:rPr>
        <w:t xml:space="preserve"> (Accessed: 24 July 2026).</w:t>
      </w:r>
    </w:p>
    <w:p w:rsidRPr="00F508F7" w:rsidR="009825CA" w:rsidP="00F508F7" w:rsidRDefault="009825CA" w14:paraId="5261B1F7" w14:textId="77777777">
      <w:pPr>
        <w:spacing w:line="360" w:lineRule="auto"/>
        <w:rPr>
          <w:lang w:val="en-US"/>
        </w:rPr>
      </w:pPr>
      <w:r w:rsidRPr="00F508F7">
        <w:rPr>
          <w:lang w:val="en-US"/>
        </w:rPr>
        <w:lastRenderedPageBreak/>
        <w:t xml:space="preserve">Staffordshire County Council (2026) Families First. Available at: </w:t>
      </w:r>
      <w:hyperlink w:history="1" r:id="rId15">
        <w:r w:rsidRPr="00191FD0" w:rsidR="00F508F7">
          <w:rPr>
            <w:rStyle w:val="Hyperlink"/>
            <w:lang w:val="en-US"/>
          </w:rPr>
          <w:t>https://www.staffordshire.gov.uk/children-young-people-and-families/child-protection-and-safety/families-first</w:t>
        </w:r>
      </w:hyperlink>
      <w:r w:rsidR="00F508F7">
        <w:rPr>
          <w:lang w:val="en-US"/>
        </w:rPr>
        <w:t xml:space="preserve"> </w:t>
      </w:r>
      <w:r w:rsidRPr="00F508F7">
        <w:rPr>
          <w:lang w:val="en-US"/>
        </w:rPr>
        <w:t xml:space="preserve"> (Accessed: 24 July 2026).</w:t>
      </w:r>
    </w:p>
    <w:p w:rsidRPr="00F508F7" w:rsidR="00F508F7" w:rsidP="00F508F7" w:rsidRDefault="00F508F7" w14:paraId="08F54446" w14:textId="77777777">
      <w:pPr>
        <w:spacing w:line="360" w:lineRule="auto"/>
        <w:rPr>
          <w:lang w:val="en-US"/>
        </w:rPr>
      </w:pPr>
      <w:r w:rsidRPr="00F508F7">
        <w:rPr>
          <w:lang w:val="en-US"/>
        </w:rPr>
        <w:t xml:space="preserve">Staffordshire County Council (2026) Getting access to support. Available at: </w:t>
      </w:r>
      <w:hyperlink w:history="1" r:id="rId16">
        <w:r w:rsidRPr="00191FD0">
          <w:rPr>
            <w:rStyle w:val="Hyperlink"/>
            <w:lang w:val="en-US"/>
          </w:rPr>
          <w:t>https://www.staffordshire.gov.uk/children-young-people-and-families/child-protection-and-safety/families-first/getting-access</w:t>
        </w:r>
      </w:hyperlink>
      <w:r>
        <w:rPr>
          <w:lang w:val="en-US"/>
        </w:rPr>
        <w:t xml:space="preserve"> </w:t>
      </w:r>
      <w:r w:rsidRPr="00F508F7">
        <w:rPr>
          <w:lang w:val="en-US"/>
        </w:rPr>
        <w:t>(Accessed: 24 July 2026).</w:t>
      </w:r>
    </w:p>
    <w:p w:rsidRPr="009825CA" w:rsidR="009825CA" w:rsidP="00F508F7" w:rsidRDefault="009825CA" w14:paraId="4448E85A" w14:textId="77777777">
      <w:pPr>
        <w:spacing w:line="360" w:lineRule="auto"/>
        <w:rPr>
          <w:lang w:val="en-US"/>
        </w:rPr>
      </w:pPr>
      <w:r w:rsidRPr="009825CA">
        <w:rPr>
          <w:lang w:val="en-US"/>
        </w:rPr>
        <w:t xml:space="preserve">van </w:t>
      </w:r>
      <w:proofErr w:type="spellStart"/>
      <w:r w:rsidRPr="009825CA">
        <w:rPr>
          <w:lang w:val="en-US"/>
        </w:rPr>
        <w:t>Deursen</w:t>
      </w:r>
      <w:proofErr w:type="spellEnd"/>
      <w:r w:rsidRPr="009825CA">
        <w:rPr>
          <w:lang w:val="en-US"/>
        </w:rPr>
        <w:t>, A.J.A.M. and van Dijk, J.A.G.M. (2014)</w:t>
      </w:r>
      <w:r>
        <w:rPr>
          <w:lang w:val="en-US"/>
        </w:rPr>
        <w:t>.</w:t>
      </w:r>
      <w:r w:rsidRPr="009825CA">
        <w:rPr>
          <w:lang w:val="en-US"/>
        </w:rPr>
        <w:t xml:space="preserve"> ‘The digital divide shifts to differences in usage’, </w:t>
      </w:r>
      <w:r w:rsidRPr="009825CA">
        <w:rPr>
          <w:i/>
          <w:iCs/>
          <w:lang w:val="en-US"/>
        </w:rPr>
        <w:t>New Media &amp; Society</w:t>
      </w:r>
      <w:r w:rsidRPr="009825CA">
        <w:rPr>
          <w:lang w:val="en-US"/>
        </w:rPr>
        <w:t xml:space="preserve">, 16(3), pp. 507–526. Available at: </w:t>
      </w:r>
      <w:hyperlink w:tgtFrame="_new" w:history="1" r:id="rId17">
        <w:r w:rsidRPr="009825CA">
          <w:rPr>
            <w:rStyle w:val="Hyperlink"/>
            <w:lang w:val="en-US"/>
          </w:rPr>
          <w:t>https://doi.org/10.1177/1461444813487959</w:t>
        </w:r>
      </w:hyperlink>
      <w:r w:rsidRPr="009825CA">
        <w:rPr>
          <w:lang w:val="en-US"/>
        </w:rPr>
        <w:t>.</w:t>
      </w:r>
    </w:p>
    <w:p w:rsidRPr="009825CA" w:rsidR="009825CA" w:rsidP="00F508F7" w:rsidRDefault="009825CA" w14:paraId="3C06A401" w14:textId="77777777">
      <w:pPr>
        <w:spacing w:line="360" w:lineRule="auto"/>
        <w:rPr>
          <w:lang w:val="en-US"/>
        </w:rPr>
      </w:pPr>
      <w:r w:rsidRPr="009825CA">
        <w:rPr>
          <w:lang w:val="en-US"/>
        </w:rPr>
        <w:t>Walker, G. (2018)</w:t>
      </w:r>
      <w:r>
        <w:rPr>
          <w:lang w:val="en-US"/>
        </w:rPr>
        <w:t>.</w:t>
      </w:r>
      <w:r w:rsidRPr="009825CA">
        <w:rPr>
          <w:lang w:val="en-US"/>
        </w:rPr>
        <w:t xml:space="preserve"> </w:t>
      </w:r>
      <w:r w:rsidRPr="009825CA">
        <w:rPr>
          <w:i/>
          <w:iCs/>
          <w:lang w:val="en-US"/>
        </w:rPr>
        <w:t>Working Together for Children: A Critical Introduction to Multi-Agency Working</w:t>
      </w:r>
      <w:r w:rsidRPr="009825CA">
        <w:rPr>
          <w:lang w:val="en-US"/>
        </w:rPr>
        <w:t xml:space="preserve">. 2nd </w:t>
      </w:r>
      <w:proofErr w:type="spellStart"/>
      <w:r w:rsidRPr="009825CA">
        <w:rPr>
          <w:lang w:val="en-US"/>
        </w:rPr>
        <w:t>edn</w:t>
      </w:r>
      <w:proofErr w:type="spellEnd"/>
      <w:r w:rsidRPr="009825CA">
        <w:rPr>
          <w:lang w:val="en-US"/>
        </w:rPr>
        <w:t>. London: Bloomsbury Academic.</w:t>
      </w:r>
    </w:p>
    <w:p w:rsidR="00567588" w:rsidP="00F508F7" w:rsidRDefault="00567588" w14:paraId="65CE9600" w14:textId="77777777">
      <w:pPr>
        <w:spacing w:line="360" w:lineRule="auto"/>
      </w:pPr>
    </w:p>
    <w:sectPr w:rsidR="00567588">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825CA"/>
    <w:rsid w:val="000C2FD3"/>
    <w:rsid w:val="000D2467"/>
    <w:rsid w:val="000D4764"/>
    <w:rsid w:val="000F6786"/>
    <w:rsid w:val="001218AB"/>
    <w:rsid w:val="001A27E0"/>
    <w:rsid w:val="0023046E"/>
    <w:rsid w:val="00232EDB"/>
    <w:rsid w:val="00236484"/>
    <w:rsid w:val="00300779"/>
    <w:rsid w:val="00304F1E"/>
    <w:rsid w:val="00333239"/>
    <w:rsid w:val="00357374"/>
    <w:rsid w:val="003F7D76"/>
    <w:rsid w:val="00407E44"/>
    <w:rsid w:val="004B3CE7"/>
    <w:rsid w:val="00532233"/>
    <w:rsid w:val="005326AA"/>
    <w:rsid w:val="00567588"/>
    <w:rsid w:val="005B72B4"/>
    <w:rsid w:val="00626A0F"/>
    <w:rsid w:val="00630C26"/>
    <w:rsid w:val="006653D9"/>
    <w:rsid w:val="006877FE"/>
    <w:rsid w:val="00710E5A"/>
    <w:rsid w:val="007646FE"/>
    <w:rsid w:val="00794058"/>
    <w:rsid w:val="008376C4"/>
    <w:rsid w:val="008C0640"/>
    <w:rsid w:val="00931CD1"/>
    <w:rsid w:val="009825CA"/>
    <w:rsid w:val="009D66D8"/>
    <w:rsid w:val="00A66E48"/>
    <w:rsid w:val="00B123AB"/>
    <w:rsid w:val="00B7756F"/>
    <w:rsid w:val="00B93817"/>
    <w:rsid w:val="00BA4073"/>
    <w:rsid w:val="00BE5254"/>
    <w:rsid w:val="00CE023F"/>
    <w:rsid w:val="00CF6AFF"/>
    <w:rsid w:val="00D00A0F"/>
    <w:rsid w:val="00D4135E"/>
    <w:rsid w:val="00D4591D"/>
    <w:rsid w:val="00D6500F"/>
    <w:rsid w:val="00DA53E0"/>
    <w:rsid w:val="00E15E43"/>
    <w:rsid w:val="00EA48C8"/>
    <w:rsid w:val="00F508F7"/>
    <w:rsid w:val="00F76D40"/>
    <w:rsid w:val="6B047C0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5FC507"/>
  <w15:chartTrackingRefBased/>
  <w15:docId w15:val="{061D7C08-7AB7-49AB-81C6-0B1F92FFB6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236484"/>
    <w:pPr>
      <w:spacing w:after="0" w:line="480" w:lineRule="auto"/>
      <w:jc w:val="both"/>
    </w:pPr>
    <w:rPr>
      <w:rFonts w:ascii="Times New Roman" w:hAnsi="Times New Roman"/>
      <w:sz w:val="24"/>
      <w:szCs w:val="22"/>
      <w:lang w:val="en-GB" w:bidi="ar-SA"/>
    </w:rPr>
  </w:style>
  <w:style w:type="paragraph" w:styleId="Heading1">
    <w:name w:val="heading 1"/>
    <w:basedOn w:val="Normal"/>
    <w:next w:val="Normal"/>
    <w:link w:val="Heading1Char"/>
    <w:uiPriority w:val="9"/>
    <w:qFormat/>
    <w:rsid w:val="00630C26"/>
    <w:pPr>
      <w:pBdr>
        <w:top w:val="single" w:color="5B9BD5" w:themeColor="accent1" w:sz="24" w:space="0"/>
        <w:left w:val="single" w:color="5B9BD5" w:themeColor="accent1" w:sz="24" w:space="0"/>
        <w:bottom w:val="single" w:color="5B9BD5" w:themeColor="accent1" w:sz="24" w:space="0"/>
        <w:right w:val="single" w:color="5B9BD5" w:themeColor="accent1" w:sz="24" w:space="0"/>
      </w:pBdr>
      <w:shd w:val="clear" w:color="auto" w:fill="5B9BD5" w:themeFill="accent1"/>
      <w:outlineLvl w:val="0"/>
    </w:pPr>
    <w:rPr>
      <w:b/>
      <w:caps/>
      <w:color w:val="FFFFFF" w:themeColor="background1"/>
      <w:spacing w:val="15"/>
      <w:sz w:val="32"/>
      <w:lang w:val="en-US" w:bidi="bn-BD"/>
    </w:rPr>
  </w:style>
  <w:style w:type="paragraph" w:styleId="Heading2">
    <w:name w:val="heading 2"/>
    <w:basedOn w:val="Normal"/>
    <w:next w:val="Normal"/>
    <w:link w:val="Heading2Char"/>
    <w:uiPriority w:val="9"/>
    <w:unhideWhenUsed/>
    <w:qFormat/>
    <w:rsid w:val="00B7756F"/>
    <w:pPr>
      <w:keepNext/>
      <w:keepLines/>
      <w:outlineLvl w:val="1"/>
    </w:pPr>
    <w:rPr>
      <w:rFonts w:eastAsiaTheme="majorEastAsia" w:cstheme="majorBidi"/>
      <w:b/>
      <w:bCs/>
      <w:color w:val="0D0D0D" w:themeColor="text1" w:themeTint="F2"/>
      <w:sz w:val="32"/>
      <w:szCs w:val="26"/>
      <w:lang w:bidi="bn-BD"/>
    </w:rPr>
  </w:style>
  <w:style w:type="paragraph" w:styleId="Heading3">
    <w:name w:val="heading 3"/>
    <w:basedOn w:val="Normal"/>
    <w:next w:val="Normal"/>
    <w:link w:val="Heading3Char"/>
    <w:uiPriority w:val="9"/>
    <w:unhideWhenUsed/>
    <w:qFormat/>
    <w:rsid w:val="004B3CE7"/>
    <w:pPr>
      <w:keepNext/>
      <w:keepLines/>
      <w:outlineLvl w:val="2"/>
    </w:pPr>
    <w:rPr>
      <w:rFonts w:eastAsiaTheme="majorEastAsia" w:cstheme="majorBidi"/>
      <w:b/>
      <w:bCs/>
      <w:color w:val="2E74B5" w:themeColor="accent1" w:themeShade="BF"/>
      <w:sz w:val="28"/>
      <w:szCs w:val="28"/>
      <w:lang w:bidi="bn-BD"/>
    </w:rPr>
  </w:style>
  <w:style w:type="paragraph" w:styleId="Heading4">
    <w:name w:val="heading 4"/>
    <w:basedOn w:val="Normal"/>
    <w:next w:val="Normal"/>
    <w:link w:val="Heading4Char"/>
    <w:uiPriority w:val="9"/>
    <w:unhideWhenUsed/>
    <w:qFormat/>
    <w:rsid w:val="00931CD1"/>
    <w:pPr>
      <w:keepNext/>
      <w:keepLines/>
      <w:outlineLvl w:val="3"/>
    </w:pPr>
    <w:rPr>
      <w:rFonts w:eastAsiaTheme="majorEastAsia" w:cstheme="majorBidi"/>
      <w:b/>
      <w:iCs/>
      <w:color w:val="2E74B5" w:themeColor="accent1" w:themeShade="BF"/>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630C26"/>
    <w:rPr>
      <w:rFonts w:ascii="Times New Roman" w:hAnsi="Times New Roman"/>
      <w:b/>
      <w:caps/>
      <w:color w:val="FFFFFF" w:themeColor="background1"/>
      <w:spacing w:val="15"/>
      <w:sz w:val="32"/>
      <w:szCs w:val="22"/>
      <w:shd w:val="clear" w:color="auto" w:fill="5B9BD5" w:themeFill="accent1"/>
    </w:rPr>
  </w:style>
  <w:style w:type="character" w:styleId="Heading2Char" w:customStyle="1">
    <w:name w:val="Heading 2 Char"/>
    <w:basedOn w:val="DefaultParagraphFont"/>
    <w:link w:val="Heading2"/>
    <w:uiPriority w:val="9"/>
    <w:rsid w:val="00B7756F"/>
    <w:rPr>
      <w:rFonts w:ascii="Times New Roman" w:hAnsi="Times New Roman" w:eastAsiaTheme="majorEastAsia" w:cstheme="majorBidi"/>
      <w:b/>
      <w:bCs/>
      <w:color w:val="0D0D0D" w:themeColor="text1" w:themeTint="F2"/>
      <w:sz w:val="32"/>
      <w:szCs w:val="26"/>
      <w:lang w:val="en-GB"/>
    </w:rPr>
  </w:style>
  <w:style w:type="character" w:styleId="Heading3Char" w:customStyle="1">
    <w:name w:val="Heading 3 Char"/>
    <w:basedOn w:val="DefaultParagraphFont"/>
    <w:link w:val="Heading3"/>
    <w:uiPriority w:val="9"/>
    <w:rsid w:val="004B3CE7"/>
    <w:rPr>
      <w:rFonts w:ascii="Times New Roman" w:hAnsi="Times New Roman" w:eastAsiaTheme="majorEastAsia" w:cstheme="majorBidi"/>
      <w:b/>
      <w:bCs/>
      <w:color w:val="2E74B5" w:themeColor="accent1" w:themeShade="BF"/>
      <w:sz w:val="28"/>
      <w:lang w:val="en-GB"/>
    </w:rPr>
  </w:style>
  <w:style w:type="paragraph" w:styleId="AABodyText" w:customStyle="1">
    <w:name w:val="AA Body Text"/>
    <w:basedOn w:val="Normal"/>
    <w:link w:val="AABodyTextChar"/>
    <w:qFormat/>
    <w:rsid w:val="00407E44"/>
    <w:pPr>
      <w:contextualSpacing/>
    </w:pPr>
    <w:rPr>
      <w:szCs w:val="21"/>
      <w:lang w:val="en-US" w:eastAsia="en-AU"/>
    </w:rPr>
  </w:style>
  <w:style w:type="character" w:styleId="AABodyTextChar" w:customStyle="1">
    <w:name w:val="AA Body Text Char"/>
    <w:link w:val="AABodyText"/>
    <w:rsid w:val="00407E44"/>
    <w:rPr>
      <w:rFonts w:ascii="Times New Roman" w:hAnsi="Times New Roman" w:eastAsia="Times New Roman" w:cs="Arial"/>
      <w:sz w:val="24"/>
      <w:szCs w:val="21"/>
      <w:lang w:eastAsia="en-AU" w:bidi="ar-SA"/>
    </w:rPr>
  </w:style>
  <w:style w:type="paragraph" w:styleId="CLBBodyText" w:customStyle="1">
    <w:name w:val="CLB Body Text"/>
    <w:basedOn w:val="Normal"/>
    <w:qFormat/>
    <w:rsid w:val="00B93817"/>
    <w:pPr>
      <w:ind w:right="45"/>
    </w:pPr>
    <w:rPr>
      <w:lang w:val="en-US" w:eastAsia="en-AU"/>
    </w:rPr>
  </w:style>
  <w:style w:type="paragraph" w:styleId="Bodycopy" w:customStyle="1">
    <w:name w:val="Bodycopy"/>
    <w:link w:val="BodycopyChar"/>
    <w:qFormat/>
    <w:rsid w:val="00B93817"/>
    <w:pPr>
      <w:spacing w:after="0" w:line="480" w:lineRule="auto"/>
      <w:jc w:val="both"/>
    </w:pPr>
    <w:rPr>
      <w:rFonts w:ascii="Calibri" w:hAnsi="Calibri" w:eastAsia="Calibri" w:cs="Times New Roman"/>
      <w:color w:val="404040"/>
      <w:sz w:val="24"/>
      <w:lang w:val="en-AU"/>
    </w:rPr>
  </w:style>
  <w:style w:type="character" w:styleId="BodycopyChar" w:customStyle="1">
    <w:name w:val="Bodycopy Char"/>
    <w:link w:val="Bodycopy"/>
    <w:rsid w:val="00B93817"/>
    <w:rPr>
      <w:rFonts w:ascii="Calibri" w:hAnsi="Calibri" w:eastAsia="Calibri" w:cs="Times New Roman"/>
      <w:color w:val="404040"/>
      <w:sz w:val="24"/>
      <w:lang w:val="en-AU"/>
    </w:rPr>
  </w:style>
  <w:style w:type="character" w:styleId="Heading4Char" w:customStyle="1">
    <w:name w:val="Heading 4 Char"/>
    <w:basedOn w:val="DefaultParagraphFont"/>
    <w:link w:val="Heading4"/>
    <w:uiPriority w:val="9"/>
    <w:rsid w:val="00931CD1"/>
    <w:rPr>
      <w:rFonts w:ascii="Times New Roman" w:hAnsi="Times New Roman" w:eastAsiaTheme="majorEastAsia" w:cstheme="majorBidi"/>
      <w:b/>
      <w:iCs/>
      <w:color w:val="2E74B5" w:themeColor="accent1" w:themeShade="BF"/>
      <w:sz w:val="24"/>
      <w:szCs w:val="22"/>
      <w:lang w:val="en-GB" w:bidi="ar-SA"/>
    </w:rPr>
  </w:style>
  <w:style w:type="paragraph" w:styleId="Heading22" w:customStyle="1">
    <w:name w:val="Heading 22"/>
    <w:basedOn w:val="Normal"/>
    <w:link w:val="Heading22Char"/>
    <w:qFormat/>
    <w:rsid w:val="009D66D8"/>
    <w:rPr>
      <w:rFonts w:eastAsia="Times New Roman" w:cs="Times New Roman"/>
      <w:b/>
      <w:sz w:val="28"/>
      <w:szCs w:val="24"/>
      <w:lang w:val="en-US" w:bidi="bn-BD"/>
    </w:rPr>
  </w:style>
  <w:style w:type="character" w:styleId="Heading22Char" w:customStyle="1">
    <w:name w:val="Heading 22 Char"/>
    <w:basedOn w:val="DefaultParagraphFont"/>
    <w:link w:val="Heading22"/>
    <w:rsid w:val="009D66D8"/>
    <w:rPr>
      <w:rFonts w:ascii="Times New Roman" w:hAnsi="Times New Roman" w:eastAsia="Times New Roman" w:cs="Times New Roman"/>
      <w:b/>
      <w:sz w:val="28"/>
      <w:szCs w:val="24"/>
    </w:rPr>
  </w:style>
  <w:style w:type="character" w:styleId="Hyperlink">
    <w:name w:val="Hyperlink"/>
    <w:basedOn w:val="DefaultParagraphFont"/>
    <w:uiPriority w:val="99"/>
    <w:unhideWhenUsed/>
    <w:rsid w:val="009825CA"/>
    <w:rPr>
      <w:color w:val="0563C1" w:themeColor="hyperlink"/>
      <w:u w:val="single"/>
    </w:rPr>
  </w:style>
  <w:style w:type="paragraph" w:styleId="TOCHeading">
    <w:name w:val="TOC Heading"/>
    <w:basedOn w:val="Heading1"/>
    <w:next w:val="Normal"/>
    <w:uiPriority w:val="39"/>
    <w:unhideWhenUsed/>
    <w:qFormat/>
    <w:rsid w:val="00F508F7"/>
    <w:pPr>
      <w:keepNext/>
      <w:keepLines/>
      <w:pBdr>
        <w:top w:val="none" w:color="auto" w:sz="0" w:space="0"/>
        <w:left w:val="none" w:color="auto" w:sz="0" w:space="0"/>
        <w:bottom w:val="none" w:color="auto" w:sz="0" w:space="0"/>
        <w:right w:val="none" w:color="auto" w:sz="0" w:space="0"/>
      </w:pBdr>
      <w:shd w:val="clear" w:color="auto" w:fill="auto"/>
      <w:spacing w:before="240" w:line="259" w:lineRule="auto"/>
      <w:jc w:val="left"/>
      <w:outlineLvl w:val="9"/>
    </w:pPr>
    <w:rPr>
      <w:rFonts w:asciiTheme="majorHAnsi" w:hAnsiTheme="majorHAnsi" w:eastAsiaTheme="majorEastAsia" w:cstheme="majorBidi"/>
      <w:b w:val="0"/>
      <w:caps w:val="0"/>
      <w:color w:val="2E74B5" w:themeColor="accent1" w:themeShade="BF"/>
      <w:spacing w:val="0"/>
      <w:szCs w:val="32"/>
      <w:lang w:bidi="ar-SA"/>
    </w:rPr>
  </w:style>
  <w:style w:type="paragraph" w:styleId="TOC2">
    <w:name w:val="toc 2"/>
    <w:basedOn w:val="Normal"/>
    <w:next w:val="Normal"/>
    <w:autoRedefine/>
    <w:uiPriority w:val="39"/>
    <w:unhideWhenUsed/>
    <w:rsid w:val="00F508F7"/>
    <w:pPr>
      <w:spacing w:after="100"/>
      <w:ind w:left="240"/>
    </w:pPr>
  </w:style>
  <w:style w:type="paragraph" w:styleId="Default" w:customStyle="1">
    <w:name w:val="Default"/>
    <w:rsid w:val="00F508F7"/>
    <w:pPr>
      <w:autoSpaceDE w:val="0"/>
      <w:autoSpaceDN w:val="0"/>
      <w:adjustRightInd w:val="0"/>
      <w:spacing w:after="0" w:line="240" w:lineRule="auto"/>
    </w:pPr>
    <w:rPr>
      <w:rFonts w:ascii="Arial" w:hAnsi="Arial" w:cs="Arial"/>
      <w:color w:val="000000"/>
      <w:sz w:val="24"/>
      <w:szCs w:val="24"/>
    </w:rPr>
  </w:style>
  <w:style w:type="table" w:styleId="TableGrid">
    <w:name w:val="Table Grid"/>
    <w:basedOn w:val="TableNormal"/>
    <w:uiPriority w:val="39"/>
    <w:rsid w:val="00F508F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922917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hyperlink" Target="https://doi.org/10.1111/j.1365-2206.2005.00370.x" TargetMode="External" Id="rId8" /><Relationship Type="http://schemas.openxmlformats.org/officeDocument/2006/relationships/hyperlink" Target="https://www.southwark.gov.uk/children-and-families/childrens-social-care/early-help/about-early-help?utm_source=chatgpt.com" TargetMode="External" Id="rId13" /><Relationship Type="http://schemas.openxmlformats.org/officeDocument/2006/relationships/fontTable" Target="fontTable.xml" Id="rId18" /><Relationship Type="http://schemas.openxmlformats.org/officeDocument/2006/relationships/settings" Target="settings.xml" Id="rId3" /><Relationship Type="http://schemas.openxmlformats.org/officeDocument/2006/relationships/hyperlink" Target="https://www.gov.uk/government/publications/supporting-families-early-help-system-guide?utm_source=chatgpt.com" TargetMode="External" Id="rId7" /><Relationship Type="http://schemas.openxmlformats.org/officeDocument/2006/relationships/hyperlink" Target="https://doi.org/10.1111/j.1365-2206.2012.00828.x" TargetMode="External" Id="rId12" /><Relationship Type="http://schemas.openxmlformats.org/officeDocument/2006/relationships/hyperlink" Target="https://doi.org/10.1177/1461444813487959" TargetMode="External" Id="rId17" /><Relationship Type="http://schemas.openxmlformats.org/officeDocument/2006/relationships/styles" Target="styles.xml" Id="rId2" /><Relationship Type="http://schemas.openxmlformats.org/officeDocument/2006/relationships/hyperlink" Target="https://www.staffordshire.gov.uk/children-young-people-and-families/child-protection-and-safety/families-first/getting-access" TargetMode="External" Id="rId16" /><Relationship Type="http://schemas.openxmlformats.org/officeDocument/2006/relationships/customXml" Target="../customXml/item1.xml" Id="rId1" /><Relationship Type="http://schemas.openxmlformats.org/officeDocument/2006/relationships/hyperlink" Target="https://www.gov.uk/government/publications/working-together-to-safeguard-children--2" TargetMode="External" Id="rId6" /><Relationship Type="http://schemas.openxmlformats.org/officeDocument/2006/relationships/hyperlink" Target="https://doi.org/10.1093/heapro/15.3.259" TargetMode="External" Id="rId11" /><Relationship Type="http://schemas.openxmlformats.org/officeDocument/2006/relationships/image" Target="media/image1.emf" Id="rId5" /><Relationship Type="http://schemas.openxmlformats.org/officeDocument/2006/relationships/hyperlink" Target="https://www.staffordshire.gov.uk/children-young-people-and-families/child-protection-and-safety/families-first" TargetMode="External" Id="rId15" /><Relationship Type="http://schemas.openxmlformats.org/officeDocument/2006/relationships/hyperlink" Target="https://doi.org/10.1093/bjsw/bcu073" TargetMode="External" Id="rId10" /><Relationship Type="http://schemas.openxmlformats.org/officeDocument/2006/relationships/theme" Target="theme/theme1.xml" Id="rId19" /><Relationship Type="http://schemas.openxmlformats.org/officeDocument/2006/relationships/webSettings" Target="webSettings.xml" Id="rId4" /><Relationship Type="http://schemas.openxmlformats.org/officeDocument/2006/relationships/hyperlink" Target="https://doi.org/10.1111/cfs.12740" TargetMode="External" Id="rId9" /><Relationship Type="http://schemas.openxmlformats.org/officeDocument/2006/relationships/hyperlink" Target="https://www.southwark.gov.uk/children-and-families/childrens-social-care/early-help/extra-early-help/make-referral?utm_source=chatgpt.com" TargetMode="Externa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9D49CC8-00B3-4E67-BAED-19B529369C15}">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Microsoft account</dc:creator>
  <keywords/>
  <dc:description/>
  <lastModifiedBy>Mercy Reoja Fiel (2427852)</lastModifiedBy>
  <revision>8</revision>
  <dcterms:created xsi:type="dcterms:W3CDTF">2026-08-02T22:59:00.0000000Z</dcterms:created>
  <dcterms:modified xsi:type="dcterms:W3CDTF">2026-08-14T09:43:37.6434079Z</dcterms:modified>
</coreProperties>
</file>